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27A5E7">
      <w:pPr>
        <w:autoSpaceDE w:val="0"/>
        <w:autoSpaceDN w:val="0"/>
        <w:adjustRightInd w:val="0"/>
        <w:snapToGrid w:val="0"/>
        <w:spacing w:before="120" w:beforeLines="50" w:after="120" w:afterLines="50" w:line="360" w:lineRule="auto"/>
        <w:jc w:val="center"/>
        <w:outlineLvl w:val="0"/>
        <w:rPr>
          <w:rFonts w:ascii="黑体" w:eastAsia="黑体"/>
          <w:b/>
          <w:kern w:val="0"/>
          <w:sz w:val="28"/>
          <w:szCs w:val="28"/>
          <w:lang w:val="zh-CN"/>
        </w:rPr>
      </w:pPr>
      <w:r>
        <w:rPr>
          <w:rFonts w:ascii="黑体" w:eastAsia="黑体"/>
          <w:b/>
          <w:kern w:val="0"/>
          <w:sz w:val="28"/>
          <w:szCs w:val="28"/>
          <w:lang w:val="zh-CN"/>
        </w:rPr>
        <w:t>招标公告</w:t>
      </w:r>
    </w:p>
    <w:p w14:paraId="62146097">
      <w:pPr>
        <w:spacing w:line="360" w:lineRule="auto"/>
        <w:jc w:val="center"/>
        <w:rPr>
          <w:rFonts w:ascii="黑体" w:hAnsi="黑体" w:eastAsia="黑体"/>
          <w:sz w:val="28"/>
          <w:szCs w:val="28"/>
        </w:rPr>
      </w:pPr>
      <w:r>
        <w:rPr>
          <w:rFonts w:ascii="黑体" w:eastAsia="黑体"/>
          <w:sz w:val="28"/>
          <w:szCs w:val="28"/>
        </w:rPr>
        <w:t>中泰新能源托克逊自备绿电替代风电项目-220kV升压站、送出线路及对侧间隔改扩建EPC总承包工程（四标段）电缆采购</w:t>
      </w:r>
    </w:p>
    <w:p w14:paraId="42CA5A3F">
      <w:pPr>
        <w:spacing w:line="360" w:lineRule="auto"/>
        <w:jc w:val="center"/>
        <w:rPr>
          <w:rFonts w:ascii="黑体" w:hAnsi="黑体" w:eastAsia="黑体"/>
          <w:sz w:val="28"/>
          <w:szCs w:val="28"/>
        </w:rPr>
      </w:pPr>
      <w:bookmarkStart w:id="0" w:name="_Toc1540"/>
      <w:bookmarkStart w:id="1" w:name="_Toc3173"/>
      <w:bookmarkStart w:id="2" w:name="_Toc7563"/>
      <w:bookmarkStart w:id="3" w:name="_Toc8584"/>
      <w:bookmarkStart w:id="4" w:name="_Toc1901"/>
      <w:bookmarkStart w:id="5" w:name="_Toc18179"/>
      <w:bookmarkStart w:id="6" w:name="_Toc12970"/>
      <w:bookmarkStart w:id="7" w:name="_Toc3331"/>
      <w:bookmarkStart w:id="8" w:name="_Toc7870"/>
      <w:bookmarkStart w:id="9" w:name="_Toc21954"/>
      <w:bookmarkStart w:id="10" w:name="_Toc30735"/>
      <w:bookmarkStart w:id="11" w:name="_Toc6951"/>
      <w:bookmarkStart w:id="12" w:name="_Toc18789"/>
      <w:bookmarkStart w:id="13" w:name="_Toc7053"/>
      <w:bookmarkStart w:id="14" w:name="_Toc7560"/>
      <w:bookmarkStart w:id="15" w:name="_Toc25789"/>
      <w:bookmarkStart w:id="16" w:name="_Toc24661"/>
      <w:bookmarkStart w:id="17" w:name="_Toc12766"/>
      <w:bookmarkStart w:id="18" w:name="_Toc24199"/>
      <w:bookmarkStart w:id="19" w:name="_Toc6743"/>
      <w:r>
        <w:rPr>
          <w:rFonts w:ascii="黑体" w:hAnsi="黑体" w:eastAsia="黑体"/>
          <w:sz w:val="28"/>
          <w:szCs w:val="28"/>
        </w:rPr>
        <w:t>招标公告</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14:paraId="67F4F11C">
      <w:pPr>
        <w:spacing w:line="360" w:lineRule="auto"/>
        <w:jc w:val="center"/>
        <w:rPr>
          <w:rFonts w:ascii="黑体" w:hAnsi="黑体" w:eastAsia="黑体"/>
          <w:sz w:val="28"/>
          <w:szCs w:val="28"/>
        </w:rPr>
      </w:pPr>
      <w:bookmarkStart w:id="20" w:name="_Toc1065"/>
      <w:bookmarkStart w:id="21" w:name="_Toc29230"/>
      <w:bookmarkStart w:id="22" w:name="_Toc18676"/>
      <w:bookmarkStart w:id="23" w:name="_Toc16837"/>
      <w:bookmarkStart w:id="24" w:name="_Toc21572"/>
      <w:bookmarkStart w:id="25" w:name="_Toc714"/>
      <w:bookmarkStart w:id="26" w:name="_Toc3705"/>
      <w:bookmarkStart w:id="27" w:name="_Toc17259"/>
      <w:bookmarkStart w:id="28" w:name="_Toc12718"/>
      <w:r>
        <w:rPr>
          <w:rFonts w:ascii="黑体" w:hAnsi="黑体" w:eastAsia="黑体"/>
          <w:sz w:val="28"/>
          <w:szCs w:val="28"/>
        </w:rPr>
        <w:t>招标编号：</w:t>
      </w:r>
      <w:bookmarkEnd w:id="20"/>
      <w:bookmarkEnd w:id="21"/>
      <w:bookmarkEnd w:id="22"/>
      <w:bookmarkEnd w:id="23"/>
      <w:bookmarkEnd w:id="24"/>
      <w:bookmarkEnd w:id="25"/>
      <w:bookmarkEnd w:id="26"/>
      <w:bookmarkEnd w:id="27"/>
      <w:bookmarkEnd w:id="28"/>
      <w:r>
        <w:rPr>
          <w:rFonts w:ascii="黑体" w:hAnsi="黑体" w:eastAsia="黑体"/>
          <w:sz w:val="28"/>
          <w:szCs w:val="28"/>
        </w:rPr>
        <w:t>2025-ZRXC-BJDL-WZ-25</w:t>
      </w:r>
    </w:p>
    <w:p w14:paraId="3AD2B14A">
      <w:pPr>
        <w:adjustRightInd w:val="0"/>
        <w:snapToGrid w:val="0"/>
        <w:spacing w:before="240" w:beforeLines="100" w:after="120" w:afterLines="50" w:line="360" w:lineRule="auto"/>
        <w:outlineLvl w:val="1"/>
        <w:rPr>
          <w:rFonts w:hint="default" w:ascii="黑体" w:hAnsi="Calibri" w:eastAsia="黑体"/>
          <w:b/>
          <w:sz w:val="24"/>
        </w:rPr>
      </w:pPr>
      <w:bookmarkStart w:id="29" w:name="_bookmark2"/>
      <w:bookmarkEnd w:id="29"/>
      <w:bookmarkStart w:id="30" w:name="_Toc12482"/>
      <w:bookmarkStart w:id="31" w:name="_Toc113"/>
      <w:bookmarkStart w:id="32" w:name="_Toc62221464"/>
      <w:bookmarkStart w:id="33" w:name="_Toc28259"/>
      <w:bookmarkStart w:id="34" w:name="_Toc27832"/>
      <w:bookmarkStart w:id="35" w:name="_Toc12390"/>
      <w:bookmarkStart w:id="36" w:name="_Toc23241"/>
      <w:bookmarkStart w:id="37" w:name="_Toc13310"/>
      <w:bookmarkStart w:id="38" w:name="_Toc62222023"/>
      <w:bookmarkStart w:id="39" w:name="_Toc6779"/>
      <w:bookmarkStart w:id="40" w:name="_Toc62549130"/>
      <w:bookmarkStart w:id="41" w:name="_Toc62222571"/>
      <w:bookmarkStart w:id="42" w:name="_Toc62549186"/>
      <w:bookmarkStart w:id="43" w:name="_Toc16718"/>
      <w:bookmarkStart w:id="44" w:name="_Toc20180"/>
      <w:bookmarkStart w:id="45" w:name="_Toc62221755"/>
      <w:r>
        <w:rPr>
          <w:rFonts w:ascii="黑体" w:hAnsi="Calibri" w:eastAsia="黑体"/>
          <w:b/>
          <w:sz w:val="24"/>
        </w:rPr>
        <w:t>1.招标条件</w:t>
      </w:r>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14:paraId="3FE82FDC">
      <w:pPr>
        <w:tabs>
          <w:tab w:val="left" w:pos="1134"/>
        </w:tabs>
        <w:adjustRightInd w:val="0"/>
        <w:snapToGrid w:val="0"/>
        <w:spacing w:line="360" w:lineRule="auto"/>
        <w:ind w:firstLine="420" w:firstLineChars="200"/>
        <w:rPr>
          <w:rFonts w:asciiTheme="minorEastAsia" w:hAnsiTheme="minorEastAsia" w:eastAsiaTheme="minorEastAsia" w:cstheme="minorEastAsia"/>
        </w:rPr>
      </w:pPr>
      <w:r>
        <w:rPr>
          <w:rFonts w:asciiTheme="minorEastAsia" w:hAnsiTheme="minorEastAsia" w:eastAsiaTheme="minorEastAsia" w:cstheme="minorEastAsia"/>
        </w:rPr>
        <w:t>项目建设单位为</w:t>
      </w:r>
      <w:r>
        <w:rPr>
          <w:rFonts w:asciiTheme="minorEastAsia" w:hAnsiTheme="minorEastAsia" w:eastAsiaTheme="minorEastAsia" w:cstheme="minorEastAsia"/>
          <w:color w:val="000000" w:themeColor="text1"/>
          <w:u w:val="single"/>
          <w14:textFill>
            <w14:solidFill>
              <w14:schemeClr w14:val="tx1"/>
            </w14:solidFill>
          </w14:textFill>
        </w:rPr>
        <w:t>北京电力工程有限公司</w:t>
      </w:r>
      <w:r>
        <w:rPr>
          <w:rFonts w:asciiTheme="minorEastAsia" w:hAnsiTheme="minorEastAsia" w:eastAsiaTheme="minorEastAsia" w:cstheme="minorEastAsia"/>
        </w:rPr>
        <w:t>（以下简称“项目单位”），项目资金来自</w:t>
      </w:r>
      <w:r>
        <w:rPr>
          <w:rFonts w:asciiTheme="minorEastAsia" w:hAnsiTheme="minorEastAsia" w:eastAsiaTheme="minorEastAsia" w:cstheme="minorEastAsia"/>
          <w:u w:val="single"/>
        </w:rPr>
        <w:t>国有企业单位自筹资金</w:t>
      </w:r>
      <w:r>
        <w:rPr>
          <w:rFonts w:asciiTheme="minorEastAsia" w:hAnsiTheme="minorEastAsia" w:eastAsiaTheme="minorEastAsia" w:cstheme="minorEastAsia"/>
        </w:rPr>
        <w:t>，出资比例为</w:t>
      </w:r>
      <w:r>
        <w:rPr>
          <w:rFonts w:asciiTheme="minorEastAsia" w:hAnsiTheme="minorEastAsia" w:eastAsiaTheme="minorEastAsia" w:cstheme="minorEastAsia"/>
          <w:u w:val="single"/>
        </w:rPr>
        <w:t>100%</w:t>
      </w:r>
      <w:r>
        <w:rPr>
          <w:rFonts w:asciiTheme="minorEastAsia" w:hAnsiTheme="minorEastAsia" w:eastAsiaTheme="minorEastAsia" w:cstheme="minorEastAsia"/>
        </w:rPr>
        <w:t>，资金来源</w:t>
      </w:r>
      <w:r>
        <w:rPr>
          <w:rFonts w:asciiTheme="minorEastAsia" w:hAnsiTheme="minorEastAsia" w:eastAsiaTheme="minorEastAsia" w:cstheme="minorEastAsia"/>
          <w:u w:val="single"/>
        </w:rPr>
        <w:t>已落实</w:t>
      </w:r>
      <w:r>
        <w:rPr>
          <w:rFonts w:asciiTheme="minorEastAsia" w:hAnsiTheme="minorEastAsia" w:eastAsiaTheme="minorEastAsia" w:cstheme="minorEastAsia"/>
        </w:rPr>
        <w:t>，招标人为</w:t>
      </w:r>
      <w:r>
        <w:rPr>
          <w:rFonts w:asciiTheme="minorEastAsia" w:hAnsiTheme="minorEastAsia" w:eastAsiaTheme="minorEastAsia" w:cstheme="minorEastAsia"/>
          <w:u w:val="single"/>
        </w:rPr>
        <w:t>北京电力工程有限公司</w:t>
      </w:r>
      <w:r>
        <w:rPr>
          <w:rFonts w:asciiTheme="minorEastAsia" w:hAnsiTheme="minorEastAsia" w:eastAsiaTheme="minorEastAsia" w:cstheme="minorEastAsia"/>
        </w:rPr>
        <w:t>，并委托</w:t>
      </w:r>
      <w:r>
        <w:rPr>
          <w:rFonts w:asciiTheme="minorEastAsia" w:hAnsiTheme="minorEastAsia" w:eastAsiaTheme="minorEastAsia" w:cstheme="minorEastAsia"/>
          <w:u w:val="single"/>
        </w:rPr>
        <w:t>北京泽瑞兴诚工程咨询有限公司</w:t>
      </w:r>
      <w:r>
        <w:rPr>
          <w:rFonts w:asciiTheme="minorEastAsia" w:hAnsiTheme="minorEastAsia" w:eastAsiaTheme="minorEastAsia" w:cstheme="minorEastAsia"/>
        </w:rPr>
        <w:t>为招标代理机构。项目已具备招标条件，现对该项目进行公开招标。</w:t>
      </w:r>
    </w:p>
    <w:p w14:paraId="4980EBCE">
      <w:pPr>
        <w:tabs>
          <w:tab w:val="left" w:pos="1134"/>
        </w:tabs>
        <w:adjustRightInd w:val="0"/>
        <w:snapToGrid w:val="0"/>
        <w:spacing w:line="360" w:lineRule="auto"/>
        <w:ind w:firstLine="420" w:firstLineChars="200"/>
        <w:rPr>
          <w:rFonts w:asciiTheme="minorEastAsia" w:hAnsiTheme="minorEastAsia" w:eastAsiaTheme="minorEastAsia" w:cstheme="minorEastAsia"/>
        </w:rPr>
      </w:pPr>
      <w:r>
        <w:rPr>
          <w:rFonts w:asciiTheme="minorEastAsia" w:hAnsiTheme="minorEastAsia" w:eastAsiaTheme="minorEastAsia" w:cstheme="minorEastAsia"/>
        </w:rPr>
        <w:t>本项目积极响应《中共中央国务院关于开展质量提升行动的指导意见》，倡导潜在投标人用先进标准引领产品质量提升，有效治理质量突出问题，推动形成优质优价的采购机制。为保障电网和设备本质安全，维护良好电工装备质量生态环境，确保投标人提供优质产品。招标人有权对违反“投标函”承诺的投标人加大不良行为处理力度。</w:t>
      </w:r>
    </w:p>
    <w:p w14:paraId="71E3125A">
      <w:pPr>
        <w:adjustRightInd w:val="0"/>
        <w:snapToGrid w:val="0"/>
        <w:spacing w:before="240" w:beforeLines="100" w:after="120" w:afterLines="50" w:line="360" w:lineRule="auto"/>
        <w:outlineLvl w:val="1"/>
        <w:rPr>
          <w:rFonts w:hint="default" w:ascii="黑体" w:hAnsi="Calibri" w:eastAsia="黑体"/>
          <w:b/>
          <w:sz w:val="24"/>
        </w:rPr>
      </w:pPr>
      <w:bookmarkStart w:id="46" w:name="_bookmark3"/>
      <w:bookmarkEnd w:id="46"/>
      <w:bookmarkStart w:id="47" w:name="_Toc62221465"/>
      <w:bookmarkStart w:id="48" w:name="_Toc22052"/>
      <w:bookmarkStart w:id="49" w:name="_Toc9526"/>
      <w:bookmarkStart w:id="50" w:name="_Toc8851"/>
      <w:bookmarkStart w:id="51" w:name="_Toc16612"/>
      <w:bookmarkStart w:id="52" w:name="_Toc10669"/>
      <w:bookmarkStart w:id="53" w:name="_Toc62222024"/>
      <w:bookmarkStart w:id="54" w:name="_Toc62549187"/>
      <w:bookmarkStart w:id="55" w:name="_Toc62221756"/>
      <w:bookmarkStart w:id="56" w:name="_Toc16297"/>
      <w:bookmarkStart w:id="57" w:name="_Toc21846"/>
      <w:bookmarkStart w:id="58" w:name="_Toc14807"/>
      <w:bookmarkStart w:id="59" w:name="_Toc13249"/>
      <w:bookmarkStart w:id="60" w:name="_Toc62549131"/>
      <w:bookmarkStart w:id="61" w:name="_Toc62222572"/>
      <w:bookmarkStart w:id="62" w:name="_Toc18094"/>
      <w:r>
        <w:rPr>
          <w:rFonts w:ascii="黑体" w:hAnsi="Calibri" w:eastAsia="黑体"/>
          <w:b/>
          <w:sz w:val="24"/>
        </w:rPr>
        <w:t>2.项目概况与招标范围</w:t>
      </w:r>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p>
    <w:p w14:paraId="2F4402B4">
      <w:pPr>
        <w:tabs>
          <w:tab w:val="left" w:pos="2688"/>
        </w:tabs>
        <w:adjustRightInd w:val="0"/>
        <w:snapToGrid w:val="0"/>
        <w:spacing w:line="360" w:lineRule="auto"/>
        <w:ind w:firstLine="420" w:firstLineChars="200"/>
        <w:rPr>
          <w:rFonts w:asciiTheme="minorEastAsia" w:hAnsiTheme="minorEastAsia" w:eastAsiaTheme="minorEastAsia" w:cstheme="minorEastAsia"/>
          <w:u w:val="single"/>
        </w:rPr>
      </w:pPr>
      <w:bookmarkStart w:id="63" w:name="_bookmark4"/>
      <w:bookmarkEnd w:id="63"/>
      <w:bookmarkStart w:id="64" w:name="_Toc62221466"/>
      <w:bookmarkStart w:id="65" w:name="_Toc62222025"/>
      <w:bookmarkStart w:id="66" w:name="_Toc62549132"/>
      <w:bookmarkStart w:id="67" w:name="_Toc1794"/>
      <w:bookmarkStart w:id="68" w:name="_Toc19813"/>
      <w:bookmarkStart w:id="69" w:name="_Toc15959"/>
      <w:bookmarkStart w:id="70" w:name="_Toc62221757"/>
      <w:bookmarkStart w:id="71" w:name="_Toc30155"/>
      <w:bookmarkStart w:id="72" w:name="_Toc1793"/>
      <w:bookmarkStart w:id="73" w:name="_Toc62222573"/>
      <w:bookmarkStart w:id="74" w:name="_Toc62549188"/>
      <w:bookmarkStart w:id="75" w:name="_Toc3443"/>
      <w:bookmarkStart w:id="76" w:name="_Toc16135"/>
      <w:bookmarkStart w:id="77" w:name="_Toc19873"/>
      <w:bookmarkStart w:id="78" w:name="_Toc32699"/>
      <w:bookmarkStart w:id="79" w:name="_Toc23581"/>
      <w:r>
        <w:rPr>
          <w:rFonts w:asciiTheme="minorEastAsia" w:hAnsiTheme="minorEastAsia" w:eastAsiaTheme="minorEastAsia" w:cstheme="minorEastAsia"/>
        </w:rPr>
        <w:t>2.1本项目名称：</w:t>
      </w:r>
      <w:r>
        <w:rPr>
          <w:rFonts w:asciiTheme="minorEastAsia" w:hAnsiTheme="minorEastAsia" w:eastAsiaTheme="minorEastAsia" w:cstheme="minorEastAsia"/>
          <w:u w:val="single"/>
        </w:rPr>
        <w:t>详见招标公告附件</w:t>
      </w:r>
    </w:p>
    <w:p w14:paraId="5F287E8B">
      <w:pPr>
        <w:tabs>
          <w:tab w:val="left" w:pos="2688"/>
        </w:tabs>
        <w:adjustRightInd w:val="0"/>
        <w:snapToGrid w:val="0"/>
        <w:spacing w:line="360" w:lineRule="auto"/>
        <w:ind w:firstLine="420" w:firstLineChars="200"/>
        <w:rPr>
          <w:rFonts w:asciiTheme="minorEastAsia" w:hAnsiTheme="minorEastAsia" w:eastAsiaTheme="minorEastAsia" w:cstheme="minorEastAsia"/>
          <w:u w:val="single"/>
        </w:rPr>
      </w:pPr>
      <w:r>
        <w:rPr>
          <w:rFonts w:asciiTheme="minorEastAsia" w:hAnsiTheme="minorEastAsia" w:eastAsiaTheme="minorEastAsia" w:cstheme="minorEastAsia"/>
        </w:rPr>
        <w:t>2.2采购清单：</w:t>
      </w:r>
      <w:r>
        <w:rPr>
          <w:rFonts w:asciiTheme="minorEastAsia" w:hAnsiTheme="minorEastAsia" w:eastAsiaTheme="minorEastAsia" w:cstheme="minorEastAsia"/>
          <w:u w:val="single"/>
        </w:rPr>
        <w:t>详见招标公告附件3：采购货物清单一览表</w:t>
      </w:r>
    </w:p>
    <w:p w14:paraId="2F8B7B74">
      <w:pPr>
        <w:tabs>
          <w:tab w:val="left" w:pos="2688"/>
        </w:tabs>
        <w:adjustRightInd w:val="0"/>
        <w:snapToGrid w:val="0"/>
        <w:spacing w:line="360" w:lineRule="auto"/>
        <w:ind w:firstLine="420" w:firstLineChars="200"/>
        <w:rPr>
          <w:rFonts w:asciiTheme="minorEastAsia" w:hAnsiTheme="minorEastAsia" w:eastAsiaTheme="minorEastAsia" w:cstheme="minorEastAsia"/>
          <w:u w:val="single"/>
        </w:rPr>
      </w:pPr>
      <w:r>
        <w:rPr>
          <w:rFonts w:asciiTheme="minorEastAsia" w:hAnsiTheme="minorEastAsia" w:eastAsiaTheme="minorEastAsia" w:cstheme="minorEastAsia"/>
        </w:rPr>
        <w:t>2.3其它内容：</w:t>
      </w:r>
      <w:r>
        <w:rPr>
          <w:rFonts w:asciiTheme="minorEastAsia" w:hAnsiTheme="minorEastAsia" w:eastAsiaTheme="minorEastAsia" w:cstheme="minorEastAsia"/>
          <w:u w:val="single"/>
        </w:rPr>
        <w:t>详见招标公告附件2：采购需求一览表</w:t>
      </w:r>
    </w:p>
    <w:p w14:paraId="150BECA2">
      <w:pPr>
        <w:adjustRightInd w:val="0"/>
        <w:snapToGrid w:val="0"/>
        <w:spacing w:before="240" w:beforeLines="100" w:after="120" w:afterLines="50" w:line="360" w:lineRule="auto"/>
        <w:outlineLvl w:val="1"/>
        <w:rPr>
          <w:rFonts w:hint="default" w:ascii="黑体" w:hAnsi="Calibri" w:eastAsia="黑体"/>
          <w:b/>
          <w:sz w:val="24"/>
        </w:rPr>
      </w:pPr>
      <w:r>
        <w:rPr>
          <w:rFonts w:ascii="黑体" w:hAnsi="Calibri" w:eastAsia="黑体"/>
          <w:b/>
          <w:sz w:val="24"/>
        </w:rPr>
        <w:t>3.投标人资格要求</w:t>
      </w:r>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p>
    <w:p w14:paraId="0581AE04">
      <w:pPr>
        <w:tabs>
          <w:tab w:val="left" w:pos="1134"/>
        </w:tabs>
        <w:adjustRightInd w:val="0"/>
        <w:snapToGrid w:val="0"/>
        <w:spacing w:line="360" w:lineRule="auto"/>
        <w:ind w:firstLine="420" w:firstLineChars="200"/>
        <w:rPr>
          <w:rFonts w:asciiTheme="minorEastAsia" w:hAnsiTheme="minorEastAsia" w:eastAsiaTheme="minorEastAsia" w:cstheme="minorEastAsia"/>
        </w:rPr>
      </w:pPr>
      <w:r>
        <w:rPr>
          <w:rFonts w:asciiTheme="minorEastAsia" w:hAnsiTheme="minorEastAsia" w:eastAsiaTheme="minorEastAsia" w:cstheme="minorEastAsia"/>
        </w:rPr>
        <w:t>3.1 本次招标要求投标人须为中华人民共和国境内依法注册的法人或其他组织，须具有与本招标项目相应的供货能力。</w:t>
      </w:r>
    </w:p>
    <w:p w14:paraId="5AFD748B">
      <w:pPr>
        <w:tabs>
          <w:tab w:val="left" w:pos="1134"/>
        </w:tabs>
        <w:adjustRightInd w:val="0"/>
        <w:snapToGrid w:val="0"/>
        <w:spacing w:line="360" w:lineRule="auto"/>
        <w:ind w:firstLine="420" w:firstLineChars="200"/>
        <w:rPr>
          <w:rFonts w:asciiTheme="minorEastAsia" w:hAnsiTheme="minorEastAsia" w:eastAsiaTheme="minorEastAsia" w:cstheme="minorEastAsia"/>
        </w:rPr>
      </w:pPr>
      <w:r>
        <w:rPr>
          <w:rFonts w:asciiTheme="minorEastAsia" w:hAnsiTheme="minorEastAsia" w:eastAsiaTheme="minorEastAsia" w:cstheme="minorEastAsia"/>
        </w:rPr>
        <w:t>3.2 本次招标</w:t>
      </w:r>
      <w:r>
        <w:rPr>
          <w:rFonts w:asciiTheme="minorEastAsia" w:hAnsiTheme="minorEastAsia" w:eastAsiaTheme="minorEastAsia" w:cstheme="minorEastAsia"/>
          <w:b/>
          <w:bCs/>
          <w:u w:val="single"/>
        </w:rPr>
        <w:t>不接受</w:t>
      </w:r>
      <w:r>
        <w:rPr>
          <w:rFonts w:asciiTheme="minorEastAsia" w:hAnsiTheme="minorEastAsia" w:eastAsiaTheme="minorEastAsia" w:cstheme="minorEastAsia"/>
        </w:rPr>
        <w:t>联合体投标。</w:t>
      </w:r>
    </w:p>
    <w:p w14:paraId="486CCEF7">
      <w:pPr>
        <w:tabs>
          <w:tab w:val="left" w:pos="1134"/>
        </w:tabs>
        <w:adjustRightInd w:val="0"/>
        <w:snapToGrid w:val="0"/>
        <w:spacing w:line="360" w:lineRule="auto"/>
        <w:ind w:firstLine="420" w:firstLineChars="200"/>
        <w:rPr>
          <w:rFonts w:asciiTheme="minorEastAsia" w:hAnsiTheme="minorEastAsia" w:eastAsiaTheme="minorEastAsia" w:cstheme="minorEastAsia"/>
          <w:u w:val="single"/>
        </w:rPr>
      </w:pPr>
      <w:r>
        <w:rPr>
          <w:rFonts w:asciiTheme="minorEastAsia" w:hAnsiTheme="minorEastAsia" w:eastAsiaTheme="minorEastAsia" w:cstheme="minorEastAsia"/>
        </w:rPr>
        <w:t>3.3本次招标是否接受代理商投标见3.6专用资格要求。</w:t>
      </w:r>
      <w:r>
        <w:rPr>
          <w:rFonts w:asciiTheme="minorEastAsia" w:hAnsiTheme="minorEastAsia" w:eastAsiaTheme="minorEastAsia" w:cstheme="minorEastAsia"/>
          <w:u w:val="single"/>
        </w:rPr>
        <w:t>如接受代理商投标的，代理产品不得属于《机电产品国际招标投标实施办法（试行）》（商务部令2014年第1号）规定必须进行国际招标的产品。</w:t>
      </w:r>
    </w:p>
    <w:p w14:paraId="114CA4BD">
      <w:pPr>
        <w:tabs>
          <w:tab w:val="left" w:pos="1134"/>
        </w:tabs>
        <w:adjustRightInd w:val="0"/>
        <w:snapToGrid w:val="0"/>
        <w:spacing w:line="360" w:lineRule="auto"/>
        <w:ind w:firstLine="420" w:firstLineChars="200"/>
        <w:rPr>
          <w:rFonts w:asciiTheme="minorEastAsia" w:hAnsiTheme="minorEastAsia" w:eastAsiaTheme="minorEastAsia" w:cstheme="minorEastAsia"/>
        </w:rPr>
      </w:pPr>
      <w:r>
        <w:rPr>
          <w:rFonts w:asciiTheme="minorEastAsia" w:hAnsiTheme="minorEastAsia" w:eastAsiaTheme="minorEastAsia" w:cstheme="minorEastAsia"/>
        </w:rPr>
        <w:t>3.4 接受代理商或者外协外购产品投标时，其投标产品制造商须在境内具备相应货物的制造能力，并在人员、设备、资金等方面具有保障相应协作承制货物如期交货的能力。除特别注明外，这些资格、资质、业绩均系投标人本人或者其代理或外协产品制造商本人所拥有的权利权益。</w:t>
      </w:r>
    </w:p>
    <w:p w14:paraId="44589351">
      <w:pPr>
        <w:tabs>
          <w:tab w:val="left" w:pos="1134"/>
        </w:tabs>
        <w:adjustRightInd w:val="0"/>
        <w:snapToGrid w:val="0"/>
        <w:spacing w:line="360" w:lineRule="auto"/>
        <w:ind w:firstLine="420" w:firstLineChars="200"/>
        <w:rPr>
          <w:rFonts w:asciiTheme="minorEastAsia" w:hAnsiTheme="minorEastAsia" w:eastAsiaTheme="minorEastAsia" w:cstheme="minorEastAsia"/>
        </w:rPr>
      </w:pPr>
      <w:r>
        <w:rPr>
          <w:rFonts w:asciiTheme="minorEastAsia" w:hAnsiTheme="minorEastAsia" w:eastAsiaTheme="minorEastAsia" w:cstheme="minorEastAsia"/>
        </w:rPr>
        <w:t>3.5 投标人及其投标产品须满足如下通用资格要求：</w:t>
      </w:r>
    </w:p>
    <w:p w14:paraId="15186E29">
      <w:pPr>
        <w:tabs>
          <w:tab w:val="left" w:pos="1134"/>
        </w:tabs>
        <w:adjustRightInd w:val="0"/>
        <w:snapToGrid w:val="0"/>
        <w:spacing w:line="360" w:lineRule="auto"/>
        <w:ind w:firstLine="420" w:firstLineChars="200"/>
        <w:rPr>
          <w:rFonts w:asciiTheme="minorEastAsia" w:hAnsiTheme="minorEastAsia" w:eastAsiaTheme="minorEastAsia" w:cstheme="minorEastAsia"/>
          <w:color w:val="000000" w:themeColor="text1"/>
          <w14:textFill>
            <w14:solidFill>
              <w14:schemeClr w14:val="tx1"/>
            </w14:solidFill>
          </w14:textFill>
        </w:rPr>
      </w:pPr>
      <w:r>
        <w:rPr>
          <w:rFonts w:asciiTheme="minorEastAsia" w:hAnsiTheme="minorEastAsia" w:eastAsiaTheme="minorEastAsia" w:cstheme="minorEastAsia"/>
          <w:color w:val="000000" w:themeColor="text1"/>
          <w14:textFill>
            <w14:solidFill>
              <w14:schemeClr w14:val="tx1"/>
            </w14:solidFill>
          </w14:textFill>
        </w:rPr>
        <w:t>（1）投标产品制造商必须具有生产投标产品所需的生产场地、生产设备、生产人员、产品及元器件检测能力。本招标活动不接受贴牌代工以及任何分包（招标文件中规定的允许外购外协的除外）、转包行为的投标。</w:t>
      </w:r>
    </w:p>
    <w:p w14:paraId="6546C54D">
      <w:pPr>
        <w:numPr>
          <w:ilvl w:val="0"/>
          <w:numId w:val="1"/>
        </w:numPr>
        <w:tabs>
          <w:tab w:val="left" w:pos="1134"/>
        </w:tabs>
        <w:adjustRightInd w:val="0"/>
        <w:snapToGrid w:val="0"/>
        <w:spacing w:line="360" w:lineRule="auto"/>
        <w:ind w:firstLine="420" w:firstLineChars="200"/>
        <w:rPr>
          <w:rFonts w:asciiTheme="minorEastAsia" w:hAnsiTheme="minorEastAsia" w:eastAsiaTheme="minorEastAsia" w:cstheme="minorEastAsia"/>
          <w:color w:val="000000" w:themeColor="text1"/>
          <w14:textFill>
            <w14:solidFill>
              <w14:schemeClr w14:val="tx1"/>
            </w14:solidFill>
          </w14:textFill>
        </w:rPr>
      </w:pPr>
      <w:r>
        <w:rPr>
          <w:rFonts w:asciiTheme="minorEastAsia" w:hAnsiTheme="minorEastAsia" w:eastAsiaTheme="minorEastAsia" w:cstheme="minorEastAsia"/>
          <w:color w:val="000000" w:themeColor="text1"/>
          <w14:textFill>
            <w14:solidFill>
              <w14:schemeClr w14:val="tx1"/>
            </w14:solidFill>
          </w14:textFill>
        </w:rPr>
        <w:t>在与规范相同或较规范更严格的条件下，投标产品的投运数量或供货数量及其成功运行时间满足招标文件的要求。如同一包内存在不同类别的产品，除外购外协的产品外，则投标人须分别满足包内各类别产品的资格要求。</w:t>
      </w:r>
    </w:p>
    <w:p w14:paraId="670C13D4">
      <w:pPr>
        <w:numPr>
          <w:ilvl w:val="0"/>
          <w:numId w:val="1"/>
        </w:numPr>
        <w:tabs>
          <w:tab w:val="left" w:pos="1134"/>
        </w:tabs>
        <w:adjustRightInd w:val="0"/>
        <w:snapToGrid w:val="0"/>
        <w:spacing w:line="360" w:lineRule="auto"/>
        <w:ind w:firstLine="420" w:firstLineChars="200"/>
        <w:rPr>
          <w:rFonts w:asciiTheme="minorEastAsia" w:hAnsiTheme="minorEastAsia" w:eastAsiaTheme="minorEastAsia" w:cstheme="minorEastAsia"/>
        </w:rPr>
      </w:pPr>
      <w:r>
        <w:rPr>
          <w:rFonts w:asciiTheme="minorEastAsia" w:hAnsiTheme="minorEastAsia" w:eastAsiaTheme="minorEastAsia" w:cstheme="minorEastAsia"/>
        </w:rPr>
        <w:t>取得国家法律、法规、规章规定的有效许可证。取得招标文件要求的国家强制认证证书。</w:t>
      </w:r>
    </w:p>
    <w:p w14:paraId="5561ABB1">
      <w:pPr>
        <w:tabs>
          <w:tab w:val="left" w:pos="1134"/>
        </w:tabs>
        <w:adjustRightInd w:val="0"/>
        <w:snapToGrid w:val="0"/>
        <w:spacing w:line="360" w:lineRule="auto"/>
        <w:ind w:firstLine="420" w:firstLineChars="200"/>
        <w:rPr>
          <w:rFonts w:asciiTheme="minorEastAsia" w:hAnsiTheme="minorEastAsia" w:eastAsiaTheme="minorEastAsia" w:cstheme="minorEastAsia"/>
        </w:rPr>
      </w:pPr>
      <w:r>
        <w:rPr>
          <w:rFonts w:asciiTheme="minorEastAsia" w:hAnsiTheme="minorEastAsia" w:eastAsiaTheme="minorEastAsia" w:cstheme="minorEastAsia"/>
        </w:rPr>
        <w:t>（4）法定代表人（单位负责人）为同一人或者存在控股、管理关系的不同单位，不得参加同一标包投标或者未划分标包的同一招标项目投标。</w:t>
      </w:r>
    </w:p>
    <w:p w14:paraId="1F0492EC">
      <w:pPr>
        <w:tabs>
          <w:tab w:val="left" w:pos="1134"/>
        </w:tabs>
        <w:adjustRightInd w:val="0"/>
        <w:snapToGrid w:val="0"/>
        <w:spacing w:line="360" w:lineRule="auto"/>
        <w:ind w:firstLine="420" w:firstLineChars="200"/>
        <w:rPr>
          <w:rFonts w:asciiTheme="minorEastAsia" w:hAnsiTheme="minorEastAsia" w:eastAsiaTheme="minorEastAsia" w:cstheme="minorEastAsia"/>
        </w:rPr>
      </w:pPr>
      <w:r>
        <w:rPr>
          <w:rFonts w:asciiTheme="minorEastAsia" w:hAnsiTheme="minorEastAsia" w:eastAsiaTheme="minorEastAsia" w:cstheme="minorEastAsia"/>
        </w:rPr>
        <w:t>（5）应有良好的财务状况和商业信用。</w:t>
      </w:r>
    </w:p>
    <w:p w14:paraId="0D85379D">
      <w:pPr>
        <w:tabs>
          <w:tab w:val="left" w:pos="1134"/>
        </w:tabs>
        <w:adjustRightInd w:val="0"/>
        <w:snapToGrid w:val="0"/>
        <w:spacing w:line="360" w:lineRule="auto"/>
        <w:ind w:firstLine="420" w:firstLineChars="200"/>
        <w:rPr>
          <w:rFonts w:asciiTheme="minorEastAsia" w:hAnsiTheme="minorEastAsia" w:eastAsiaTheme="minorEastAsia" w:cstheme="minorEastAsia"/>
        </w:rPr>
      </w:pPr>
      <w:r>
        <w:rPr>
          <w:rFonts w:asciiTheme="minorEastAsia" w:hAnsiTheme="minorEastAsia" w:eastAsiaTheme="minorEastAsia" w:cstheme="minorEastAsia"/>
        </w:rPr>
        <w:t>（6）根据《国家电网有限公司供应商关系管理办法》的规定，若投标人为制造商，存在导致其被暂停中标资格或取消中标资格的不良行为且在处理有效期内的，投标人在投标截止之日至中标通知书到达之日前，任一日在《国家电网有限公司关于供应商不良行为处理情况的通报》处理期内的均适用不良行为处理结果，或投标人存在触发《国家电网有限公司供应商关系管理办法》第六十三条安全及质量重大问题“熔断机制”情形的，其投标将被否决。若投标人为代理商，投标人或其代理产品的制造商存在导致其被暂停中标资格或取消中标资格的不良行为且在处理有效期内的，投标人或其代理产品的制造商在投标截止之日至中标通知书到达之日前，任一日在《国家电网有限公司关于供应商不良行为处理情况的通报》处理期内的均适用不良行为处理结果，或投标人存在触发《国家电网有限公司供应商关系管理办法》第六十三条安全及质量重大问题“熔断机制”情形的，其投标将被否决。即使投标人在投标截止日尚不存在上述情况，但在中标通知书到达之日前，出现上述情况的，招标人亦有权取消其中标资格。</w:t>
      </w:r>
    </w:p>
    <w:p w14:paraId="4AB32746">
      <w:pPr>
        <w:tabs>
          <w:tab w:val="left" w:pos="1134"/>
        </w:tabs>
        <w:wordWrap w:val="0"/>
        <w:adjustRightInd w:val="0"/>
        <w:snapToGrid w:val="0"/>
        <w:spacing w:line="360" w:lineRule="auto"/>
        <w:ind w:firstLine="420" w:firstLineChars="200"/>
        <w:rPr>
          <w:rFonts w:asciiTheme="minorEastAsia" w:hAnsiTheme="minorEastAsia" w:eastAsiaTheme="minorEastAsia" w:cstheme="minorEastAsia"/>
          <w:b/>
          <w:bCs/>
        </w:rPr>
      </w:pPr>
      <w:r>
        <w:rPr>
          <w:rFonts w:asciiTheme="minorEastAsia" w:hAnsiTheme="minorEastAsia" w:eastAsiaTheme="minorEastAsia" w:cstheme="minorEastAsia"/>
        </w:rPr>
        <w:t>（7）根据最高人民法院、国家发展改革委、国家铁路局等九部门联合印发的《关于在招标投标活动中对失信被执行人实施联合惩戒的通知》（法〔2016〕285号），</w:t>
      </w:r>
      <w:r>
        <w:rPr>
          <w:rFonts w:asciiTheme="minorEastAsia" w:hAnsiTheme="minorEastAsia" w:eastAsiaTheme="minorEastAsia" w:cstheme="minorEastAsia"/>
          <w:b/>
          <w:bCs/>
        </w:rPr>
        <w:t>投标人不得被人民法院列为失信被执行人。投标人不得存在违法失信行为，不得被“信用中国”网站（www.creditchina.gov.cn）列入严重失信主体名单。</w:t>
      </w:r>
      <w:r>
        <w:rPr>
          <w:rFonts w:asciiTheme="minorEastAsia" w:hAnsiTheme="minorEastAsia" w:eastAsiaTheme="minorEastAsia" w:cstheme="minorEastAsia"/>
        </w:rPr>
        <w:t>即使投标人在开标当日未出现被列入失信被执行人或严重失信主体名单的情形，但在中标通知书到达之日前，存在上述情形的，招标人有权取消其中标资格</w:t>
      </w:r>
      <w:r>
        <w:rPr>
          <w:rFonts w:asciiTheme="minorEastAsia" w:hAnsiTheme="minorEastAsia" w:eastAsiaTheme="minorEastAsia" w:cstheme="minorEastAsia"/>
          <w:b/>
          <w:bCs/>
        </w:rPr>
        <w:t>。</w:t>
      </w:r>
    </w:p>
    <w:p w14:paraId="55F68CD5">
      <w:pPr>
        <w:tabs>
          <w:tab w:val="left" w:pos="1134"/>
        </w:tabs>
        <w:adjustRightInd w:val="0"/>
        <w:snapToGrid w:val="0"/>
        <w:spacing w:line="360" w:lineRule="auto"/>
        <w:ind w:firstLine="420" w:firstLineChars="200"/>
        <w:rPr>
          <w:rFonts w:asciiTheme="minorEastAsia" w:hAnsiTheme="minorEastAsia" w:eastAsiaTheme="minorEastAsia" w:cstheme="minorEastAsia"/>
        </w:rPr>
      </w:pPr>
      <w:r>
        <w:rPr>
          <w:rFonts w:asciiTheme="minorEastAsia" w:hAnsiTheme="minorEastAsia" w:eastAsiaTheme="minorEastAsia" w:cstheme="minorEastAsia"/>
        </w:rPr>
        <w:t>（8）</w:t>
      </w:r>
      <w:r>
        <w:rPr>
          <w:rFonts w:asciiTheme="minorEastAsia" w:hAnsiTheme="minorEastAsia" w:eastAsiaTheme="minorEastAsia" w:cstheme="minorEastAsia"/>
          <w:b/>
          <w:bCs/>
        </w:rPr>
        <w:t>投标人不得被市场监督管理机关在国家企业信用信息公示系统中列入严重违法失信企业名单或列入经营异常名录信息。</w:t>
      </w:r>
      <w:r>
        <w:rPr>
          <w:rFonts w:asciiTheme="minorEastAsia" w:hAnsiTheme="minorEastAsia" w:eastAsiaTheme="minorEastAsia" w:cstheme="minorEastAsia"/>
        </w:rPr>
        <w:t>投标人需同时在商务文件中提供在国家企业信用信息公示系统（www.gsxt.gov.cn）查询的，包含“营业执照信息”、“列入严重违法失信企业名单（黑名单）”、“列入经营异常名录信息”、“行政处罚信息”、“清算信息”的查询结果（</w:t>
      </w:r>
      <w:r>
        <w:rPr>
          <w:rFonts w:asciiTheme="minorEastAsia" w:hAnsiTheme="minorEastAsia" w:eastAsiaTheme="minorEastAsia" w:cstheme="minorEastAsia"/>
          <w:b/>
          <w:bCs/>
        </w:rPr>
        <w:t>查询日期应在投标截止日前20天内，查询结果应为网站自动生成的PDF文件的电子版</w:t>
      </w:r>
      <w:r>
        <w:rPr>
          <w:rFonts w:asciiTheme="minorEastAsia" w:hAnsiTheme="minorEastAsia" w:eastAsiaTheme="minorEastAsia" w:cstheme="minorEastAsia"/>
        </w:rPr>
        <w:t>）。</w:t>
      </w:r>
      <w:r>
        <w:rPr>
          <w:rFonts w:asciiTheme="minorEastAsia" w:hAnsiTheme="minorEastAsia" w:eastAsiaTheme="minorEastAsia" w:cstheme="minorEastAsia"/>
          <w:b/>
          <w:bCs/>
        </w:rPr>
        <w:t>如投标人未提供企业信用信息公示报告，或提供的报告不符合招标文件规定的格式与内容，或报告内容被评标委员会认定有异议的，投标人的“列入经营异常名录信息”和“列入严重违法失信企业名单（黑名单）信息”以评标委员会在国家企业信用信息公示系统（www.gsxt.gov.cn）查询的结果为准。</w:t>
      </w:r>
      <w:r>
        <w:rPr>
          <w:rFonts w:asciiTheme="minorEastAsia" w:hAnsiTheme="minorEastAsia" w:eastAsiaTheme="minorEastAsia" w:cstheme="minorEastAsia"/>
        </w:rPr>
        <w:t>投标人未提供或提供的企业信用信息公示报告不符合招标文件规定的格式与内容的，评标委员会将会对投标人进行不利评价。投标人提供虚假企业信用信息公示报告的，按照虚假投标进行否决，并根据《国家电网有限公司供应商关系管理办法》进行相应处理。即使投标人在开标当日未出现被市场监督管理机关列入经营异常名录或严重违法失信企业名单的情形，但在中标通知书到达之日前，存在上述情形的，招标人有权取消其中标资格。</w:t>
      </w:r>
    </w:p>
    <w:p w14:paraId="6E85B080">
      <w:pPr>
        <w:tabs>
          <w:tab w:val="left" w:pos="1134"/>
        </w:tabs>
        <w:adjustRightInd w:val="0"/>
        <w:snapToGrid w:val="0"/>
        <w:spacing w:line="360" w:lineRule="auto"/>
        <w:ind w:firstLine="420" w:firstLineChars="200"/>
        <w:rPr>
          <w:rFonts w:asciiTheme="minorEastAsia" w:hAnsiTheme="minorEastAsia" w:eastAsiaTheme="minorEastAsia" w:cstheme="minorEastAsia"/>
        </w:rPr>
      </w:pPr>
      <w:r>
        <w:rPr>
          <w:rFonts w:asciiTheme="minorEastAsia" w:hAnsiTheme="minorEastAsia" w:eastAsiaTheme="minorEastAsia" w:cstheme="minorEastAsia"/>
        </w:rPr>
        <w:t>（9）外购外协原材料、配套元件和外部委托加工及进口散装的部件应符合本招标技术规范要求。</w:t>
      </w:r>
    </w:p>
    <w:p w14:paraId="19D118A3">
      <w:pPr>
        <w:tabs>
          <w:tab w:val="left" w:pos="1134"/>
        </w:tabs>
        <w:adjustRightInd w:val="0"/>
        <w:snapToGrid w:val="0"/>
        <w:spacing w:line="360" w:lineRule="auto"/>
        <w:ind w:firstLine="420" w:firstLineChars="200"/>
        <w:rPr>
          <w:rFonts w:asciiTheme="minorEastAsia" w:hAnsiTheme="minorEastAsia" w:eastAsiaTheme="minorEastAsia" w:cstheme="minorEastAsia"/>
        </w:rPr>
      </w:pPr>
      <w:r>
        <w:rPr>
          <w:rFonts w:asciiTheme="minorEastAsia" w:hAnsiTheme="minorEastAsia" w:eastAsiaTheme="minorEastAsia" w:cstheme="minorEastAsia"/>
        </w:rPr>
        <w:t>（10）投标人不得选配国家电网有限公司《关于供应商不良行为处理情况的通报》中正接受暂停中标资格、取消中标资格的外购外协供应商或代理（集成服务）制造商的产品；不得选配涉嫌存在《招标投标法》第53条、《招标投标法实施条例》第51条所列违法行为，已被司法机关立案的外购外协供应商或代理（集成服务）制造商的产品。</w:t>
      </w:r>
    </w:p>
    <w:p w14:paraId="05AADBB1">
      <w:pPr>
        <w:tabs>
          <w:tab w:val="left" w:pos="1134"/>
        </w:tabs>
        <w:adjustRightInd w:val="0"/>
        <w:snapToGrid w:val="0"/>
        <w:spacing w:line="360" w:lineRule="auto"/>
        <w:ind w:firstLine="420" w:firstLineChars="200"/>
      </w:pPr>
      <w:r>
        <w:rPr>
          <w:rFonts w:asciiTheme="minorEastAsia" w:hAnsiTheme="minorEastAsia" w:eastAsiaTheme="minorEastAsia" w:cstheme="minorEastAsia"/>
        </w:rPr>
        <w:t>（11）投标产品不得选配缺陷责任期（自设备投运之日起两年内）发生产品质量问题（包括但不限于接续、接触机械电气性能，支撑、封闭绝缘性能，以及电力电子性能下降、老化、毁损、丧失等）导致设备停运检修的组件材料制造商的产品。</w:t>
      </w:r>
    </w:p>
    <w:p w14:paraId="06BACACE">
      <w:pPr>
        <w:tabs>
          <w:tab w:val="left" w:pos="1134"/>
        </w:tabs>
        <w:adjustRightInd w:val="0"/>
        <w:snapToGrid w:val="0"/>
        <w:spacing w:line="360" w:lineRule="auto"/>
        <w:ind w:firstLine="420" w:firstLineChars="200"/>
        <w:rPr>
          <w:rFonts w:asciiTheme="minorEastAsia" w:hAnsiTheme="minorEastAsia" w:eastAsiaTheme="minorEastAsia" w:cstheme="minorEastAsia"/>
        </w:rPr>
      </w:pPr>
      <w:r>
        <w:rPr>
          <w:rFonts w:asciiTheme="minorEastAsia" w:hAnsiTheme="minorEastAsia" w:eastAsiaTheme="minorEastAsia" w:cstheme="minorEastAsia"/>
        </w:rPr>
        <w:t>（12）其他：</w:t>
      </w:r>
      <w:r>
        <w:rPr>
          <w:rFonts w:asciiTheme="minorEastAsia" w:hAnsiTheme="minorEastAsia" w:eastAsiaTheme="minorEastAsia" w:cstheme="minorEastAsia"/>
          <w:u w:val="single"/>
        </w:rPr>
        <w:t xml:space="preserve"> 无</w:t>
      </w:r>
    </w:p>
    <w:p w14:paraId="4702E879">
      <w:pPr>
        <w:tabs>
          <w:tab w:val="left" w:pos="1134"/>
        </w:tabs>
        <w:adjustRightInd w:val="0"/>
        <w:snapToGrid w:val="0"/>
        <w:spacing w:line="360" w:lineRule="auto"/>
        <w:ind w:firstLine="420" w:firstLineChars="200"/>
        <w:rPr>
          <w:rFonts w:asciiTheme="minorEastAsia" w:hAnsiTheme="minorEastAsia" w:eastAsiaTheme="minorEastAsia" w:cstheme="minorEastAsia"/>
          <w:b/>
          <w:bCs/>
          <w:u w:val="single"/>
        </w:rPr>
      </w:pPr>
      <w:r>
        <w:rPr>
          <w:rFonts w:asciiTheme="minorEastAsia" w:hAnsiTheme="minorEastAsia" w:eastAsiaTheme="minorEastAsia" w:cstheme="minorEastAsia"/>
        </w:rPr>
        <w:t>3.6 投标人及其投标产品须满足相应招标货物的专用资格要求如下：</w:t>
      </w:r>
      <w:r>
        <w:rPr>
          <w:rFonts w:asciiTheme="minorEastAsia" w:hAnsiTheme="minorEastAsia" w:eastAsiaTheme="minorEastAsia" w:cstheme="minorEastAsia"/>
          <w:b/>
          <w:bCs/>
          <w:u w:val="single"/>
        </w:rPr>
        <w:t>详见招标公告附件。</w:t>
      </w:r>
    </w:p>
    <w:p w14:paraId="559D472B">
      <w:pPr>
        <w:tabs>
          <w:tab w:val="left" w:pos="1134"/>
        </w:tabs>
        <w:adjustRightInd w:val="0"/>
        <w:snapToGrid w:val="0"/>
        <w:spacing w:line="360" w:lineRule="auto"/>
        <w:ind w:firstLine="420" w:firstLineChars="200"/>
        <w:rPr>
          <w:rFonts w:asciiTheme="minorEastAsia" w:hAnsiTheme="minorEastAsia" w:eastAsiaTheme="minorEastAsia" w:cstheme="minorEastAsia"/>
        </w:rPr>
      </w:pPr>
      <w:r>
        <w:rPr>
          <w:rFonts w:asciiTheme="minorEastAsia" w:hAnsiTheme="minorEastAsia" w:eastAsiaTheme="minorEastAsia" w:cstheme="minorEastAsia"/>
        </w:rPr>
        <w:t>3.7 本次招标</w:t>
      </w:r>
      <w:r>
        <w:rPr>
          <w:rFonts w:asciiTheme="minorEastAsia" w:hAnsiTheme="minorEastAsia" w:eastAsiaTheme="minorEastAsia" w:cstheme="minorEastAsia"/>
          <w:b/>
          <w:bCs/>
          <w:u w:val="single"/>
        </w:rPr>
        <w:t>不接受</w:t>
      </w:r>
      <w:r>
        <w:rPr>
          <w:rFonts w:asciiTheme="minorEastAsia" w:hAnsiTheme="minorEastAsia" w:eastAsiaTheme="minorEastAsia" w:cstheme="minorEastAsia"/>
        </w:rPr>
        <w:t>投标人委托中介机构或者中间人编制投标文件或代行办理投标事宜。</w:t>
      </w:r>
    </w:p>
    <w:p w14:paraId="0DC014F7">
      <w:pPr>
        <w:tabs>
          <w:tab w:val="left" w:pos="1134"/>
        </w:tabs>
        <w:adjustRightInd w:val="0"/>
        <w:snapToGrid w:val="0"/>
        <w:spacing w:line="360" w:lineRule="auto"/>
        <w:ind w:firstLine="420" w:firstLineChars="200"/>
        <w:rPr>
          <w:rFonts w:asciiTheme="minorEastAsia" w:hAnsiTheme="minorEastAsia" w:eastAsiaTheme="minorEastAsia" w:cstheme="minorEastAsia"/>
        </w:rPr>
      </w:pPr>
      <w:r>
        <w:rPr>
          <w:rFonts w:asciiTheme="minorEastAsia" w:hAnsiTheme="minorEastAsia" w:eastAsiaTheme="minorEastAsia" w:cstheme="minorEastAsia"/>
        </w:rPr>
        <w:t>3.8 各投标人均可就本次招标的部分或全部标包投标。</w:t>
      </w:r>
    </w:p>
    <w:p w14:paraId="1CF10121">
      <w:pPr>
        <w:tabs>
          <w:tab w:val="left" w:pos="1134"/>
        </w:tabs>
        <w:adjustRightInd w:val="0"/>
        <w:snapToGrid w:val="0"/>
        <w:spacing w:line="400" w:lineRule="exact"/>
        <w:ind w:firstLine="420" w:firstLineChars="200"/>
        <w:rPr>
          <w:rFonts w:asciiTheme="minorEastAsia" w:hAnsiTheme="minorEastAsia" w:eastAsiaTheme="minorEastAsia" w:cstheme="minorEastAsia"/>
        </w:rPr>
      </w:pPr>
      <w:r>
        <w:rPr>
          <w:rFonts w:asciiTheme="minorEastAsia" w:hAnsiTheme="minorEastAsia" w:eastAsiaTheme="minorEastAsia" w:cstheme="minorEastAsia"/>
        </w:rPr>
        <w:t>3.9 其他：本次招标</w:t>
      </w:r>
      <w:r>
        <w:rPr>
          <w:rFonts w:asciiTheme="minorEastAsia" w:hAnsiTheme="minorEastAsia" w:eastAsiaTheme="minorEastAsia" w:cstheme="minorEastAsia"/>
          <w:u w:val="single"/>
        </w:rPr>
        <w:t xml:space="preserve">  </w:t>
      </w:r>
      <w:bookmarkStart w:id="80" w:name="_Hlk151984489"/>
      <w:r>
        <w:rPr>
          <w:rFonts w:asciiTheme="minorEastAsia" w:hAnsiTheme="minorEastAsia" w:eastAsiaTheme="minorEastAsia" w:cstheme="minorEastAsia"/>
          <w:b/>
          <w:bCs/>
          <w:color w:val="FF0000"/>
          <w:u w:val="single"/>
        </w:rPr>
        <w:t>接受</w:t>
      </w:r>
      <w:bookmarkEnd w:id="80"/>
      <w:r>
        <w:rPr>
          <w:rFonts w:asciiTheme="minorEastAsia" w:hAnsiTheme="minorEastAsia" w:eastAsiaTheme="minorEastAsia" w:cstheme="minorEastAsia"/>
          <w:color w:val="FF0000"/>
          <w:u w:val="single"/>
        </w:rPr>
        <w:t xml:space="preserve"> </w:t>
      </w:r>
      <w:r>
        <w:rPr>
          <w:rFonts w:asciiTheme="minorEastAsia" w:hAnsiTheme="minorEastAsia" w:eastAsiaTheme="minorEastAsia" w:cstheme="minorEastAsia"/>
          <w:u w:val="single"/>
        </w:rPr>
        <w:t xml:space="preserve"> </w:t>
      </w:r>
      <w:r>
        <w:rPr>
          <w:rFonts w:asciiTheme="minorEastAsia" w:hAnsiTheme="minorEastAsia" w:eastAsiaTheme="minorEastAsia" w:cstheme="minorEastAsia"/>
        </w:rPr>
        <w:t>代理商投标。</w:t>
      </w:r>
      <w:r>
        <w:rPr>
          <w:rFonts w:ascii="宋体" w:hAnsi="宋体" w:eastAsia="宋体" w:cs="宋体"/>
          <w:szCs w:val="21"/>
        </w:rPr>
        <w:t>对于接受代理商投标的，一个制造商对同一品牌同一型号的货物仅能委托一家代理商参加同一标包投标。</w:t>
      </w:r>
      <w:r>
        <w:rPr>
          <w:rFonts w:asciiTheme="minorEastAsia" w:hAnsiTheme="minorEastAsia" w:eastAsiaTheme="minorEastAsia" w:cstheme="minorEastAsia"/>
        </w:rPr>
        <w:t>代理商其它要求详见招标公告附件专用资格要求。</w:t>
      </w:r>
    </w:p>
    <w:p w14:paraId="64C507B5">
      <w:pPr>
        <w:adjustRightInd w:val="0"/>
        <w:snapToGrid w:val="0"/>
        <w:spacing w:before="240" w:beforeLines="100" w:after="120" w:afterLines="50" w:line="360" w:lineRule="auto"/>
        <w:outlineLvl w:val="1"/>
        <w:rPr>
          <w:rFonts w:hint="default" w:ascii="黑体" w:hAnsi="Calibri" w:eastAsia="黑体"/>
          <w:b/>
          <w:sz w:val="24"/>
        </w:rPr>
      </w:pPr>
      <w:bookmarkStart w:id="81" w:name="_bookmark5"/>
      <w:bookmarkEnd w:id="81"/>
      <w:bookmarkStart w:id="82" w:name="_Toc32111"/>
      <w:bookmarkStart w:id="83" w:name="_Toc5548"/>
      <w:bookmarkStart w:id="84" w:name="_Toc62221467"/>
      <w:bookmarkStart w:id="85" w:name="_Toc12685"/>
      <w:bookmarkStart w:id="86" w:name="_Toc14214"/>
      <w:bookmarkStart w:id="87" w:name="_Toc62222574"/>
      <w:bookmarkStart w:id="88" w:name="_Toc62549133"/>
      <w:bookmarkStart w:id="89" w:name="_Toc62549189"/>
      <w:bookmarkStart w:id="90" w:name="_Toc62221758"/>
      <w:bookmarkStart w:id="91" w:name="_Toc23417"/>
      <w:bookmarkStart w:id="92" w:name="_Toc62222026"/>
      <w:bookmarkStart w:id="93" w:name="_Toc408"/>
      <w:bookmarkStart w:id="94" w:name="_Toc27496"/>
      <w:bookmarkStart w:id="95" w:name="_Toc31472"/>
      <w:bookmarkStart w:id="96" w:name="_Toc5537"/>
      <w:bookmarkStart w:id="97" w:name="_Toc9218"/>
      <w:r>
        <w:rPr>
          <w:rFonts w:ascii="黑体" w:hAnsi="Calibri" w:eastAsia="黑体"/>
          <w:b/>
          <w:sz w:val="24"/>
        </w:rPr>
        <w:t>4.招标文件的获取</w:t>
      </w:r>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p>
    <w:p w14:paraId="75C597D9">
      <w:pPr>
        <w:adjustRightInd w:val="0"/>
        <w:snapToGrid w:val="0"/>
        <w:spacing w:before="120" w:beforeLines="50" w:line="360" w:lineRule="auto"/>
        <w:ind w:firstLine="420" w:firstLineChars="200"/>
        <w:outlineLvl w:val="1"/>
        <w:rPr>
          <w:rFonts w:asciiTheme="minorEastAsia" w:hAnsiTheme="minorEastAsia" w:eastAsiaTheme="minorEastAsia" w:cstheme="minorEastAsia"/>
        </w:rPr>
      </w:pPr>
      <w:bookmarkStart w:id="98" w:name="_bookmark6"/>
      <w:bookmarkEnd w:id="98"/>
      <w:bookmarkStart w:id="99" w:name="_Toc21329"/>
      <w:bookmarkStart w:id="100" w:name="_Toc62221759"/>
      <w:bookmarkStart w:id="101" w:name="_Toc27799"/>
      <w:bookmarkStart w:id="102" w:name="_Toc62222575"/>
      <w:bookmarkStart w:id="103" w:name="_Toc62222027"/>
      <w:bookmarkStart w:id="104" w:name="_Toc4187"/>
      <w:bookmarkStart w:id="105" w:name="_Toc9876"/>
      <w:bookmarkStart w:id="106" w:name="_Toc62221468"/>
      <w:bookmarkStart w:id="107" w:name="_Toc1043"/>
      <w:bookmarkStart w:id="108" w:name="_Toc16643"/>
      <w:bookmarkStart w:id="109" w:name="_Toc62549134"/>
      <w:bookmarkStart w:id="110" w:name="_Toc3269"/>
      <w:bookmarkStart w:id="111" w:name="_Toc28817"/>
      <w:bookmarkStart w:id="112" w:name="_Toc2608"/>
      <w:bookmarkStart w:id="113" w:name="_Toc62549190"/>
      <w:bookmarkStart w:id="114" w:name="_Toc1152"/>
      <w:r>
        <w:rPr>
          <w:rFonts w:asciiTheme="minorEastAsia" w:hAnsiTheme="minorEastAsia" w:eastAsiaTheme="minorEastAsia" w:cstheme="minorEastAsia"/>
        </w:rPr>
        <w:t>4.1招标文件（电子文件）免费获取。</w:t>
      </w:r>
    </w:p>
    <w:p w14:paraId="385F4BA8">
      <w:pPr>
        <w:tabs>
          <w:tab w:val="left" w:pos="1134"/>
        </w:tabs>
        <w:wordWrap w:val="0"/>
        <w:adjustRightInd w:val="0"/>
        <w:snapToGrid w:val="0"/>
        <w:spacing w:line="360" w:lineRule="auto"/>
        <w:ind w:firstLine="420" w:firstLineChars="200"/>
        <w:rPr>
          <w:rFonts w:asciiTheme="minorEastAsia" w:hAnsiTheme="minorEastAsia" w:eastAsiaTheme="minorEastAsia" w:cstheme="minorEastAsia"/>
        </w:rPr>
      </w:pPr>
      <w:r>
        <w:rPr>
          <w:rFonts w:asciiTheme="minorEastAsia" w:hAnsiTheme="minorEastAsia" w:eastAsiaTheme="minorEastAsia" w:cstheme="minorEastAsia"/>
        </w:rPr>
        <w:t>4.2凡有意参加投标者，请于</w:t>
      </w:r>
      <w:r>
        <w:rPr>
          <w:rFonts w:asciiTheme="minorEastAsia" w:hAnsiTheme="minorEastAsia" w:eastAsiaTheme="minorEastAsia" w:cstheme="minorEastAsia"/>
          <w:color w:val="FF0000"/>
          <w:u w:val="single"/>
        </w:rPr>
        <w:t>2025年05月29日至2025年06月06日23时59分</w:t>
      </w:r>
      <w:r>
        <w:rPr>
          <w:rFonts w:asciiTheme="minorEastAsia" w:hAnsiTheme="minorEastAsia" w:eastAsiaTheme="minorEastAsia" w:cstheme="minorEastAsia"/>
        </w:rPr>
        <w:t>（北京时间，下同），登录招标人招投标交易平台信息系统（</w:t>
      </w:r>
      <w:r>
        <w:rPr>
          <w:rFonts w:asciiTheme="minorEastAsia" w:hAnsiTheme="minorEastAsia" w:eastAsiaTheme="minorEastAsia" w:cstheme="minorEastAsia"/>
          <w:b/>
          <w:bCs/>
          <w:u w:val="single"/>
        </w:rPr>
        <w:t>国家电网有限公司电子商务平台（ECP）-电工交易专区https://sgccetp.com.cn</w:t>
      </w:r>
      <w:r>
        <w:rPr>
          <w:rFonts w:asciiTheme="minorEastAsia" w:hAnsiTheme="minorEastAsia" w:eastAsiaTheme="minorEastAsia" w:cstheme="minorEastAsia"/>
          <w:b/>
        </w:rPr>
        <w:t>）</w:t>
      </w:r>
      <w:r>
        <w:rPr>
          <w:rFonts w:asciiTheme="minorEastAsia" w:hAnsiTheme="minorEastAsia" w:eastAsiaTheme="minorEastAsia" w:cstheme="minorEastAsia"/>
        </w:rPr>
        <w:t>获取招标文件，并按《电子招标投标办法》等国家法律法规要求，到第三方认证机构办理CA证书电子钥匙。投标人应妥善保管招标人招投标交易平台信息系统账号和密码，以及CA数字证书和密码，因上述账号、数字证书或密码保管不当造成的损失，由投标人自行承担。</w:t>
      </w:r>
    </w:p>
    <w:p w14:paraId="3AE62E32">
      <w:pPr>
        <w:tabs>
          <w:tab w:val="left" w:pos="1134"/>
        </w:tabs>
        <w:adjustRightInd w:val="0"/>
        <w:snapToGrid w:val="0"/>
        <w:spacing w:line="360" w:lineRule="auto"/>
        <w:ind w:firstLine="420" w:firstLineChars="200"/>
        <w:rPr>
          <w:rFonts w:asciiTheme="minorEastAsia" w:hAnsiTheme="minorEastAsia" w:eastAsiaTheme="minorEastAsia" w:cstheme="minorEastAsia"/>
        </w:rPr>
      </w:pPr>
      <w:r>
        <w:rPr>
          <w:rFonts w:asciiTheme="minorEastAsia" w:hAnsiTheme="minorEastAsia" w:eastAsiaTheme="minorEastAsia" w:cstheme="minorEastAsia"/>
        </w:rPr>
        <w:t>投标人应在招标人招投标交易平台信息系统注册并办理CA证书电子钥匙方可获取招标文件，电子钥匙的办理流程请登录招标人招投标交易平台信息系统首页“新手指引”→“电子钥匙办理须知及电子钥匙安装包”下载所有文件仔细阅读。电子钥匙的办理需要一定的时间，请潜在投标人高度重视。由于没有及时办理电子钥匙导致获取招标文件失败，由投标人自行承担相关责任。支持电话为：4009915500。</w:t>
      </w:r>
    </w:p>
    <w:p w14:paraId="2B86F68D">
      <w:pPr>
        <w:tabs>
          <w:tab w:val="left" w:pos="1134"/>
        </w:tabs>
        <w:adjustRightInd w:val="0"/>
        <w:snapToGrid w:val="0"/>
        <w:spacing w:line="360" w:lineRule="auto"/>
        <w:ind w:firstLine="420" w:firstLineChars="200"/>
        <w:rPr>
          <w:rFonts w:asciiTheme="minorEastAsia" w:hAnsiTheme="minorEastAsia" w:eastAsiaTheme="minorEastAsia" w:cstheme="minorEastAsia"/>
        </w:rPr>
      </w:pPr>
      <w:r>
        <w:rPr>
          <w:rFonts w:asciiTheme="minorEastAsia" w:hAnsiTheme="minorEastAsia" w:eastAsiaTheme="minorEastAsia" w:cstheme="minorEastAsia"/>
        </w:rPr>
        <w:t>4.3投标人需利用投标工具进行电子投标文件编制。投标工具下载方式：请各投标人在招标人招投标交易平台信息系统首页“下载专区→供应商投标工具”下载并安装。操作手册及注意事项见首页“操作说明→ECP2.0招标采购流程供应商操作手册“或“演示视频→投标工具新U+操作指导视频”。投标工具操作问题联系招标人招投标交易平台信息系统支持服务电话：010-63411000。使用投标工具电脑配置要求：内存大于8GB，64位操作系统。</w:t>
      </w:r>
    </w:p>
    <w:p w14:paraId="73AD5683">
      <w:pPr>
        <w:tabs>
          <w:tab w:val="left" w:pos="1134"/>
        </w:tabs>
        <w:adjustRightInd w:val="0"/>
        <w:snapToGrid w:val="0"/>
        <w:spacing w:line="360" w:lineRule="auto"/>
        <w:ind w:firstLine="420" w:firstLineChars="200"/>
        <w:rPr>
          <w:rFonts w:asciiTheme="minorEastAsia" w:hAnsiTheme="minorEastAsia" w:eastAsiaTheme="minorEastAsia" w:cstheme="minorEastAsia"/>
        </w:rPr>
      </w:pPr>
      <w:r>
        <w:rPr>
          <w:rFonts w:asciiTheme="minorEastAsia" w:hAnsiTheme="minorEastAsia" w:eastAsiaTheme="minorEastAsia" w:cstheme="minorEastAsia"/>
        </w:rPr>
        <w:t>4.4注意事项：无</w:t>
      </w:r>
    </w:p>
    <w:p w14:paraId="5BDCD0E1">
      <w:pPr>
        <w:adjustRightInd w:val="0"/>
        <w:snapToGrid w:val="0"/>
        <w:spacing w:before="240" w:beforeLines="100" w:after="120" w:afterLines="50" w:line="360" w:lineRule="auto"/>
        <w:outlineLvl w:val="1"/>
        <w:rPr>
          <w:rFonts w:hint="default" w:ascii="黑体" w:hAnsi="Calibri" w:eastAsia="黑体"/>
          <w:b/>
          <w:sz w:val="24"/>
        </w:rPr>
      </w:pPr>
      <w:r>
        <w:rPr>
          <w:rFonts w:ascii="黑体" w:hAnsi="Calibri" w:eastAsia="黑体"/>
          <w:b/>
          <w:sz w:val="24"/>
        </w:rPr>
        <w:t>5.投标文件的</w:t>
      </w:r>
      <w:bookmarkEnd w:id="99"/>
      <w:bookmarkEnd w:id="100"/>
      <w:bookmarkEnd w:id="101"/>
      <w:bookmarkEnd w:id="102"/>
      <w:bookmarkEnd w:id="103"/>
      <w:bookmarkEnd w:id="104"/>
      <w:bookmarkEnd w:id="105"/>
      <w:bookmarkEnd w:id="106"/>
      <w:r>
        <w:rPr>
          <w:rFonts w:ascii="黑体" w:hAnsi="Calibri" w:eastAsia="黑体"/>
          <w:b/>
          <w:sz w:val="24"/>
        </w:rPr>
        <w:t>提交</w:t>
      </w:r>
      <w:bookmarkEnd w:id="107"/>
      <w:bookmarkEnd w:id="108"/>
      <w:bookmarkEnd w:id="109"/>
      <w:bookmarkEnd w:id="110"/>
      <w:bookmarkEnd w:id="111"/>
      <w:bookmarkEnd w:id="112"/>
      <w:bookmarkEnd w:id="113"/>
      <w:bookmarkEnd w:id="114"/>
    </w:p>
    <w:p w14:paraId="41463A27">
      <w:pPr>
        <w:tabs>
          <w:tab w:val="left" w:pos="1134"/>
        </w:tabs>
        <w:wordWrap w:val="0"/>
        <w:adjustRightInd w:val="0"/>
        <w:snapToGrid w:val="0"/>
        <w:spacing w:line="360" w:lineRule="auto"/>
        <w:ind w:firstLine="420" w:firstLineChars="200"/>
        <w:rPr>
          <w:rFonts w:asciiTheme="minorEastAsia" w:hAnsiTheme="minorEastAsia" w:eastAsiaTheme="minorEastAsia" w:cstheme="minorEastAsia"/>
        </w:rPr>
      </w:pPr>
      <w:bookmarkStart w:id="115" w:name="_bookmark7"/>
      <w:bookmarkEnd w:id="115"/>
      <w:r>
        <w:rPr>
          <w:rFonts w:asciiTheme="minorEastAsia" w:hAnsiTheme="minorEastAsia" w:eastAsiaTheme="minorEastAsia" w:cstheme="minorEastAsia"/>
        </w:rPr>
        <w:t>5.1 凡下载招标文件者，可登录招标人招投标交易平台信息系统上传投标文件。投标文件递交的截止时间（投标截止时间，下同）为</w:t>
      </w:r>
      <w:bookmarkStart w:id="116" w:name="OLE_LINK1"/>
      <w:r>
        <w:rPr>
          <w:rFonts w:asciiTheme="minorEastAsia" w:hAnsiTheme="minorEastAsia" w:eastAsiaTheme="minorEastAsia" w:cstheme="minorEastAsia"/>
          <w:color w:val="FF0000"/>
          <w:u w:val="single"/>
        </w:rPr>
        <w:t>2025年06月19日09时34分</w:t>
      </w:r>
      <w:bookmarkEnd w:id="116"/>
      <w:r>
        <w:rPr>
          <w:rFonts w:asciiTheme="minorEastAsia" w:hAnsiTheme="minorEastAsia" w:eastAsiaTheme="minorEastAsia" w:cstheme="minorEastAsia"/>
        </w:rPr>
        <w:t>（北京时间）。</w:t>
      </w:r>
    </w:p>
    <w:p w14:paraId="3E31D205">
      <w:pPr>
        <w:tabs>
          <w:tab w:val="left" w:pos="1134"/>
        </w:tabs>
        <w:wordWrap w:val="0"/>
        <w:adjustRightInd w:val="0"/>
        <w:snapToGrid w:val="0"/>
        <w:spacing w:line="360" w:lineRule="auto"/>
        <w:ind w:firstLine="420" w:firstLineChars="200"/>
        <w:rPr>
          <w:rFonts w:asciiTheme="minorEastAsia" w:hAnsiTheme="minorEastAsia" w:eastAsiaTheme="minorEastAsia" w:cstheme="minorEastAsia"/>
          <w:u w:val="single"/>
        </w:rPr>
      </w:pPr>
      <w:r>
        <w:rPr>
          <w:rFonts w:asciiTheme="minorEastAsia" w:hAnsiTheme="minorEastAsia" w:eastAsiaTheme="minorEastAsia" w:cstheme="minorEastAsia"/>
        </w:rPr>
        <w:t>5.2 本次招标要求提供电子U盘文件，电子U盘文件递交的截止时间（投标截止时间，下同）为</w:t>
      </w:r>
      <w:r>
        <w:rPr>
          <w:rFonts w:asciiTheme="minorEastAsia" w:hAnsiTheme="minorEastAsia" w:eastAsiaTheme="minorEastAsia" w:cstheme="minorEastAsia"/>
          <w:color w:val="FF0000"/>
          <w:u w:val="single"/>
        </w:rPr>
        <w:t>2025年06月19日09时34分</w:t>
      </w:r>
      <w:r>
        <w:rPr>
          <w:rFonts w:asciiTheme="minorEastAsia" w:hAnsiTheme="minorEastAsia" w:eastAsiaTheme="minorEastAsia" w:cstheme="minorEastAsia"/>
        </w:rPr>
        <w:t>（北京时间），可采用现场递交或邮寄的方式，送达地点为:</w:t>
      </w:r>
      <w:r>
        <w:rPr>
          <w:rFonts w:asciiTheme="minorEastAsia" w:hAnsiTheme="minorEastAsia" w:eastAsiaTheme="minorEastAsia" w:cstheme="minorEastAsia"/>
          <w:u w:val="single"/>
        </w:rPr>
        <w:t>北京市丰台区广安路9号院国投财富广场3号楼817室</w:t>
      </w:r>
      <w:r>
        <w:rPr>
          <w:rFonts w:asciiTheme="minorEastAsia" w:hAnsiTheme="minorEastAsia" w:eastAsiaTheme="minorEastAsia" w:cstheme="minorEastAsia"/>
        </w:rPr>
        <w:t>，联系人及联系方式为：</w:t>
      </w:r>
      <w:r>
        <w:rPr>
          <w:rFonts w:asciiTheme="minorEastAsia" w:hAnsiTheme="minorEastAsia" w:eastAsiaTheme="minorEastAsia" w:cstheme="minorEastAsia"/>
          <w:u w:val="single"/>
        </w:rPr>
        <w:t>沈工17800129710</w:t>
      </w:r>
    </w:p>
    <w:p w14:paraId="1852DA38">
      <w:pPr>
        <w:tabs>
          <w:tab w:val="left" w:pos="1134"/>
        </w:tabs>
        <w:wordWrap w:val="0"/>
        <w:adjustRightInd w:val="0"/>
        <w:snapToGrid w:val="0"/>
        <w:spacing w:line="360" w:lineRule="auto"/>
        <w:ind w:firstLine="422" w:firstLineChars="200"/>
        <w:rPr>
          <w:rFonts w:asciiTheme="minorEastAsia" w:hAnsiTheme="minorEastAsia" w:eastAsiaTheme="minorEastAsia" w:cstheme="minorEastAsia"/>
          <w:b/>
          <w:bCs/>
        </w:rPr>
      </w:pPr>
      <w:r>
        <w:rPr>
          <w:rFonts w:asciiTheme="minorEastAsia" w:hAnsiTheme="minorEastAsia" w:eastAsiaTheme="minorEastAsia" w:cstheme="minorEastAsia"/>
          <w:b/>
          <w:bCs/>
        </w:rPr>
        <w:t>5.3投标文件递交注意事项</w:t>
      </w:r>
    </w:p>
    <w:p w14:paraId="3D8A4600">
      <w:pPr>
        <w:tabs>
          <w:tab w:val="left" w:pos="1134"/>
        </w:tabs>
        <w:wordWrap w:val="0"/>
        <w:adjustRightInd w:val="0"/>
        <w:snapToGrid w:val="0"/>
        <w:spacing w:line="360" w:lineRule="auto"/>
        <w:ind w:firstLine="420" w:firstLineChars="200"/>
        <w:rPr>
          <w:rFonts w:asciiTheme="minorEastAsia" w:hAnsiTheme="minorEastAsia" w:eastAsiaTheme="minorEastAsia" w:cstheme="minorEastAsia"/>
        </w:rPr>
      </w:pPr>
      <w:r>
        <w:rPr>
          <w:rFonts w:asciiTheme="minorEastAsia" w:hAnsiTheme="minorEastAsia" w:eastAsiaTheme="minorEastAsia" w:cstheme="minorEastAsia"/>
        </w:rPr>
        <w:t>5.3.1本次采用电子投标文件上传招标人招投标交易平台信息系统、电子U盘文件方式同步实施。投标人务必保证电子U盘文件与在线上传的电子投标文件内容完全一致，在线上传的电子投标文件内容要清晰可辨、完整齐全，如在线上传的电子投标文件内容与电子U盘文件不一致的，将以在线上传至招标人招投标交易平台信息系统的电子投标文件为准，对于二者内容不一致、不清晰、不完整可能导致的否决投标等任何不利后果均由投标人承担。</w:t>
      </w:r>
    </w:p>
    <w:p w14:paraId="7CAC358E">
      <w:pPr>
        <w:tabs>
          <w:tab w:val="left" w:pos="1134"/>
        </w:tabs>
        <w:wordWrap w:val="0"/>
        <w:adjustRightInd w:val="0"/>
        <w:snapToGrid w:val="0"/>
        <w:spacing w:line="360" w:lineRule="auto"/>
        <w:ind w:firstLine="420" w:firstLineChars="200"/>
        <w:rPr>
          <w:rFonts w:asciiTheme="minorEastAsia" w:hAnsiTheme="minorEastAsia" w:eastAsiaTheme="minorEastAsia" w:cstheme="minorEastAsia"/>
          <w:b/>
          <w:bCs/>
        </w:rPr>
      </w:pPr>
      <w:r>
        <w:rPr>
          <w:rFonts w:asciiTheme="minorEastAsia" w:hAnsiTheme="minorEastAsia" w:eastAsiaTheme="minorEastAsia" w:cstheme="minorEastAsia"/>
        </w:rPr>
        <w:t>5.3.2 逾期或未成功上传的投标文件，逾期送达或未送达指定地点的投标文件，招标人不予受理。投标人应选择可靠的快递公司并及时关注快递进度，确保投标文件在投标截止前送达，投标文件接收时间以代理机构当面签收投标快递的时间为准。投标人需承担投标文件未按时送达的风险，投标文件无法按时到达指定接收地点或邮寄途中发生损坏的一切责任由投标人承担。</w:t>
      </w:r>
      <w:r>
        <w:rPr>
          <w:rFonts w:asciiTheme="minorEastAsia" w:hAnsiTheme="minorEastAsia" w:eastAsiaTheme="minorEastAsia" w:cstheme="minorEastAsia"/>
          <w:b/>
          <w:bCs/>
        </w:rPr>
        <w:t>电子U盘文件邮寄包装内所含投标文件及封装要求见投标人须知前附表。</w:t>
      </w:r>
    </w:p>
    <w:p w14:paraId="758F7454">
      <w:pPr>
        <w:tabs>
          <w:tab w:val="left" w:pos="1134"/>
        </w:tabs>
        <w:wordWrap w:val="0"/>
        <w:adjustRightInd w:val="0"/>
        <w:snapToGrid w:val="0"/>
        <w:spacing w:line="360" w:lineRule="auto"/>
        <w:ind w:firstLine="420" w:firstLineChars="200"/>
        <w:rPr>
          <w:rFonts w:asciiTheme="minorEastAsia" w:hAnsiTheme="minorEastAsia" w:eastAsiaTheme="minorEastAsia" w:cstheme="minorEastAsia"/>
        </w:rPr>
      </w:pPr>
      <w:r>
        <w:rPr>
          <w:rFonts w:asciiTheme="minorEastAsia" w:hAnsiTheme="minorEastAsia" w:eastAsiaTheme="minorEastAsia" w:cstheme="minorEastAsia"/>
        </w:rPr>
        <w:t xml:space="preserve">5.3.3招标人招投标交易平台信息系统不接受未按规定加密的投标文件及投标文件的修改文件。 </w:t>
      </w:r>
    </w:p>
    <w:p w14:paraId="1B6EC283">
      <w:pPr>
        <w:tabs>
          <w:tab w:val="left" w:pos="1134"/>
        </w:tabs>
        <w:wordWrap w:val="0"/>
        <w:adjustRightInd w:val="0"/>
        <w:snapToGrid w:val="0"/>
        <w:spacing w:line="360" w:lineRule="auto"/>
        <w:ind w:firstLine="420" w:firstLineChars="200"/>
        <w:rPr>
          <w:rFonts w:asciiTheme="minorEastAsia" w:hAnsiTheme="minorEastAsia" w:eastAsiaTheme="minorEastAsia" w:cstheme="minorEastAsia"/>
        </w:rPr>
      </w:pPr>
      <w:r>
        <w:rPr>
          <w:rFonts w:asciiTheme="minorEastAsia" w:hAnsiTheme="minorEastAsia" w:eastAsiaTheme="minorEastAsia" w:cstheme="minorEastAsia"/>
        </w:rPr>
        <w:t>5.3.4未按招标公告规定的时间和方式获取并下载招标文件的投标，招标人将不予受理。</w:t>
      </w:r>
    </w:p>
    <w:p w14:paraId="0328E925">
      <w:pPr>
        <w:tabs>
          <w:tab w:val="left" w:pos="1134"/>
        </w:tabs>
        <w:wordWrap w:val="0"/>
        <w:adjustRightInd w:val="0"/>
        <w:snapToGrid w:val="0"/>
        <w:spacing w:line="360" w:lineRule="auto"/>
        <w:ind w:firstLine="420" w:firstLineChars="200"/>
        <w:rPr>
          <w:rFonts w:asciiTheme="minorEastAsia" w:hAnsiTheme="minorEastAsia" w:eastAsiaTheme="minorEastAsia" w:cstheme="minorEastAsia"/>
        </w:rPr>
      </w:pPr>
      <w:r>
        <w:rPr>
          <w:rFonts w:asciiTheme="minorEastAsia" w:hAnsiTheme="minorEastAsia" w:eastAsiaTheme="minorEastAsia" w:cstheme="minorEastAsia"/>
        </w:rPr>
        <w:t>5.3.5未按要求上传完整的电子投标文件，将视为未递交有效投标文件并做否决处理。</w:t>
      </w:r>
    </w:p>
    <w:p w14:paraId="5384E3D7">
      <w:pPr>
        <w:spacing w:before="240" w:beforeLines="100" w:after="120" w:afterLines="50" w:line="360" w:lineRule="auto"/>
        <w:outlineLvl w:val="1"/>
        <w:rPr>
          <w:rFonts w:hint="default" w:ascii="黑体" w:hAnsi="Calibri" w:eastAsia="黑体"/>
          <w:b/>
          <w:sz w:val="24"/>
        </w:rPr>
      </w:pPr>
      <w:bookmarkStart w:id="117" w:name="_Toc24960"/>
      <w:bookmarkStart w:id="118" w:name="_Toc3709"/>
      <w:bookmarkStart w:id="119" w:name="_Toc4653"/>
      <w:bookmarkStart w:id="120" w:name="_Toc673"/>
      <w:bookmarkStart w:id="121" w:name="_Toc62222576"/>
      <w:bookmarkStart w:id="122" w:name="_Toc62222028"/>
      <w:bookmarkStart w:id="123" w:name="_Toc19827"/>
      <w:bookmarkStart w:id="124" w:name="_Toc62221760"/>
      <w:bookmarkStart w:id="125" w:name="_Toc19693"/>
      <w:bookmarkStart w:id="126" w:name="_Toc62549191"/>
      <w:bookmarkStart w:id="127" w:name="_Toc3280"/>
      <w:bookmarkStart w:id="128" w:name="_Toc13549"/>
      <w:bookmarkStart w:id="129" w:name="_Toc29315"/>
      <w:bookmarkStart w:id="130" w:name="_Toc62221469"/>
      <w:bookmarkStart w:id="131" w:name="_Toc1708"/>
      <w:bookmarkStart w:id="132" w:name="_Toc62549135"/>
      <w:r>
        <w:rPr>
          <w:rFonts w:ascii="黑体" w:hAnsi="Calibri" w:eastAsia="黑体"/>
          <w:b/>
          <w:sz w:val="24"/>
        </w:rPr>
        <w:t>6.发布公告的媒介</w:t>
      </w:r>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p>
    <w:p w14:paraId="2C25A02D">
      <w:pPr>
        <w:tabs>
          <w:tab w:val="left" w:pos="1134"/>
        </w:tabs>
        <w:adjustRightInd w:val="0"/>
        <w:snapToGrid w:val="0"/>
        <w:spacing w:line="360" w:lineRule="auto"/>
        <w:ind w:firstLine="420" w:firstLineChars="200"/>
        <w:rPr>
          <w:rFonts w:asciiTheme="minorEastAsia" w:hAnsiTheme="minorEastAsia" w:eastAsiaTheme="minorEastAsia" w:cstheme="minorEastAsia"/>
        </w:rPr>
      </w:pPr>
      <w:bookmarkStart w:id="133" w:name="_bookmark8"/>
      <w:bookmarkEnd w:id="133"/>
      <w:bookmarkStart w:id="134" w:name="_Toc2579"/>
      <w:bookmarkStart w:id="135" w:name="_Toc27595"/>
      <w:bookmarkStart w:id="136" w:name="_Toc28489"/>
      <w:bookmarkStart w:id="137" w:name="_Toc30950"/>
      <w:bookmarkStart w:id="138" w:name="_Toc28144"/>
      <w:bookmarkStart w:id="139" w:name="_Toc811"/>
      <w:bookmarkStart w:id="140" w:name="_Toc62222577"/>
      <w:bookmarkStart w:id="141" w:name="_Toc62221761"/>
      <w:bookmarkStart w:id="142" w:name="_Toc62222029"/>
      <w:bookmarkStart w:id="143" w:name="_Toc22190"/>
      <w:bookmarkStart w:id="144" w:name="_Toc62549136"/>
      <w:bookmarkStart w:id="145" w:name="_Toc16274"/>
      <w:bookmarkStart w:id="146" w:name="_Toc62221470"/>
      <w:bookmarkStart w:id="147" w:name="_Toc2902"/>
      <w:bookmarkStart w:id="148" w:name="_Toc17309"/>
      <w:bookmarkStart w:id="149" w:name="_Toc62549192"/>
      <w:r>
        <w:rPr>
          <w:rFonts w:asciiTheme="minorEastAsia" w:hAnsiTheme="minorEastAsia" w:eastAsiaTheme="minorEastAsia" w:cstheme="minorEastAsia"/>
        </w:rPr>
        <w:t>本次招标公告在招标人招投标交易平台信息系统、中国招标投标公共服务平台（</w:t>
      </w:r>
      <w:bookmarkStart w:id="150" w:name="_Hlk511312026"/>
      <w:r>
        <w:rPr>
          <w:rFonts w:asciiTheme="minorEastAsia" w:hAnsiTheme="minorEastAsia" w:eastAsiaTheme="minorEastAsia" w:cstheme="minorEastAsia"/>
        </w:rPr>
        <w:t>http://www.cebpubservice.com</w:t>
      </w:r>
      <w:bookmarkEnd w:id="150"/>
      <w:r>
        <w:rPr>
          <w:rFonts w:asciiTheme="minorEastAsia" w:hAnsiTheme="minorEastAsia" w:eastAsiaTheme="minorEastAsia" w:cstheme="minorEastAsia"/>
        </w:rPr>
        <w:t>）上发布。</w:t>
      </w:r>
    </w:p>
    <w:p w14:paraId="3A7EAC80">
      <w:pPr>
        <w:adjustRightInd w:val="0"/>
        <w:snapToGrid w:val="0"/>
        <w:spacing w:before="240" w:beforeLines="100" w:after="120" w:afterLines="50" w:line="360" w:lineRule="auto"/>
        <w:outlineLvl w:val="1"/>
        <w:rPr>
          <w:rFonts w:hint="default" w:ascii="黑体" w:hAnsi="Calibri" w:eastAsia="黑体"/>
          <w:b/>
          <w:sz w:val="24"/>
        </w:rPr>
      </w:pPr>
      <w:r>
        <w:rPr>
          <w:rFonts w:ascii="黑体" w:hAnsi="Calibri" w:eastAsia="黑体"/>
          <w:b/>
          <w:sz w:val="24"/>
        </w:rPr>
        <w:t>7.联系方式</w:t>
      </w:r>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p>
    <w:p w14:paraId="28AC6F49">
      <w:pPr>
        <w:tabs>
          <w:tab w:val="left" w:pos="1134"/>
        </w:tabs>
        <w:adjustRightInd w:val="0"/>
        <w:snapToGrid w:val="0"/>
        <w:spacing w:line="360" w:lineRule="auto"/>
        <w:ind w:firstLine="420" w:firstLineChars="200"/>
        <w:rPr>
          <w:rFonts w:asciiTheme="minorEastAsia" w:hAnsiTheme="minorEastAsia" w:eastAsiaTheme="minorEastAsia" w:cstheme="minorEastAsia"/>
        </w:rPr>
      </w:pPr>
      <w:bookmarkStart w:id="151" w:name="_Toc86502989"/>
      <w:bookmarkStart w:id="152" w:name="_Toc7418"/>
      <w:bookmarkStart w:id="153" w:name="_Toc15824"/>
      <w:r>
        <w:rPr>
          <w:rFonts w:asciiTheme="minorEastAsia" w:hAnsiTheme="minorEastAsia" w:eastAsiaTheme="minorEastAsia" w:cstheme="minorEastAsia"/>
        </w:rPr>
        <w:t>招标人：北京电力工程有限公司</w:t>
      </w:r>
    </w:p>
    <w:p w14:paraId="7A36139D">
      <w:pPr>
        <w:spacing w:line="360" w:lineRule="auto"/>
        <w:ind w:firstLine="420" w:firstLineChars="200"/>
        <w:rPr>
          <w:rFonts w:ascii="宋体" w:hAnsi="宋体" w:eastAsia="宋体" w:cs="宋体"/>
          <w:szCs w:val="21"/>
        </w:rPr>
      </w:pPr>
      <w:r>
        <w:rPr>
          <w:rFonts w:ascii="宋体" w:hAnsi="宋体" w:eastAsia="宋体" w:cs="宋体"/>
          <w:szCs w:val="21"/>
        </w:rPr>
        <w:t>地  址：北京市丰台区南四环西路188号总部基地8区8号楼</w:t>
      </w:r>
    </w:p>
    <w:p w14:paraId="079B74E9">
      <w:pPr>
        <w:spacing w:line="360" w:lineRule="auto"/>
        <w:ind w:firstLine="420" w:firstLineChars="200"/>
        <w:rPr>
          <w:rFonts w:ascii="宋体" w:hAnsi="宋体" w:eastAsia="宋体" w:cs="宋体"/>
          <w:color w:val="000000" w:themeColor="text1"/>
          <w:szCs w:val="21"/>
          <w14:textFill>
            <w14:solidFill>
              <w14:schemeClr w14:val="tx1"/>
            </w14:solidFill>
          </w14:textFill>
        </w:rPr>
      </w:pPr>
      <w:r>
        <w:rPr>
          <w:rFonts w:ascii="宋体" w:hAnsi="宋体" w:eastAsia="宋体" w:cs="宋体"/>
          <w:color w:val="000000" w:themeColor="text1"/>
          <w:szCs w:val="21"/>
          <w14:textFill>
            <w14:solidFill>
              <w14:schemeClr w14:val="tx1"/>
            </w14:solidFill>
          </w14:textFill>
        </w:rPr>
        <w:t>联系人：臧工</w:t>
      </w:r>
    </w:p>
    <w:p w14:paraId="71E0C052">
      <w:pPr>
        <w:spacing w:line="360" w:lineRule="auto"/>
        <w:ind w:firstLine="420" w:firstLineChars="200"/>
        <w:rPr>
          <w:rFonts w:ascii="宋体" w:hAnsi="宋体" w:eastAsia="宋体" w:cs="宋体"/>
          <w:color w:val="000000" w:themeColor="text1"/>
          <w:szCs w:val="21"/>
          <w14:textFill>
            <w14:solidFill>
              <w14:schemeClr w14:val="tx1"/>
            </w14:solidFill>
          </w14:textFill>
        </w:rPr>
      </w:pPr>
      <w:r>
        <w:rPr>
          <w:rFonts w:ascii="宋体" w:hAnsi="宋体" w:eastAsia="宋体" w:cs="宋体"/>
          <w:color w:val="000000" w:themeColor="text1"/>
          <w:szCs w:val="21"/>
          <w14:textFill>
            <w14:solidFill>
              <w14:schemeClr w14:val="tx1"/>
            </w14:solidFill>
          </w14:textFill>
        </w:rPr>
        <w:t>联系电话：010-63678019</w:t>
      </w:r>
    </w:p>
    <w:p w14:paraId="563EF409">
      <w:pPr>
        <w:tabs>
          <w:tab w:val="left" w:pos="1134"/>
        </w:tabs>
        <w:adjustRightInd w:val="0"/>
        <w:snapToGrid w:val="0"/>
        <w:spacing w:line="360" w:lineRule="auto"/>
        <w:ind w:firstLine="420" w:firstLineChars="200"/>
        <w:rPr>
          <w:rFonts w:asciiTheme="minorEastAsia" w:hAnsiTheme="minorEastAsia" w:eastAsiaTheme="minorEastAsia" w:cstheme="minorEastAsia"/>
        </w:rPr>
      </w:pPr>
    </w:p>
    <w:p w14:paraId="4824ECFD">
      <w:pPr>
        <w:tabs>
          <w:tab w:val="left" w:pos="1134"/>
        </w:tabs>
        <w:adjustRightInd w:val="0"/>
        <w:snapToGrid w:val="0"/>
        <w:spacing w:line="360" w:lineRule="auto"/>
        <w:ind w:firstLine="420" w:firstLineChars="200"/>
        <w:rPr>
          <w:rFonts w:asciiTheme="minorEastAsia" w:hAnsiTheme="minorEastAsia" w:eastAsiaTheme="minorEastAsia" w:cstheme="minorEastAsia"/>
        </w:rPr>
      </w:pPr>
      <w:bookmarkStart w:id="154" w:name="_Hlk137024541"/>
      <w:r>
        <w:rPr>
          <w:rFonts w:asciiTheme="minorEastAsia" w:hAnsiTheme="minorEastAsia" w:eastAsiaTheme="minorEastAsia" w:cstheme="minorEastAsia"/>
        </w:rPr>
        <w:t>招标代理机构：北京泽瑞兴诚工程咨询有限公司</w:t>
      </w:r>
    </w:p>
    <w:p w14:paraId="4BA47915">
      <w:pPr>
        <w:tabs>
          <w:tab w:val="left" w:pos="1134"/>
        </w:tabs>
        <w:adjustRightInd w:val="0"/>
        <w:snapToGrid w:val="0"/>
        <w:spacing w:line="360" w:lineRule="auto"/>
        <w:ind w:firstLine="420" w:firstLineChars="200"/>
        <w:rPr>
          <w:rFonts w:asciiTheme="minorEastAsia" w:hAnsiTheme="minorEastAsia" w:eastAsiaTheme="minorEastAsia" w:cstheme="minorEastAsia"/>
        </w:rPr>
      </w:pPr>
      <w:r>
        <w:rPr>
          <w:rFonts w:asciiTheme="minorEastAsia" w:hAnsiTheme="minorEastAsia" w:eastAsiaTheme="minorEastAsia" w:cstheme="minorEastAsia"/>
        </w:rPr>
        <w:t>地 址： 北京市丰台区广安路9号院国投财富广场3号楼817室</w:t>
      </w:r>
    </w:p>
    <w:p w14:paraId="7FC5E5EE">
      <w:pPr>
        <w:tabs>
          <w:tab w:val="left" w:pos="1134"/>
        </w:tabs>
        <w:adjustRightInd w:val="0"/>
        <w:snapToGrid w:val="0"/>
        <w:spacing w:line="360" w:lineRule="auto"/>
        <w:ind w:firstLine="420" w:firstLineChars="200"/>
        <w:rPr>
          <w:rFonts w:asciiTheme="minorEastAsia" w:hAnsiTheme="minorEastAsia" w:eastAsiaTheme="minorEastAsia" w:cstheme="minorEastAsia"/>
        </w:rPr>
      </w:pPr>
      <w:r>
        <w:rPr>
          <w:rFonts w:asciiTheme="minorEastAsia" w:hAnsiTheme="minorEastAsia" w:eastAsiaTheme="minorEastAsia" w:cstheme="minorEastAsia"/>
        </w:rPr>
        <w:t>联 系 人：沈工</w:t>
      </w:r>
    </w:p>
    <w:p w14:paraId="6612CA5A">
      <w:pPr>
        <w:tabs>
          <w:tab w:val="left" w:pos="1134"/>
        </w:tabs>
        <w:adjustRightInd w:val="0"/>
        <w:snapToGrid w:val="0"/>
        <w:spacing w:line="360" w:lineRule="auto"/>
        <w:ind w:firstLine="420" w:firstLineChars="200"/>
        <w:rPr>
          <w:rFonts w:asciiTheme="minorEastAsia" w:hAnsiTheme="minorEastAsia" w:eastAsiaTheme="minorEastAsia" w:cstheme="minorEastAsia"/>
        </w:rPr>
      </w:pPr>
      <w:r>
        <w:rPr>
          <w:rFonts w:asciiTheme="minorEastAsia" w:hAnsiTheme="minorEastAsia" w:eastAsiaTheme="minorEastAsia" w:cstheme="minorEastAsia"/>
        </w:rPr>
        <w:t>电 话： 17800129710</w:t>
      </w:r>
    </w:p>
    <w:p w14:paraId="79E9D84D">
      <w:pPr>
        <w:tabs>
          <w:tab w:val="left" w:pos="1134"/>
        </w:tabs>
        <w:adjustRightInd w:val="0"/>
        <w:snapToGrid w:val="0"/>
        <w:spacing w:line="360" w:lineRule="auto"/>
        <w:ind w:firstLine="420" w:firstLineChars="200"/>
        <w:rPr>
          <w:rFonts w:asciiTheme="minorEastAsia" w:hAnsiTheme="minorEastAsia" w:eastAsiaTheme="minorEastAsia" w:cstheme="minorEastAsia"/>
        </w:rPr>
      </w:pPr>
      <w:r>
        <w:rPr>
          <w:rFonts w:asciiTheme="minorEastAsia" w:hAnsiTheme="minorEastAsia" w:eastAsiaTheme="minorEastAsia" w:cstheme="minorEastAsia"/>
        </w:rPr>
        <w:t>电子邮件：</w:t>
      </w:r>
      <w:bookmarkEnd w:id="151"/>
      <w:bookmarkEnd w:id="152"/>
      <w:bookmarkEnd w:id="153"/>
      <w:bookmarkEnd w:id="154"/>
      <w:r>
        <w:rPr>
          <w:rFonts w:asciiTheme="minorEastAsia" w:hAnsiTheme="minorEastAsia" w:eastAsiaTheme="minorEastAsia" w:cstheme="minorEastAsia"/>
        </w:rPr>
        <w:t>zrxcgczx@163.com</w:t>
      </w:r>
    </w:p>
    <w:p w14:paraId="1B1BFA9C">
      <w:pPr>
        <w:adjustRightInd w:val="0"/>
        <w:snapToGrid w:val="0"/>
        <w:spacing w:before="240" w:beforeLines="100" w:after="120" w:afterLines="50" w:line="360" w:lineRule="auto"/>
        <w:outlineLvl w:val="1"/>
        <w:rPr>
          <w:rFonts w:hint="default" w:ascii="黑体" w:hAnsi="Calibri" w:eastAsia="黑体"/>
          <w:b/>
          <w:sz w:val="24"/>
        </w:rPr>
      </w:pPr>
      <w:bookmarkStart w:id="155" w:name="_Toc4038"/>
      <w:bookmarkStart w:id="156" w:name="_Toc5800"/>
      <w:bookmarkStart w:id="157" w:name="_Toc647"/>
      <w:bookmarkStart w:id="158" w:name="_Toc62549193"/>
      <w:bookmarkStart w:id="159" w:name="_Toc5492"/>
      <w:bookmarkStart w:id="160" w:name="_Toc9769"/>
      <w:bookmarkStart w:id="161" w:name="_Toc62222578"/>
      <w:bookmarkStart w:id="162" w:name="_Toc17389"/>
      <w:bookmarkStart w:id="163" w:name="_Toc20257"/>
      <w:bookmarkStart w:id="164" w:name="_Toc62221762"/>
      <w:bookmarkStart w:id="165" w:name="_Toc5041"/>
      <w:bookmarkStart w:id="166" w:name="_Toc62549137"/>
      <w:bookmarkStart w:id="167" w:name="_Toc62222030"/>
      <w:bookmarkStart w:id="168" w:name="_Toc5543"/>
      <w:bookmarkStart w:id="169" w:name="_Toc12187"/>
      <w:bookmarkStart w:id="170" w:name="_Toc62221471"/>
      <w:r>
        <w:rPr>
          <w:rFonts w:ascii="黑体" w:hAnsi="Calibri" w:eastAsia="黑体"/>
          <w:b/>
          <w:sz w:val="24"/>
        </w:rPr>
        <w:t>8.合规声明</w:t>
      </w:r>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p>
    <w:p w14:paraId="1B69F73C">
      <w:pPr>
        <w:tabs>
          <w:tab w:val="left" w:pos="1134"/>
        </w:tabs>
        <w:adjustRightInd w:val="0"/>
        <w:snapToGrid w:val="0"/>
        <w:spacing w:line="360" w:lineRule="auto"/>
        <w:ind w:firstLine="420" w:firstLineChars="200"/>
        <w:rPr>
          <w:rFonts w:asciiTheme="minorEastAsia" w:hAnsiTheme="minorEastAsia" w:eastAsiaTheme="minorEastAsia" w:cstheme="minorEastAsia"/>
        </w:rPr>
      </w:pPr>
      <w:r>
        <w:rPr>
          <w:rFonts w:asciiTheme="minorEastAsia" w:hAnsiTheme="minorEastAsia" w:eastAsiaTheme="minorEastAsia" w:cstheme="minorEastAsia"/>
        </w:rPr>
        <w:t>本招标文件（包括商务部分和技术部分）符合国家现行法律法规规定，若国家颁布新的法律法规或对现有法律法规进行修订，以新施行的法律法规规定为准。</w:t>
      </w:r>
    </w:p>
    <w:p w14:paraId="4B3E73FD">
      <w:pPr>
        <w:adjustRightInd w:val="0"/>
        <w:snapToGrid w:val="0"/>
        <w:spacing w:before="240" w:beforeLines="100" w:after="120" w:afterLines="50" w:line="360" w:lineRule="auto"/>
        <w:outlineLvl w:val="1"/>
        <w:rPr>
          <w:rFonts w:hint="default" w:ascii="黑体" w:hAnsi="Calibri" w:eastAsia="黑体"/>
          <w:b/>
          <w:sz w:val="24"/>
        </w:rPr>
      </w:pPr>
      <w:r>
        <w:rPr>
          <w:rFonts w:ascii="黑体" w:hAnsi="Calibri" w:eastAsia="黑体"/>
          <w:b/>
          <w:sz w:val="24"/>
        </w:rPr>
        <w:t>9.权利声明</w:t>
      </w:r>
    </w:p>
    <w:p w14:paraId="35F49DC8">
      <w:pPr>
        <w:tabs>
          <w:tab w:val="left" w:pos="1134"/>
        </w:tabs>
        <w:adjustRightInd w:val="0"/>
        <w:snapToGrid w:val="0"/>
        <w:spacing w:line="360" w:lineRule="auto"/>
        <w:ind w:firstLine="420" w:firstLineChars="200"/>
        <w:rPr>
          <w:rFonts w:asciiTheme="minorEastAsia" w:hAnsiTheme="minorEastAsia" w:eastAsiaTheme="minorEastAsia" w:cstheme="minorEastAsia"/>
        </w:rPr>
      </w:pPr>
      <w:r>
        <w:rPr>
          <w:rFonts w:asciiTheme="minorEastAsia" w:hAnsiTheme="minorEastAsia" w:eastAsiaTheme="minorEastAsia" w:cstheme="minorEastAsia"/>
        </w:rPr>
        <w:t>禁止对本招标文件或公示信息（依法必须招标项目的招标公告部分除外）进行任何形式的转载（包括但不限于部分或全文转载、修改后转载）或任何未经书面授权的使用。转载依法必须招标项目的招标公告或公示信息的，不得改变招标公告和公示信息的内容，须注明信息来源，不得用于非法用途。任何单位或个人不得违法转载（包括但不限于改变内容转载、转载不注明来源、遗漏或不及时转载修改或补充内容等）招标公告或公示信息、不得对招标公告或公示信息等内容进行不全面、不准确、不客观地分析或使用，任何单位或个人违法或违反本条规定转载、使用本招标文件或公示信息的，招标人将依法追究法律责任。</w:t>
      </w:r>
    </w:p>
    <w:p w14:paraId="0455D894">
      <w:pPr>
        <w:pStyle w:val="2"/>
        <w:spacing w:before="120" w:beforeLines="50" w:after="120" w:afterLines="50" w:line="360" w:lineRule="auto"/>
        <w:ind w:left="0" w:firstLine="0"/>
        <w:rPr>
          <w:rStyle w:val="12"/>
          <w:rFonts w:ascii="黑体" w:hAnsi="黑体"/>
          <w:b/>
          <w:sz w:val="24"/>
          <w:szCs w:val="24"/>
        </w:rPr>
      </w:pPr>
      <w:r>
        <w:rPr>
          <w:rStyle w:val="12"/>
          <w:rFonts w:ascii="黑体" w:hAnsi="黑体"/>
          <w:b/>
          <w:sz w:val="24"/>
          <w:szCs w:val="24"/>
        </w:rPr>
        <w:t>10.其他要求及重要提示</w:t>
      </w:r>
    </w:p>
    <w:p w14:paraId="6C624DDA">
      <w:pPr>
        <w:spacing w:line="360" w:lineRule="auto"/>
        <w:ind w:firstLine="422" w:firstLineChars="200"/>
        <w:jc w:val="left"/>
        <w:rPr>
          <w:rFonts w:ascii="宋体" w:hAnsi="宋体" w:eastAsia="宋体" w:cs="宋体"/>
          <w:b/>
          <w:bCs/>
          <w:color w:val="000000" w:themeColor="text1"/>
          <w:szCs w:val="21"/>
          <w14:textFill>
            <w14:solidFill>
              <w14:schemeClr w14:val="tx1"/>
            </w14:solidFill>
          </w14:textFill>
        </w:rPr>
      </w:pPr>
      <w:r>
        <w:rPr>
          <w:rFonts w:ascii="宋体" w:hAnsi="宋体" w:eastAsia="宋体" w:cs="宋体"/>
          <w:b/>
          <w:bCs/>
          <w:color w:val="000000" w:themeColor="text1"/>
          <w:szCs w:val="21"/>
          <w14:textFill>
            <w14:solidFill>
              <w14:schemeClr w14:val="tx1"/>
            </w14:solidFill>
          </w14:textFill>
        </w:rPr>
        <w:t>10.1若本项目涉及农民工工资支付事宜，投标人应该承诺并严格执行《保障农民工工资支付条例》（国务院724号令）等国家有关法规，及时足额支付农民工工资。</w:t>
      </w:r>
    </w:p>
    <w:p w14:paraId="125184DB">
      <w:pPr>
        <w:spacing w:line="360" w:lineRule="auto"/>
        <w:ind w:firstLine="420" w:firstLineChars="200"/>
        <w:jc w:val="left"/>
        <w:rPr>
          <w:rFonts w:ascii="宋体" w:hAnsi="宋体" w:eastAsia="宋体" w:cs="宋体"/>
          <w:szCs w:val="21"/>
        </w:rPr>
      </w:pPr>
      <w:r>
        <w:rPr>
          <w:rFonts w:ascii="宋体" w:hAnsi="宋体" w:eastAsia="宋体" w:cs="宋体"/>
          <w:szCs w:val="21"/>
        </w:rPr>
        <w:t>10.2重要提示：</w:t>
      </w:r>
    </w:p>
    <w:p w14:paraId="5C628552">
      <w:pPr>
        <w:spacing w:line="360" w:lineRule="auto"/>
        <w:ind w:firstLine="420" w:firstLineChars="200"/>
        <w:jc w:val="left"/>
        <w:rPr>
          <w:rFonts w:ascii="宋体" w:hAnsi="宋体" w:eastAsia="宋体" w:cs="宋体"/>
          <w:szCs w:val="21"/>
        </w:rPr>
      </w:pPr>
      <w:r>
        <w:rPr>
          <w:rFonts w:ascii="宋体" w:hAnsi="宋体" w:eastAsia="宋体" w:cs="宋体"/>
          <w:szCs w:val="21"/>
        </w:rPr>
        <w:t>10.2.1本招标文件规定“签章”指签字或盖章。</w:t>
      </w:r>
    </w:p>
    <w:p w14:paraId="4AA18ABB">
      <w:pPr>
        <w:spacing w:line="360" w:lineRule="auto"/>
        <w:ind w:firstLine="422" w:firstLineChars="200"/>
        <w:jc w:val="left"/>
        <w:rPr>
          <w:rFonts w:ascii="宋体" w:hAnsi="宋体" w:eastAsia="宋体" w:cs="宋体"/>
          <w:b/>
          <w:bCs/>
          <w:szCs w:val="21"/>
        </w:rPr>
      </w:pPr>
      <w:r>
        <w:rPr>
          <w:rFonts w:ascii="宋体" w:hAnsi="宋体" w:eastAsia="宋体" w:cs="宋体"/>
          <w:b/>
          <w:bCs/>
          <w:szCs w:val="21"/>
        </w:rPr>
        <w:t>10.2.2投标人编制投标文件时应注意平台上传容量要求，其中商务文件10MB、价格文件30MB、技术文件60MB。</w:t>
      </w:r>
    </w:p>
    <w:p w14:paraId="32541003">
      <w:pPr>
        <w:spacing w:line="360" w:lineRule="auto"/>
        <w:ind w:firstLine="422" w:firstLineChars="200"/>
        <w:jc w:val="left"/>
        <w:rPr>
          <w:rFonts w:ascii="宋体" w:hAnsi="宋体" w:eastAsia="宋体" w:cs="宋体"/>
          <w:b/>
          <w:bCs/>
          <w:szCs w:val="21"/>
        </w:rPr>
      </w:pPr>
      <w:r>
        <w:rPr>
          <w:rFonts w:ascii="宋体" w:hAnsi="宋体" w:eastAsia="宋体" w:cs="宋体"/>
          <w:b/>
          <w:bCs/>
          <w:szCs w:val="21"/>
        </w:rPr>
        <w:t>10.2.3供应商投标工具U+线上自动电子签章只识别“盖章”字符，对字符中含特殊符号或空格、图片形式的，无法进行识别，且只能进行企业公章自动加盖操作，投标人可通过优泰电子签章客户端进行线下企业公章或法定代表人的电子签章。</w:t>
      </w:r>
    </w:p>
    <w:p w14:paraId="5DF70207">
      <w:pPr>
        <w:spacing w:line="360" w:lineRule="auto"/>
        <w:ind w:firstLine="422" w:firstLineChars="200"/>
        <w:jc w:val="left"/>
        <w:rPr>
          <w:rFonts w:ascii="宋体" w:hAnsi="宋体" w:eastAsia="宋体" w:cs="宋体"/>
          <w:b/>
          <w:bCs/>
          <w:color w:val="FF0000"/>
          <w:szCs w:val="21"/>
        </w:rPr>
      </w:pPr>
      <w:r>
        <w:rPr>
          <w:rFonts w:ascii="宋体" w:hAnsi="宋体" w:eastAsia="宋体" w:cs="宋体"/>
          <w:b/>
          <w:bCs/>
          <w:color w:val="FF0000"/>
          <w:szCs w:val="21"/>
        </w:rPr>
        <w:t>招标文件要求维护价格文件且上传“投标报价明细表”的，“投标报价明细表”上传端口无自动加盖企业公章功能，此处要求签章，请完成签章后再行上传。</w:t>
      </w:r>
    </w:p>
    <w:p w14:paraId="6815B68F">
      <w:pPr>
        <w:spacing w:line="360" w:lineRule="auto"/>
        <w:ind w:firstLine="422" w:firstLineChars="200"/>
        <w:jc w:val="left"/>
        <w:rPr>
          <w:rFonts w:ascii="宋体" w:hAnsi="宋体" w:eastAsia="宋体" w:cs="宋体"/>
          <w:b/>
          <w:bCs/>
          <w:szCs w:val="21"/>
        </w:rPr>
      </w:pPr>
      <w:r>
        <w:rPr>
          <w:rFonts w:ascii="宋体" w:hAnsi="宋体" w:eastAsia="宋体" w:cs="宋体"/>
          <w:b/>
          <w:bCs/>
          <w:szCs w:val="21"/>
        </w:rPr>
        <w:t>如未按要求在招标人招投标交易平台信息系统上传电子投标文件，将视为未递交有效投标文件并做否决处理。</w:t>
      </w:r>
    </w:p>
    <w:p w14:paraId="24097AFF">
      <w:pPr>
        <w:spacing w:line="360" w:lineRule="auto"/>
        <w:jc w:val="left"/>
        <w:rPr>
          <w:rFonts w:ascii="宋体" w:hAnsi="宋体" w:eastAsia="宋体" w:cs="宋体"/>
          <w:b/>
          <w:bCs/>
          <w:szCs w:val="21"/>
        </w:rPr>
      </w:pPr>
      <w:r>
        <w:rPr>
          <w:rFonts w:ascii="宋体" w:hAnsi="宋体" w:eastAsia="宋体" w:cs="宋体"/>
          <w:b/>
          <w:bCs/>
          <w:szCs w:val="21"/>
        </w:rPr>
        <w:drawing>
          <wp:anchor distT="0" distB="0" distL="114300" distR="114300" simplePos="0" relativeHeight="251662336" behindDoc="0" locked="0" layoutInCell="1" allowOverlap="1">
            <wp:simplePos x="0" y="0"/>
            <wp:positionH relativeFrom="column">
              <wp:posOffset>15875</wp:posOffset>
            </wp:positionH>
            <wp:positionV relativeFrom="page">
              <wp:posOffset>4298315</wp:posOffset>
            </wp:positionV>
            <wp:extent cx="5266690" cy="1646555"/>
            <wp:effectExtent l="0" t="0" r="10160" b="10795"/>
            <wp:wrapTopAndBottom/>
            <wp:docPr id="16" name="图片 2" descr="wp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2" descr="wps1"/>
                    <pic:cNvPicPr>
                      <a:picLocks noChangeAspect="1"/>
                    </pic:cNvPicPr>
                  </pic:nvPicPr>
                  <pic:blipFill>
                    <a:blip r:embed="rId7"/>
                    <a:stretch>
                      <a:fillRect/>
                    </a:stretch>
                  </pic:blipFill>
                  <pic:spPr>
                    <a:xfrm>
                      <a:off x="0" y="0"/>
                      <a:ext cx="5266690" cy="1646555"/>
                    </a:xfrm>
                    <a:prstGeom prst="rect">
                      <a:avLst/>
                    </a:prstGeom>
                    <a:noFill/>
                    <a:ln>
                      <a:noFill/>
                    </a:ln>
                  </pic:spPr>
                </pic:pic>
              </a:graphicData>
            </a:graphic>
          </wp:anchor>
        </w:drawing>
      </w:r>
      <w:r>
        <w:rPr>
          <w:rFonts w:ascii="宋体" w:hAnsi="宋体" w:eastAsia="宋体" w:cs="宋体"/>
          <w:b/>
          <w:bCs/>
          <w:szCs w:val="21"/>
        </w:rPr>
        <w:drawing>
          <wp:anchor distT="0" distB="0" distL="114300" distR="114300" simplePos="0" relativeHeight="251663360" behindDoc="0" locked="0" layoutInCell="1" allowOverlap="1">
            <wp:simplePos x="0" y="0"/>
            <wp:positionH relativeFrom="column">
              <wp:posOffset>20320</wp:posOffset>
            </wp:positionH>
            <wp:positionV relativeFrom="paragraph">
              <wp:posOffset>63500</wp:posOffset>
            </wp:positionV>
            <wp:extent cx="5266690" cy="2886075"/>
            <wp:effectExtent l="0" t="0" r="10160" b="9525"/>
            <wp:wrapSquare wrapText="bothSides"/>
            <wp:docPr id="17" name="图片 3" descr="wp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3" descr="wps2"/>
                    <pic:cNvPicPr>
                      <a:picLocks noChangeAspect="1"/>
                    </pic:cNvPicPr>
                  </pic:nvPicPr>
                  <pic:blipFill>
                    <a:blip r:embed="rId8"/>
                    <a:stretch>
                      <a:fillRect/>
                    </a:stretch>
                  </pic:blipFill>
                  <pic:spPr>
                    <a:xfrm>
                      <a:off x="0" y="0"/>
                      <a:ext cx="5266690" cy="2886075"/>
                    </a:xfrm>
                    <a:prstGeom prst="rect">
                      <a:avLst/>
                    </a:prstGeom>
                    <a:noFill/>
                    <a:ln>
                      <a:noFill/>
                    </a:ln>
                  </pic:spPr>
                </pic:pic>
              </a:graphicData>
            </a:graphic>
          </wp:anchor>
        </w:drawing>
      </w:r>
    </w:p>
    <w:p w14:paraId="1AC04375">
      <w:pPr>
        <w:spacing w:line="360" w:lineRule="auto"/>
        <w:ind w:firstLine="422" w:firstLineChars="200"/>
        <w:jc w:val="left"/>
        <w:rPr>
          <w:rFonts w:ascii="宋体" w:hAnsi="宋体" w:eastAsia="宋体" w:cs="宋体"/>
          <w:b/>
          <w:bCs/>
          <w:szCs w:val="21"/>
        </w:rPr>
      </w:pPr>
      <w:r>
        <w:rPr>
          <w:rFonts w:ascii="宋体" w:hAnsi="宋体" w:eastAsia="宋体" w:cs="宋体"/>
          <w:b/>
          <w:bCs/>
          <w:szCs w:val="21"/>
        </w:rPr>
        <w:t>10.2.4投标人如未能在投标截止时间前在平台成功上传规定格式及内容的电子投标文件的，将视为无效投标。在投标截止时间之前未在指定上传地址撤回电子投标文件的投标人视为参与本次投标，系统将在开标截止时间自动解密投标文件。</w:t>
      </w:r>
    </w:p>
    <w:p w14:paraId="5CE8A988">
      <w:pPr>
        <w:spacing w:line="360" w:lineRule="auto"/>
        <w:ind w:firstLine="422" w:firstLineChars="200"/>
        <w:jc w:val="left"/>
        <w:rPr>
          <w:rFonts w:ascii="宋体" w:hAnsi="宋体" w:eastAsia="宋体" w:cs="宋体"/>
          <w:b/>
          <w:bCs/>
          <w:szCs w:val="21"/>
        </w:rPr>
      </w:pPr>
      <w:r>
        <w:rPr>
          <w:rFonts w:ascii="宋体" w:hAnsi="宋体" w:eastAsia="宋体" w:cs="宋体"/>
          <w:b/>
          <w:bCs/>
          <w:szCs w:val="21"/>
        </w:rPr>
        <w:t>如投标人主动放弃投标，投标人可在供应商投标工具U+上针对放弃标包进行弃标设置。</w:t>
      </w:r>
    </w:p>
    <w:p w14:paraId="64BCB1ED">
      <w:pPr>
        <w:spacing w:line="360" w:lineRule="auto"/>
        <w:ind w:firstLine="422" w:firstLineChars="200"/>
        <w:jc w:val="left"/>
        <w:rPr>
          <w:rFonts w:ascii="宋体" w:hAnsi="宋体" w:eastAsia="宋体" w:cs="宋体"/>
          <w:b/>
          <w:bCs/>
          <w:szCs w:val="21"/>
        </w:rPr>
      </w:pPr>
      <w:r>
        <w:rPr>
          <w:rFonts w:ascii="宋体" w:hAnsi="宋体" w:eastAsia="宋体" w:cs="宋体"/>
          <w:b/>
          <w:bCs/>
          <w:szCs w:val="21"/>
        </w:rPr>
        <w:t>10.2.5为杜绝围串标行为，净化招投标市场环境，投标人存在串通投标或视为串通投标行为的，该投标人参与本次招标活动的所有标包将被否决，同时招标人将依据《国家电网有限公司供应商不良行为处理管理细则》规定进行后续处理。</w:t>
      </w:r>
    </w:p>
    <w:p w14:paraId="3602C40A">
      <w:pPr>
        <w:spacing w:line="360" w:lineRule="auto"/>
        <w:ind w:firstLine="422" w:firstLineChars="200"/>
        <w:jc w:val="left"/>
        <w:rPr>
          <w:rFonts w:ascii="宋体" w:hAnsi="宋体" w:eastAsia="宋体" w:cs="宋体"/>
          <w:b/>
          <w:bCs/>
          <w:szCs w:val="21"/>
        </w:rPr>
      </w:pPr>
      <w:r>
        <w:rPr>
          <w:rFonts w:ascii="宋体" w:hAnsi="宋体" w:eastAsia="宋体" w:cs="宋体"/>
          <w:b/>
          <w:bCs/>
          <w:szCs w:val="21"/>
        </w:rPr>
        <w:t>10.2.6投标报价应包括国家规定的增值税税金，除投标人须知另有规定外，增值税税金按一般计税方法计算。投标人务必在招标人招投标交易平台信息系统上正确填报税率，错填、漏填税率而导致的任何不利后果均由投标人承担。</w:t>
      </w:r>
    </w:p>
    <w:p w14:paraId="23277F8A">
      <w:pPr>
        <w:spacing w:line="360" w:lineRule="auto"/>
        <w:ind w:firstLine="422" w:firstLineChars="200"/>
        <w:jc w:val="left"/>
        <w:rPr>
          <w:rFonts w:ascii="宋体" w:hAnsi="宋体" w:eastAsia="宋体" w:cs="宋体"/>
          <w:b/>
          <w:bCs/>
          <w:color w:val="FF0000"/>
          <w:szCs w:val="21"/>
        </w:rPr>
      </w:pPr>
      <w:r>
        <w:rPr>
          <w:rFonts w:ascii="宋体" w:hAnsi="宋体" w:eastAsia="宋体" w:cs="宋体"/>
          <w:b/>
          <w:bCs/>
          <w:color w:val="FF0000"/>
          <w:szCs w:val="21"/>
        </w:rPr>
        <w:t>10.2.7投标人应如实按照《投标人与国家电网公司系统人员关系说明》提交其法人、出资人、高管中是否存在国家电网公司系统在职、离职、退休人员，以及上述人员亲属的情况说明。未提交说明的，将进行否决处理。</w:t>
      </w:r>
    </w:p>
    <w:p w14:paraId="3D5484AF">
      <w:pPr>
        <w:spacing w:line="360" w:lineRule="auto"/>
        <w:ind w:firstLine="420" w:firstLineChars="200"/>
        <w:jc w:val="left"/>
        <w:rPr>
          <w:rFonts w:ascii="宋体" w:hAnsi="宋体" w:eastAsia="宋体" w:cs="宋体"/>
          <w:szCs w:val="21"/>
        </w:rPr>
      </w:pPr>
      <w:r>
        <w:rPr>
          <w:rFonts w:ascii="宋体" w:hAnsi="宋体" w:eastAsia="宋体" w:cs="宋体"/>
          <w:szCs w:val="21"/>
        </w:rPr>
        <w:t>10.2.8投标人在使用国家电网新一代电子商务平台供应商投标工具上传投标文件时，资格业绩条件证明材料已纳入对应商务或技术文件。因此，在导入SGCC文件时只需勾选商务文件、技术文件和价格文件并上传，无需再勾选资格业绩文件单独上传。</w:t>
      </w:r>
    </w:p>
    <w:p w14:paraId="6E730636">
      <w:pPr>
        <w:spacing w:line="360" w:lineRule="auto"/>
        <w:ind w:firstLine="420" w:firstLineChars="200"/>
        <w:jc w:val="left"/>
        <w:rPr>
          <w:rFonts w:ascii="宋体" w:hAnsi="宋体" w:eastAsia="宋体" w:cs="宋体"/>
          <w:szCs w:val="21"/>
        </w:rPr>
      </w:pPr>
      <w:r>
        <w:rPr>
          <w:rFonts w:ascii="宋体" w:hAnsi="宋体" w:eastAsia="宋体" w:cs="宋体"/>
          <w:szCs w:val="21"/>
        </w:rPr>
        <w:t>10.2.9请投标人仔细阅读所投标段“投标文件组成”章节内容，并严格按照价格文件、商务文件、技术文件模板要求制作投标文件（投标文件中不能使用插入“超链接”或插入“对象”的方式进行制作）。</w:t>
      </w:r>
    </w:p>
    <w:p w14:paraId="4DC24140">
      <w:pPr>
        <w:spacing w:line="360" w:lineRule="auto"/>
        <w:ind w:firstLine="420" w:firstLineChars="200"/>
        <w:jc w:val="left"/>
        <w:rPr>
          <w:rFonts w:ascii="宋体" w:hAnsi="宋体" w:eastAsia="宋体" w:cs="宋体"/>
          <w:szCs w:val="21"/>
        </w:rPr>
      </w:pPr>
      <w:r>
        <w:rPr>
          <w:rFonts w:ascii="宋体" w:hAnsi="宋体" w:eastAsia="宋体" w:cs="宋体"/>
          <w:szCs w:val="21"/>
        </w:rPr>
        <w:t>10.2.10采用工程量清单计价方式的项目，请投标人务必按照招标文件提供的工程量清单及招标文件要求，进行投标报价及制作投标文件，未严格按照工程量清单进行报价的投标将被否决。</w:t>
      </w:r>
    </w:p>
    <w:p w14:paraId="304E0300">
      <w:pPr>
        <w:spacing w:line="360" w:lineRule="auto"/>
        <w:rPr>
          <w:rFonts w:ascii="宋体" w:hAnsi="宋体" w:eastAsia="宋体" w:cs="宋体"/>
          <w:b/>
          <w:bCs/>
          <w:szCs w:val="21"/>
        </w:rPr>
      </w:pPr>
      <w:r>
        <w:rPr>
          <w:rFonts w:ascii="宋体" w:hAnsi="宋体" w:eastAsia="宋体" w:cs="宋体"/>
          <w:b/>
          <w:bCs/>
          <w:szCs w:val="21"/>
        </w:rPr>
        <w:br w:type="page"/>
      </w:r>
    </w:p>
    <w:p w14:paraId="3BD5ED2B">
      <w:pPr>
        <w:spacing w:line="360" w:lineRule="auto"/>
        <w:ind w:firstLine="422" w:firstLineChars="200"/>
        <w:jc w:val="left"/>
        <w:rPr>
          <w:rFonts w:ascii="宋体" w:hAnsi="宋体" w:eastAsia="宋体" w:cs="宋体"/>
          <w:b/>
          <w:bCs/>
          <w:szCs w:val="21"/>
        </w:rPr>
        <w:sectPr>
          <w:headerReference r:id="rId3" w:type="default"/>
          <w:footerReference r:id="rId4" w:type="default"/>
          <w:pgSz w:w="11906" w:h="16838"/>
          <w:pgMar w:top="1440" w:right="1440" w:bottom="1440" w:left="1440" w:header="850" w:footer="992" w:gutter="567"/>
          <w:cols w:space="0" w:num="1"/>
          <w:docGrid w:linePitch="319" w:charSpace="0"/>
        </w:sectPr>
      </w:pPr>
    </w:p>
    <w:p w14:paraId="18F8601E">
      <w:pPr>
        <w:pStyle w:val="13"/>
        <w:spacing w:line="360" w:lineRule="auto"/>
        <w:rPr>
          <w:rFonts w:ascii="黑体" w:hAnsi="黑体" w:eastAsia="黑体" w:cs="黑体"/>
          <w:b/>
          <w:sz w:val="24"/>
          <w:szCs w:val="24"/>
          <w:lang w:val="en-US"/>
        </w:rPr>
      </w:pPr>
      <w:r>
        <w:rPr>
          <w:rFonts w:ascii="黑体" w:hAnsi="黑体" w:eastAsia="黑体" w:cs="黑体"/>
          <w:b/>
          <w:sz w:val="24"/>
          <w:szCs w:val="24"/>
          <w:lang w:val="en-US"/>
        </w:rPr>
        <w:t>招标公告附件</w:t>
      </w:r>
    </w:p>
    <w:p w14:paraId="0B8C1C0B">
      <w:pPr>
        <w:spacing w:line="360" w:lineRule="auto"/>
        <w:jc w:val="left"/>
        <w:outlineLvl w:val="1"/>
        <w:rPr>
          <w:rFonts w:asciiTheme="minorEastAsia" w:hAnsiTheme="minorEastAsia" w:eastAsiaTheme="minorEastAsia" w:cstheme="minorEastAsia"/>
          <w:b/>
          <w:bCs/>
        </w:rPr>
      </w:pPr>
      <w:r>
        <w:rPr>
          <w:rFonts w:ascii="黑体" w:eastAsia="黑体"/>
          <w:b/>
          <w:sz w:val="24"/>
        </w:rPr>
        <w:t>附件1：专用资格要求</w:t>
      </w:r>
    </w:p>
    <w:tbl>
      <w:tblPr>
        <w:tblStyle w:val="10"/>
        <w:tblW w:w="4998" w:type="pct"/>
        <w:tblInd w:w="0" w:type="dxa"/>
        <w:tblLayout w:type="autofit"/>
        <w:tblCellMar>
          <w:top w:w="0" w:type="dxa"/>
          <w:left w:w="108" w:type="dxa"/>
          <w:bottom w:w="0" w:type="dxa"/>
          <w:right w:w="108" w:type="dxa"/>
        </w:tblCellMar>
      </w:tblPr>
      <w:tblGrid>
        <w:gridCol w:w="518"/>
        <w:gridCol w:w="848"/>
        <w:gridCol w:w="1010"/>
        <w:gridCol w:w="638"/>
        <w:gridCol w:w="2779"/>
        <w:gridCol w:w="1004"/>
        <w:gridCol w:w="2195"/>
        <w:gridCol w:w="2530"/>
        <w:gridCol w:w="916"/>
        <w:gridCol w:w="1730"/>
      </w:tblGrid>
      <w:tr w14:paraId="36E55260">
        <w:tblPrEx>
          <w:tblCellMar>
            <w:top w:w="0" w:type="dxa"/>
            <w:left w:w="108" w:type="dxa"/>
            <w:bottom w:w="0" w:type="dxa"/>
            <w:right w:w="108" w:type="dxa"/>
          </w:tblCellMar>
        </w:tblPrEx>
        <w:trPr>
          <w:trHeight w:val="337" w:hRule="atLeast"/>
        </w:trPr>
        <w:tc>
          <w:tcPr>
            <w:tcW w:w="183" w:type="pct"/>
            <w:vMerge w:val="restart"/>
            <w:tcBorders>
              <w:top w:val="single" w:color="000000" w:sz="4" w:space="0"/>
              <w:left w:val="single" w:color="000000" w:sz="4" w:space="0"/>
              <w:right w:val="single" w:color="000000" w:sz="4" w:space="0"/>
            </w:tcBorders>
            <w:shd w:val="clear" w:color="auto" w:fill="auto"/>
            <w:vAlign w:val="center"/>
          </w:tcPr>
          <w:p w14:paraId="191C8DDE">
            <w:pPr>
              <w:widowControl/>
              <w:spacing w:line="360" w:lineRule="auto"/>
              <w:jc w:val="center"/>
              <w:textAlignment w:val="center"/>
              <w:rPr>
                <w:rFonts w:ascii="宋体" w:hAnsi="宋体" w:eastAsia="宋体" w:cs="宋体"/>
                <w:b/>
                <w:bCs/>
                <w:kern w:val="0"/>
                <w:sz w:val="18"/>
                <w:szCs w:val="18"/>
                <w:lang w:bidi="ar"/>
              </w:rPr>
            </w:pPr>
            <w:r>
              <w:rPr>
                <w:rFonts w:ascii="宋体" w:hAnsi="宋体" w:eastAsia="宋体" w:cs="宋体"/>
                <w:b/>
                <w:bCs/>
                <w:kern w:val="0"/>
                <w:sz w:val="18"/>
                <w:szCs w:val="18"/>
                <w:lang w:bidi="ar"/>
              </w:rPr>
              <w:t>序号</w:t>
            </w:r>
          </w:p>
        </w:tc>
        <w:tc>
          <w:tcPr>
            <w:tcW w:w="299" w:type="pct"/>
            <w:vMerge w:val="restart"/>
            <w:tcBorders>
              <w:top w:val="single" w:color="000000" w:sz="4" w:space="0"/>
              <w:left w:val="single" w:color="000000" w:sz="4" w:space="0"/>
              <w:right w:val="single" w:color="000000" w:sz="4" w:space="0"/>
            </w:tcBorders>
            <w:shd w:val="clear" w:color="auto" w:fill="auto"/>
            <w:vAlign w:val="center"/>
          </w:tcPr>
          <w:p w14:paraId="777B3624">
            <w:pPr>
              <w:widowControl/>
              <w:spacing w:line="360" w:lineRule="auto"/>
              <w:jc w:val="center"/>
              <w:textAlignment w:val="center"/>
              <w:rPr>
                <w:rFonts w:ascii="宋体" w:hAnsi="宋体" w:eastAsia="宋体" w:cs="宋体"/>
                <w:b/>
                <w:bCs/>
                <w:kern w:val="0"/>
                <w:sz w:val="18"/>
                <w:szCs w:val="18"/>
                <w:lang w:bidi="ar"/>
              </w:rPr>
            </w:pPr>
            <w:r>
              <w:rPr>
                <w:rFonts w:ascii="宋体" w:hAnsi="宋体" w:eastAsia="宋体" w:cs="宋体"/>
                <w:b/>
                <w:bCs/>
                <w:kern w:val="0"/>
                <w:sz w:val="18"/>
                <w:szCs w:val="18"/>
                <w:lang w:bidi="ar"/>
              </w:rPr>
              <w:t>分标编号</w:t>
            </w:r>
          </w:p>
        </w:tc>
        <w:tc>
          <w:tcPr>
            <w:tcW w:w="35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CD901A2">
            <w:pPr>
              <w:widowControl/>
              <w:spacing w:line="360" w:lineRule="auto"/>
              <w:jc w:val="center"/>
              <w:textAlignment w:val="center"/>
              <w:rPr>
                <w:rFonts w:ascii="宋体" w:hAnsi="宋体" w:eastAsia="宋体" w:cs="宋体"/>
                <w:b/>
                <w:bCs/>
                <w:sz w:val="18"/>
                <w:szCs w:val="18"/>
              </w:rPr>
            </w:pPr>
            <w:r>
              <w:rPr>
                <w:rFonts w:ascii="宋体" w:hAnsi="宋体" w:eastAsia="宋体" w:cs="宋体"/>
                <w:b/>
                <w:bCs/>
                <w:kern w:val="0"/>
                <w:sz w:val="18"/>
                <w:szCs w:val="18"/>
                <w:lang w:bidi="ar"/>
              </w:rPr>
              <w:t>分标名称</w:t>
            </w:r>
          </w:p>
        </w:tc>
        <w:tc>
          <w:tcPr>
            <w:tcW w:w="225" w:type="pct"/>
            <w:vMerge w:val="restart"/>
            <w:tcBorders>
              <w:top w:val="single" w:color="000000" w:sz="4" w:space="0"/>
              <w:left w:val="single" w:color="000000" w:sz="4" w:space="0"/>
              <w:right w:val="single" w:color="000000" w:sz="4" w:space="0"/>
            </w:tcBorders>
            <w:shd w:val="clear" w:color="auto" w:fill="auto"/>
            <w:vAlign w:val="center"/>
          </w:tcPr>
          <w:p w14:paraId="3C2075C0">
            <w:pPr>
              <w:widowControl/>
              <w:spacing w:line="360" w:lineRule="auto"/>
              <w:jc w:val="center"/>
              <w:textAlignment w:val="center"/>
              <w:rPr>
                <w:rFonts w:ascii="宋体" w:hAnsi="宋体" w:eastAsia="宋体" w:cs="宋体"/>
                <w:b/>
                <w:bCs/>
                <w:kern w:val="0"/>
                <w:sz w:val="18"/>
                <w:szCs w:val="18"/>
                <w:lang w:bidi="ar"/>
              </w:rPr>
            </w:pPr>
            <w:r>
              <w:rPr>
                <w:rFonts w:ascii="宋体" w:hAnsi="宋体" w:eastAsia="宋体" w:cs="宋体"/>
                <w:b/>
                <w:bCs/>
                <w:kern w:val="0"/>
                <w:sz w:val="18"/>
                <w:szCs w:val="18"/>
                <w:lang w:bidi="ar"/>
              </w:rPr>
              <w:t>包号</w:t>
            </w:r>
          </w:p>
        </w:tc>
        <w:tc>
          <w:tcPr>
            <w:tcW w:w="9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520EAE">
            <w:pPr>
              <w:widowControl/>
              <w:spacing w:line="360" w:lineRule="auto"/>
              <w:jc w:val="center"/>
              <w:textAlignment w:val="center"/>
              <w:rPr>
                <w:rFonts w:ascii="宋体" w:hAnsi="宋体" w:eastAsia="宋体" w:cs="宋体"/>
                <w:b/>
                <w:bCs/>
                <w:sz w:val="18"/>
                <w:szCs w:val="18"/>
              </w:rPr>
            </w:pPr>
            <w:r>
              <w:rPr>
                <w:rFonts w:ascii="宋体" w:hAnsi="宋体" w:eastAsia="宋体" w:cs="宋体"/>
                <w:b/>
                <w:bCs/>
                <w:kern w:val="0"/>
                <w:sz w:val="18"/>
                <w:szCs w:val="18"/>
                <w:lang w:bidi="ar"/>
              </w:rPr>
              <w:t>销售业绩要求</w:t>
            </w:r>
          </w:p>
        </w:tc>
        <w:tc>
          <w:tcPr>
            <w:tcW w:w="354" w:type="pct"/>
            <w:vMerge w:val="restart"/>
            <w:tcBorders>
              <w:top w:val="single" w:color="000000" w:sz="4" w:space="0"/>
              <w:left w:val="single" w:color="000000" w:sz="4" w:space="0"/>
              <w:right w:val="single" w:color="000000" w:sz="4" w:space="0"/>
            </w:tcBorders>
            <w:shd w:val="clear" w:color="auto" w:fill="auto"/>
            <w:vAlign w:val="center"/>
          </w:tcPr>
          <w:p w14:paraId="6C4BC290">
            <w:pPr>
              <w:widowControl/>
              <w:spacing w:line="360" w:lineRule="auto"/>
              <w:jc w:val="center"/>
              <w:textAlignment w:val="center"/>
              <w:rPr>
                <w:rFonts w:ascii="宋体" w:hAnsi="宋体" w:eastAsia="宋体" w:cs="宋体"/>
                <w:b/>
                <w:bCs/>
                <w:kern w:val="0"/>
                <w:sz w:val="18"/>
                <w:szCs w:val="18"/>
                <w:lang w:bidi="ar"/>
              </w:rPr>
            </w:pPr>
            <w:r>
              <w:rPr>
                <w:rFonts w:ascii="宋体" w:hAnsi="宋体" w:eastAsia="宋体" w:cs="宋体"/>
                <w:b/>
                <w:bCs/>
                <w:kern w:val="0"/>
                <w:sz w:val="18"/>
                <w:szCs w:val="18"/>
                <w:lang w:bidi="ar"/>
              </w:rPr>
              <w:t>代理商投标</w:t>
            </w:r>
          </w:p>
        </w:tc>
        <w:tc>
          <w:tcPr>
            <w:tcW w:w="774" w:type="pct"/>
            <w:vMerge w:val="restart"/>
            <w:tcBorders>
              <w:top w:val="single" w:color="000000" w:sz="4" w:space="0"/>
              <w:left w:val="single" w:color="000000" w:sz="4" w:space="0"/>
              <w:right w:val="single" w:color="000000" w:sz="4" w:space="0"/>
            </w:tcBorders>
            <w:vAlign w:val="center"/>
          </w:tcPr>
          <w:p w14:paraId="3173F617">
            <w:pPr>
              <w:widowControl/>
              <w:spacing w:line="360" w:lineRule="auto"/>
              <w:jc w:val="center"/>
              <w:textAlignment w:val="center"/>
              <w:rPr>
                <w:rFonts w:ascii="宋体" w:hAnsi="宋体" w:eastAsia="宋体" w:cs="宋体"/>
                <w:b/>
                <w:bCs/>
                <w:kern w:val="0"/>
                <w:sz w:val="18"/>
                <w:szCs w:val="18"/>
                <w:lang w:bidi="ar"/>
              </w:rPr>
            </w:pPr>
            <w:r>
              <w:rPr>
                <w:rFonts w:ascii="宋体" w:hAnsi="宋体" w:eastAsia="宋体" w:cs="宋体"/>
                <w:b/>
                <w:bCs/>
                <w:kern w:val="0"/>
                <w:sz w:val="18"/>
                <w:szCs w:val="18"/>
                <w:lang w:bidi="ar"/>
              </w:rPr>
              <w:t>生产设备</w:t>
            </w:r>
          </w:p>
        </w:tc>
        <w:tc>
          <w:tcPr>
            <w:tcW w:w="892" w:type="pct"/>
            <w:vMerge w:val="restart"/>
            <w:tcBorders>
              <w:top w:val="single" w:color="000000" w:sz="4" w:space="0"/>
              <w:left w:val="single" w:color="000000" w:sz="4" w:space="0"/>
              <w:right w:val="single" w:color="000000" w:sz="4" w:space="0"/>
            </w:tcBorders>
            <w:vAlign w:val="center"/>
          </w:tcPr>
          <w:p w14:paraId="48B499DC">
            <w:pPr>
              <w:widowControl/>
              <w:spacing w:line="360" w:lineRule="auto"/>
              <w:jc w:val="center"/>
              <w:textAlignment w:val="center"/>
              <w:rPr>
                <w:rFonts w:ascii="宋体" w:hAnsi="宋体" w:eastAsia="宋体" w:cs="宋体"/>
                <w:b/>
                <w:bCs/>
                <w:kern w:val="0"/>
                <w:sz w:val="18"/>
                <w:szCs w:val="18"/>
                <w:lang w:bidi="ar"/>
              </w:rPr>
            </w:pPr>
            <w:r>
              <w:rPr>
                <w:rFonts w:ascii="宋体" w:hAnsi="宋体" w:eastAsia="宋体" w:cs="宋体"/>
                <w:b/>
                <w:bCs/>
                <w:kern w:val="0"/>
                <w:sz w:val="18"/>
                <w:szCs w:val="18"/>
                <w:lang w:bidi="ar"/>
              </w:rPr>
              <w:t>试验设备</w:t>
            </w:r>
          </w:p>
        </w:tc>
        <w:tc>
          <w:tcPr>
            <w:tcW w:w="32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37F6E07">
            <w:pPr>
              <w:widowControl/>
              <w:spacing w:line="360" w:lineRule="auto"/>
              <w:jc w:val="center"/>
              <w:textAlignment w:val="center"/>
              <w:rPr>
                <w:rFonts w:ascii="宋体" w:hAnsi="宋体" w:eastAsia="宋体" w:cs="宋体"/>
                <w:b/>
                <w:bCs/>
                <w:sz w:val="18"/>
                <w:szCs w:val="18"/>
              </w:rPr>
            </w:pPr>
            <w:r>
              <w:rPr>
                <w:rFonts w:ascii="宋体" w:hAnsi="宋体" w:eastAsia="宋体" w:cs="宋体"/>
                <w:b/>
                <w:bCs/>
                <w:kern w:val="0"/>
                <w:sz w:val="18"/>
                <w:szCs w:val="18"/>
                <w:lang w:bidi="ar"/>
              </w:rPr>
              <w:t>关键参数</w:t>
            </w:r>
          </w:p>
        </w:tc>
        <w:tc>
          <w:tcPr>
            <w:tcW w:w="61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AACEBF7">
            <w:pPr>
              <w:widowControl/>
              <w:spacing w:line="360" w:lineRule="auto"/>
              <w:jc w:val="center"/>
              <w:textAlignment w:val="center"/>
              <w:rPr>
                <w:rFonts w:ascii="宋体" w:hAnsi="宋体" w:eastAsia="宋体" w:cs="宋体"/>
                <w:b/>
                <w:bCs/>
                <w:sz w:val="18"/>
                <w:szCs w:val="18"/>
              </w:rPr>
            </w:pPr>
            <w:r>
              <w:rPr>
                <w:rFonts w:ascii="宋体" w:hAnsi="宋体" w:eastAsia="宋体" w:cs="宋体"/>
                <w:b/>
                <w:bCs/>
                <w:kern w:val="0"/>
                <w:sz w:val="18"/>
                <w:szCs w:val="18"/>
                <w:lang w:bidi="ar"/>
              </w:rPr>
              <w:t>生产许可证或检测合格证(入网许可证)</w:t>
            </w:r>
          </w:p>
        </w:tc>
      </w:tr>
      <w:tr w14:paraId="097ACF4F">
        <w:tblPrEx>
          <w:tblCellMar>
            <w:top w:w="0" w:type="dxa"/>
            <w:left w:w="108" w:type="dxa"/>
            <w:bottom w:w="0" w:type="dxa"/>
            <w:right w:w="108" w:type="dxa"/>
          </w:tblCellMar>
        </w:tblPrEx>
        <w:trPr>
          <w:trHeight w:val="475" w:hRule="atLeast"/>
        </w:trPr>
        <w:tc>
          <w:tcPr>
            <w:tcW w:w="183" w:type="pct"/>
            <w:vMerge w:val="continue"/>
            <w:tcBorders>
              <w:left w:val="single" w:color="000000" w:sz="4" w:space="0"/>
              <w:bottom w:val="single" w:color="000000" w:sz="4" w:space="0"/>
              <w:right w:val="single" w:color="000000" w:sz="4" w:space="0"/>
            </w:tcBorders>
            <w:shd w:val="clear" w:color="auto" w:fill="auto"/>
            <w:vAlign w:val="center"/>
          </w:tcPr>
          <w:p w14:paraId="1695F914">
            <w:pPr>
              <w:spacing w:line="360" w:lineRule="auto"/>
              <w:jc w:val="center"/>
              <w:rPr>
                <w:rFonts w:ascii="宋体" w:hAnsi="宋体" w:eastAsia="宋体" w:cs="宋体"/>
                <w:b/>
                <w:bCs/>
                <w:sz w:val="18"/>
                <w:szCs w:val="18"/>
              </w:rPr>
            </w:pPr>
          </w:p>
        </w:tc>
        <w:tc>
          <w:tcPr>
            <w:tcW w:w="299" w:type="pct"/>
            <w:vMerge w:val="continue"/>
            <w:tcBorders>
              <w:left w:val="single" w:color="000000" w:sz="4" w:space="0"/>
              <w:bottom w:val="single" w:color="000000" w:sz="4" w:space="0"/>
              <w:right w:val="single" w:color="000000" w:sz="4" w:space="0"/>
            </w:tcBorders>
            <w:shd w:val="clear" w:color="auto" w:fill="auto"/>
            <w:vAlign w:val="center"/>
          </w:tcPr>
          <w:p w14:paraId="128143B1">
            <w:pPr>
              <w:spacing w:line="360" w:lineRule="auto"/>
              <w:jc w:val="center"/>
              <w:rPr>
                <w:rFonts w:ascii="宋体" w:hAnsi="宋体" w:eastAsia="宋体" w:cs="宋体"/>
                <w:b/>
                <w:bCs/>
                <w:sz w:val="18"/>
                <w:szCs w:val="18"/>
              </w:rPr>
            </w:pPr>
          </w:p>
        </w:tc>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0EA576">
            <w:pPr>
              <w:spacing w:line="360" w:lineRule="auto"/>
              <w:jc w:val="center"/>
              <w:rPr>
                <w:rFonts w:ascii="宋体" w:hAnsi="宋体" w:eastAsia="宋体" w:cs="宋体"/>
                <w:b/>
                <w:bCs/>
                <w:sz w:val="18"/>
                <w:szCs w:val="18"/>
              </w:rPr>
            </w:pPr>
          </w:p>
        </w:tc>
        <w:tc>
          <w:tcPr>
            <w:tcW w:w="225" w:type="pct"/>
            <w:vMerge w:val="continue"/>
            <w:tcBorders>
              <w:left w:val="single" w:color="000000" w:sz="4" w:space="0"/>
              <w:bottom w:val="single" w:color="000000" w:sz="4" w:space="0"/>
              <w:right w:val="single" w:color="000000" w:sz="4" w:space="0"/>
            </w:tcBorders>
            <w:shd w:val="clear" w:color="auto" w:fill="auto"/>
            <w:vAlign w:val="center"/>
          </w:tcPr>
          <w:p w14:paraId="40EE5045">
            <w:pPr>
              <w:widowControl/>
              <w:spacing w:line="360" w:lineRule="auto"/>
              <w:jc w:val="center"/>
              <w:textAlignment w:val="center"/>
              <w:rPr>
                <w:rFonts w:ascii="宋体" w:hAnsi="宋体" w:eastAsia="宋体" w:cs="宋体"/>
                <w:b/>
                <w:bCs/>
                <w:kern w:val="0"/>
                <w:sz w:val="18"/>
                <w:szCs w:val="18"/>
                <w:lang w:bidi="ar"/>
              </w:rPr>
            </w:pPr>
          </w:p>
        </w:tc>
        <w:tc>
          <w:tcPr>
            <w:tcW w:w="9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8A4DF2">
            <w:pPr>
              <w:widowControl/>
              <w:spacing w:line="360" w:lineRule="auto"/>
              <w:jc w:val="center"/>
              <w:textAlignment w:val="center"/>
              <w:rPr>
                <w:rFonts w:ascii="宋体" w:hAnsi="宋体" w:eastAsia="宋体" w:cs="宋体"/>
                <w:b/>
                <w:bCs/>
                <w:sz w:val="18"/>
                <w:szCs w:val="18"/>
              </w:rPr>
            </w:pPr>
            <w:r>
              <w:rPr>
                <w:rFonts w:ascii="宋体" w:hAnsi="宋体" w:eastAsia="宋体" w:cs="宋体"/>
                <w:b/>
                <w:bCs/>
                <w:kern w:val="0"/>
                <w:sz w:val="18"/>
                <w:szCs w:val="18"/>
                <w:lang w:bidi="ar"/>
              </w:rPr>
              <w:t>（提供合同证明）合同期限以投标截止日计算</w:t>
            </w:r>
          </w:p>
        </w:tc>
        <w:tc>
          <w:tcPr>
            <w:tcW w:w="354" w:type="pct"/>
            <w:vMerge w:val="continue"/>
            <w:tcBorders>
              <w:left w:val="single" w:color="000000" w:sz="4" w:space="0"/>
              <w:bottom w:val="single" w:color="000000" w:sz="4" w:space="0"/>
              <w:right w:val="single" w:color="000000" w:sz="4" w:space="0"/>
            </w:tcBorders>
            <w:shd w:val="clear" w:color="auto" w:fill="auto"/>
            <w:vAlign w:val="center"/>
          </w:tcPr>
          <w:p w14:paraId="1640C402">
            <w:pPr>
              <w:spacing w:line="360" w:lineRule="auto"/>
              <w:jc w:val="center"/>
              <w:rPr>
                <w:rFonts w:ascii="宋体" w:hAnsi="宋体" w:eastAsia="宋体" w:cs="宋体"/>
                <w:b/>
                <w:bCs/>
                <w:sz w:val="18"/>
                <w:szCs w:val="18"/>
              </w:rPr>
            </w:pPr>
          </w:p>
        </w:tc>
        <w:tc>
          <w:tcPr>
            <w:tcW w:w="774" w:type="pct"/>
            <w:vMerge w:val="continue"/>
            <w:tcBorders>
              <w:left w:val="single" w:color="000000" w:sz="4" w:space="0"/>
              <w:bottom w:val="single" w:color="000000" w:sz="4" w:space="0"/>
              <w:right w:val="single" w:color="000000" w:sz="4" w:space="0"/>
            </w:tcBorders>
          </w:tcPr>
          <w:p w14:paraId="4DAC436A">
            <w:pPr>
              <w:spacing w:line="360" w:lineRule="auto"/>
              <w:jc w:val="center"/>
              <w:rPr>
                <w:rFonts w:ascii="宋体" w:hAnsi="宋体" w:eastAsia="宋体" w:cs="宋体"/>
                <w:b/>
                <w:bCs/>
                <w:sz w:val="18"/>
                <w:szCs w:val="18"/>
              </w:rPr>
            </w:pPr>
          </w:p>
        </w:tc>
        <w:tc>
          <w:tcPr>
            <w:tcW w:w="892" w:type="pct"/>
            <w:vMerge w:val="continue"/>
            <w:tcBorders>
              <w:left w:val="single" w:color="000000" w:sz="4" w:space="0"/>
              <w:bottom w:val="single" w:color="000000" w:sz="4" w:space="0"/>
              <w:right w:val="single" w:color="000000" w:sz="4" w:space="0"/>
            </w:tcBorders>
            <w:vAlign w:val="center"/>
          </w:tcPr>
          <w:p w14:paraId="64A31D4F">
            <w:pPr>
              <w:spacing w:line="360" w:lineRule="auto"/>
              <w:jc w:val="center"/>
              <w:rPr>
                <w:rFonts w:ascii="宋体" w:hAnsi="宋体" w:eastAsia="宋体" w:cs="宋体"/>
                <w:b/>
                <w:bCs/>
                <w:sz w:val="18"/>
                <w:szCs w:val="18"/>
              </w:rPr>
            </w:pPr>
          </w:p>
        </w:tc>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A85DCD">
            <w:pPr>
              <w:spacing w:line="360" w:lineRule="auto"/>
              <w:jc w:val="center"/>
              <w:rPr>
                <w:rFonts w:ascii="宋体" w:hAnsi="宋体" w:eastAsia="宋体" w:cs="宋体"/>
                <w:b/>
                <w:bCs/>
                <w:sz w:val="18"/>
                <w:szCs w:val="18"/>
              </w:rPr>
            </w:pPr>
          </w:p>
        </w:tc>
        <w:tc>
          <w:tcPr>
            <w:tcW w:w="61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237636">
            <w:pPr>
              <w:spacing w:line="360" w:lineRule="auto"/>
              <w:jc w:val="center"/>
              <w:rPr>
                <w:rFonts w:ascii="宋体" w:hAnsi="宋体" w:eastAsia="宋体" w:cs="宋体"/>
                <w:b/>
                <w:bCs/>
                <w:sz w:val="18"/>
                <w:szCs w:val="18"/>
              </w:rPr>
            </w:pPr>
          </w:p>
        </w:tc>
      </w:tr>
      <w:tr w14:paraId="388E247A">
        <w:tblPrEx>
          <w:tblCellMar>
            <w:top w:w="0" w:type="dxa"/>
            <w:left w:w="108" w:type="dxa"/>
            <w:bottom w:w="0" w:type="dxa"/>
            <w:right w:w="108" w:type="dxa"/>
          </w:tblCellMar>
        </w:tblPrEx>
        <w:trPr>
          <w:trHeight w:val="3349" w:hRule="atLeast"/>
        </w:trPr>
        <w:tc>
          <w:tcPr>
            <w:tcW w:w="1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6FCD6F">
            <w:pPr>
              <w:widowControl/>
              <w:spacing w:line="360" w:lineRule="auto"/>
              <w:jc w:val="center"/>
              <w:textAlignment w:val="center"/>
              <w:rPr>
                <w:rFonts w:ascii="宋体" w:hAnsi="宋体" w:eastAsia="宋体" w:cs="宋体"/>
                <w:szCs w:val="21"/>
              </w:rPr>
            </w:pPr>
            <w:r>
              <w:rPr>
                <w:rFonts w:ascii="宋体" w:hAnsi="宋体" w:eastAsia="宋体" w:cs="宋体"/>
                <w:szCs w:val="21"/>
              </w:rPr>
              <w:t>1</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28FCF5">
            <w:pPr>
              <w:widowControl/>
              <w:spacing w:line="360" w:lineRule="auto"/>
              <w:jc w:val="center"/>
              <w:textAlignment w:val="center"/>
              <w:rPr>
                <w:rFonts w:ascii="宋体" w:hAnsi="宋体" w:eastAsia="宋体" w:cs="宋体"/>
                <w:szCs w:val="21"/>
              </w:rPr>
            </w:pPr>
            <w:r>
              <w:rPr>
                <w:rFonts w:ascii="宋体" w:hAnsi="宋体" w:eastAsia="宋体" w:cs="宋体"/>
                <w:szCs w:val="21"/>
              </w:rPr>
              <w:t>001</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7D107A">
            <w:pPr>
              <w:widowControl/>
              <w:spacing w:line="360" w:lineRule="auto"/>
              <w:jc w:val="center"/>
              <w:textAlignment w:val="center"/>
              <w:rPr>
                <w:rFonts w:ascii="宋体" w:hAnsi="宋体" w:eastAsia="宋体" w:cs="宋体"/>
                <w:szCs w:val="21"/>
              </w:rPr>
            </w:pPr>
            <w:r>
              <w:rPr>
                <w:rFonts w:ascii="宋体" w:hAnsi="宋体" w:eastAsia="宋体" w:cs="宋体"/>
                <w:szCs w:val="21"/>
              </w:rPr>
              <w:t>中泰新能源托克逊项目电缆采购</w:t>
            </w:r>
          </w:p>
        </w:tc>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EE117A">
            <w:pPr>
              <w:widowControl/>
              <w:spacing w:line="360" w:lineRule="auto"/>
              <w:jc w:val="center"/>
              <w:textAlignment w:val="center"/>
              <w:rPr>
                <w:rFonts w:ascii="宋体" w:hAnsi="宋体" w:eastAsia="宋体" w:cs="宋体"/>
                <w:szCs w:val="21"/>
              </w:rPr>
            </w:pPr>
            <w:r>
              <w:rPr>
                <w:rFonts w:ascii="宋体" w:hAnsi="宋体" w:eastAsia="宋体" w:cs="宋体"/>
                <w:szCs w:val="21"/>
              </w:rPr>
              <w:t>包1</w:t>
            </w:r>
          </w:p>
        </w:tc>
        <w:tc>
          <w:tcPr>
            <w:tcW w:w="9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216A81">
            <w:pPr>
              <w:widowControl/>
              <w:spacing w:line="360" w:lineRule="auto"/>
              <w:jc w:val="center"/>
              <w:textAlignment w:val="center"/>
              <w:rPr>
                <w:rFonts w:ascii="宋体" w:hAnsi="宋体" w:eastAsia="宋体" w:cs="宋体"/>
                <w:color w:val="FF0000"/>
                <w:kern w:val="0"/>
                <w:szCs w:val="21"/>
                <w:lang w:bidi="ar"/>
              </w:rPr>
            </w:pPr>
            <w:r>
              <w:rPr>
                <w:rFonts w:ascii="宋体" w:hAnsi="宋体" w:eastAsia="宋体" w:cs="宋体"/>
                <w:bCs/>
                <w:color w:val="000000" w:themeColor="text1"/>
                <w:kern w:val="0"/>
                <w:szCs w:val="21"/>
                <w:lang w:bidi="ar"/>
                <w14:textFill>
                  <w14:solidFill>
                    <w14:schemeClr w14:val="tx1"/>
                  </w14:solidFill>
                </w14:textFill>
              </w:rPr>
              <w:t>近三年所投同类</w:t>
            </w:r>
            <w:r>
              <w:rPr>
                <w:rFonts w:ascii="宋体" w:hAnsi="宋体" w:eastAsia="宋体" w:cs="宋体"/>
                <w:color w:val="000000" w:themeColor="text1"/>
                <w:kern w:val="0"/>
                <w:szCs w:val="21"/>
                <w:lang w:bidi="ar"/>
                <w14:textFill>
                  <w14:solidFill>
                    <w14:schemeClr w14:val="tx1"/>
                  </w14:solidFill>
                </w14:textFill>
              </w:rPr>
              <w:t>产品</w:t>
            </w:r>
            <w:r>
              <w:rPr>
                <w:rFonts w:ascii="宋体" w:hAnsi="宋体" w:eastAsia="宋体" w:cs="宋体"/>
                <w:bCs/>
                <w:color w:val="000000" w:themeColor="text1"/>
                <w:kern w:val="0"/>
                <w:szCs w:val="21"/>
                <w:lang w:bidi="ar"/>
                <w14:textFill>
                  <w14:solidFill>
                    <w14:schemeClr w14:val="tx1"/>
                  </w14:solidFill>
                </w14:textFill>
              </w:rPr>
              <w:t>累计销售业绩不少于500万元</w:t>
            </w:r>
            <w:r>
              <w:rPr>
                <w:rFonts w:ascii="宋体" w:hAnsi="宋体" w:eastAsia="宋体" w:cs="宋体"/>
                <w:color w:val="000000" w:themeColor="text1"/>
                <w:kern w:val="0"/>
                <w:szCs w:val="21"/>
                <w:lang w:bidi="ar"/>
                <w14:textFill>
                  <w14:solidFill>
                    <w14:schemeClr w14:val="tx1"/>
                  </w14:solidFill>
                </w14:textFill>
              </w:rPr>
              <w:t>。注：</w:t>
            </w:r>
            <w:r>
              <w:rPr>
                <w:rFonts w:ascii="宋体" w:hAnsi="宋体" w:eastAsia="宋体" w:cs="宋体"/>
                <w:color w:val="FF0000"/>
                <w:kern w:val="0"/>
                <w:szCs w:val="21"/>
                <w:lang w:bidi="ar"/>
              </w:rPr>
              <w:t>销售业绩必须提供合同证明材料（</w:t>
            </w:r>
            <w:r>
              <w:rPr>
                <w:rFonts w:ascii="宋体" w:hAnsi="宋体" w:eastAsia="宋体" w:cs="宋体"/>
              </w:rPr>
              <w:t>证明材料包括供货单位、用户、产品规格型号等重要产品信息、供货数量及价格等内容）</w:t>
            </w:r>
            <w:r>
              <w:rPr>
                <w:rFonts w:ascii="宋体" w:hAnsi="宋体" w:eastAsia="宋体" w:cs="宋体"/>
                <w:color w:val="FF0000"/>
                <w:kern w:val="0"/>
                <w:szCs w:val="21"/>
                <w:lang w:bidi="ar"/>
              </w:rPr>
              <w:t>。</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48095C">
            <w:pPr>
              <w:widowControl/>
              <w:spacing w:line="360" w:lineRule="auto"/>
              <w:jc w:val="center"/>
              <w:textAlignment w:val="center"/>
              <w:rPr>
                <w:rFonts w:ascii="宋体" w:hAnsi="宋体" w:eastAsia="宋体" w:cs="宋体"/>
                <w:szCs w:val="21"/>
              </w:rPr>
            </w:pPr>
            <w:r>
              <w:rPr>
                <w:rFonts w:hint="default" w:ascii="宋体" w:hAnsi="宋体" w:eastAsia="宋体" w:cs="宋体"/>
                <w:bCs/>
                <w:szCs w:val="21"/>
              </w:rPr>
              <w:t>代理商需提供所投产品的制造商</w:t>
            </w:r>
            <w:r>
              <w:rPr>
                <w:rFonts w:ascii="宋体" w:hAnsi="宋体" w:eastAsia="宋体" w:cs="宋体"/>
                <w:bCs/>
                <w:szCs w:val="21"/>
              </w:rPr>
              <w:t>唯一</w:t>
            </w:r>
            <w:r>
              <w:rPr>
                <w:rFonts w:hint="default" w:ascii="宋体" w:hAnsi="宋体" w:eastAsia="宋体" w:cs="宋体"/>
                <w:bCs/>
                <w:szCs w:val="21"/>
              </w:rPr>
              <w:t>授权书。</w:t>
            </w:r>
          </w:p>
        </w:tc>
        <w:tc>
          <w:tcPr>
            <w:tcW w:w="774" w:type="pct"/>
            <w:tcBorders>
              <w:top w:val="single" w:color="000000" w:sz="4" w:space="0"/>
              <w:left w:val="single" w:color="000000" w:sz="4" w:space="0"/>
              <w:bottom w:val="single" w:color="000000" w:sz="4" w:space="0"/>
              <w:right w:val="single" w:color="000000" w:sz="4" w:space="0"/>
            </w:tcBorders>
            <w:vAlign w:val="center"/>
          </w:tcPr>
          <w:p w14:paraId="6F9BC99D">
            <w:pPr>
              <w:widowControl/>
              <w:numPr>
                <w:ilvl w:val="0"/>
                <w:numId w:val="2"/>
              </w:numPr>
              <w:spacing w:line="360" w:lineRule="auto"/>
              <w:jc w:val="left"/>
              <w:textAlignment w:val="center"/>
              <w:rPr>
                <w:rFonts w:ascii="宋体" w:hAnsi="宋体" w:eastAsia="宋体" w:cs="宋体"/>
                <w:bCs/>
                <w:color w:val="000000" w:themeColor="text1"/>
                <w:kern w:val="0"/>
                <w:szCs w:val="21"/>
                <w:lang w:bidi="ar"/>
                <w14:textFill>
                  <w14:solidFill>
                    <w14:schemeClr w14:val="tx1"/>
                  </w14:solidFill>
                </w14:textFill>
              </w:rPr>
            </w:pPr>
            <w:r>
              <w:rPr>
                <w:rFonts w:ascii="宋体" w:hAnsi="宋体" w:eastAsia="宋体" w:cs="宋体"/>
                <w:bCs/>
                <w:color w:val="000000" w:themeColor="text1"/>
                <w:kern w:val="0"/>
                <w:szCs w:val="21"/>
                <w:lang w:bidi="ar"/>
                <w14:textFill>
                  <w14:solidFill>
                    <w14:schemeClr w14:val="tx1"/>
                  </w14:solidFill>
                </w14:textFill>
              </w:rPr>
              <w:t>导体绞制设备；</w:t>
            </w:r>
          </w:p>
          <w:p w14:paraId="469278E8">
            <w:pPr>
              <w:widowControl/>
              <w:numPr>
                <w:ilvl w:val="0"/>
                <w:numId w:val="2"/>
              </w:numPr>
              <w:spacing w:line="360" w:lineRule="auto"/>
              <w:jc w:val="left"/>
              <w:textAlignment w:val="center"/>
              <w:rPr>
                <w:rFonts w:ascii="宋体" w:hAnsi="宋体" w:eastAsia="宋体" w:cs="宋体"/>
                <w:szCs w:val="21"/>
              </w:rPr>
            </w:pPr>
            <w:r>
              <w:rPr>
                <w:rFonts w:ascii="宋体" w:hAnsi="宋体" w:eastAsia="宋体" w:cs="宋体"/>
                <w:bCs/>
                <w:color w:val="000000" w:themeColor="text1"/>
                <w:kern w:val="0"/>
                <w:szCs w:val="21"/>
                <w:lang w:bidi="ar"/>
                <w14:textFill>
                  <w14:solidFill>
                    <w14:schemeClr w14:val="tx1"/>
                  </w14:solidFill>
                </w14:textFill>
              </w:rPr>
              <w:t>塑料挤出设备；</w:t>
            </w:r>
          </w:p>
          <w:p w14:paraId="7C353345">
            <w:pPr>
              <w:widowControl/>
              <w:numPr>
                <w:ilvl w:val="0"/>
                <w:numId w:val="2"/>
              </w:numPr>
              <w:spacing w:line="360" w:lineRule="auto"/>
              <w:jc w:val="left"/>
              <w:textAlignment w:val="center"/>
              <w:rPr>
                <w:rFonts w:ascii="宋体" w:hAnsi="宋体" w:eastAsia="宋体" w:cs="宋体"/>
                <w:szCs w:val="21"/>
              </w:rPr>
            </w:pPr>
            <w:r>
              <w:rPr>
                <w:rFonts w:ascii="宋体" w:hAnsi="宋体" w:eastAsia="宋体" w:cs="宋体"/>
                <w:bCs/>
                <w:color w:val="000000" w:themeColor="text1"/>
                <w:kern w:val="0"/>
                <w:szCs w:val="21"/>
                <w:lang w:bidi="ar"/>
                <w14:textFill>
                  <w14:solidFill>
                    <w14:schemeClr w14:val="tx1"/>
                  </w14:solidFill>
                </w14:textFill>
              </w:rPr>
              <w:t>成缆设备；</w:t>
            </w:r>
          </w:p>
          <w:p w14:paraId="1FFCD9DA">
            <w:pPr>
              <w:widowControl/>
              <w:numPr>
                <w:ilvl w:val="0"/>
                <w:numId w:val="2"/>
              </w:numPr>
              <w:spacing w:line="360" w:lineRule="auto"/>
              <w:jc w:val="left"/>
              <w:textAlignment w:val="center"/>
              <w:rPr>
                <w:rFonts w:ascii="宋体" w:hAnsi="宋体" w:eastAsia="宋体" w:cs="宋体"/>
                <w:szCs w:val="21"/>
              </w:rPr>
            </w:pPr>
            <w:r>
              <w:rPr>
                <w:rFonts w:ascii="宋体" w:hAnsi="宋体" w:eastAsia="宋体" w:cs="宋体"/>
                <w:bCs/>
                <w:color w:val="000000" w:themeColor="text1"/>
                <w:kern w:val="0"/>
                <w:szCs w:val="21"/>
                <w:lang w:bidi="ar"/>
                <w14:textFill>
                  <w14:solidFill>
                    <w14:schemeClr w14:val="tx1"/>
                  </w14:solidFill>
                </w14:textFill>
              </w:rPr>
              <w:t>交联悬链生产线或立式生产线(硫化管、旋转牵引设备)；</w:t>
            </w:r>
          </w:p>
          <w:p w14:paraId="423E365E">
            <w:pPr>
              <w:widowControl/>
              <w:numPr>
                <w:ilvl w:val="0"/>
                <w:numId w:val="2"/>
              </w:numPr>
              <w:spacing w:line="360" w:lineRule="auto"/>
              <w:jc w:val="left"/>
              <w:textAlignment w:val="center"/>
              <w:rPr>
                <w:rFonts w:ascii="宋体" w:hAnsi="宋体" w:eastAsia="宋体" w:cs="宋体"/>
                <w:szCs w:val="21"/>
              </w:rPr>
            </w:pPr>
            <w:r>
              <w:rPr>
                <w:rFonts w:ascii="宋体" w:hAnsi="宋体" w:eastAsia="宋体" w:cs="宋体"/>
                <w:bCs/>
                <w:color w:val="000000" w:themeColor="text1"/>
                <w:kern w:val="0"/>
                <w:szCs w:val="21"/>
                <w:lang w:bidi="ar"/>
                <w14:textFill>
                  <w14:solidFill>
                    <w14:schemeClr w14:val="tx1"/>
                  </w14:solidFill>
                </w14:textFill>
              </w:rPr>
              <w:t>带材绕包设备；</w:t>
            </w:r>
          </w:p>
          <w:p w14:paraId="67B89A80">
            <w:pPr>
              <w:widowControl/>
              <w:numPr>
                <w:ilvl w:val="0"/>
                <w:numId w:val="2"/>
              </w:numPr>
              <w:spacing w:line="360" w:lineRule="auto"/>
              <w:jc w:val="left"/>
              <w:textAlignment w:val="center"/>
              <w:rPr>
                <w:rFonts w:ascii="宋体" w:hAnsi="宋体" w:eastAsia="宋体" w:cs="宋体"/>
                <w:szCs w:val="21"/>
              </w:rPr>
            </w:pPr>
            <w:r>
              <w:rPr>
                <w:rFonts w:ascii="宋体" w:hAnsi="宋体" w:eastAsia="宋体" w:cs="宋体"/>
                <w:bCs/>
                <w:color w:val="000000" w:themeColor="text1"/>
                <w:kern w:val="0"/>
                <w:szCs w:val="21"/>
                <w:lang w:bidi="ar"/>
                <w14:textFill>
                  <w14:solidFill>
                    <w14:schemeClr w14:val="tx1"/>
                  </w14:solidFill>
                </w14:textFill>
              </w:rPr>
              <w:t>成铠设备。</w:t>
            </w:r>
          </w:p>
        </w:tc>
        <w:tc>
          <w:tcPr>
            <w:tcW w:w="892" w:type="pct"/>
            <w:tcBorders>
              <w:top w:val="single" w:color="000000" w:sz="4" w:space="0"/>
              <w:left w:val="single" w:color="000000" w:sz="4" w:space="0"/>
              <w:bottom w:val="single" w:color="000000" w:sz="4" w:space="0"/>
              <w:right w:val="single" w:color="000000" w:sz="4" w:space="0"/>
            </w:tcBorders>
            <w:vAlign w:val="center"/>
          </w:tcPr>
          <w:p w14:paraId="300BFEFC">
            <w:pPr>
              <w:widowControl/>
              <w:numPr>
                <w:ilvl w:val="0"/>
                <w:numId w:val="3"/>
              </w:numPr>
              <w:spacing w:line="360" w:lineRule="auto"/>
              <w:jc w:val="left"/>
              <w:textAlignment w:val="center"/>
              <w:rPr>
                <w:rFonts w:ascii="宋体" w:hAnsi="宋体" w:eastAsia="宋体" w:cs="宋体"/>
                <w:bCs/>
                <w:color w:val="000000" w:themeColor="text1"/>
                <w:kern w:val="0"/>
                <w:szCs w:val="21"/>
                <w:lang w:bidi="ar"/>
                <w14:textFill>
                  <w14:solidFill>
                    <w14:schemeClr w14:val="tx1"/>
                  </w14:solidFill>
                </w14:textFill>
              </w:rPr>
            </w:pPr>
            <w:r>
              <w:rPr>
                <w:rFonts w:ascii="宋体" w:hAnsi="宋体" w:eastAsia="宋体" w:cs="宋体"/>
                <w:bCs/>
                <w:color w:val="000000" w:themeColor="text1"/>
                <w:kern w:val="0"/>
                <w:szCs w:val="21"/>
                <w:lang w:bidi="ar"/>
                <w14:textFill>
                  <w14:solidFill>
                    <w14:schemeClr w14:val="tx1"/>
                  </w14:solidFill>
                </w14:textFill>
              </w:rPr>
              <w:t>局部放电检测设备(适用于 6ky 及以上电力电缆)</w:t>
            </w:r>
          </w:p>
          <w:p w14:paraId="5741E542">
            <w:pPr>
              <w:widowControl/>
              <w:numPr>
                <w:ilvl w:val="0"/>
                <w:numId w:val="3"/>
              </w:numPr>
              <w:spacing w:line="360" w:lineRule="auto"/>
              <w:jc w:val="left"/>
              <w:textAlignment w:val="center"/>
              <w:rPr>
                <w:rFonts w:ascii="宋体" w:hAnsi="宋体" w:eastAsia="宋体" w:cs="宋体"/>
                <w:bCs/>
                <w:color w:val="000000" w:themeColor="text1"/>
                <w:kern w:val="0"/>
                <w:szCs w:val="21"/>
                <w:lang w:bidi="ar"/>
                <w14:textFill>
                  <w14:solidFill>
                    <w14:schemeClr w14:val="tx1"/>
                  </w14:solidFill>
                </w14:textFill>
              </w:rPr>
            </w:pPr>
            <w:r>
              <w:rPr>
                <w:rFonts w:ascii="宋体" w:hAnsi="宋体" w:eastAsia="宋体" w:cs="宋体"/>
                <w:bCs/>
                <w:color w:val="000000" w:themeColor="text1"/>
                <w:kern w:val="0"/>
                <w:szCs w:val="21"/>
                <w:lang w:bidi="ar"/>
                <w14:textFill>
                  <w14:solidFill>
                    <w14:schemeClr w14:val="tx1"/>
                  </w14:solidFill>
                </w14:textFill>
              </w:rPr>
              <w:t>耐压试验设备；</w:t>
            </w:r>
          </w:p>
          <w:p w14:paraId="1604FB68">
            <w:pPr>
              <w:widowControl/>
              <w:numPr>
                <w:ilvl w:val="0"/>
                <w:numId w:val="3"/>
              </w:numPr>
              <w:spacing w:line="360" w:lineRule="auto"/>
              <w:jc w:val="left"/>
              <w:textAlignment w:val="center"/>
              <w:rPr>
                <w:rFonts w:ascii="宋体" w:hAnsi="宋体" w:eastAsia="宋体" w:cs="宋体"/>
                <w:szCs w:val="21"/>
              </w:rPr>
            </w:pPr>
            <w:r>
              <w:rPr>
                <w:rFonts w:ascii="宋体" w:hAnsi="宋体" w:eastAsia="宋体" w:cs="宋体"/>
                <w:bCs/>
                <w:color w:val="000000" w:themeColor="text1"/>
                <w:kern w:val="0"/>
                <w:szCs w:val="21"/>
                <w:lang w:bidi="ar"/>
                <w14:textFill>
                  <w14:solidFill>
                    <w14:schemeClr w14:val="tx1"/>
                  </w14:solidFill>
                </w14:textFill>
              </w:rPr>
              <w:t>直流电阻测试仪；</w:t>
            </w:r>
          </w:p>
          <w:p w14:paraId="582D83DF">
            <w:pPr>
              <w:widowControl/>
              <w:numPr>
                <w:ilvl w:val="0"/>
                <w:numId w:val="3"/>
              </w:numPr>
              <w:spacing w:line="360" w:lineRule="auto"/>
              <w:jc w:val="left"/>
              <w:textAlignment w:val="center"/>
              <w:rPr>
                <w:rFonts w:ascii="宋体" w:hAnsi="宋体" w:eastAsia="宋体" w:cs="宋体"/>
                <w:szCs w:val="21"/>
              </w:rPr>
            </w:pPr>
            <w:r>
              <w:rPr>
                <w:rFonts w:ascii="宋体" w:hAnsi="宋体" w:eastAsia="宋体" w:cs="宋体"/>
                <w:bCs/>
                <w:color w:val="000000" w:themeColor="text1"/>
                <w:kern w:val="0"/>
                <w:szCs w:val="21"/>
                <w:lang w:bidi="ar"/>
                <w14:textFill>
                  <w14:solidFill>
                    <w14:schemeClr w14:val="tx1"/>
                  </w14:solidFill>
                </w14:textFill>
              </w:rPr>
              <w:t>绝缘电阻测试仪；</w:t>
            </w:r>
          </w:p>
          <w:p w14:paraId="6528D99A">
            <w:pPr>
              <w:widowControl/>
              <w:numPr>
                <w:ilvl w:val="0"/>
                <w:numId w:val="3"/>
              </w:numPr>
              <w:spacing w:line="360" w:lineRule="auto"/>
              <w:jc w:val="left"/>
              <w:textAlignment w:val="center"/>
              <w:rPr>
                <w:rFonts w:ascii="宋体" w:hAnsi="宋体" w:eastAsia="宋体" w:cs="宋体"/>
                <w:szCs w:val="21"/>
              </w:rPr>
            </w:pPr>
            <w:r>
              <w:rPr>
                <w:rFonts w:ascii="宋体" w:hAnsi="宋体" w:eastAsia="宋体" w:cs="宋体"/>
                <w:bCs/>
                <w:color w:val="000000" w:themeColor="text1"/>
                <w:kern w:val="0"/>
                <w:szCs w:val="21"/>
                <w:lang w:bidi="ar"/>
                <w14:textFill>
                  <w14:solidFill>
                    <w14:schemeClr w14:val="tx1"/>
                  </w14:solidFill>
                </w14:textFill>
              </w:rPr>
              <w:t>老化箱（热延伸试验检测设备）；</w:t>
            </w:r>
          </w:p>
          <w:p w14:paraId="6B30CFBF">
            <w:pPr>
              <w:widowControl/>
              <w:numPr>
                <w:ilvl w:val="0"/>
                <w:numId w:val="3"/>
              </w:numPr>
              <w:spacing w:line="360" w:lineRule="auto"/>
              <w:jc w:val="left"/>
              <w:textAlignment w:val="center"/>
              <w:rPr>
                <w:rFonts w:ascii="宋体" w:hAnsi="宋体" w:eastAsia="宋体" w:cs="宋体"/>
                <w:szCs w:val="21"/>
              </w:rPr>
            </w:pPr>
            <w:r>
              <w:rPr>
                <w:rFonts w:ascii="宋体" w:hAnsi="宋体" w:eastAsia="宋体" w:cs="宋体"/>
                <w:bCs/>
                <w:color w:val="000000" w:themeColor="text1"/>
                <w:kern w:val="0"/>
                <w:szCs w:val="21"/>
                <w:lang w:bidi="ar"/>
                <w14:textFill>
                  <w14:solidFill>
                    <w14:schemeClr w14:val="tx1"/>
                  </w14:solidFill>
                </w14:textFill>
              </w:rPr>
              <w:t>电缆截面投影仪。</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9EB451">
            <w:pPr>
              <w:widowControl/>
              <w:spacing w:line="360" w:lineRule="auto"/>
              <w:jc w:val="center"/>
              <w:textAlignment w:val="center"/>
              <w:rPr>
                <w:rFonts w:ascii="宋体" w:hAnsi="宋体" w:eastAsia="宋体" w:cs="宋体"/>
                <w:szCs w:val="21"/>
              </w:rPr>
            </w:pPr>
            <w:r>
              <w:rPr>
                <w:rFonts w:ascii="宋体" w:hAnsi="宋体" w:eastAsia="宋体" w:cs="宋体"/>
                <w:szCs w:val="21"/>
              </w:rPr>
              <w:t>/</w:t>
            </w:r>
          </w:p>
        </w:tc>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7870DA">
            <w:pPr>
              <w:widowControl/>
              <w:spacing w:line="360" w:lineRule="auto"/>
              <w:jc w:val="center"/>
              <w:textAlignment w:val="center"/>
              <w:rPr>
                <w:rFonts w:ascii="宋体" w:hAnsi="宋体" w:eastAsia="宋体" w:cs="宋体"/>
                <w:szCs w:val="21"/>
              </w:rPr>
            </w:pPr>
            <w:r>
              <w:rPr>
                <w:rFonts w:ascii="宋体" w:hAnsi="宋体" w:eastAsia="宋体" w:cs="宋体"/>
                <w:szCs w:val="21"/>
              </w:rPr>
              <w:t>投标产品（电线电缆）制造商需具有《全国工业产品生产许可证》</w:t>
            </w:r>
          </w:p>
        </w:tc>
      </w:tr>
    </w:tbl>
    <w:p w14:paraId="401A2886">
      <w:pPr>
        <w:pStyle w:val="8"/>
        <w:rPr>
          <w:rFonts w:hint="default"/>
        </w:rPr>
      </w:pPr>
      <w:r>
        <w:br w:type="page"/>
      </w:r>
    </w:p>
    <w:p w14:paraId="46916C1B">
      <w:pPr>
        <w:adjustRightInd w:val="0"/>
        <w:snapToGrid w:val="0"/>
        <w:spacing w:before="240" w:beforeLines="100" w:after="120" w:afterLines="50" w:line="360" w:lineRule="auto"/>
        <w:outlineLvl w:val="1"/>
        <w:rPr>
          <w:rFonts w:ascii="黑体" w:eastAsia="黑体"/>
          <w:b/>
          <w:sz w:val="24"/>
          <w:szCs w:val="20"/>
        </w:rPr>
      </w:pPr>
      <w:r>
        <w:rPr>
          <w:rFonts w:ascii="黑体" w:eastAsia="黑体"/>
          <w:b/>
          <w:sz w:val="24"/>
        </w:rPr>
        <w:t>附件2：采购需求一览表</w:t>
      </w:r>
    </w:p>
    <w:tbl>
      <w:tblPr>
        <w:tblStyle w:val="10"/>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7"/>
        <w:gridCol w:w="1028"/>
        <w:gridCol w:w="1272"/>
        <w:gridCol w:w="771"/>
        <w:gridCol w:w="1844"/>
        <w:gridCol w:w="1349"/>
        <w:gridCol w:w="2357"/>
        <w:gridCol w:w="1793"/>
        <w:gridCol w:w="1652"/>
        <w:gridCol w:w="1360"/>
      </w:tblGrid>
      <w:tr w14:paraId="5BF082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1" w:hRule="atLeast"/>
        </w:trPr>
        <w:tc>
          <w:tcPr>
            <w:tcW w:w="260" w:type="pct"/>
            <w:shd w:val="clear" w:color="auto" w:fill="D9D9D9"/>
            <w:vAlign w:val="center"/>
          </w:tcPr>
          <w:p w14:paraId="53ED0FF7">
            <w:pPr>
              <w:pStyle w:val="3"/>
              <w:spacing w:line="360" w:lineRule="auto"/>
              <w:ind w:right="-13" w:rightChars="-6"/>
              <w:jc w:val="center"/>
              <w:rPr>
                <w:rFonts w:ascii="黑体"/>
                <w:b/>
              </w:rPr>
            </w:pPr>
            <w:r>
              <w:rPr>
                <w:rFonts w:ascii="黑体"/>
                <w:b/>
              </w:rPr>
              <w:t>序号</w:t>
            </w:r>
          </w:p>
        </w:tc>
        <w:tc>
          <w:tcPr>
            <w:tcW w:w="363" w:type="pct"/>
            <w:shd w:val="clear" w:color="auto" w:fill="D9D9D9"/>
            <w:vAlign w:val="center"/>
          </w:tcPr>
          <w:p w14:paraId="488A4D7F">
            <w:pPr>
              <w:widowControl/>
              <w:spacing w:line="360" w:lineRule="auto"/>
              <w:jc w:val="center"/>
              <w:textAlignment w:val="center"/>
              <w:rPr>
                <w:rFonts w:ascii="黑体"/>
                <w:b/>
                <w:szCs w:val="21"/>
              </w:rPr>
            </w:pPr>
            <w:r>
              <w:rPr>
                <w:rFonts w:ascii="宋体" w:hAnsi="宋体" w:eastAsia="宋体" w:cs="宋体"/>
                <w:b/>
                <w:bCs/>
                <w:kern w:val="0"/>
                <w:sz w:val="18"/>
                <w:szCs w:val="18"/>
                <w:lang w:bidi="ar"/>
              </w:rPr>
              <w:t>分标编号</w:t>
            </w:r>
          </w:p>
        </w:tc>
        <w:tc>
          <w:tcPr>
            <w:tcW w:w="449" w:type="pct"/>
            <w:shd w:val="clear" w:color="auto" w:fill="D9D9D9"/>
            <w:vAlign w:val="center"/>
          </w:tcPr>
          <w:p w14:paraId="7CCBE803">
            <w:pPr>
              <w:widowControl/>
              <w:spacing w:line="360" w:lineRule="auto"/>
              <w:jc w:val="center"/>
              <w:textAlignment w:val="center"/>
              <w:rPr>
                <w:rFonts w:ascii="黑体"/>
                <w:b/>
                <w:szCs w:val="21"/>
              </w:rPr>
            </w:pPr>
            <w:r>
              <w:rPr>
                <w:rFonts w:ascii="宋体" w:hAnsi="宋体" w:eastAsia="宋体" w:cs="宋体"/>
                <w:b/>
                <w:bCs/>
                <w:kern w:val="0"/>
                <w:sz w:val="18"/>
                <w:szCs w:val="18"/>
                <w:lang w:bidi="ar"/>
              </w:rPr>
              <w:t>分标名称</w:t>
            </w:r>
          </w:p>
        </w:tc>
        <w:tc>
          <w:tcPr>
            <w:tcW w:w="272" w:type="pct"/>
            <w:shd w:val="clear" w:color="auto" w:fill="D9D9D9"/>
            <w:vAlign w:val="center"/>
          </w:tcPr>
          <w:p w14:paraId="3590A3FE">
            <w:pPr>
              <w:widowControl/>
              <w:spacing w:line="360" w:lineRule="auto"/>
              <w:jc w:val="center"/>
              <w:textAlignment w:val="center"/>
              <w:rPr>
                <w:rFonts w:ascii="黑体"/>
                <w:b/>
                <w:szCs w:val="21"/>
              </w:rPr>
            </w:pPr>
            <w:r>
              <w:rPr>
                <w:rFonts w:ascii="宋体" w:hAnsi="宋体" w:eastAsia="宋体" w:cs="宋体"/>
                <w:b/>
                <w:bCs/>
                <w:kern w:val="0"/>
                <w:sz w:val="18"/>
                <w:szCs w:val="18"/>
                <w:lang w:bidi="ar"/>
              </w:rPr>
              <w:t>包号</w:t>
            </w:r>
          </w:p>
        </w:tc>
        <w:tc>
          <w:tcPr>
            <w:tcW w:w="651" w:type="pct"/>
            <w:shd w:val="clear" w:color="auto" w:fill="D9D9D9"/>
            <w:vAlign w:val="center"/>
          </w:tcPr>
          <w:p w14:paraId="08F00624">
            <w:pPr>
              <w:pStyle w:val="3"/>
              <w:spacing w:line="360" w:lineRule="auto"/>
              <w:ind w:right="-13" w:rightChars="-6"/>
              <w:jc w:val="center"/>
              <w:rPr>
                <w:rFonts w:ascii="黑体"/>
                <w:b/>
                <w:lang w:val="en-US"/>
              </w:rPr>
            </w:pPr>
            <w:r>
              <w:rPr>
                <w:rFonts w:ascii="黑体"/>
                <w:b/>
                <w:lang w:val="en-US"/>
              </w:rPr>
              <w:t>最高投标限价</w:t>
            </w:r>
          </w:p>
          <w:p w14:paraId="7B2855C3">
            <w:pPr>
              <w:pStyle w:val="3"/>
              <w:spacing w:line="360" w:lineRule="auto"/>
              <w:ind w:right="-13" w:rightChars="-6"/>
              <w:jc w:val="center"/>
              <w:rPr>
                <w:rFonts w:ascii="黑体"/>
                <w:b/>
                <w:lang w:val="en-US"/>
              </w:rPr>
            </w:pPr>
            <w:r>
              <w:rPr>
                <w:rFonts w:ascii="黑体"/>
                <w:b/>
                <w:lang w:val="en-US"/>
              </w:rPr>
              <w:t>（</w:t>
            </w:r>
            <w:r>
              <w:rPr>
                <w:rFonts w:ascii="黑体"/>
                <w:b/>
                <w:color w:val="FF0000"/>
                <w:lang w:val="en-US"/>
              </w:rPr>
              <w:t>不含税</w:t>
            </w:r>
            <w:r>
              <w:rPr>
                <w:rFonts w:ascii="黑体"/>
                <w:b/>
                <w:lang w:val="en-US"/>
              </w:rPr>
              <w:t>）</w:t>
            </w:r>
          </w:p>
        </w:tc>
        <w:tc>
          <w:tcPr>
            <w:tcW w:w="476" w:type="pct"/>
            <w:shd w:val="clear" w:color="auto" w:fill="D9D9D9"/>
            <w:vAlign w:val="center"/>
          </w:tcPr>
          <w:p w14:paraId="556F0D01">
            <w:pPr>
              <w:pStyle w:val="3"/>
              <w:spacing w:line="360" w:lineRule="auto"/>
              <w:ind w:right="-13" w:rightChars="-6"/>
              <w:jc w:val="center"/>
              <w:rPr>
                <w:rFonts w:ascii="黑体"/>
                <w:b/>
              </w:rPr>
            </w:pPr>
            <w:r>
              <w:rPr>
                <w:rFonts w:ascii="黑体"/>
                <w:b/>
              </w:rPr>
              <w:t>项目明细</w:t>
            </w:r>
          </w:p>
        </w:tc>
        <w:tc>
          <w:tcPr>
            <w:tcW w:w="832" w:type="pct"/>
            <w:shd w:val="clear" w:color="auto" w:fill="D9D9D9"/>
            <w:vAlign w:val="center"/>
          </w:tcPr>
          <w:p w14:paraId="2052C03F">
            <w:pPr>
              <w:spacing w:line="360" w:lineRule="auto"/>
              <w:ind w:right="-13" w:rightChars="-6"/>
              <w:jc w:val="center"/>
              <w:rPr>
                <w:rFonts w:ascii="黑体" w:eastAsia="黑体"/>
                <w:b/>
                <w:szCs w:val="21"/>
              </w:rPr>
            </w:pPr>
            <w:r>
              <w:rPr>
                <w:rFonts w:ascii="黑体" w:eastAsia="黑体"/>
                <w:b/>
                <w:szCs w:val="21"/>
              </w:rPr>
              <w:t>供货地点</w:t>
            </w:r>
          </w:p>
        </w:tc>
        <w:tc>
          <w:tcPr>
            <w:tcW w:w="633" w:type="pct"/>
            <w:shd w:val="clear" w:color="auto" w:fill="D9D9D9"/>
            <w:vAlign w:val="center"/>
          </w:tcPr>
          <w:p w14:paraId="21A60568">
            <w:pPr>
              <w:pStyle w:val="3"/>
              <w:spacing w:line="360" w:lineRule="auto"/>
              <w:ind w:right="-13" w:rightChars="-6"/>
              <w:jc w:val="center"/>
              <w:rPr>
                <w:rFonts w:ascii="黑体"/>
                <w:b/>
              </w:rPr>
            </w:pPr>
            <w:r>
              <w:rPr>
                <w:rFonts w:ascii="黑体"/>
                <w:b/>
              </w:rPr>
              <w:t>计划供货周期</w:t>
            </w:r>
          </w:p>
        </w:tc>
        <w:tc>
          <w:tcPr>
            <w:tcW w:w="583" w:type="pct"/>
            <w:shd w:val="clear" w:color="auto" w:fill="D9D9D9"/>
            <w:vAlign w:val="center"/>
          </w:tcPr>
          <w:p w14:paraId="792A3C6C">
            <w:pPr>
              <w:pStyle w:val="3"/>
              <w:spacing w:line="360" w:lineRule="auto"/>
              <w:ind w:right="-13" w:rightChars="-6"/>
              <w:jc w:val="center"/>
              <w:rPr>
                <w:rFonts w:ascii="黑体"/>
                <w:b/>
              </w:rPr>
            </w:pPr>
            <w:r>
              <w:rPr>
                <w:rFonts w:ascii="黑体"/>
                <w:b/>
              </w:rPr>
              <w:t>选取</w:t>
            </w:r>
            <w:r>
              <w:rPr>
                <w:rFonts w:ascii="黑体"/>
                <w:b/>
                <w:lang w:val="en-US"/>
              </w:rPr>
              <w:t>单位</w:t>
            </w:r>
            <w:r>
              <w:rPr>
                <w:rFonts w:ascii="黑体"/>
                <w:b/>
              </w:rPr>
              <w:t>数量</w:t>
            </w:r>
          </w:p>
        </w:tc>
        <w:tc>
          <w:tcPr>
            <w:tcW w:w="480" w:type="pct"/>
            <w:shd w:val="clear" w:color="auto" w:fill="D9D9D9"/>
            <w:vAlign w:val="center"/>
          </w:tcPr>
          <w:p w14:paraId="645CECAD">
            <w:pPr>
              <w:pStyle w:val="3"/>
              <w:spacing w:line="360" w:lineRule="auto"/>
              <w:ind w:right="-13" w:rightChars="-6"/>
              <w:jc w:val="center"/>
              <w:rPr>
                <w:rFonts w:ascii="黑体"/>
                <w:b/>
              </w:rPr>
            </w:pPr>
            <w:r>
              <w:rPr>
                <w:rFonts w:ascii="黑体"/>
                <w:b/>
                <w:lang w:val="en-US"/>
              </w:rPr>
              <w:t>报价方式</w:t>
            </w:r>
          </w:p>
        </w:tc>
      </w:tr>
      <w:tr w14:paraId="0C9C0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4" w:hRule="atLeast"/>
        </w:trPr>
        <w:tc>
          <w:tcPr>
            <w:tcW w:w="260" w:type="pct"/>
            <w:vAlign w:val="center"/>
          </w:tcPr>
          <w:p w14:paraId="34DDEB18">
            <w:pPr>
              <w:widowControl/>
              <w:spacing w:line="400" w:lineRule="exact"/>
              <w:jc w:val="center"/>
              <w:textAlignment w:val="center"/>
              <w:rPr>
                <w:rFonts w:ascii="宋体" w:cs="宋体"/>
                <w:kern w:val="0"/>
                <w:szCs w:val="21"/>
              </w:rPr>
            </w:pPr>
            <w:r>
              <w:rPr>
                <w:rFonts w:ascii="宋体" w:cs="宋体"/>
                <w:kern w:val="0"/>
                <w:szCs w:val="21"/>
              </w:rPr>
              <w:t>1</w:t>
            </w:r>
          </w:p>
        </w:tc>
        <w:tc>
          <w:tcPr>
            <w:tcW w:w="363" w:type="pct"/>
            <w:vAlign w:val="center"/>
          </w:tcPr>
          <w:p w14:paraId="4090C0A0">
            <w:pPr>
              <w:widowControl/>
              <w:spacing w:line="400" w:lineRule="exact"/>
              <w:jc w:val="center"/>
              <w:textAlignment w:val="center"/>
              <w:rPr>
                <w:rFonts w:hint="default" w:ascii="宋体" w:hAnsi="Times New Roman" w:eastAsia="宋体" w:cs="宋体"/>
                <w:kern w:val="0"/>
                <w:szCs w:val="21"/>
              </w:rPr>
            </w:pPr>
            <w:r>
              <w:rPr>
                <w:rFonts w:ascii="宋体" w:hAnsi="宋体" w:eastAsia="宋体" w:cs="宋体"/>
                <w:szCs w:val="21"/>
              </w:rPr>
              <w:t>001</w:t>
            </w:r>
          </w:p>
        </w:tc>
        <w:tc>
          <w:tcPr>
            <w:tcW w:w="449" w:type="pct"/>
            <w:vAlign w:val="center"/>
          </w:tcPr>
          <w:p w14:paraId="0C3A89DA">
            <w:pPr>
              <w:widowControl/>
              <w:spacing w:line="400" w:lineRule="exact"/>
              <w:textAlignment w:val="center"/>
              <w:rPr>
                <w:rFonts w:hint="default" w:ascii="宋体" w:hAnsi="Times New Roman" w:eastAsia="宋体" w:cs="宋体"/>
                <w:kern w:val="0"/>
                <w:szCs w:val="21"/>
              </w:rPr>
            </w:pPr>
            <w:r>
              <w:rPr>
                <w:rFonts w:ascii="宋体" w:hAnsi="宋体" w:eastAsia="宋体" w:cs="宋体"/>
                <w:szCs w:val="21"/>
              </w:rPr>
              <w:t>中泰新能源托克逊项目电缆采购</w:t>
            </w:r>
          </w:p>
        </w:tc>
        <w:tc>
          <w:tcPr>
            <w:tcW w:w="272" w:type="pct"/>
            <w:vAlign w:val="center"/>
          </w:tcPr>
          <w:p w14:paraId="3CC72DDD">
            <w:pPr>
              <w:widowControl/>
              <w:spacing w:line="400" w:lineRule="exact"/>
              <w:jc w:val="center"/>
              <w:textAlignment w:val="center"/>
              <w:rPr>
                <w:rFonts w:hint="default" w:ascii="宋体" w:hAnsi="Times New Roman" w:eastAsia="宋体" w:cs="宋体"/>
                <w:kern w:val="0"/>
                <w:szCs w:val="21"/>
              </w:rPr>
            </w:pPr>
            <w:r>
              <w:rPr>
                <w:rFonts w:ascii="宋体" w:hAnsi="宋体" w:eastAsia="宋体" w:cs="宋体"/>
                <w:bCs/>
                <w:kern w:val="0"/>
                <w:szCs w:val="21"/>
                <w:lang w:bidi="ar"/>
              </w:rPr>
              <w:t>包1</w:t>
            </w:r>
          </w:p>
        </w:tc>
        <w:tc>
          <w:tcPr>
            <w:tcW w:w="651" w:type="pct"/>
            <w:shd w:val="clear" w:color="auto" w:fill="auto"/>
            <w:vAlign w:val="center"/>
          </w:tcPr>
          <w:p w14:paraId="40373D91">
            <w:pPr>
              <w:widowControl/>
              <w:spacing w:line="400" w:lineRule="exact"/>
              <w:jc w:val="center"/>
              <w:textAlignment w:val="center"/>
              <w:rPr>
                <w:rFonts w:ascii="宋体" w:hAnsi="宋体" w:eastAsia="宋体" w:cs="宋体"/>
                <w:color w:val="000000"/>
                <w:kern w:val="0"/>
                <w:sz w:val="22"/>
                <w:lang w:bidi="ar"/>
              </w:rPr>
            </w:pPr>
            <w:r>
              <w:rPr>
                <w:rFonts w:ascii="宋体" w:hAnsi="宋体" w:eastAsia="宋体" w:cs="宋体"/>
                <w:color w:val="000000"/>
                <w:kern w:val="0"/>
                <w:sz w:val="22"/>
                <w:lang w:bidi="ar"/>
              </w:rPr>
              <w:t>7524315.06元</w:t>
            </w:r>
          </w:p>
        </w:tc>
        <w:tc>
          <w:tcPr>
            <w:tcW w:w="476" w:type="pct"/>
            <w:vAlign w:val="center"/>
          </w:tcPr>
          <w:p w14:paraId="2241CC0E">
            <w:pPr>
              <w:widowControl/>
              <w:spacing w:line="400" w:lineRule="exact"/>
              <w:jc w:val="center"/>
              <w:textAlignment w:val="center"/>
              <w:rPr>
                <w:rFonts w:hint="default" w:ascii="宋体" w:hAnsi="Times New Roman" w:eastAsia="宋体" w:cs="宋体"/>
                <w:kern w:val="0"/>
                <w:szCs w:val="21"/>
              </w:rPr>
            </w:pPr>
            <w:r>
              <w:rPr>
                <w:rFonts w:ascii="宋体" w:hAnsi="Times New Roman" w:eastAsia="宋体" w:cs="宋体"/>
                <w:kern w:val="0"/>
                <w:szCs w:val="21"/>
              </w:rPr>
              <w:t>详见采购清单一览表</w:t>
            </w:r>
          </w:p>
        </w:tc>
        <w:tc>
          <w:tcPr>
            <w:tcW w:w="832" w:type="pct"/>
            <w:vAlign w:val="center"/>
          </w:tcPr>
          <w:p w14:paraId="513DE989">
            <w:pPr>
              <w:spacing w:line="400" w:lineRule="exact"/>
              <w:jc w:val="center"/>
              <w:rPr>
                <w:rFonts w:hint="default" w:ascii="宋体" w:hAnsi="Times New Roman" w:eastAsia="宋体" w:cs="宋体"/>
                <w:kern w:val="0"/>
                <w:szCs w:val="21"/>
              </w:rPr>
            </w:pPr>
            <w:r>
              <w:rPr>
                <w:rFonts w:ascii="宋体" w:hAnsi="Times New Roman" w:eastAsia="宋体" w:cs="宋体"/>
                <w:kern w:val="0"/>
                <w:szCs w:val="21"/>
              </w:rPr>
              <w:t>新疆维吾尔自治区吐鲁番市托克逊县</w:t>
            </w:r>
          </w:p>
        </w:tc>
        <w:tc>
          <w:tcPr>
            <w:tcW w:w="633" w:type="pct"/>
            <w:vAlign w:val="center"/>
          </w:tcPr>
          <w:p w14:paraId="4F350C4D">
            <w:pPr>
              <w:autoSpaceDN w:val="0"/>
              <w:spacing w:line="400" w:lineRule="exact"/>
              <w:jc w:val="center"/>
              <w:textAlignment w:val="center"/>
              <w:rPr>
                <w:rFonts w:hint="default" w:ascii="宋体" w:hAnsi="Times New Roman" w:eastAsia="宋体" w:cs="宋体"/>
                <w:kern w:val="0"/>
                <w:szCs w:val="21"/>
              </w:rPr>
            </w:pPr>
            <w:r>
              <w:rPr>
                <w:rFonts w:hint="default" w:ascii="宋体" w:hAnsi="Times New Roman" w:eastAsia="宋体" w:cs="宋体"/>
                <w:kern w:val="0"/>
                <w:szCs w:val="21"/>
              </w:rPr>
              <w:t>2025年</w:t>
            </w:r>
            <w:r>
              <w:rPr>
                <w:rFonts w:ascii="宋体" w:hAnsi="Times New Roman" w:eastAsia="宋体" w:cs="宋体"/>
                <w:kern w:val="0"/>
                <w:szCs w:val="21"/>
              </w:rPr>
              <w:t>7</w:t>
            </w:r>
            <w:r>
              <w:rPr>
                <w:rFonts w:hint="default" w:ascii="宋体" w:hAnsi="Times New Roman" w:eastAsia="宋体" w:cs="宋体"/>
                <w:kern w:val="0"/>
                <w:szCs w:val="21"/>
              </w:rPr>
              <w:t>月</w:t>
            </w:r>
            <w:r>
              <w:rPr>
                <w:rFonts w:ascii="宋体" w:hAnsi="Times New Roman" w:eastAsia="宋体" w:cs="宋体"/>
                <w:kern w:val="0"/>
                <w:szCs w:val="21"/>
              </w:rPr>
              <w:t>12</w:t>
            </w:r>
            <w:r>
              <w:rPr>
                <w:rFonts w:hint="default" w:ascii="宋体" w:hAnsi="Times New Roman" w:eastAsia="宋体" w:cs="宋体"/>
                <w:kern w:val="0"/>
                <w:szCs w:val="21"/>
              </w:rPr>
              <w:t>日-2025年</w:t>
            </w:r>
            <w:r>
              <w:rPr>
                <w:rFonts w:ascii="宋体" w:hAnsi="Times New Roman" w:eastAsia="宋体" w:cs="宋体"/>
                <w:kern w:val="0"/>
                <w:szCs w:val="21"/>
              </w:rPr>
              <w:t>9</w:t>
            </w:r>
            <w:r>
              <w:rPr>
                <w:rFonts w:hint="default" w:ascii="宋体" w:hAnsi="Times New Roman" w:eastAsia="宋体" w:cs="宋体"/>
                <w:kern w:val="0"/>
                <w:szCs w:val="21"/>
              </w:rPr>
              <w:t>月</w:t>
            </w:r>
            <w:r>
              <w:rPr>
                <w:rFonts w:ascii="宋体" w:hAnsi="Times New Roman" w:eastAsia="宋体" w:cs="宋体"/>
                <w:kern w:val="0"/>
                <w:szCs w:val="21"/>
              </w:rPr>
              <w:t>5</w:t>
            </w:r>
            <w:r>
              <w:rPr>
                <w:rFonts w:hint="default" w:ascii="宋体" w:hAnsi="Times New Roman" w:eastAsia="宋体" w:cs="宋体"/>
                <w:kern w:val="0"/>
                <w:szCs w:val="21"/>
              </w:rPr>
              <w:t>日</w:t>
            </w:r>
          </w:p>
        </w:tc>
        <w:tc>
          <w:tcPr>
            <w:tcW w:w="583" w:type="pct"/>
            <w:vAlign w:val="center"/>
          </w:tcPr>
          <w:p w14:paraId="4125D684">
            <w:pPr>
              <w:spacing w:line="400" w:lineRule="exact"/>
              <w:jc w:val="center"/>
              <w:textAlignment w:val="center"/>
              <w:rPr>
                <w:rFonts w:hint="default" w:ascii="宋体" w:hAnsi="Times New Roman" w:eastAsia="宋体" w:cs="宋体"/>
                <w:kern w:val="0"/>
                <w:szCs w:val="21"/>
              </w:rPr>
            </w:pPr>
            <w:r>
              <w:rPr>
                <w:rFonts w:ascii="宋体" w:hAnsi="Times New Roman" w:eastAsia="宋体" w:cs="宋体"/>
                <w:kern w:val="0"/>
                <w:szCs w:val="21"/>
              </w:rPr>
              <w:t>1</w:t>
            </w:r>
          </w:p>
        </w:tc>
        <w:tc>
          <w:tcPr>
            <w:tcW w:w="480" w:type="pct"/>
            <w:vAlign w:val="center"/>
          </w:tcPr>
          <w:p w14:paraId="63A3590C">
            <w:pPr>
              <w:spacing w:line="400" w:lineRule="exact"/>
              <w:jc w:val="center"/>
              <w:textAlignment w:val="center"/>
              <w:rPr>
                <w:rFonts w:hint="default" w:ascii="宋体" w:hAnsi="Times New Roman" w:eastAsia="宋体" w:cs="宋体"/>
                <w:kern w:val="0"/>
                <w:szCs w:val="21"/>
              </w:rPr>
            </w:pPr>
            <w:r>
              <w:rPr>
                <w:rFonts w:ascii="宋体" w:hAnsi="宋体" w:eastAsia="宋体" w:cs="宋体"/>
                <w:szCs w:val="21"/>
              </w:rPr>
              <w:t>总价报价</w:t>
            </w:r>
          </w:p>
        </w:tc>
      </w:tr>
    </w:tbl>
    <w:p w14:paraId="5987681A">
      <w:pPr>
        <w:spacing w:line="360" w:lineRule="auto"/>
        <w:jc w:val="center"/>
        <w:rPr>
          <w:rFonts w:ascii="宋体" w:hAnsi="宋体" w:cs="宋体"/>
          <w:b/>
          <w:bCs/>
          <w:szCs w:val="21"/>
        </w:rPr>
      </w:pPr>
    </w:p>
    <w:p w14:paraId="3AB18051">
      <w:pPr>
        <w:spacing w:line="360" w:lineRule="auto"/>
        <w:outlineLvl w:val="1"/>
        <w:rPr>
          <w:rFonts w:ascii="宋体" w:hAnsi="宋体" w:cs="宋体"/>
          <w:b/>
          <w:bCs/>
          <w:szCs w:val="21"/>
        </w:rPr>
        <w:sectPr>
          <w:footerReference r:id="rId5" w:type="default"/>
          <w:pgSz w:w="16838" w:h="11906" w:orient="landscape"/>
          <w:pgMar w:top="1440" w:right="1440" w:bottom="1440" w:left="1440" w:header="850" w:footer="992" w:gutter="567"/>
          <w:cols w:space="0" w:num="1"/>
          <w:docGrid w:linePitch="312" w:charSpace="0"/>
        </w:sectPr>
      </w:pPr>
      <w:r>
        <w:rPr>
          <w:rFonts w:ascii="宋体" w:hAnsi="宋体" w:cs="宋体"/>
          <w:b/>
          <w:bCs/>
          <w:szCs w:val="21"/>
        </w:rPr>
        <w:br w:type="page"/>
      </w:r>
    </w:p>
    <w:p w14:paraId="46947938">
      <w:pPr>
        <w:spacing w:line="360" w:lineRule="auto"/>
        <w:outlineLvl w:val="1"/>
        <w:rPr>
          <w:rFonts w:ascii="黑体" w:eastAsia="黑体"/>
          <w:b/>
          <w:sz w:val="24"/>
        </w:rPr>
      </w:pPr>
      <w:r>
        <w:rPr>
          <w:rFonts w:ascii="黑体" w:eastAsia="黑体"/>
          <w:b/>
          <w:sz w:val="24"/>
        </w:rPr>
        <w:t>附件3：采购货物清单一览表</w:t>
      </w:r>
    </w:p>
    <w:tbl>
      <w:tblPr>
        <w:tblStyle w:val="10"/>
        <w:tblW w:w="5000"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554"/>
        <w:gridCol w:w="2107"/>
        <w:gridCol w:w="1825"/>
        <w:gridCol w:w="702"/>
        <w:gridCol w:w="841"/>
        <w:gridCol w:w="1124"/>
        <w:gridCol w:w="1209"/>
      </w:tblGrid>
      <w:tr w14:paraId="4376C34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955" w:hRule="atLeast"/>
          <w:jc w:val="center"/>
        </w:trPr>
        <w:tc>
          <w:tcPr>
            <w:tcW w:w="331" w:type="pct"/>
            <w:tcBorders>
              <w:top w:val="single" w:color="000000" w:sz="6" w:space="0"/>
              <w:left w:val="single" w:color="000000" w:sz="6" w:space="0"/>
              <w:bottom w:val="single" w:color="000000" w:sz="6" w:space="0"/>
              <w:right w:val="single" w:color="000000" w:sz="6" w:space="0"/>
            </w:tcBorders>
            <w:shd w:val="clear" w:color="auto" w:fill="D7D7D7" w:themeFill="background1" w:themeFillShade="D8"/>
            <w:vAlign w:val="center"/>
          </w:tcPr>
          <w:p w14:paraId="48FB325C">
            <w:pPr>
              <w:autoSpaceDE w:val="0"/>
              <w:autoSpaceDN w:val="0"/>
              <w:adjustRightInd w:val="0"/>
              <w:spacing w:line="360" w:lineRule="auto"/>
              <w:ind w:left="-168" w:firstLine="168"/>
              <w:jc w:val="center"/>
              <w:textAlignment w:val="baseline"/>
              <w:rPr>
                <w:rFonts w:ascii="宋体" w:hAnsi="宋体" w:eastAsia="宋体" w:cs="宋体"/>
                <w:b/>
                <w:color w:val="000000"/>
                <w:szCs w:val="21"/>
              </w:rPr>
            </w:pPr>
            <w:r>
              <w:rPr>
                <w:rFonts w:ascii="宋体" w:hAnsi="宋体" w:eastAsia="宋体" w:cs="宋体"/>
                <w:b/>
                <w:color w:val="000000"/>
                <w:kern w:val="0"/>
                <w:szCs w:val="21"/>
                <w:lang w:bidi="ar"/>
              </w:rPr>
              <w:t>序号</w:t>
            </w:r>
          </w:p>
        </w:tc>
        <w:tc>
          <w:tcPr>
            <w:tcW w:w="1260" w:type="pct"/>
            <w:tcBorders>
              <w:top w:val="single" w:color="000000" w:sz="6" w:space="0"/>
              <w:left w:val="single" w:color="000000" w:sz="6" w:space="0"/>
              <w:bottom w:val="single" w:color="000000" w:sz="6" w:space="0"/>
              <w:right w:val="single" w:color="000000" w:sz="6" w:space="0"/>
            </w:tcBorders>
            <w:shd w:val="clear" w:color="auto" w:fill="D7D7D7" w:themeFill="background1" w:themeFillShade="D8"/>
            <w:vAlign w:val="center"/>
          </w:tcPr>
          <w:p w14:paraId="67C7C52B">
            <w:pPr>
              <w:autoSpaceDE w:val="0"/>
              <w:autoSpaceDN w:val="0"/>
              <w:adjustRightInd w:val="0"/>
              <w:spacing w:line="360" w:lineRule="auto"/>
              <w:jc w:val="center"/>
              <w:textAlignment w:val="baseline"/>
              <w:rPr>
                <w:rFonts w:ascii="宋体" w:hAnsi="宋体" w:eastAsia="宋体" w:cs="宋体"/>
                <w:b/>
                <w:color w:val="000000"/>
                <w:szCs w:val="21"/>
              </w:rPr>
            </w:pPr>
            <w:r>
              <w:rPr>
                <w:rFonts w:ascii="宋体" w:hAnsi="宋体" w:eastAsia="宋体" w:cs="宋体"/>
                <w:b/>
                <w:color w:val="000000"/>
                <w:kern w:val="0"/>
                <w:szCs w:val="21"/>
                <w:lang w:bidi="ar"/>
              </w:rPr>
              <w:t>物资名称</w:t>
            </w:r>
          </w:p>
        </w:tc>
        <w:tc>
          <w:tcPr>
            <w:tcW w:w="1091" w:type="pct"/>
            <w:tcBorders>
              <w:top w:val="single" w:color="000000" w:sz="6" w:space="0"/>
              <w:left w:val="single" w:color="000000" w:sz="6" w:space="0"/>
              <w:bottom w:val="single" w:color="000000" w:sz="6" w:space="0"/>
              <w:right w:val="single" w:color="000000" w:sz="6" w:space="0"/>
            </w:tcBorders>
            <w:shd w:val="clear" w:color="auto" w:fill="D7D7D7" w:themeFill="background1" w:themeFillShade="D8"/>
            <w:vAlign w:val="center"/>
          </w:tcPr>
          <w:p w14:paraId="75E3E2FA">
            <w:pPr>
              <w:autoSpaceDE w:val="0"/>
              <w:autoSpaceDN w:val="0"/>
              <w:adjustRightInd w:val="0"/>
              <w:spacing w:line="360" w:lineRule="auto"/>
              <w:jc w:val="center"/>
              <w:textAlignment w:val="baseline"/>
              <w:rPr>
                <w:rFonts w:ascii="宋体" w:hAnsi="宋体" w:eastAsia="宋体" w:cs="宋体"/>
                <w:b/>
                <w:color w:val="000000"/>
                <w:szCs w:val="21"/>
              </w:rPr>
            </w:pPr>
            <w:r>
              <w:rPr>
                <w:rFonts w:ascii="宋体" w:hAnsi="宋体" w:eastAsia="宋体" w:cs="宋体"/>
                <w:b/>
                <w:color w:val="000000"/>
                <w:kern w:val="0"/>
                <w:szCs w:val="21"/>
                <w:lang w:bidi="ar"/>
              </w:rPr>
              <w:t>规格型号</w:t>
            </w:r>
          </w:p>
        </w:tc>
        <w:tc>
          <w:tcPr>
            <w:tcW w:w="420" w:type="pct"/>
            <w:tcBorders>
              <w:top w:val="single" w:color="000000" w:sz="6" w:space="0"/>
              <w:left w:val="single" w:color="000000" w:sz="6" w:space="0"/>
              <w:bottom w:val="single" w:color="000000" w:sz="6" w:space="0"/>
              <w:right w:val="single" w:color="000000" w:sz="6" w:space="0"/>
            </w:tcBorders>
            <w:shd w:val="clear" w:color="auto" w:fill="D7D7D7" w:themeFill="background1" w:themeFillShade="D8"/>
            <w:vAlign w:val="center"/>
          </w:tcPr>
          <w:p w14:paraId="4287814A">
            <w:pPr>
              <w:autoSpaceDE w:val="0"/>
              <w:autoSpaceDN w:val="0"/>
              <w:adjustRightInd w:val="0"/>
              <w:spacing w:line="360" w:lineRule="auto"/>
              <w:jc w:val="center"/>
              <w:textAlignment w:val="baseline"/>
              <w:rPr>
                <w:rFonts w:ascii="宋体" w:hAnsi="宋体" w:eastAsia="宋体" w:cs="宋体"/>
                <w:b/>
                <w:color w:val="000000"/>
                <w:szCs w:val="21"/>
              </w:rPr>
            </w:pPr>
            <w:r>
              <w:rPr>
                <w:rFonts w:ascii="宋体" w:hAnsi="宋体" w:eastAsia="宋体" w:cs="宋体"/>
                <w:b/>
                <w:color w:val="000000"/>
                <w:kern w:val="0"/>
                <w:szCs w:val="21"/>
                <w:lang w:bidi="ar"/>
              </w:rPr>
              <w:t>单位</w:t>
            </w:r>
          </w:p>
        </w:tc>
        <w:tc>
          <w:tcPr>
            <w:tcW w:w="503" w:type="pct"/>
            <w:tcBorders>
              <w:top w:val="single" w:color="000000" w:sz="6" w:space="0"/>
              <w:left w:val="single" w:color="000000" w:sz="6" w:space="0"/>
              <w:bottom w:val="single" w:color="000000" w:sz="6" w:space="0"/>
              <w:right w:val="single" w:color="000000" w:sz="6" w:space="0"/>
            </w:tcBorders>
            <w:shd w:val="clear" w:color="auto" w:fill="D7D7D7" w:themeFill="background1" w:themeFillShade="D8"/>
            <w:vAlign w:val="center"/>
          </w:tcPr>
          <w:p w14:paraId="6377C015">
            <w:pPr>
              <w:autoSpaceDE w:val="0"/>
              <w:autoSpaceDN w:val="0"/>
              <w:adjustRightInd w:val="0"/>
              <w:spacing w:line="360" w:lineRule="auto"/>
              <w:jc w:val="center"/>
              <w:textAlignment w:val="baseline"/>
              <w:rPr>
                <w:rFonts w:ascii="宋体" w:hAnsi="宋体" w:eastAsia="宋体" w:cs="宋体"/>
                <w:b/>
                <w:color w:val="000000"/>
                <w:szCs w:val="21"/>
              </w:rPr>
            </w:pPr>
            <w:r>
              <w:rPr>
                <w:rFonts w:ascii="宋体" w:hAnsi="宋体" w:eastAsia="宋体" w:cs="宋体"/>
                <w:b/>
                <w:color w:val="000000"/>
                <w:kern w:val="0"/>
                <w:szCs w:val="21"/>
                <w:lang w:bidi="ar"/>
              </w:rPr>
              <w:t>数量</w:t>
            </w:r>
          </w:p>
        </w:tc>
        <w:tc>
          <w:tcPr>
            <w:tcW w:w="672" w:type="pct"/>
            <w:tcBorders>
              <w:top w:val="single" w:color="000000" w:sz="6" w:space="0"/>
              <w:left w:val="single" w:color="auto" w:sz="4" w:space="0"/>
              <w:bottom w:val="single" w:color="000000" w:sz="6" w:space="0"/>
              <w:right w:val="single" w:color="auto" w:sz="4" w:space="0"/>
            </w:tcBorders>
            <w:shd w:val="clear" w:color="auto" w:fill="D7D7D7" w:themeFill="background1" w:themeFillShade="D8"/>
            <w:vAlign w:val="center"/>
          </w:tcPr>
          <w:p w14:paraId="0410DB6C">
            <w:pPr>
              <w:autoSpaceDE w:val="0"/>
              <w:autoSpaceDN w:val="0"/>
              <w:adjustRightInd w:val="0"/>
              <w:spacing w:line="360" w:lineRule="auto"/>
              <w:jc w:val="center"/>
              <w:textAlignment w:val="baseline"/>
              <w:rPr>
                <w:rFonts w:ascii="宋体" w:hAnsi="宋体" w:eastAsia="宋体" w:cs="宋体"/>
                <w:b/>
                <w:color w:val="000000"/>
                <w:kern w:val="0"/>
                <w:szCs w:val="21"/>
                <w:lang w:bidi="ar"/>
              </w:rPr>
            </w:pPr>
            <w:r>
              <w:rPr>
                <w:rFonts w:ascii="宋体" w:hAnsi="宋体" w:eastAsia="宋体"/>
                <w:b/>
                <w:color w:val="000000" w:themeColor="text1"/>
                <w:szCs w:val="21"/>
                <w14:textFill>
                  <w14:solidFill>
                    <w14:schemeClr w14:val="tx1"/>
                  </w14:solidFill>
                </w14:textFill>
              </w:rPr>
              <w:t>单价限价</w:t>
            </w:r>
            <w:r>
              <w:rPr>
                <w:rFonts w:ascii="宋体" w:hAnsi="宋体" w:eastAsia="宋体" w:cs="宋体"/>
                <w:b/>
                <w:color w:val="FF0000"/>
                <w:kern w:val="0"/>
                <w:szCs w:val="21"/>
                <w:lang w:bidi="ar"/>
              </w:rPr>
              <w:t>（不含税/元）</w:t>
            </w:r>
          </w:p>
        </w:tc>
        <w:tc>
          <w:tcPr>
            <w:tcW w:w="723" w:type="pct"/>
            <w:tcBorders>
              <w:top w:val="single" w:color="000000" w:sz="6" w:space="0"/>
              <w:left w:val="single" w:color="auto" w:sz="4" w:space="0"/>
              <w:bottom w:val="single" w:color="000000" w:sz="6" w:space="0"/>
              <w:right w:val="single" w:color="000000" w:sz="6" w:space="0"/>
            </w:tcBorders>
            <w:shd w:val="clear" w:color="auto" w:fill="D7D7D7" w:themeFill="background1" w:themeFillShade="D8"/>
            <w:vAlign w:val="center"/>
          </w:tcPr>
          <w:p w14:paraId="15BE6008">
            <w:pPr>
              <w:autoSpaceDE w:val="0"/>
              <w:autoSpaceDN w:val="0"/>
              <w:adjustRightInd w:val="0"/>
              <w:spacing w:line="360" w:lineRule="auto"/>
              <w:jc w:val="center"/>
              <w:textAlignment w:val="baseline"/>
              <w:rPr>
                <w:rFonts w:ascii="宋体" w:hAnsi="宋体" w:eastAsia="宋体" w:cs="宋体"/>
                <w:b/>
                <w:color w:val="000000"/>
                <w:kern w:val="0"/>
                <w:szCs w:val="21"/>
                <w:lang w:bidi="ar"/>
              </w:rPr>
            </w:pPr>
            <w:r>
              <w:rPr>
                <w:rFonts w:ascii="宋体" w:hAnsi="宋体" w:eastAsia="宋体" w:cs="宋体"/>
                <w:b/>
                <w:color w:val="000000"/>
                <w:kern w:val="0"/>
                <w:szCs w:val="21"/>
                <w:lang w:bidi="ar"/>
              </w:rPr>
              <w:t>备注</w:t>
            </w:r>
          </w:p>
        </w:tc>
      </w:tr>
      <w:tr w14:paraId="02516A5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686" w:hRule="atLeast"/>
          <w:jc w:val="center"/>
        </w:trPr>
        <w:tc>
          <w:tcPr>
            <w:tcW w:w="331" w:type="pct"/>
            <w:tcBorders>
              <w:top w:val="single" w:color="000000" w:sz="6" w:space="0"/>
              <w:left w:val="single" w:color="000000" w:sz="6" w:space="0"/>
              <w:bottom w:val="single" w:color="000000" w:sz="6" w:space="0"/>
              <w:right w:val="single" w:color="000000" w:sz="6" w:space="0"/>
            </w:tcBorders>
            <w:vAlign w:val="center"/>
          </w:tcPr>
          <w:p w14:paraId="3E2F9494">
            <w:pPr>
              <w:widowControl/>
              <w:spacing w:line="360" w:lineRule="auto"/>
              <w:jc w:val="center"/>
              <w:textAlignment w:val="center"/>
              <w:rPr>
                <w:rFonts w:ascii="宋体" w:hAnsi="宋体" w:eastAsia="宋体" w:cs="宋体"/>
                <w:color w:val="000000"/>
                <w:sz w:val="22"/>
              </w:rPr>
            </w:pPr>
            <w:r>
              <w:rPr>
                <w:rFonts w:ascii="宋体" w:hAnsi="宋体" w:eastAsia="宋体" w:cs="宋体"/>
                <w:color w:val="000000"/>
                <w:sz w:val="22"/>
              </w:rPr>
              <w:t>1</w:t>
            </w:r>
          </w:p>
        </w:tc>
        <w:tc>
          <w:tcPr>
            <w:tcW w:w="1260" w:type="pct"/>
            <w:tcBorders>
              <w:top w:val="single" w:color="000000" w:sz="6" w:space="0"/>
              <w:left w:val="single" w:color="000000" w:sz="6" w:space="0"/>
              <w:bottom w:val="single" w:color="000000" w:sz="6" w:space="0"/>
              <w:right w:val="single" w:color="000000" w:sz="6" w:space="0"/>
            </w:tcBorders>
            <w:vAlign w:val="center"/>
          </w:tcPr>
          <w:p w14:paraId="4263B44D">
            <w:pPr>
              <w:widowControl/>
              <w:spacing w:line="360" w:lineRule="auto"/>
              <w:jc w:val="center"/>
              <w:textAlignment w:val="center"/>
              <w:rPr>
                <w:rFonts w:ascii="宋体" w:hAnsi="宋体" w:eastAsia="宋体" w:cs="宋体"/>
                <w:color w:val="000000"/>
                <w:sz w:val="22"/>
              </w:rPr>
            </w:pPr>
            <w:r>
              <w:rPr>
                <w:rFonts w:ascii="宋体" w:hAnsi="宋体" w:eastAsia="宋体" w:cs="宋体"/>
                <w:color w:val="000000"/>
                <w:sz w:val="22"/>
              </w:rPr>
              <w:t>35kV 交联</w:t>
            </w:r>
            <w:bookmarkStart w:id="171" w:name="OLE_LINK2"/>
            <w:r>
              <w:rPr>
                <w:rFonts w:ascii="宋体" w:hAnsi="宋体" w:eastAsia="宋体" w:cs="宋体"/>
                <w:color w:val="000000"/>
                <w:sz w:val="22"/>
              </w:rPr>
              <w:t>聚乙烯</w:t>
            </w:r>
            <w:bookmarkEnd w:id="171"/>
            <w:r>
              <w:rPr>
                <w:rFonts w:ascii="宋体" w:hAnsi="宋体" w:eastAsia="宋体" w:cs="宋体"/>
                <w:color w:val="000000"/>
                <w:sz w:val="22"/>
              </w:rPr>
              <w:t>电力电缆</w:t>
            </w:r>
          </w:p>
        </w:tc>
        <w:tc>
          <w:tcPr>
            <w:tcW w:w="1091" w:type="pct"/>
            <w:tcBorders>
              <w:top w:val="single" w:color="000000" w:sz="6" w:space="0"/>
              <w:left w:val="single" w:color="000000" w:sz="6" w:space="0"/>
              <w:bottom w:val="single" w:color="000000" w:sz="6" w:space="0"/>
              <w:right w:val="single" w:color="000000" w:sz="6" w:space="0"/>
            </w:tcBorders>
            <w:vAlign w:val="center"/>
          </w:tcPr>
          <w:p w14:paraId="0608D334">
            <w:pPr>
              <w:widowControl/>
              <w:spacing w:line="360" w:lineRule="auto"/>
              <w:jc w:val="center"/>
              <w:textAlignment w:val="center"/>
              <w:rPr>
                <w:rFonts w:ascii="宋体" w:hAnsi="宋体" w:eastAsia="宋体" w:cs="宋体"/>
                <w:color w:val="000000"/>
                <w:sz w:val="22"/>
              </w:rPr>
            </w:pPr>
            <w:r>
              <w:rPr>
                <w:rFonts w:ascii="宋体" w:hAnsi="宋体" w:eastAsia="宋体" w:cs="宋体"/>
                <w:color w:val="000000"/>
                <w:sz w:val="22"/>
              </w:rPr>
              <w:t>ZC-YJV32-26/35-3×300</w:t>
            </w:r>
          </w:p>
        </w:tc>
        <w:tc>
          <w:tcPr>
            <w:tcW w:w="420" w:type="pct"/>
            <w:tcBorders>
              <w:top w:val="single" w:color="000000" w:sz="6" w:space="0"/>
              <w:left w:val="single" w:color="000000" w:sz="6" w:space="0"/>
              <w:bottom w:val="single" w:color="000000" w:sz="6" w:space="0"/>
              <w:right w:val="single" w:color="000000" w:sz="6" w:space="0"/>
            </w:tcBorders>
            <w:vAlign w:val="center"/>
          </w:tcPr>
          <w:p w14:paraId="1B9B3494">
            <w:pPr>
              <w:widowControl/>
              <w:spacing w:line="360" w:lineRule="auto"/>
              <w:jc w:val="center"/>
              <w:textAlignment w:val="center"/>
              <w:rPr>
                <w:rFonts w:ascii="宋体" w:hAnsi="宋体" w:eastAsia="宋体" w:cs="宋体"/>
                <w:color w:val="000000"/>
                <w:sz w:val="22"/>
              </w:rPr>
            </w:pPr>
            <w:r>
              <w:rPr>
                <w:rFonts w:ascii="宋体" w:hAnsi="宋体" w:eastAsia="宋体" w:cs="宋体"/>
                <w:color w:val="000000"/>
                <w:sz w:val="22"/>
              </w:rPr>
              <w:t>m</w:t>
            </w:r>
          </w:p>
        </w:tc>
        <w:tc>
          <w:tcPr>
            <w:tcW w:w="503" w:type="pct"/>
            <w:tcBorders>
              <w:top w:val="single" w:color="000000" w:sz="6" w:space="0"/>
              <w:left w:val="single" w:color="000000" w:sz="6" w:space="0"/>
              <w:bottom w:val="single" w:color="000000" w:sz="6" w:space="0"/>
              <w:right w:val="single" w:color="000000" w:sz="6" w:space="0"/>
            </w:tcBorders>
            <w:vAlign w:val="center"/>
          </w:tcPr>
          <w:p w14:paraId="2C3CDE92">
            <w:pPr>
              <w:widowControl/>
              <w:spacing w:line="360" w:lineRule="auto"/>
              <w:jc w:val="center"/>
              <w:textAlignment w:val="center"/>
              <w:rPr>
                <w:rFonts w:ascii="宋体" w:hAnsi="宋体" w:eastAsia="宋体" w:cs="宋体"/>
                <w:color w:val="000000"/>
                <w:sz w:val="22"/>
              </w:rPr>
            </w:pPr>
            <w:r>
              <w:rPr>
                <w:rFonts w:ascii="宋体" w:hAnsi="宋体" w:eastAsia="宋体" w:cs="宋体"/>
                <w:color w:val="000000"/>
                <w:sz w:val="22"/>
              </w:rPr>
              <w:t>1700</w:t>
            </w:r>
          </w:p>
        </w:tc>
        <w:tc>
          <w:tcPr>
            <w:tcW w:w="672" w:type="pct"/>
            <w:tcBorders>
              <w:top w:val="single" w:color="000000" w:sz="6" w:space="0"/>
              <w:left w:val="single" w:color="auto" w:sz="4" w:space="0"/>
              <w:bottom w:val="single" w:color="000000" w:sz="6" w:space="0"/>
              <w:right w:val="single" w:color="auto" w:sz="4" w:space="0"/>
            </w:tcBorders>
            <w:vAlign w:val="center"/>
          </w:tcPr>
          <w:p w14:paraId="3633417C">
            <w:pPr>
              <w:autoSpaceDE w:val="0"/>
              <w:autoSpaceDN w:val="0"/>
              <w:adjustRightInd w:val="0"/>
              <w:spacing w:line="360" w:lineRule="auto"/>
              <w:jc w:val="center"/>
              <w:textAlignment w:val="baseline"/>
              <w:rPr>
                <w:rFonts w:ascii="宋体" w:hAnsi="宋体" w:eastAsia="宋体" w:cs="宋体"/>
                <w:color w:val="000000"/>
                <w:sz w:val="22"/>
              </w:rPr>
            </w:pPr>
            <w:r>
              <w:rPr>
                <w:rFonts w:ascii="宋体" w:hAnsi="宋体" w:eastAsia="宋体" w:cs="宋体"/>
                <w:color w:val="000000"/>
                <w:sz w:val="22"/>
              </w:rPr>
              <w:t xml:space="preserve">993.10 </w:t>
            </w:r>
          </w:p>
        </w:tc>
        <w:tc>
          <w:tcPr>
            <w:tcW w:w="723" w:type="pct"/>
            <w:vMerge w:val="restart"/>
            <w:tcBorders>
              <w:top w:val="single" w:color="000000" w:sz="6" w:space="0"/>
              <w:left w:val="single" w:color="auto" w:sz="4" w:space="0"/>
              <w:right w:val="single" w:color="000000" w:sz="6" w:space="0"/>
            </w:tcBorders>
            <w:vAlign w:val="center"/>
          </w:tcPr>
          <w:p w14:paraId="6763FF98">
            <w:pPr>
              <w:autoSpaceDE w:val="0"/>
              <w:autoSpaceDN w:val="0"/>
              <w:adjustRightInd w:val="0"/>
              <w:spacing w:line="360" w:lineRule="auto"/>
              <w:textAlignment w:val="baseline"/>
              <w:rPr>
                <w:rFonts w:ascii="宋体" w:hAnsi="宋体" w:eastAsia="宋体" w:cs="宋体"/>
                <w:color w:val="000000"/>
                <w:sz w:val="22"/>
              </w:rPr>
            </w:pPr>
            <w:r>
              <w:rPr>
                <w:rFonts w:ascii="宋体" w:hAnsi="宋体" w:eastAsia="宋体" w:cs="宋体"/>
                <w:color w:val="000000"/>
                <w:sz w:val="22"/>
              </w:rPr>
              <w:t>绝缘采用XLPE绝缘料内护采用90度级聚氯乙烯护套料挤制而成，铠装层采用两层镀锌钢带间隙绕包</w:t>
            </w:r>
          </w:p>
        </w:tc>
      </w:tr>
      <w:tr w14:paraId="1754EF9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686" w:hRule="atLeast"/>
          <w:jc w:val="center"/>
        </w:trPr>
        <w:tc>
          <w:tcPr>
            <w:tcW w:w="331" w:type="pct"/>
            <w:tcBorders>
              <w:top w:val="single" w:color="000000" w:sz="6" w:space="0"/>
              <w:left w:val="single" w:color="000000" w:sz="6" w:space="0"/>
              <w:bottom w:val="single" w:color="000000" w:sz="6" w:space="0"/>
              <w:right w:val="single" w:color="000000" w:sz="6" w:space="0"/>
            </w:tcBorders>
            <w:vAlign w:val="center"/>
          </w:tcPr>
          <w:p w14:paraId="0869A30A">
            <w:pPr>
              <w:widowControl/>
              <w:spacing w:line="360" w:lineRule="auto"/>
              <w:jc w:val="center"/>
              <w:textAlignment w:val="center"/>
              <w:rPr>
                <w:rFonts w:ascii="宋体" w:hAnsi="宋体" w:eastAsia="宋体" w:cs="宋体"/>
                <w:color w:val="000000"/>
                <w:sz w:val="22"/>
              </w:rPr>
            </w:pPr>
            <w:r>
              <w:rPr>
                <w:rFonts w:ascii="宋体" w:hAnsi="宋体" w:eastAsia="宋体" w:cs="宋体"/>
                <w:color w:val="000000"/>
                <w:sz w:val="22"/>
              </w:rPr>
              <w:t>2</w:t>
            </w:r>
          </w:p>
        </w:tc>
        <w:tc>
          <w:tcPr>
            <w:tcW w:w="1260" w:type="pct"/>
            <w:tcBorders>
              <w:top w:val="single" w:color="000000" w:sz="6" w:space="0"/>
              <w:left w:val="single" w:color="000000" w:sz="6" w:space="0"/>
              <w:bottom w:val="single" w:color="000000" w:sz="6" w:space="0"/>
              <w:right w:val="single" w:color="000000" w:sz="6" w:space="0"/>
            </w:tcBorders>
            <w:vAlign w:val="center"/>
          </w:tcPr>
          <w:p w14:paraId="57A06DC8">
            <w:pPr>
              <w:widowControl/>
              <w:spacing w:line="360" w:lineRule="auto"/>
              <w:jc w:val="center"/>
              <w:textAlignment w:val="center"/>
              <w:rPr>
                <w:rFonts w:ascii="宋体" w:hAnsi="宋体" w:eastAsia="宋体" w:cs="宋体"/>
                <w:color w:val="000000"/>
                <w:sz w:val="22"/>
              </w:rPr>
            </w:pPr>
            <w:r>
              <w:rPr>
                <w:rFonts w:ascii="宋体" w:hAnsi="宋体" w:eastAsia="宋体" w:cs="宋体"/>
                <w:color w:val="000000"/>
                <w:sz w:val="22"/>
              </w:rPr>
              <w:t>35kV 交联聚乙烯电力电缆</w:t>
            </w:r>
          </w:p>
        </w:tc>
        <w:tc>
          <w:tcPr>
            <w:tcW w:w="1091" w:type="pct"/>
            <w:tcBorders>
              <w:top w:val="single" w:color="000000" w:sz="6" w:space="0"/>
              <w:left w:val="single" w:color="000000" w:sz="6" w:space="0"/>
              <w:bottom w:val="single" w:color="000000" w:sz="6" w:space="0"/>
              <w:right w:val="single" w:color="000000" w:sz="6" w:space="0"/>
            </w:tcBorders>
            <w:vAlign w:val="center"/>
          </w:tcPr>
          <w:p w14:paraId="40A07680">
            <w:pPr>
              <w:widowControl/>
              <w:spacing w:line="360" w:lineRule="auto"/>
              <w:jc w:val="center"/>
              <w:textAlignment w:val="center"/>
              <w:rPr>
                <w:rFonts w:ascii="宋体" w:hAnsi="宋体" w:eastAsia="宋体" w:cs="宋体"/>
                <w:color w:val="000000"/>
                <w:sz w:val="22"/>
              </w:rPr>
            </w:pPr>
            <w:r>
              <w:rPr>
                <w:rFonts w:ascii="宋体" w:hAnsi="宋体" w:eastAsia="宋体" w:cs="宋体"/>
                <w:color w:val="000000"/>
                <w:sz w:val="22"/>
              </w:rPr>
              <w:t>ZC-YJV32-26/35-3×185</w:t>
            </w:r>
          </w:p>
        </w:tc>
        <w:tc>
          <w:tcPr>
            <w:tcW w:w="420" w:type="pct"/>
            <w:tcBorders>
              <w:top w:val="single" w:color="000000" w:sz="6" w:space="0"/>
              <w:left w:val="single" w:color="000000" w:sz="6" w:space="0"/>
              <w:bottom w:val="single" w:color="000000" w:sz="6" w:space="0"/>
              <w:right w:val="single" w:color="000000" w:sz="6" w:space="0"/>
            </w:tcBorders>
            <w:vAlign w:val="center"/>
          </w:tcPr>
          <w:p w14:paraId="66EEE9C9">
            <w:pPr>
              <w:widowControl/>
              <w:spacing w:line="360" w:lineRule="auto"/>
              <w:jc w:val="center"/>
              <w:textAlignment w:val="center"/>
              <w:rPr>
                <w:rFonts w:ascii="宋体" w:hAnsi="宋体" w:eastAsia="宋体" w:cs="宋体"/>
                <w:color w:val="000000"/>
                <w:sz w:val="22"/>
              </w:rPr>
            </w:pPr>
            <w:r>
              <w:rPr>
                <w:rFonts w:ascii="宋体" w:hAnsi="宋体" w:eastAsia="宋体" w:cs="宋体"/>
                <w:color w:val="000000"/>
                <w:sz w:val="22"/>
              </w:rPr>
              <w:t>m</w:t>
            </w:r>
          </w:p>
        </w:tc>
        <w:tc>
          <w:tcPr>
            <w:tcW w:w="503" w:type="pct"/>
            <w:tcBorders>
              <w:top w:val="single" w:color="000000" w:sz="6" w:space="0"/>
              <w:left w:val="single" w:color="000000" w:sz="6" w:space="0"/>
              <w:bottom w:val="single" w:color="000000" w:sz="6" w:space="0"/>
              <w:right w:val="single" w:color="000000" w:sz="6" w:space="0"/>
            </w:tcBorders>
            <w:vAlign w:val="center"/>
          </w:tcPr>
          <w:p w14:paraId="768BA353">
            <w:pPr>
              <w:widowControl/>
              <w:spacing w:line="360" w:lineRule="auto"/>
              <w:jc w:val="center"/>
              <w:textAlignment w:val="center"/>
              <w:rPr>
                <w:rFonts w:ascii="宋体" w:hAnsi="宋体" w:eastAsia="宋体" w:cs="宋体"/>
                <w:color w:val="000000"/>
                <w:sz w:val="22"/>
              </w:rPr>
            </w:pPr>
            <w:r>
              <w:rPr>
                <w:rFonts w:ascii="宋体" w:hAnsi="宋体" w:eastAsia="宋体" w:cs="宋体"/>
                <w:color w:val="000000"/>
                <w:sz w:val="22"/>
              </w:rPr>
              <w:t>90</w:t>
            </w:r>
          </w:p>
        </w:tc>
        <w:tc>
          <w:tcPr>
            <w:tcW w:w="672" w:type="pct"/>
            <w:tcBorders>
              <w:top w:val="single" w:color="000000" w:sz="6" w:space="0"/>
              <w:left w:val="single" w:color="auto" w:sz="4" w:space="0"/>
              <w:bottom w:val="single" w:color="000000" w:sz="6" w:space="0"/>
              <w:right w:val="single" w:color="auto" w:sz="4" w:space="0"/>
            </w:tcBorders>
            <w:vAlign w:val="center"/>
          </w:tcPr>
          <w:p w14:paraId="6605A927">
            <w:pPr>
              <w:autoSpaceDE w:val="0"/>
              <w:autoSpaceDN w:val="0"/>
              <w:adjustRightInd w:val="0"/>
              <w:spacing w:line="360" w:lineRule="auto"/>
              <w:jc w:val="center"/>
              <w:textAlignment w:val="baseline"/>
              <w:rPr>
                <w:rFonts w:ascii="宋体" w:hAnsi="宋体" w:eastAsia="宋体" w:cs="宋体"/>
                <w:color w:val="000000"/>
                <w:sz w:val="22"/>
              </w:rPr>
            </w:pPr>
            <w:r>
              <w:rPr>
                <w:rFonts w:ascii="宋体" w:hAnsi="宋体" w:eastAsia="宋体" w:cs="宋体"/>
                <w:color w:val="000000"/>
                <w:sz w:val="22"/>
              </w:rPr>
              <w:t xml:space="preserve">663.19 </w:t>
            </w:r>
          </w:p>
        </w:tc>
        <w:tc>
          <w:tcPr>
            <w:tcW w:w="723" w:type="pct"/>
            <w:vMerge w:val="continue"/>
            <w:tcBorders>
              <w:left w:val="single" w:color="auto" w:sz="4" w:space="0"/>
              <w:right w:val="single" w:color="000000" w:sz="6" w:space="0"/>
            </w:tcBorders>
            <w:vAlign w:val="center"/>
          </w:tcPr>
          <w:p w14:paraId="02371CB5">
            <w:pPr>
              <w:autoSpaceDE w:val="0"/>
              <w:autoSpaceDN w:val="0"/>
              <w:adjustRightInd w:val="0"/>
              <w:spacing w:line="360" w:lineRule="auto"/>
              <w:textAlignment w:val="baseline"/>
              <w:rPr>
                <w:rFonts w:ascii="宋体" w:hAnsi="宋体" w:eastAsia="宋体" w:cs="宋体"/>
                <w:color w:val="000000"/>
                <w:sz w:val="22"/>
              </w:rPr>
            </w:pPr>
          </w:p>
        </w:tc>
      </w:tr>
      <w:tr w14:paraId="75A892F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686" w:hRule="atLeast"/>
          <w:jc w:val="center"/>
        </w:trPr>
        <w:tc>
          <w:tcPr>
            <w:tcW w:w="331" w:type="pct"/>
            <w:tcBorders>
              <w:top w:val="single" w:color="000000" w:sz="6" w:space="0"/>
              <w:left w:val="single" w:color="000000" w:sz="6" w:space="0"/>
              <w:bottom w:val="single" w:color="000000" w:sz="6" w:space="0"/>
              <w:right w:val="single" w:color="000000" w:sz="6" w:space="0"/>
            </w:tcBorders>
            <w:vAlign w:val="center"/>
          </w:tcPr>
          <w:p w14:paraId="30778723">
            <w:pPr>
              <w:widowControl/>
              <w:spacing w:line="360" w:lineRule="auto"/>
              <w:jc w:val="center"/>
              <w:textAlignment w:val="center"/>
              <w:rPr>
                <w:rFonts w:ascii="宋体" w:hAnsi="宋体" w:eastAsia="宋体" w:cs="宋体"/>
                <w:color w:val="000000"/>
                <w:sz w:val="22"/>
              </w:rPr>
            </w:pPr>
            <w:r>
              <w:rPr>
                <w:rFonts w:ascii="宋体" w:hAnsi="宋体" w:eastAsia="宋体" w:cs="宋体"/>
                <w:color w:val="000000"/>
                <w:sz w:val="22"/>
              </w:rPr>
              <w:t>3</w:t>
            </w:r>
          </w:p>
        </w:tc>
        <w:tc>
          <w:tcPr>
            <w:tcW w:w="1260" w:type="pct"/>
            <w:tcBorders>
              <w:top w:val="single" w:color="000000" w:sz="6" w:space="0"/>
              <w:left w:val="single" w:color="000000" w:sz="6" w:space="0"/>
              <w:bottom w:val="single" w:color="000000" w:sz="6" w:space="0"/>
              <w:right w:val="single" w:color="000000" w:sz="6" w:space="0"/>
            </w:tcBorders>
            <w:vAlign w:val="center"/>
          </w:tcPr>
          <w:p w14:paraId="7488250D">
            <w:pPr>
              <w:widowControl/>
              <w:spacing w:line="360" w:lineRule="auto"/>
              <w:jc w:val="center"/>
              <w:textAlignment w:val="center"/>
              <w:rPr>
                <w:rFonts w:ascii="宋体" w:hAnsi="宋体" w:eastAsia="宋体" w:cs="宋体"/>
                <w:color w:val="000000"/>
                <w:sz w:val="22"/>
              </w:rPr>
            </w:pPr>
            <w:r>
              <w:rPr>
                <w:rFonts w:ascii="宋体" w:hAnsi="宋体" w:eastAsia="宋体" w:cs="宋体"/>
                <w:color w:val="000000"/>
                <w:sz w:val="22"/>
              </w:rPr>
              <w:t>35kV 交联聚乙烯电力电缆</w:t>
            </w:r>
          </w:p>
        </w:tc>
        <w:tc>
          <w:tcPr>
            <w:tcW w:w="1091" w:type="pct"/>
            <w:tcBorders>
              <w:top w:val="single" w:color="000000" w:sz="6" w:space="0"/>
              <w:left w:val="single" w:color="000000" w:sz="6" w:space="0"/>
              <w:bottom w:val="single" w:color="000000" w:sz="6" w:space="0"/>
              <w:right w:val="single" w:color="000000" w:sz="6" w:space="0"/>
            </w:tcBorders>
            <w:vAlign w:val="center"/>
          </w:tcPr>
          <w:p w14:paraId="26024DAC">
            <w:pPr>
              <w:widowControl/>
              <w:spacing w:line="360" w:lineRule="auto"/>
              <w:jc w:val="center"/>
              <w:textAlignment w:val="center"/>
              <w:rPr>
                <w:rFonts w:ascii="宋体" w:hAnsi="宋体" w:eastAsia="宋体" w:cs="宋体"/>
                <w:color w:val="000000"/>
                <w:sz w:val="22"/>
              </w:rPr>
            </w:pPr>
            <w:r>
              <w:rPr>
                <w:rFonts w:ascii="宋体" w:hAnsi="宋体" w:eastAsia="宋体" w:cs="宋体"/>
                <w:color w:val="000000"/>
                <w:sz w:val="22"/>
              </w:rPr>
              <w:t>ZC-YJY22-26/35-3×95</w:t>
            </w:r>
          </w:p>
        </w:tc>
        <w:tc>
          <w:tcPr>
            <w:tcW w:w="420" w:type="pct"/>
            <w:tcBorders>
              <w:top w:val="single" w:color="000000" w:sz="6" w:space="0"/>
              <w:left w:val="single" w:color="000000" w:sz="6" w:space="0"/>
              <w:bottom w:val="single" w:color="000000" w:sz="6" w:space="0"/>
              <w:right w:val="single" w:color="000000" w:sz="6" w:space="0"/>
            </w:tcBorders>
            <w:vAlign w:val="center"/>
          </w:tcPr>
          <w:p w14:paraId="416A9354">
            <w:pPr>
              <w:widowControl/>
              <w:spacing w:line="360" w:lineRule="auto"/>
              <w:jc w:val="center"/>
              <w:textAlignment w:val="center"/>
              <w:rPr>
                <w:rFonts w:ascii="宋体" w:hAnsi="宋体" w:eastAsia="宋体" w:cs="宋体"/>
                <w:color w:val="000000"/>
                <w:sz w:val="22"/>
              </w:rPr>
            </w:pPr>
            <w:r>
              <w:rPr>
                <w:rFonts w:ascii="宋体" w:hAnsi="宋体" w:eastAsia="宋体" w:cs="宋体"/>
                <w:color w:val="000000"/>
                <w:sz w:val="22"/>
              </w:rPr>
              <w:t>m</w:t>
            </w:r>
          </w:p>
        </w:tc>
        <w:tc>
          <w:tcPr>
            <w:tcW w:w="503" w:type="pct"/>
            <w:tcBorders>
              <w:top w:val="single" w:color="000000" w:sz="6" w:space="0"/>
              <w:left w:val="single" w:color="000000" w:sz="6" w:space="0"/>
              <w:bottom w:val="single" w:color="000000" w:sz="6" w:space="0"/>
              <w:right w:val="single" w:color="000000" w:sz="6" w:space="0"/>
            </w:tcBorders>
            <w:vAlign w:val="center"/>
          </w:tcPr>
          <w:p w14:paraId="30A2E12C">
            <w:pPr>
              <w:widowControl/>
              <w:spacing w:line="360" w:lineRule="auto"/>
              <w:jc w:val="center"/>
              <w:textAlignment w:val="center"/>
              <w:rPr>
                <w:rFonts w:ascii="宋体" w:hAnsi="宋体" w:eastAsia="宋体" w:cs="宋体"/>
                <w:color w:val="000000"/>
                <w:sz w:val="22"/>
              </w:rPr>
            </w:pPr>
            <w:r>
              <w:rPr>
                <w:rFonts w:ascii="宋体" w:hAnsi="宋体" w:eastAsia="宋体" w:cs="宋体"/>
                <w:color w:val="000000"/>
                <w:sz w:val="22"/>
              </w:rPr>
              <w:t>300</w:t>
            </w:r>
          </w:p>
        </w:tc>
        <w:tc>
          <w:tcPr>
            <w:tcW w:w="672" w:type="pct"/>
            <w:tcBorders>
              <w:top w:val="single" w:color="000000" w:sz="6" w:space="0"/>
              <w:left w:val="single" w:color="auto" w:sz="4" w:space="0"/>
              <w:bottom w:val="single" w:color="000000" w:sz="6" w:space="0"/>
              <w:right w:val="single" w:color="auto" w:sz="4" w:space="0"/>
            </w:tcBorders>
            <w:vAlign w:val="center"/>
          </w:tcPr>
          <w:p w14:paraId="73A51EC9">
            <w:pPr>
              <w:autoSpaceDE w:val="0"/>
              <w:autoSpaceDN w:val="0"/>
              <w:adjustRightInd w:val="0"/>
              <w:spacing w:line="360" w:lineRule="auto"/>
              <w:jc w:val="center"/>
              <w:textAlignment w:val="baseline"/>
              <w:rPr>
                <w:rFonts w:ascii="宋体" w:hAnsi="宋体" w:eastAsia="宋体" w:cs="宋体"/>
                <w:color w:val="000000"/>
                <w:sz w:val="22"/>
              </w:rPr>
            </w:pPr>
            <w:r>
              <w:rPr>
                <w:rFonts w:ascii="宋体" w:hAnsi="宋体" w:eastAsia="宋体" w:cs="宋体"/>
                <w:color w:val="000000"/>
                <w:sz w:val="22"/>
              </w:rPr>
              <w:t xml:space="preserve">362.21 </w:t>
            </w:r>
          </w:p>
        </w:tc>
        <w:tc>
          <w:tcPr>
            <w:tcW w:w="723" w:type="pct"/>
            <w:vMerge w:val="continue"/>
            <w:tcBorders>
              <w:left w:val="single" w:color="auto" w:sz="4" w:space="0"/>
              <w:right w:val="single" w:color="000000" w:sz="6" w:space="0"/>
            </w:tcBorders>
            <w:vAlign w:val="center"/>
          </w:tcPr>
          <w:p w14:paraId="209B0201">
            <w:pPr>
              <w:autoSpaceDE w:val="0"/>
              <w:autoSpaceDN w:val="0"/>
              <w:adjustRightInd w:val="0"/>
              <w:spacing w:line="360" w:lineRule="auto"/>
              <w:textAlignment w:val="baseline"/>
              <w:rPr>
                <w:rFonts w:ascii="宋体" w:hAnsi="宋体" w:eastAsia="宋体" w:cs="宋体"/>
                <w:color w:val="000000"/>
                <w:sz w:val="22"/>
              </w:rPr>
            </w:pPr>
          </w:p>
        </w:tc>
      </w:tr>
      <w:tr w14:paraId="249E687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686" w:hRule="atLeast"/>
          <w:jc w:val="center"/>
        </w:trPr>
        <w:tc>
          <w:tcPr>
            <w:tcW w:w="331" w:type="pct"/>
            <w:tcBorders>
              <w:top w:val="single" w:color="000000" w:sz="6" w:space="0"/>
              <w:left w:val="single" w:color="000000" w:sz="6" w:space="0"/>
              <w:bottom w:val="single" w:color="000000" w:sz="6" w:space="0"/>
              <w:right w:val="single" w:color="000000" w:sz="6" w:space="0"/>
            </w:tcBorders>
            <w:vAlign w:val="center"/>
          </w:tcPr>
          <w:p w14:paraId="5F19F254">
            <w:pPr>
              <w:widowControl/>
              <w:spacing w:line="360" w:lineRule="auto"/>
              <w:jc w:val="center"/>
              <w:textAlignment w:val="center"/>
              <w:rPr>
                <w:rFonts w:ascii="宋体" w:hAnsi="宋体" w:eastAsia="宋体" w:cs="宋体"/>
                <w:color w:val="000000"/>
                <w:sz w:val="22"/>
              </w:rPr>
            </w:pPr>
            <w:r>
              <w:rPr>
                <w:rFonts w:ascii="宋体" w:hAnsi="宋体" w:eastAsia="宋体" w:cs="宋体"/>
                <w:color w:val="000000"/>
                <w:sz w:val="22"/>
              </w:rPr>
              <w:t>4</w:t>
            </w:r>
          </w:p>
        </w:tc>
        <w:tc>
          <w:tcPr>
            <w:tcW w:w="1260" w:type="pct"/>
            <w:tcBorders>
              <w:top w:val="single" w:color="000000" w:sz="6" w:space="0"/>
              <w:left w:val="single" w:color="000000" w:sz="6" w:space="0"/>
              <w:bottom w:val="single" w:color="000000" w:sz="6" w:space="0"/>
              <w:right w:val="single" w:color="000000" w:sz="6" w:space="0"/>
            </w:tcBorders>
            <w:vAlign w:val="center"/>
          </w:tcPr>
          <w:p w14:paraId="01726526">
            <w:pPr>
              <w:widowControl/>
              <w:spacing w:line="360" w:lineRule="auto"/>
              <w:jc w:val="center"/>
              <w:textAlignment w:val="center"/>
              <w:rPr>
                <w:rFonts w:ascii="宋体" w:hAnsi="宋体" w:eastAsia="宋体" w:cs="宋体"/>
                <w:color w:val="000000"/>
                <w:sz w:val="22"/>
              </w:rPr>
            </w:pPr>
            <w:r>
              <w:rPr>
                <w:rFonts w:ascii="宋体" w:hAnsi="宋体" w:eastAsia="宋体" w:cs="宋体"/>
                <w:color w:val="000000"/>
                <w:sz w:val="22"/>
              </w:rPr>
              <w:t>控制电缆（阻燃）</w:t>
            </w:r>
          </w:p>
        </w:tc>
        <w:tc>
          <w:tcPr>
            <w:tcW w:w="1091" w:type="pct"/>
            <w:tcBorders>
              <w:top w:val="single" w:color="000000" w:sz="6" w:space="0"/>
              <w:left w:val="single" w:color="000000" w:sz="6" w:space="0"/>
              <w:bottom w:val="single" w:color="000000" w:sz="6" w:space="0"/>
              <w:right w:val="single" w:color="000000" w:sz="6" w:space="0"/>
            </w:tcBorders>
            <w:vAlign w:val="center"/>
          </w:tcPr>
          <w:p w14:paraId="1C9F141C">
            <w:pPr>
              <w:widowControl/>
              <w:spacing w:line="360" w:lineRule="auto"/>
              <w:jc w:val="center"/>
              <w:textAlignment w:val="center"/>
              <w:rPr>
                <w:rFonts w:ascii="宋体" w:hAnsi="宋体" w:eastAsia="宋体" w:cs="宋体"/>
                <w:color w:val="000000"/>
                <w:sz w:val="22"/>
              </w:rPr>
            </w:pPr>
            <w:r>
              <w:rPr>
                <w:rFonts w:ascii="宋体" w:hAnsi="宋体" w:eastAsia="宋体" w:cs="宋体"/>
                <w:color w:val="000000"/>
                <w:sz w:val="22"/>
              </w:rPr>
              <w:t>ZC-KVVP2 4×4</w:t>
            </w:r>
          </w:p>
        </w:tc>
        <w:tc>
          <w:tcPr>
            <w:tcW w:w="420" w:type="pct"/>
            <w:tcBorders>
              <w:top w:val="single" w:color="000000" w:sz="6" w:space="0"/>
              <w:left w:val="single" w:color="000000" w:sz="6" w:space="0"/>
              <w:bottom w:val="single" w:color="000000" w:sz="6" w:space="0"/>
              <w:right w:val="single" w:color="000000" w:sz="6" w:space="0"/>
            </w:tcBorders>
            <w:vAlign w:val="center"/>
          </w:tcPr>
          <w:p w14:paraId="1DD33D95">
            <w:pPr>
              <w:widowControl/>
              <w:spacing w:line="360" w:lineRule="auto"/>
              <w:jc w:val="center"/>
              <w:textAlignment w:val="center"/>
              <w:rPr>
                <w:rFonts w:ascii="宋体" w:hAnsi="宋体" w:eastAsia="宋体" w:cs="宋体"/>
                <w:color w:val="000000"/>
                <w:sz w:val="22"/>
              </w:rPr>
            </w:pPr>
            <w:r>
              <w:rPr>
                <w:rFonts w:ascii="宋体" w:hAnsi="宋体" w:eastAsia="宋体" w:cs="宋体"/>
                <w:color w:val="000000"/>
                <w:sz w:val="22"/>
              </w:rPr>
              <w:t>km</w:t>
            </w:r>
          </w:p>
        </w:tc>
        <w:tc>
          <w:tcPr>
            <w:tcW w:w="503" w:type="pct"/>
            <w:tcBorders>
              <w:top w:val="single" w:color="000000" w:sz="6" w:space="0"/>
              <w:left w:val="single" w:color="000000" w:sz="6" w:space="0"/>
              <w:bottom w:val="single" w:color="000000" w:sz="6" w:space="0"/>
              <w:right w:val="single" w:color="000000" w:sz="6" w:space="0"/>
            </w:tcBorders>
            <w:vAlign w:val="center"/>
          </w:tcPr>
          <w:p w14:paraId="4BEE4014">
            <w:pPr>
              <w:widowControl/>
              <w:spacing w:line="360" w:lineRule="auto"/>
              <w:jc w:val="center"/>
              <w:textAlignment w:val="center"/>
              <w:rPr>
                <w:rFonts w:ascii="宋体" w:hAnsi="宋体" w:eastAsia="宋体" w:cs="宋体"/>
                <w:color w:val="000000"/>
                <w:sz w:val="22"/>
              </w:rPr>
            </w:pPr>
            <w:r>
              <w:rPr>
                <w:rFonts w:ascii="宋体" w:hAnsi="宋体" w:eastAsia="宋体" w:cs="宋体"/>
                <w:color w:val="000000"/>
                <w:sz w:val="22"/>
              </w:rPr>
              <w:t>45</w:t>
            </w:r>
          </w:p>
        </w:tc>
        <w:tc>
          <w:tcPr>
            <w:tcW w:w="672" w:type="pct"/>
            <w:tcBorders>
              <w:top w:val="single" w:color="000000" w:sz="6" w:space="0"/>
              <w:left w:val="single" w:color="auto" w:sz="4" w:space="0"/>
              <w:bottom w:val="single" w:color="000000" w:sz="6" w:space="0"/>
              <w:right w:val="single" w:color="auto" w:sz="4" w:space="0"/>
            </w:tcBorders>
            <w:vAlign w:val="center"/>
          </w:tcPr>
          <w:p w14:paraId="0E1D1147">
            <w:pPr>
              <w:autoSpaceDE w:val="0"/>
              <w:autoSpaceDN w:val="0"/>
              <w:adjustRightInd w:val="0"/>
              <w:spacing w:line="360" w:lineRule="auto"/>
              <w:jc w:val="center"/>
              <w:textAlignment w:val="baseline"/>
              <w:rPr>
                <w:rFonts w:ascii="宋体" w:hAnsi="宋体" w:eastAsia="宋体" w:cs="宋体"/>
                <w:color w:val="000000"/>
                <w:sz w:val="22"/>
              </w:rPr>
            </w:pPr>
            <w:r>
              <w:rPr>
                <w:rFonts w:ascii="宋体" w:hAnsi="宋体" w:eastAsia="宋体" w:cs="宋体"/>
                <w:color w:val="000000"/>
                <w:sz w:val="22"/>
              </w:rPr>
              <w:t xml:space="preserve">13716.81 </w:t>
            </w:r>
          </w:p>
        </w:tc>
        <w:tc>
          <w:tcPr>
            <w:tcW w:w="723" w:type="pct"/>
            <w:vMerge w:val="continue"/>
            <w:tcBorders>
              <w:left w:val="single" w:color="auto" w:sz="4" w:space="0"/>
              <w:right w:val="single" w:color="000000" w:sz="6" w:space="0"/>
            </w:tcBorders>
            <w:vAlign w:val="center"/>
          </w:tcPr>
          <w:p w14:paraId="0C2C9009">
            <w:pPr>
              <w:autoSpaceDE w:val="0"/>
              <w:autoSpaceDN w:val="0"/>
              <w:adjustRightInd w:val="0"/>
              <w:spacing w:line="360" w:lineRule="auto"/>
              <w:textAlignment w:val="baseline"/>
              <w:rPr>
                <w:rFonts w:ascii="宋体" w:hAnsi="宋体" w:eastAsia="宋体" w:cs="宋体"/>
                <w:color w:val="000000"/>
                <w:sz w:val="22"/>
              </w:rPr>
            </w:pPr>
          </w:p>
        </w:tc>
      </w:tr>
      <w:tr w14:paraId="144D8BE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686" w:hRule="atLeast"/>
          <w:jc w:val="center"/>
        </w:trPr>
        <w:tc>
          <w:tcPr>
            <w:tcW w:w="331" w:type="pct"/>
            <w:tcBorders>
              <w:top w:val="single" w:color="000000" w:sz="6" w:space="0"/>
              <w:left w:val="single" w:color="000000" w:sz="6" w:space="0"/>
              <w:bottom w:val="single" w:color="000000" w:sz="6" w:space="0"/>
              <w:right w:val="single" w:color="000000" w:sz="6" w:space="0"/>
            </w:tcBorders>
            <w:vAlign w:val="center"/>
          </w:tcPr>
          <w:p w14:paraId="6C1948E2">
            <w:pPr>
              <w:widowControl/>
              <w:spacing w:line="360" w:lineRule="auto"/>
              <w:jc w:val="center"/>
              <w:textAlignment w:val="center"/>
              <w:rPr>
                <w:rFonts w:ascii="宋体" w:hAnsi="宋体" w:eastAsia="宋体" w:cs="宋体"/>
                <w:color w:val="000000"/>
                <w:sz w:val="22"/>
              </w:rPr>
            </w:pPr>
            <w:r>
              <w:rPr>
                <w:rFonts w:ascii="宋体" w:hAnsi="宋体" w:eastAsia="宋体" w:cs="宋体"/>
                <w:color w:val="000000"/>
                <w:sz w:val="22"/>
              </w:rPr>
              <w:t>5</w:t>
            </w:r>
          </w:p>
        </w:tc>
        <w:tc>
          <w:tcPr>
            <w:tcW w:w="1260" w:type="pct"/>
            <w:tcBorders>
              <w:top w:val="single" w:color="000000" w:sz="6" w:space="0"/>
              <w:left w:val="single" w:color="000000" w:sz="6" w:space="0"/>
              <w:bottom w:val="single" w:color="000000" w:sz="6" w:space="0"/>
              <w:right w:val="single" w:color="000000" w:sz="6" w:space="0"/>
            </w:tcBorders>
            <w:vAlign w:val="center"/>
          </w:tcPr>
          <w:p w14:paraId="210DE8C9">
            <w:pPr>
              <w:widowControl/>
              <w:spacing w:line="360" w:lineRule="auto"/>
              <w:jc w:val="center"/>
              <w:textAlignment w:val="center"/>
              <w:rPr>
                <w:rFonts w:ascii="宋体" w:hAnsi="宋体" w:eastAsia="宋体" w:cs="宋体"/>
                <w:color w:val="000000"/>
                <w:sz w:val="22"/>
              </w:rPr>
            </w:pPr>
            <w:r>
              <w:rPr>
                <w:rFonts w:ascii="宋体" w:hAnsi="宋体" w:eastAsia="宋体" w:cs="宋体"/>
                <w:color w:val="000000"/>
                <w:sz w:val="22"/>
              </w:rPr>
              <w:t>控制电缆（耐火）</w:t>
            </w:r>
          </w:p>
        </w:tc>
        <w:tc>
          <w:tcPr>
            <w:tcW w:w="1091" w:type="pct"/>
            <w:tcBorders>
              <w:top w:val="single" w:color="000000" w:sz="6" w:space="0"/>
              <w:left w:val="single" w:color="000000" w:sz="6" w:space="0"/>
              <w:bottom w:val="single" w:color="000000" w:sz="6" w:space="0"/>
              <w:right w:val="single" w:color="000000" w:sz="6" w:space="0"/>
            </w:tcBorders>
            <w:vAlign w:val="center"/>
          </w:tcPr>
          <w:p w14:paraId="2DA8230A">
            <w:pPr>
              <w:widowControl/>
              <w:spacing w:line="360" w:lineRule="auto"/>
              <w:jc w:val="center"/>
              <w:textAlignment w:val="center"/>
              <w:rPr>
                <w:rFonts w:ascii="宋体" w:hAnsi="宋体" w:eastAsia="宋体" w:cs="宋体"/>
                <w:color w:val="000000"/>
                <w:sz w:val="22"/>
              </w:rPr>
            </w:pPr>
            <w:r>
              <w:rPr>
                <w:rFonts w:ascii="宋体" w:hAnsi="宋体" w:eastAsia="宋体" w:cs="宋体"/>
                <w:color w:val="000000"/>
                <w:sz w:val="22"/>
              </w:rPr>
              <w:t>ZC-KVVP2 7×2.5</w:t>
            </w:r>
          </w:p>
        </w:tc>
        <w:tc>
          <w:tcPr>
            <w:tcW w:w="420" w:type="pct"/>
            <w:tcBorders>
              <w:top w:val="single" w:color="000000" w:sz="6" w:space="0"/>
              <w:left w:val="single" w:color="000000" w:sz="6" w:space="0"/>
              <w:bottom w:val="single" w:color="000000" w:sz="6" w:space="0"/>
              <w:right w:val="single" w:color="000000" w:sz="6" w:space="0"/>
            </w:tcBorders>
            <w:vAlign w:val="center"/>
          </w:tcPr>
          <w:p w14:paraId="2654FD11">
            <w:pPr>
              <w:widowControl/>
              <w:spacing w:line="360" w:lineRule="auto"/>
              <w:jc w:val="center"/>
              <w:textAlignment w:val="center"/>
              <w:rPr>
                <w:rFonts w:ascii="宋体" w:hAnsi="宋体" w:eastAsia="宋体" w:cs="宋体"/>
                <w:color w:val="000000"/>
                <w:sz w:val="22"/>
              </w:rPr>
            </w:pPr>
            <w:r>
              <w:rPr>
                <w:rFonts w:ascii="宋体" w:hAnsi="宋体" w:eastAsia="宋体" w:cs="宋体"/>
                <w:color w:val="000000"/>
                <w:sz w:val="22"/>
              </w:rPr>
              <w:t>km</w:t>
            </w:r>
          </w:p>
        </w:tc>
        <w:tc>
          <w:tcPr>
            <w:tcW w:w="503" w:type="pct"/>
            <w:tcBorders>
              <w:top w:val="single" w:color="000000" w:sz="6" w:space="0"/>
              <w:left w:val="single" w:color="000000" w:sz="6" w:space="0"/>
              <w:bottom w:val="single" w:color="000000" w:sz="6" w:space="0"/>
              <w:right w:val="single" w:color="000000" w:sz="6" w:space="0"/>
            </w:tcBorders>
            <w:vAlign w:val="center"/>
          </w:tcPr>
          <w:p w14:paraId="257D4520">
            <w:pPr>
              <w:widowControl/>
              <w:spacing w:line="360" w:lineRule="auto"/>
              <w:jc w:val="center"/>
              <w:textAlignment w:val="center"/>
              <w:rPr>
                <w:rFonts w:ascii="宋体" w:hAnsi="宋体" w:eastAsia="宋体" w:cs="宋体"/>
                <w:color w:val="000000"/>
                <w:sz w:val="22"/>
              </w:rPr>
            </w:pPr>
            <w:r>
              <w:rPr>
                <w:rFonts w:ascii="宋体" w:hAnsi="宋体" w:eastAsia="宋体" w:cs="宋体"/>
                <w:color w:val="000000"/>
                <w:sz w:val="22"/>
              </w:rPr>
              <w:t>15</w:t>
            </w:r>
          </w:p>
        </w:tc>
        <w:tc>
          <w:tcPr>
            <w:tcW w:w="672" w:type="pct"/>
            <w:tcBorders>
              <w:top w:val="single" w:color="000000" w:sz="6" w:space="0"/>
              <w:left w:val="single" w:color="auto" w:sz="4" w:space="0"/>
              <w:bottom w:val="single" w:color="000000" w:sz="6" w:space="0"/>
              <w:right w:val="single" w:color="auto" w:sz="4" w:space="0"/>
            </w:tcBorders>
            <w:vAlign w:val="center"/>
          </w:tcPr>
          <w:p w14:paraId="51D1AF32">
            <w:pPr>
              <w:autoSpaceDE w:val="0"/>
              <w:autoSpaceDN w:val="0"/>
              <w:adjustRightInd w:val="0"/>
              <w:spacing w:line="360" w:lineRule="auto"/>
              <w:jc w:val="center"/>
              <w:textAlignment w:val="baseline"/>
              <w:rPr>
                <w:rFonts w:ascii="宋体" w:hAnsi="宋体" w:eastAsia="宋体" w:cs="宋体"/>
                <w:color w:val="000000"/>
                <w:sz w:val="22"/>
              </w:rPr>
            </w:pPr>
            <w:r>
              <w:rPr>
                <w:rFonts w:ascii="宋体" w:hAnsi="宋体" w:eastAsia="宋体" w:cs="宋体"/>
                <w:color w:val="000000"/>
                <w:sz w:val="22"/>
              </w:rPr>
              <w:t xml:space="preserve">18584.07 </w:t>
            </w:r>
          </w:p>
        </w:tc>
        <w:tc>
          <w:tcPr>
            <w:tcW w:w="723" w:type="pct"/>
            <w:vMerge w:val="continue"/>
            <w:tcBorders>
              <w:left w:val="single" w:color="auto" w:sz="4" w:space="0"/>
              <w:right w:val="single" w:color="000000" w:sz="6" w:space="0"/>
            </w:tcBorders>
            <w:vAlign w:val="center"/>
          </w:tcPr>
          <w:p w14:paraId="743AF172">
            <w:pPr>
              <w:autoSpaceDE w:val="0"/>
              <w:autoSpaceDN w:val="0"/>
              <w:adjustRightInd w:val="0"/>
              <w:spacing w:line="360" w:lineRule="auto"/>
              <w:textAlignment w:val="baseline"/>
              <w:rPr>
                <w:rFonts w:ascii="宋体" w:hAnsi="宋体" w:eastAsia="宋体" w:cs="宋体"/>
                <w:color w:val="000000"/>
                <w:sz w:val="22"/>
              </w:rPr>
            </w:pPr>
          </w:p>
        </w:tc>
      </w:tr>
      <w:tr w14:paraId="23CCCA2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686" w:hRule="atLeast"/>
          <w:jc w:val="center"/>
        </w:trPr>
        <w:tc>
          <w:tcPr>
            <w:tcW w:w="331" w:type="pct"/>
            <w:tcBorders>
              <w:top w:val="single" w:color="000000" w:sz="6" w:space="0"/>
              <w:left w:val="single" w:color="000000" w:sz="6" w:space="0"/>
              <w:bottom w:val="single" w:color="000000" w:sz="6" w:space="0"/>
              <w:right w:val="single" w:color="000000" w:sz="6" w:space="0"/>
            </w:tcBorders>
            <w:vAlign w:val="center"/>
          </w:tcPr>
          <w:p w14:paraId="7DFD6041">
            <w:pPr>
              <w:widowControl/>
              <w:spacing w:line="360" w:lineRule="auto"/>
              <w:jc w:val="center"/>
              <w:textAlignment w:val="center"/>
              <w:rPr>
                <w:rFonts w:ascii="宋体" w:hAnsi="宋体" w:eastAsia="宋体" w:cs="宋体"/>
                <w:color w:val="000000"/>
                <w:sz w:val="22"/>
              </w:rPr>
            </w:pPr>
            <w:r>
              <w:rPr>
                <w:rFonts w:ascii="宋体" w:hAnsi="宋体" w:eastAsia="宋体" w:cs="宋体"/>
                <w:color w:val="000000"/>
                <w:sz w:val="22"/>
              </w:rPr>
              <w:t>6</w:t>
            </w:r>
          </w:p>
        </w:tc>
        <w:tc>
          <w:tcPr>
            <w:tcW w:w="1260" w:type="pct"/>
            <w:tcBorders>
              <w:top w:val="single" w:color="000000" w:sz="6" w:space="0"/>
              <w:left w:val="single" w:color="000000" w:sz="6" w:space="0"/>
              <w:bottom w:val="single" w:color="000000" w:sz="6" w:space="0"/>
              <w:right w:val="single" w:color="000000" w:sz="6" w:space="0"/>
            </w:tcBorders>
            <w:vAlign w:val="center"/>
          </w:tcPr>
          <w:p w14:paraId="7C628C0E">
            <w:pPr>
              <w:widowControl/>
              <w:spacing w:line="360" w:lineRule="auto"/>
              <w:jc w:val="center"/>
              <w:textAlignment w:val="center"/>
              <w:rPr>
                <w:rFonts w:ascii="宋体" w:hAnsi="宋体" w:eastAsia="宋体" w:cs="宋体"/>
                <w:color w:val="000000"/>
                <w:sz w:val="22"/>
              </w:rPr>
            </w:pPr>
            <w:r>
              <w:rPr>
                <w:rFonts w:ascii="宋体" w:hAnsi="宋体" w:eastAsia="宋体" w:cs="宋体"/>
                <w:color w:val="000000"/>
                <w:sz w:val="22"/>
              </w:rPr>
              <w:t>电力电缆（阻燃）</w:t>
            </w:r>
          </w:p>
        </w:tc>
        <w:tc>
          <w:tcPr>
            <w:tcW w:w="1091" w:type="pct"/>
            <w:tcBorders>
              <w:top w:val="single" w:color="000000" w:sz="6" w:space="0"/>
              <w:left w:val="single" w:color="000000" w:sz="6" w:space="0"/>
              <w:bottom w:val="single" w:color="000000" w:sz="6" w:space="0"/>
              <w:right w:val="single" w:color="000000" w:sz="6" w:space="0"/>
            </w:tcBorders>
            <w:vAlign w:val="center"/>
          </w:tcPr>
          <w:p w14:paraId="6BA3EB65">
            <w:pPr>
              <w:widowControl/>
              <w:spacing w:line="360" w:lineRule="auto"/>
              <w:jc w:val="center"/>
              <w:textAlignment w:val="center"/>
              <w:rPr>
                <w:rFonts w:ascii="宋体" w:hAnsi="宋体" w:eastAsia="宋体" w:cs="宋体"/>
                <w:color w:val="000000"/>
                <w:sz w:val="22"/>
              </w:rPr>
            </w:pPr>
            <w:r>
              <w:rPr>
                <w:rFonts w:ascii="宋体" w:hAnsi="宋体" w:eastAsia="宋体" w:cs="宋体"/>
                <w:color w:val="000000"/>
                <w:sz w:val="22"/>
              </w:rPr>
              <w:t>ZR-YJY-0.6/1kV 4×50+1×50</w:t>
            </w:r>
          </w:p>
        </w:tc>
        <w:tc>
          <w:tcPr>
            <w:tcW w:w="420" w:type="pct"/>
            <w:tcBorders>
              <w:top w:val="single" w:color="000000" w:sz="6" w:space="0"/>
              <w:left w:val="single" w:color="000000" w:sz="6" w:space="0"/>
              <w:bottom w:val="single" w:color="000000" w:sz="6" w:space="0"/>
              <w:right w:val="single" w:color="000000" w:sz="6" w:space="0"/>
            </w:tcBorders>
            <w:vAlign w:val="center"/>
          </w:tcPr>
          <w:p w14:paraId="0A8A7AB4">
            <w:pPr>
              <w:widowControl/>
              <w:spacing w:line="360" w:lineRule="auto"/>
              <w:jc w:val="center"/>
              <w:textAlignment w:val="center"/>
              <w:rPr>
                <w:rFonts w:ascii="宋体" w:hAnsi="宋体" w:eastAsia="宋体" w:cs="宋体"/>
                <w:color w:val="000000"/>
                <w:sz w:val="22"/>
              </w:rPr>
            </w:pPr>
            <w:r>
              <w:rPr>
                <w:rFonts w:ascii="宋体" w:hAnsi="宋体" w:eastAsia="宋体" w:cs="宋体"/>
                <w:color w:val="000000"/>
                <w:sz w:val="22"/>
              </w:rPr>
              <w:t>km</w:t>
            </w:r>
          </w:p>
        </w:tc>
        <w:tc>
          <w:tcPr>
            <w:tcW w:w="503" w:type="pct"/>
            <w:tcBorders>
              <w:top w:val="single" w:color="000000" w:sz="6" w:space="0"/>
              <w:left w:val="single" w:color="000000" w:sz="6" w:space="0"/>
              <w:bottom w:val="single" w:color="000000" w:sz="6" w:space="0"/>
              <w:right w:val="single" w:color="000000" w:sz="6" w:space="0"/>
            </w:tcBorders>
            <w:vAlign w:val="center"/>
          </w:tcPr>
          <w:p w14:paraId="7D920C5A">
            <w:pPr>
              <w:widowControl/>
              <w:spacing w:line="360" w:lineRule="auto"/>
              <w:jc w:val="center"/>
              <w:textAlignment w:val="center"/>
              <w:rPr>
                <w:rFonts w:ascii="宋体" w:hAnsi="宋体" w:eastAsia="宋体" w:cs="宋体"/>
                <w:color w:val="000000"/>
                <w:sz w:val="22"/>
              </w:rPr>
            </w:pPr>
            <w:r>
              <w:rPr>
                <w:rFonts w:ascii="宋体" w:hAnsi="宋体" w:eastAsia="宋体" w:cs="宋体"/>
                <w:color w:val="000000"/>
                <w:sz w:val="22"/>
              </w:rPr>
              <w:t>15</w:t>
            </w:r>
          </w:p>
        </w:tc>
        <w:tc>
          <w:tcPr>
            <w:tcW w:w="672" w:type="pct"/>
            <w:tcBorders>
              <w:top w:val="single" w:color="000000" w:sz="6" w:space="0"/>
              <w:left w:val="single" w:color="auto" w:sz="4" w:space="0"/>
              <w:bottom w:val="single" w:color="000000" w:sz="6" w:space="0"/>
              <w:right w:val="single" w:color="auto" w:sz="4" w:space="0"/>
            </w:tcBorders>
            <w:vAlign w:val="center"/>
          </w:tcPr>
          <w:p w14:paraId="66F0C50A">
            <w:pPr>
              <w:autoSpaceDE w:val="0"/>
              <w:autoSpaceDN w:val="0"/>
              <w:adjustRightInd w:val="0"/>
              <w:spacing w:line="360" w:lineRule="auto"/>
              <w:jc w:val="center"/>
              <w:textAlignment w:val="baseline"/>
              <w:rPr>
                <w:rFonts w:ascii="宋体" w:hAnsi="宋体" w:eastAsia="宋体" w:cs="宋体"/>
                <w:color w:val="000000"/>
                <w:sz w:val="22"/>
              </w:rPr>
            </w:pPr>
            <w:r>
              <w:rPr>
                <w:rFonts w:ascii="宋体" w:hAnsi="宋体" w:eastAsia="宋体" w:cs="宋体"/>
                <w:color w:val="000000"/>
                <w:sz w:val="22"/>
              </w:rPr>
              <w:t xml:space="preserve">168141.59 </w:t>
            </w:r>
          </w:p>
        </w:tc>
        <w:tc>
          <w:tcPr>
            <w:tcW w:w="723" w:type="pct"/>
            <w:vMerge w:val="continue"/>
            <w:tcBorders>
              <w:left w:val="single" w:color="auto" w:sz="4" w:space="0"/>
              <w:right w:val="single" w:color="000000" w:sz="6" w:space="0"/>
            </w:tcBorders>
            <w:vAlign w:val="center"/>
          </w:tcPr>
          <w:p w14:paraId="3DC403A6">
            <w:pPr>
              <w:autoSpaceDE w:val="0"/>
              <w:autoSpaceDN w:val="0"/>
              <w:adjustRightInd w:val="0"/>
              <w:spacing w:line="360" w:lineRule="auto"/>
              <w:textAlignment w:val="baseline"/>
              <w:rPr>
                <w:rFonts w:ascii="宋体" w:hAnsi="宋体" w:eastAsia="宋体" w:cs="宋体"/>
                <w:color w:val="000000"/>
                <w:sz w:val="22"/>
              </w:rPr>
            </w:pPr>
          </w:p>
        </w:tc>
      </w:tr>
      <w:tr w14:paraId="0F9D9FF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686" w:hRule="atLeast"/>
          <w:jc w:val="center"/>
        </w:trPr>
        <w:tc>
          <w:tcPr>
            <w:tcW w:w="331" w:type="pct"/>
            <w:tcBorders>
              <w:top w:val="single" w:color="000000" w:sz="6" w:space="0"/>
              <w:left w:val="single" w:color="000000" w:sz="6" w:space="0"/>
              <w:bottom w:val="single" w:color="000000" w:sz="6" w:space="0"/>
              <w:right w:val="single" w:color="000000" w:sz="6" w:space="0"/>
            </w:tcBorders>
            <w:vAlign w:val="center"/>
          </w:tcPr>
          <w:p w14:paraId="0274F625">
            <w:pPr>
              <w:widowControl/>
              <w:spacing w:line="360" w:lineRule="auto"/>
              <w:jc w:val="center"/>
              <w:textAlignment w:val="center"/>
              <w:rPr>
                <w:rFonts w:ascii="宋体" w:hAnsi="宋体" w:eastAsia="宋体" w:cs="宋体"/>
                <w:color w:val="000000"/>
                <w:sz w:val="22"/>
              </w:rPr>
            </w:pPr>
            <w:r>
              <w:rPr>
                <w:rFonts w:ascii="宋体" w:hAnsi="宋体" w:eastAsia="宋体" w:cs="宋体"/>
                <w:color w:val="000000"/>
                <w:sz w:val="22"/>
              </w:rPr>
              <w:t>7</w:t>
            </w:r>
          </w:p>
        </w:tc>
        <w:tc>
          <w:tcPr>
            <w:tcW w:w="1260" w:type="pct"/>
            <w:tcBorders>
              <w:top w:val="single" w:color="000000" w:sz="6" w:space="0"/>
              <w:left w:val="single" w:color="000000" w:sz="6" w:space="0"/>
              <w:bottom w:val="single" w:color="000000" w:sz="6" w:space="0"/>
              <w:right w:val="single" w:color="000000" w:sz="6" w:space="0"/>
            </w:tcBorders>
            <w:vAlign w:val="center"/>
          </w:tcPr>
          <w:p w14:paraId="5C139C17">
            <w:pPr>
              <w:widowControl/>
              <w:spacing w:line="360" w:lineRule="auto"/>
              <w:jc w:val="center"/>
              <w:textAlignment w:val="center"/>
              <w:rPr>
                <w:rFonts w:ascii="宋体" w:hAnsi="宋体" w:eastAsia="宋体" w:cs="宋体"/>
                <w:color w:val="000000"/>
                <w:sz w:val="22"/>
              </w:rPr>
            </w:pPr>
            <w:r>
              <w:rPr>
                <w:rFonts w:ascii="宋体" w:hAnsi="宋体" w:eastAsia="宋体" w:cs="宋体"/>
                <w:color w:val="000000"/>
                <w:sz w:val="22"/>
              </w:rPr>
              <w:t>电力电缆（耐火）</w:t>
            </w:r>
          </w:p>
        </w:tc>
        <w:tc>
          <w:tcPr>
            <w:tcW w:w="1091" w:type="pct"/>
            <w:tcBorders>
              <w:top w:val="single" w:color="000000" w:sz="6" w:space="0"/>
              <w:left w:val="single" w:color="000000" w:sz="6" w:space="0"/>
              <w:bottom w:val="single" w:color="000000" w:sz="6" w:space="0"/>
              <w:right w:val="single" w:color="000000" w:sz="6" w:space="0"/>
            </w:tcBorders>
            <w:vAlign w:val="center"/>
          </w:tcPr>
          <w:p w14:paraId="77581677">
            <w:pPr>
              <w:widowControl/>
              <w:spacing w:line="360" w:lineRule="auto"/>
              <w:jc w:val="center"/>
              <w:textAlignment w:val="center"/>
              <w:rPr>
                <w:rFonts w:ascii="宋体" w:hAnsi="宋体" w:eastAsia="宋体" w:cs="宋体"/>
                <w:color w:val="000000"/>
                <w:sz w:val="22"/>
              </w:rPr>
            </w:pPr>
            <w:r>
              <w:rPr>
                <w:rFonts w:ascii="宋体" w:hAnsi="宋体" w:eastAsia="宋体" w:cs="宋体"/>
                <w:color w:val="000000"/>
                <w:sz w:val="22"/>
              </w:rPr>
              <w:t>ZR-YJY-0.6/1kV 4×95+1×70</w:t>
            </w:r>
          </w:p>
        </w:tc>
        <w:tc>
          <w:tcPr>
            <w:tcW w:w="420" w:type="pct"/>
            <w:tcBorders>
              <w:top w:val="single" w:color="000000" w:sz="6" w:space="0"/>
              <w:left w:val="single" w:color="000000" w:sz="6" w:space="0"/>
              <w:bottom w:val="single" w:color="000000" w:sz="6" w:space="0"/>
              <w:right w:val="single" w:color="000000" w:sz="6" w:space="0"/>
            </w:tcBorders>
            <w:vAlign w:val="center"/>
          </w:tcPr>
          <w:p w14:paraId="0962CA98">
            <w:pPr>
              <w:widowControl/>
              <w:spacing w:line="360" w:lineRule="auto"/>
              <w:jc w:val="center"/>
              <w:textAlignment w:val="center"/>
              <w:rPr>
                <w:rFonts w:ascii="宋体" w:hAnsi="宋体" w:eastAsia="宋体" w:cs="宋体"/>
                <w:color w:val="000000"/>
                <w:sz w:val="22"/>
              </w:rPr>
            </w:pPr>
            <w:r>
              <w:rPr>
                <w:rFonts w:ascii="宋体" w:hAnsi="宋体" w:eastAsia="宋体" w:cs="宋体"/>
                <w:color w:val="000000"/>
                <w:sz w:val="22"/>
              </w:rPr>
              <w:t>km</w:t>
            </w:r>
          </w:p>
        </w:tc>
        <w:tc>
          <w:tcPr>
            <w:tcW w:w="503" w:type="pct"/>
            <w:tcBorders>
              <w:top w:val="single" w:color="000000" w:sz="6" w:space="0"/>
              <w:left w:val="single" w:color="000000" w:sz="6" w:space="0"/>
              <w:bottom w:val="single" w:color="000000" w:sz="6" w:space="0"/>
              <w:right w:val="single" w:color="000000" w:sz="6" w:space="0"/>
            </w:tcBorders>
            <w:vAlign w:val="center"/>
          </w:tcPr>
          <w:p w14:paraId="2E02EA55">
            <w:pPr>
              <w:widowControl/>
              <w:spacing w:line="360" w:lineRule="auto"/>
              <w:jc w:val="center"/>
              <w:textAlignment w:val="center"/>
              <w:rPr>
                <w:rFonts w:ascii="宋体" w:hAnsi="宋体" w:eastAsia="宋体" w:cs="宋体"/>
                <w:color w:val="000000"/>
                <w:sz w:val="22"/>
              </w:rPr>
            </w:pPr>
            <w:r>
              <w:rPr>
                <w:rFonts w:ascii="宋体" w:hAnsi="宋体" w:eastAsia="宋体" w:cs="宋体"/>
                <w:color w:val="000000"/>
                <w:sz w:val="22"/>
              </w:rPr>
              <w:t>5</w:t>
            </w:r>
          </w:p>
        </w:tc>
        <w:tc>
          <w:tcPr>
            <w:tcW w:w="672" w:type="pct"/>
            <w:tcBorders>
              <w:top w:val="single" w:color="000000" w:sz="6" w:space="0"/>
              <w:left w:val="single" w:color="auto" w:sz="4" w:space="0"/>
              <w:bottom w:val="single" w:color="000000" w:sz="6" w:space="0"/>
              <w:right w:val="single" w:color="auto" w:sz="4" w:space="0"/>
            </w:tcBorders>
            <w:vAlign w:val="center"/>
          </w:tcPr>
          <w:p w14:paraId="40E492CD">
            <w:pPr>
              <w:autoSpaceDE w:val="0"/>
              <w:autoSpaceDN w:val="0"/>
              <w:adjustRightInd w:val="0"/>
              <w:spacing w:line="360" w:lineRule="auto"/>
              <w:jc w:val="center"/>
              <w:textAlignment w:val="baseline"/>
              <w:rPr>
                <w:rFonts w:ascii="宋体" w:hAnsi="宋体" w:eastAsia="宋体" w:cs="宋体"/>
                <w:color w:val="000000"/>
                <w:sz w:val="22"/>
              </w:rPr>
            </w:pPr>
            <w:r>
              <w:rPr>
                <w:rFonts w:ascii="宋体" w:hAnsi="宋体" w:eastAsia="宋体" w:cs="宋体"/>
                <w:color w:val="000000"/>
                <w:sz w:val="22"/>
              </w:rPr>
              <w:t xml:space="preserve">345132.74 </w:t>
            </w:r>
          </w:p>
        </w:tc>
        <w:tc>
          <w:tcPr>
            <w:tcW w:w="723" w:type="pct"/>
            <w:vMerge w:val="continue"/>
            <w:tcBorders>
              <w:left w:val="single" w:color="auto" w:sz="4" w:space="0"/>
              <w:right w:val="single" w:color="000000" w:sz="6" w:space="0"/>
            </w:tcBorders>
            <w:vAlign w:val="center"/>
          </w:tcPr>
          <w:p w14:paraId="1BE086BC">
            <w:pPr>
              <w:autoSpaceDE w:val="0"/>
              <w:autoSpaceDN w:val="0"/>
              <w:adjustRightInd w:val="0"/>
              <w:spacing w:line="360" w:lineRule="auto"/>
              <w:textAlignment w:val="baseline"/>
              <w:rPr>
                <w:rFonts w:ascii="宋体" w:hAnsi="宋体" w:eastAsia="宋体" w:cs="宋体"/>
                <w:color w:val="000000"/>
                <w:sz w:val="22"/>
              </w:rPr>
            </w:pPr>
          </w:p>
        </w:tc>
      </w:tr>
      <w:tr w14:paraId="1A5CBF4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686" w:hRule="atLeast"/>
          <w:jc w:val="center"/>
        </w:trPr>
        <w:tc>
          <w:tcPr>
            <w:tcW w:w="331" w:type="pct"/>
            <w:tcBorders>
              <w:top w:val="single" w:color="000000" w:sz="6" w:space="0"/>
              <w:left w:val="single" w:color="000000" w:sz="6" w:space="0"/>
              <w:bottom w:val="single" w:color="000000" w:sz="6" w:space="0"/>
              <w:right w:val="single" w:color="000000" w:sz="6" w:space="0"/>
            </w:tcBorders>
            <w:vAlign w:val="center"/>
          </w:tcPr>
          <w:p w14:paraId="2D0F372D">
            <w:pPr>
              <w:widowControl/>
              <w:spacing w:line="360" w:lineRule="auto"/>
              <w:jc w:val="center"/>
              <w:textAlignment w:val="center"/>
              <w:rPr>
                <w:rFonts w:ascii="宋体" w:hAnsi="宋体" w:eastAsia="宋体" w:cs="宋体"/>
                <w:color w:val="000000"/>
                <w:sz w:val="22"/>
              </w:rPr>
            </w:pPr>
            <w:r>
              <w:rPr>
                <w:rFonts w:ascii="宋体" w:hAnsi="宋体" w:eastAsia="宋体" w:cs="宋体"/>
                <w:color w:val="000000"/>
                <w:sz w:val="22"/>
              </w:rPr>
              <w:t>8</w:t>
            </w:r>
          </w:p>
        </w:tc>
        <w:tc>
          <w:tcPr>
            <w:tcW w:w="1260" w:type="pct"/>
            <w:tcBorders>
              <w:top w:val="single" w:color="000000" w:sz="6" w:space="0"/>
              <w:left w:val="single" w:color="000000" w:sz="6" w:space="0"/>
              <w:bottom w:val="single" w:color="000000" w:sz="6" w:space="0"/>
              <w:right w:val="single" w:color="000000" w:sz="6" w:space="0"/>
            </w:tcBorders>
            <w:vAlign w:val="center"/>
          </w:tcPr>
          <w:p w14:paraId="3BC48EC4">
            <w:pPr>
              <w:widowControl/>
              <w:spacing w:line="360" w:lineRule="auto"/>
              <w:jc w:val="center"/>
              <w:textAlignment w:val="center"/>
              <w:rPr>
                <w:rFonts w:ascii="宋体" w:hAnsi="宋体" w:eastAsia="宋体" w:cs="宋体"/>
                <w:color w:val="000000"/>
                <w:sz w:val="22"/>
              </w:rPr>
            </w:pPr>
            <w:r>
              <w:rPr>
                <w:rFonts w:ascii="宋体" w:hAnsi="宋体" w:eastAsia="宋体" w:cs="宋体"/>
                <w:color w:val="000000"/>
                <w:sz w:val="22"/>
              </w:rPr>
              <w:t>耐火控制电缆</w:t>
            </w:r>
          </w:p>
        </w:tc>
        <w:tc>
          <w:tcPr>
            <w:tcW w:w="1091" w:type="pct"/>
            <w:tcBorders>
              <w:top w:val="single" w:color="000000" w:sz="6" w:space="0"/>
              <w:left w:val="single" w:color="000000" w:sz="6" w:space="0"/>
              <w:bottom w:val="single" w:color="000000" w:sz="6" w:space="0"/>
              <w:right w:val="single" w:color="000000" w:sz="6" w:space="0"/>
            </w:tcBorders>
            <w:vAlign w:val="center"/>
          </w:tcPr>
          <w:p w14:paraId="7EA5D1BC">
            <w:pPr>
              <w:widowControl/>
              <w:spacing w:line="360" w:lineRule="auto"/>
              <w:jc w:val="center"/>
              <w:textAlignment w:val="center"/>
              <w:rPr>
                <w:rFonts w:ascii="宋体" w:hAnsi="宋体" w:eastAsia="宋体" w:cs="宋体"/>
                <w:color w:val="000000"/>
                <w:sz w:val="22"/>
              </w:rPr>
            </w:pPr>
            <w:r>
              <w:rPr>
                <w:rFonts w:ascii="宋体" w:hAnsi="宋体" w:eastAsia="宋体" w:cs="宋体"/>
                <w:color w:val="000000"/>
                <w:sz w:val="22"/>
              </w:rPr>
              <w:t>WDZN YJY 5×16屏蔽型</w:t>
            </w:r>
          </w:p>
        </w:tc>
        <w:tc>
          <w:tcPr>
            <w:tcW w:w="420" w:type="pct"/>
            <w:tcBorders>
              <w:top w:val="single" w:color="000000" w:sz="6" w:space="0"/>
              <w:left w:val="single" w:color="000000" w:sz="6" w:space="0"/>
              <w:bottom w:val="single" w:color="000000" w:sz="6" w:space="0"/>
              <w:right w:val="single" w:color="000000" w:sz="6" w:space="0"/>
            </w:tcBorders>
            <w:vAlign w:val="center"/>
          </w:tcPr>
          <w:p w14:paraId="3A6C2603">
            <w:pPr>
              <w:widowControl/>
              <w:spacing w:line="360" w:lineRule="auto"/>
              <w:jc w:val="center"/>
              <w:textAlignment w:val="center"/>
              <w:rPr>
                <w:rFonts w:ascii="宋体" w:hAnsi="宋体" w:eastAsia="宋体" w:cs="宋体"/>
                <w:color w:val="000000"/>
                <w:sz w:val="22"/>
              </w:rPr>
            </w:pPr>
            <w:r>
              <w:rPr>
                <w:rFonts w:ascii="宋体" w:hAnsi="宋体" w:eastAsia="宋体" w:cs="宋体"/>
                <w:color w:val="000000"/>
                <w:sz w:val="22"/>
              </w:rPr>
              <w:t>km</w:t>
            </w:r>
          </w:p>
        </w:tc>
        <w:tc>
          <w:tcPr>
            <w:tcW w:w="503" w:type="pct"/>
            <w:tcBorders>
              <w:top w:val="single" w:color="000000" w:sz="6" w:space="0"/>
              <w:left w:val="single" w:color="000000" w:sz="6" w:space="0"/>
              <w:bottom w:val="single" w:color="000000" w:sz="6" w:space="0"/>
              <w:right w:val="single" w:color="000000" w:sz="6" w:space="0"/>
            </w:tcBorders>
            <w:vAlign w:val="center"/>
          </w:tcPr>
          <w:p w14:paraId="61FB1FB9">
            <w:pPr>
              <w:widowControl/>
              <w:spacing w:line="360" w:lineRule="auto"/>
              <w:jc w:val="center"/>
              <w:textAlignment w:val="center"/>
              <w:rPr>
                <w:rFonts w:ascii="宋体" w:hAnsi="宋体" w:eastAsia="宋体" w:cs="宋体"/>
                <w:color w:val="000000"/>
                <w:sz w:val="22"/>
              </w:rPr>
            </w:pPr>
            <w:r>
              <w:rPr>
                <w:rFonts w:ascii="宋体" w:hAnsi="宋体" w:eastAsia="宋体" w:cs="宋体"/>
                <w:color w:val="000000"/>
                <w:sz w:val="22"/>
              </w:rPr>
              <w:t>6</w:t>
            </w:r>
          </w:p>
        </w:tc>
        <w:tc>
          <w:tcPr>
            <w:tcW w:w="672" w:type="pct"/>
            <w:tcBorders>
              <w:top w:val="single" w:color="000000" w:sz="6" w:space="0"/>
              <w:left w:val="single" w:color="auto" w:sz="4" w:space="0"/>
              <w:bottom w:val="single" w:color="000000" w:sz="6" w:space="0"/>
              <w:right w:val="single" w:color="auto" w:sz="4" w:space="0"/>
            </w:tcBorders>
            <w:vAlign w:val="center"/>
          </w:tcPr>
          <w:p w14:paraId="79FCE5DA">
            <w:pPr>
              <w:autoSpaceDE w:val="0"/>
              <w:autoSpaceDN w:val="0"/>
              <w:adjustRightInd w:val="0"/>
              <w:spacing w:line="360" w:lineRule="auto"/>
              <w:jc w:val="center"/>
              <w:textAlignment w:val="baseline"/>
              <w:rPr>
                <w:rFonts w:ascii="宋体" w:hAnsi="宋体" w:eastAsia="宋体" w:cs="宋体"/>
                <w:color w:val="000000"/>
                <w:sz w:val="22"/>
              </w:rPr>
            </w:pPr>
            <w:r>
              <w:rPr>
                <w:rFonts w:ascii="宋体" w:hAnsi="宋体" w:eastAsia="宋体" w:cs="宋体"/>
                <w:color w:val="000000"/>
                <w:sz w:val="22"/>
              </w:rPr>
              <w:t xml:space="preserve">72566.37 </w:t>
            </w:r>
          </w:p>
        </w:tc>
        <w:tc>
          <w:tcPr>
            <w:tcW w:w="723" w:type="pct"/>
            <w:vMerge w:val="continue"/>
            <w:tcBorders>
              <w:left w:val="single" w:color="auto" w:sz="4" w:space="0"/>
              <w:right w:val="single" w:color="000000" w:sz="6" w:space="0"/>
            </w:tcBorders>
            <w:vAlign w:val="center"/>
          </w:tcPr>
          <w:p w14:paraId="760AE0BE">
            <w:pPr>
              <w:autoSpaceDE w:val="0"/>
              <w:autoSpaceDN w:val="0"/>
              <w:adjustRightInd w:val="0"/>
              <w:spacing w:line="360" w:lineRule="auto"/>
              <w:textAlignment w:val="baseline"/>
              <w:rPr>
                <w:rFonts w:ascii="宋体" w:hAnsi="宋体" w:eastAsia="宋体" w:cs="宋体"/>
                <w:color w:val="000000"/>
                <w:sz w:val="22"/>
              </w:rPr>
            </w:pPr>
          </w:p>
        </w:tc>
      </w:tr>
      <w:tr w14:paraId="4263744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686" w:hRule="atLeast"/>
          <w:jc w:val="center"/>
        </w:trPr>
        <w:tc>
          <w:tcPr>
            <w:tcW w:w="331" w:type="pct"/>
            <w:tcBorders>
              <w:top w:val="single" w:color="000000" w:sz="6" w:space="0"/>
              <w:left w:val="single" w:color="000000" w:sz="6" w:space="0"/>
              <w:bottom w:val="single" w:color="000000" w:sz="6" w:space="0"/>
              <w:right w:val="single" w:color="000000" w:sz="6" w:space="0"/>
            </w:tcBorders>
            <w:vAlign w:val="center"/>
          </w:tcPr>
          <w:p w14:paraId="7323C490">
            <w:pPr>
              <w:widowControl/>
              <w:spacing w:line="360" w:lineRule="auto"/>
              <w:jc w:val="center"/>
              <w:textAlignment w:val="center"/>
              <w:rPr>
                <w:rFonts w:ascii="宋体" w:hAnsi="宋体" w:eastAsia="宋体" w:cs="宋体"/>
                <w:color w:val="000000"/>
                <w:sz w:val="22"/>
              </w:rPr>
            </w:pPr>
            <w:r>
              <w:rPr>
                <w:rFonts w:ascii="宋体" w:hAnsi="宋体" w:eastAsia="宋体" w:cs="宋体"/>
                <w:color w:val="000000"/>
                <w:sz w:val="22"/>
              </w:rPr>
              <w:t>9</w:t>
            </w:r>
          </w:p>
        </w:tc>
        <w:tc>
          <w:tcPr>
            <w:tcW w:w="1260" w:type="pct"/>
            <w:tcBorders>
              <w:top w:val="single" w:color="000000" w:sz="6" w:space="0"/>
              <w:left w:val="single" w:color="000000" w:sz="6" w:space="0"/>
              <w:bottom w:val="single" w:color="000000" w:sz="6" w:space="0"/>
              <w:right w:val="single" w:color="000000" w:sz="6" w:space="0"/>
            </w:tcBorders>
            <w:vAlign w:val="center"/>
          </w:tcPr>
          <w:p w14:paraId="3E38AF1D">
            <w:pPr>
              <w:widowControl/>
              <w:spacing w:line="360" w:lineRule="auto"/>
              <w:jc w:val="center"/>
              <w:textAlignment w:val="center"/>
              <w:rPr>
                <w:rFonts w:ascii="宋体" w:hAnsi="宋体" w:eastAsia="宋体" w:cs="宋体"/>
                <w:color w:val="000000"/>
                <w:sz w:val="22"/>
              </w:rPr>
            </w:pPr>
            <w:r>
              <w:rPr>
                <w:rFonts w:ascii="宋体" w:hAnsi="宋体" w:eastAsia="宋体" w:cs="宋体"/>
                <w:color w:val="000000"/>
                <w:sz w:val="22"/>
              </w:rPr>
              <w:t>电力电缆</w:t>
            </w:r>
          </w:p>
        </w:tc>
        <w:tc>
          <w:tcPr>
            <w:tcW w:w="1091" w:type="pct"/>
            <w:tcBorders>
              <w:top w:val="single" w:color="000000" w:sz="6" w:space="0"/>
              <w:left w:val="single" w:color="000000" w:sz="6" w:space="0"/>
              <w:bottom w:val="single" w:color="000000" w:sz="6" w:space="0"/>
              <w:right w:val="single" w:color="000000" w:sz="6" w:space="0"/>
            </w:tcBorders>
            <w:vAlign w:val="center"/>
          </w:tcPr>
          <w:p w14:paraId="1FA2CD78">
            <w:pPr>
              <w:widowControl/>
              <w:spacing w:line="360" w:lineRule="auto"/>
              <w:jc w:val="center"/>
              <w:textAlignment w:val="center"/>
              <w:rPr>
                <w:rFonts w:ascii="宋体" w:hAnsi="宋体" w:eastAsia="宋体" w:cs="宋体"/>
                <w:color w:val="000000"/>
                <w:sz w:val="22"/>
              </w:rPr>
            </w:pPr>
            <w:r>
              <w:rPr>
                <w:rFonts w:ascii="宋体" w:hAnsi="宋体" w:eastAsia="宋体" w:cs="宋体"/>
                <w:color w:val="000000"/>
                <w:sz w:val="22"/>
              </w:rPr>
              <w:t>ZR-YJY-0.6/1kV 4×25</w:t>
            </w:r>
          </w:p>
        </w:tc>
        <w:tc>
          <w:tcPr>
            <w:tcW w:w="420" w:type="pct"/>
            <w:tcBorders>
              <w:top w:val="single" w:color="000000" w:sz="6" w:space="0"/>
              <w:left w:val="single" w:color="000000" w:sz="6" w:space="0"/>
              <w:bottom w:val="single" w:color="000000" w:sz="6" w:space="0"/>
              <w:right w:val="single" w:color="000000" w:sz="6" w:space="0"/>
            </w:tcBorders>
            <w:vAlign w:val="center"/>
          </w:tcPr>
          <w:p w14:paraId="43B13794">
            <w:pPr>
              <w:widowControl/>
              <w:spacing w:line="360" w:lineRule="auto"/>
              <w:jc w:val="center"/>
              <w:textAlignment w:val="center"/>
              <w:rPr>
                <w:rFonts w:ascii="宋体" w:hAnsi="宋体" w:eastAsia="宋体" w:cs="宋体"/>
                <w:color w:val="000000"/>
                <w:sz w:val="22"/>
              </w:rPr>
            </w:pPr>
            <w:r>
              <w:rPr>
                <w:rFonts w:ascii="宋体" w:hAnsi="宋体" w:eastAsia="宋体" w:cs="宋体"/>
                <w:color w:val="000000"/>
                <w:sz w:val="22"/>
              </w:rPr>
              <w:t>km</w:t>
            </w:r>
          </w:p>
        </w:tc>
        <w:tc>
          <w:tcPr>
            <w:tcW w:w="503" w:type="pct"/>
            <w:tcBorders>
              <w:top w:val="single" w:color="000000" w:sz="6" w:space="0"/>
              <w:left w:val="single" w:color="000000" w:sz="6" w:space="0"/>
              <w:bottom w:val="single" w:color="000000" w:sz="6" w:space="0"/>
              <w:right w:val="single" w:color="000000" w:sz="6" w:space="0"/>
            </w:tcBorders>
            <w:vAlign w:val="center"/>
          </w:tcPr>
          <w:p w14:paraId="00AE1172">
            <w:pPr>
              <w:widowControl/>
              <w:spacing w:line="360" w:lineRule="auto"/>
              <w:jc w:val="center"/>
              <w:textAlignment w:val="center"/>
              <w:rPr>
                <w:rFonts w:ascii="宋体" w:hAnsi="宋体" w:eastAsia="宋体" w:cs="宋体"/>
                <w:color w:val="000000"/>
                <w:sz w:val="22"/>
              </w:rPr>
            </w:pPr>
            <w:r>
              <w:rPr>
                <w:rFonts w:ascii="宋体" w:hAnsi="宋体" w:eastAsia="宋体" w:cs="宋体"/>
                <w:color w:val="000000"/>
                <w:sz w:val="22"/>
              </w:rPr>
              <w:t>1</w:t>
            </w:r>
          </w:p>
        </w:tc>
        <w:tc>
          <w:tcPr>
            <w:tcW w:w="672" w:type="pct"/>
            <w:tcBorders>
              <w:top w:val="single" w:color="000000" w:sz="6" w:space="0"/>
              <w:left w:val="single" w:color="auto" w:sz="4" w:space="0"/>
              <w:bottom w:val="single" w:color="000000" w:sz="6" w:space="0"/>
              <w:right w:val="single" w:color="auto" w:sz="4" w:space="0"/>
            </w:tcBorders>
            <w:vAlign w:val="center"/>
          </w:tcPr>
          <w:p w14:paraId="30DFEC60">
            <w:pPr>
              <w:autoSpaceDE w:val="0"/>
              <w:autoSpaceDN w:val="0"/>
              <w:adjustRightInd w:val="0"/>
              <w:spacing w:line="360" w:lineRule="auto"/>
              <w:jc w:val="center"/>
              <w:textAlignment w:val="baseline"/>
              <w:rPr>
                <w:rFonts w:ascii="宋体" w:hAnsi="宋体" w:eastAsia="宋体" w:cs="宋体"/>
                <w:color w:val="000000"/>
                <w:sz w:val="22"/>
              </w:rPr>
            </w:pPr>
            <w:r>
              <w:rPr>
                <w:rFonts w:ascii="宋体" w:hAnsi="宋体" w:eastAsia="宋体" w:cs="宋体"/>
                <w:color w:val="000000"/>
                <w:sz w:val="22"/>
              </w:rPr>
              <w:t xml:space="preserve">88495.58 </w:t>
            </w:r>
          </w:p>
        </w:tc>
        <w:tc>
          <w:tcPr>
            <w:tcW w:w="723" w:type="pct"/>
            <w:vMerge w:val="continue"/>
            <w:tcBorders>
              <w:left w:val="single" w:color="auto" w:sz="4" w:space="0"/>
              <w:bottom w:val="single" w:color="000000" w:sz="6" w:space="0"/>
              <w:right w:val="single" w:color="000000" w:sz="6" w:space="0"/>
            </w:tcBorders>
            <w:vAlign w:val="center"/>
          </w:tcPr>
          <w:p w14:paraId="197BEDEE">
            <w:pPr>
              <w:autoSpaceDE w:val="0"/>
              <w:autoSpaceDN w:val="0"/>
              <w:adjustRightInd w:val="0"/>
              <w:spacing w:line="360" w:lineRule="auto"/>
              <w:textAlignment w:val="baseline"/>
              <w:rPr>
                <w:rFonts w:ascii="宋体" w:hAnsi="宋体" w:eastAsia="宋体" w:cs="宋体"/>
                <w:color w:val="000000"/>
                <w:sz w:val="22"/>
              </w:rPr>
            </w:pPr>
          </w:p>
        </w:tc>
      </w:tr>
    </w:tbl>
    <w:p w14:paraId="2FCED308">
      <w:bookmarkStart w:id="172" w:name="_GoBack"/>
      <w:bookmarkEnd w:id="17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 w:name="Microsoft JhengHei">
    <w:panose1 w:val="020B0604030504040204"/>
    <w:charset w:val="88"/>
    <w:family w:val="swiss"/>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4B925D">
    <w:pPr>
      <w:pStyle w:val="5"/>
      <w:ind w:firstLine="360"/>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095205E">
                          <w:pPr>
                            <w:pStyle w:val="5"/>
                            <w:ind w:firstLine="360"/>
                            <w:jc w:val="center"/>
                          </w:pPr>
                          <w:r>
                            <w:fldChar w:fldCharType="begin"/>
                          </w:r>
                          <w:r>
                            <w:instrText xml:space="preserve"> PAGE   \* MERGEFORMAT </w:instrText>
                          </w:r>
                          <w:r>
                            <w:fldChar w:fldCharType="separate"/>
                          </w:r>
                          <w:r>
                            <w:t>97</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14:paraId="4095205E">
                    <w:pPr>
                      <w:pStyle w:val="5"/>
                      <w:ind w:firstLine="360"/>
                      <w:jc w:val="center"/>
                    </w:pPr>
                    <w:r>
                      <w:fldChar w:fldCharType="begin"/>
                    </w:r>
                    <w:r>
                      <w:instrText xml:space="preserve"> PAGE   \* MERGEFORMAT </w:instrText>
                    </w:r>
                    <w:r>
                      <w:fldChar w:fldCharType="separate"/>
                    </w:r>
                    <w:r>
                      <w:t>97</w:t>
                    </w:r>
                    <w:r>
                      <w:fldChar w:fldCharType="end"/>
                    </w:r>
                  </w:p>
                </w:txbxContent>
              </v:textbox>
            </v:shape>
          </w:pict>
        </mc:Fallback>
      </mc:AlternateContent>
    </w:r>
  </w:p>
  <w:p w14:paraId="5D3AD798">
    <w:pPr>
      <w:pStyle w:val="3"/>
      <w:spacing w:line="14" w:lineRule="auto"/>
      <w:ind w:firstLine="240"/>
      <w:rPr>
        <w:sz w:val="1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35C1B4">
    <w:pPr>
      <w:pStyle w:val="5"/>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E3A9078">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1E3A9078">
                    <w:pPr>
                      <w:pStyle w:val="5"/>
                    </w:pPr>
                    <w:r>
                      <w:fldChar w:fldCharType="begin"/>
                    </w:r>
                    <w:r>
                      <w:instrText xml:space="preserve"> PAGE  \* MERGEFORMAT </w:instrText>
                    </w:r>
                    <w:r>
                      <w:fldChar w:fldCharType="separate"/>
                    </w:r>
                    <w:r>
                      <w:t>1</w:t>
                    </w:r>
                    <w:r>
                      <w:fldChar w:fldCharType="end"/>
                    </w:r>
                  </w:p>
                </w:txbxContent>
              </v:textbox>
            </v:shape>
          </w:pict>
        </mc:Fallback>
      </mc:AlternateContent>
    </w:r>
    <w:r>
      <w:rPr>
        <w:rFonts w:hint="default"/>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31445"/>
              <wp:effectExtent l="0" t="0" r="0" b="0"/>
              <wp:wrapNone/>
              <wp:docPr id="2" name="文本框 2"/>
              <wp:cNvGraphicFramePr/>
              <a:graphic xmlns:a="http://schemas.openxmlformats.org/drawingml/2006/main">
                <a:graphicData uri="http://schemas.microsoft.com/office/word/2010/wordprocessingShape">
                  <wps:wsp>
                    <wps:cNvSpPr txBox="1"/>
                    <wps:spPr>
                      <a:xfrm>
                        <a:off x="0" y="0"/>
                        <a:ext cx="57785" cy="131445"/>
                      </a:xfrm>
                      <a:prstGeom prst="rect">
                        <a:avLst/>
                      </a:prstGeom>
                      <a:noFill/>
                      <a:ln>
                        <a:noFill/>
                      </a:ln>
                    </wps:spPr>
                    <wps:txbx>
                      <w:txbxContent>
                        <w:p w14:paraId="6C3D9E6A">
                          <w:pPr>
                            <w:pStyle w:val="5"/>
                            <w:rPr>
                              <w:rFonts w:eastAsia="宋体"/>
                            </w:rPr>
                          </w:pP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0.35pt;width:4.55pt;mso-position-horizontal:center;mso-position-horizontal-relative:margin;mso-wrap-style:none;z-index:251659264;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M+L3UTQAAAAAgEAAA8AAAAAAAAAAQAgAAAAIgAAAGRycy9kb3du&#10;cmV2LnhtbFBLAQIUABQAAAAIAIdO4kAWJSK0zgEAAJYDAAAOAAAAAAAAAAEAIAAAAB8BAABkcnMv&#10;ZTJvRG9jLnhtbFBLBQYAAAAABgAGAFkBAABfBQAAAAA=&#10;">
              <v:fill on="f" focussize="0,0"/>
              <v:stroke on="f"/>
              <v:imagedata o:title=""/>
              <o:lock v:ext="edit" aspectratio="f"/>
              <v:textbox inset="0mm,0mm,0mm,0mm" style="mso-fit-shape-to-text:t;">
                <w:txbxContent>
                  <w:p w14:paraId="6C3D9E6A">
                    <w:pPr>
                      <w:pStyle w:val="5"/>
                      <w:rPr>
                        <w:rFonts w:eastAsia="宋体"/>
                      </w:rPr>
                    </w:pPr>
                  </w:p>
                </w:txbxContent>
              </v:textbox>
            </v:shape>
          </w:pict>
        </mc:Fallback>
      </mc:AlternateContent>
    </w:r>
  </w:p>
  <w:p w14:paraId="3954F879">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E5C426">
    <w:pPr>
      <w:pStyle w:val="6"/>
      <w:pBdr>
        <w:bottom w:val="none" w:color="auto" w:sz="0" w:space="0"/>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CC04C9"/>
    <w:multiLevelType w:val="singleLevel"/>
    <w:tmpl w:val="BFCC04C9"/>
    <w:lvl w:ilvl="0" w:tentative="0">
      <w:start w:val="2"/>
      <w:numFmt w:val="decimal"/>
      <w:suff w:val="nothing"/>
      <w:lvlText w:val="（%1）"/>
      <w:lvlJc w:val="left"/>
    </w:lvl>
  </w:abstractNum>
  <w:abstractNum w:abstractNumId="1">
    <w:nsid w:val="DE3C3E52"/>
    <w:multiLevelType w:val="singleLevel"/>
    <w:tmpl w:val="DE3C3E52"/>
    <w:lvl w:ilvl="0" w:tentative="0">
      <w:start w:val="1"/>
      <w:numFmt w:val="decimal"/>
      <w:lvlText w:val="%1."/>
      <w:lvlJc w:val="left"/>
      <w:pPr>
        <w:tabs>
          <w:tab w:val="left" w:pos="312"/>
        </w:tabs>
      </w:pPr>
    </w:lvl>
  </w:abstractNum>
  <w:abstractNum w:abstractNumId="2">
    <w:nsid w:val="58CD2E42"/>
    <w:multiLevelType w:val="singleLevel"/>
    <w:tmpl w:val="58CD2E42"/>
    <w:lvl w:ilvl="0" w:tentative="0">
      <w:start w:val="1"/>
      <w:numFmt w:val="decimal"/>
      <w:lvlText w:val="%1."/>
      <w:lvlJc w:val="left"/>
      <w:pPr>
        <w:tabs>
          <w:tab w:val="left" w:pos="312"/>
        </w:tabs>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32E30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hint="eastAsia" w:ascii="等线" w:hAnsi="等线" w:eastAsia="等线" w:cs="Times New Roman"/>
      <w:kern w:val="2"/>
      <w:sz w:val="21"/>
      <w:szCs w:val="22"/>
      <w:lang w:val="en-US" w:eastAsia="zh-CN" w:bidi="ar-SA"/>
    </w:rPr>
  </w:style>
  <w:style w:type="paragraph" w:styleId="2">
    <w:name w:val="heading 2"/>
    <w:basedOn w:val="1"/>
    <w:next w:val="1"/>
    <w:unhideWhenUsed/>
    <w:qFormat/>
    <w:uiPriority w:val="0"/>
    <w:pPr>
      <w:autoSpaceDE w:val="0"/>
      <w:autoSpaceDN w:val="0"/>
      <w:ind w:left="801" w:hanging="401"/>
      <w:jc w:val="left"/>
      <w:outlineLvl w:val="1"/>
    </w:pPr>
    <w:rPr>
      <w:rFonts w:ascii="Microsoft JhengHei" w:hAnsi="Microsoft JhengHei" w:eastAsia="Microsoft JhengHei" w:cs="Microsoft JhengHei"/>
      <w:b/>
      <w:sz w:val="32"/>
      <w:szCs w:val="32"/>
      <w:lang w:val="zh-CN"/>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Body Text"/>
    <w:basedOn w:val="1"/>
    <w:next w:val="1"/>
    <w:unhideWhenUsed/>
    <w:qFormat/>
    <w:uiPriority w:val="0"/>
    <w:pPr>
      <w:autoSpaceDE w:val="0"/>
      <w:autoSpaceDN w:val="0"/>
      <w:jc w:val="left"/>
    </w:pPr>
    <w:rPr>
      <w:rFonts w:ascii="宋体" w:hAnsi="宋体" w:eastAsia="宋体" w:cs="宋体"/>
      <w:szCs w:val="21"/>
      <w:lang w:val="zh-CN"/>
    </w:rPr>
  </w:style>
  <w:style w:type="paragraph" w:styleId="4">
    <w:name w:val="Body Text Indent"/>
    <w:basedOn w:val="1"/>
    <w:unhideWhenUsed/>
    <w:qFormat/>
    <w:uiPriority w:val="0"/>
    <w:pPr>
      <w:autoSpaceDE w:val="0"/>
      <w:autoSpaceDN w:val="0"/>
      <w:spacing w:after="120"/>
      <w:ind w:left="420"/>
    </w:pPr>
    <w:rPr>
      <w:rFonts w:ascii="Times New Roman" w:hAnsi="Times New Roman" w:eastAsia="宋体"/>
      <w:szCs w:val="24"/>
      <w:lang w:val="zh-CN"/>
    </w:r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7">
    <w:name w:val="List"/>
    <w:basedOn w:val="1"/>
    <w:unhideWhenUsed/>
    <w:qFormat/>
    <w:uiPriority w:val="0"/>
    <w:pPr>
      <w:ind w:left="200" w:hanging="200" w:hangingChars="200"/>
    </w:pPr>
    <w:rPr>
      <w:rFonts w:ascii="宋体" w:hAnsi="宋体" w:eastAsia="宋体" w:cs="宋体"/>
      <w:szCs w:val="21"/>
    </w:rPr>
  </w:style>
  <w:style w:type="paragraph" w:styleId="8">
    <w:name w:val="Body Text First Indent 2"/>
    <w:basedOn w:val="4"/>
    <w:next w:val="9"/>
    <w:unhideWhenUsed/>
    <w:qFormat/>
    <w:uiPriority w:val="0"/>
    <w:pPr>
      <w:ind w:firstLine="420"/>
    </w:pPr>
  </w:style>
  <w:style w:type="paragraph" w:customStyle="1" w:styleId="9">
    <w:name w:val="表格文字"/>
    <w:basedOn w:val="7"/>
    <w:next w:val="1"/>
    <w:unhideWhenUsed/>
    <w:qFormat/>
    <w:uiPriority w:val="0"/>
    <w:pPr>
      <w:ind w:firstLine="0" w:firstLineChars="0"/>
      <w:jc w:val="center"/>
    </w:pPr>
    <w:rPr>
      <w:szCs w:val="20"/>
    </w:rPr>
  </w:style>
  <w:style w:type="character" w:customStyle="1" w:styleId="12">
    <w:name w:val="标题 2 Char Char"/>
    <w:qFormat/>
    <w:uiPriority w:val="0"/>
    <w:rPr>
      <w:rFonts w:ascii="Arial" w:hAnsi="Arial" w:eastAsia="黑体" w:cs="Times New Roman"/>
      <w:b/>
      <w:bCs/>
      <w:kern w:val="2"/>
      <w:sz w:val="32"/>
      <w:szCs w:val="32"/>
      <w:lang w:val="en-US" w:eastAsia="zh-CN" w:bidi="ar-SA"/>
    </w:rPr>
  </w:style>
  <w:style w:type="paragraph" w:customStyle="1" w:styleId="13">
    <w:name w:val="正文文本2"/>
    <w:basedOn w:val="1"/>
    <w:unhideWhenUsed/>
    <w:qFormat/>
    <w:uiPriority w:val="0"/>
    <w:pPr>
      <w:autoSpaceDE w:val="0"/>
      <w:autoSpaceDN w:val="0"/>
      <w:jc w:val="left"/>
    </w:pPr>
    <w:rPr>
      <w:rFonts w:ascii="宋体" w:hAnsi="宋体" w:eastAsia="宋体"/>
      <w:sz w:val="20"/>
      <w:szCs w:val="21"/>
      <w:lang w:val="zh-C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2025-05-29T09:51:47Z</dcterms:created>
  <dc:creator>83689</dc:creator>
  <cp:lastModifiedBy>你莓事吧</cp:lastModifiedBy>
  <dcterms:modified xsi:type="dcterms:W3CDTF">2025-05-29T09:51:59Z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eyJoZGlkIjoiYmU4Yzc1M2FhYzk4NzU1NDM5OTllMDU4MzA4ZWNlMjUiLCJ1c2VySWQiOiIxNDkyMDE3NTQxIn0=</vt:lpwstr>
  </property>
  <property fmtid="{D5CDD505-2E9C-101B-9397-08002B2CF9AE}" pid="4" name="ICV">
    <vt:lpwstr>92107CC819344ED5AD3CA2A1BE14DE4C_12</vt:lpwstr>
  </property>
</Properties>
</file>