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tabs>
          <w:tab w:val="left" w:pos="0"/>
          <w:tab w:val="left" w:pos="420"/>
          <w:tab w:val="center" w:pos="4153"/>
        </w:tabs>
        <w:autoSpaceDE w:val="0"/>
        <w:autoSpaceDN w:val="0"/>
        <w:adjustRightInd w:val="0"/>
        <w:spacing w:line="560" w:lineRule="exact"/>
        <w:jc w:val="center"/>
        <w:outlineLvl w:val="0"/>
        <w:rPr>
          <w:rFonts w:ascii="Times New Roman" w:hAnsi="Times New Roman" w:eastAsia="仿宋_GB2312" w:cs="Times New Roman"/>
          <w:sz w:val="36"/>
          <w:szCs w:val="28"/>
        </w:rPr>
      </w:pPr>
      <w:bookmarkStart w:id="0" w:name="OLE_LINK1"/>
      <w:r>
        <w:rPr>
          <w:rFonts w:ascii="Times New Roman" w:hAnsi="Times New Roman" w:eastAsia="仿宋_GB2312" w:cs="Times New Roman"/>
          <w:sz w:val="36"/>
          <w:szCs w:val="28"/>
        </w:rPr>
        <w:t>采办计划公告</w:t>
      </w:r>
    </w:p>
    <w:p>
      <w:pPr>
        <w:pStyle w:val="2"/>
      </w:pPr>
      <w:bookmarkStart w:id="1" w:name="_GoBack"/>
      <w:bookmarkEnd w:id="1"/>
    </w:p>
    <w:p>
      <w:pPr>
        <w:tabs>
          <w:tab w:val="left" w:pos="993"/>
          <w:tab w:val="left" w:pos="1134"/>
          <w:tab w:val="left" w:pos="1418"/>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为便于供应商及时了解项目采办信息，现将</w:t>
      </w:r>
      <w:r>
        <w:rPr>
          <w:rFonts w:hint="eastAsia" w:ascii="Times New Roman" w:hAnsi="Times New Roman" w:eastAsia="仿宋_GB2312" w:cs="Times New Roman"/>
          <w:sz w:val="32"/>
          <w:szCs w:val="32"/>
          <w:lang w:val="en-US" w:eastAsia="zh-CN"/>
        </w:rPr>
        <w:t>中海石油（中国）东海西湖石油天然气作业公司</w:t>
      </w:r>
      <w:r>
        <w:rPr>
          <w:rFonts w:ascii="Times New Roman" w:hAnsi="Times New Roman" w:eastAsia="仿宋_GB2312" w:cs="Times New Roman"/>
          <w:sz w:val="32"/>
          <w:szCs w:val="32"/>
        </w:rPr>
        <w:t>采办计划公开如下：</w:t>
      </w:r>
    </w:p>
    <w:p>
      <w:pPr>
        <w:tabs>
          <w:tab w:val="left" w:pos="993"/>
          <w:tab w:val="left" w:pos="1134"/>
          <w:tab w:val="left" w:pos="1418"/>
        </w:tabs>
        <w:spacing w:line="560" w:lineRule="exact"/>
        <w:ind w:firstLine="640" w:firstLineChars="200"/>
        <w:rPr>
          <w:rFonts w:hint="eastAsia" w:ascii="仿宋" w:hAnsi="仿宋" w:eastAsia="仿宋" w:cs="Times New Roman"/>
          <w:sz w:val="32"/>
          <w:szCs w:val="32"/>
        </w:rPr>
      </w:pPr>
    </w:p>
    <w:tbl>
      <w:tblPr>
        <w:tblStyle w:val="10"/>
        <w:tblW w:w="8672" w:type="dxa"/>
        <w:tblInd w:w="0"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
      <w:tblGrid>
        <w:gridCol w:w="532"/>
        <w:gridCol w:w="1129"/>
        <w:gridCol w:w="2642"/>
        <w:gridCol w:w="1316"/>
        <w:gridCol w:w="2063"/>
        <w:gridCol w:w="990"/>
      </w:tblGrid>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444" w:hRule="atLeast"/>
        </w:trPr>
        <w:tc>
          <w:tcPr>
            <w:tcW w:w="532" w:type="dxa"/>
            <w:vAlign w:val="center"/>
          </w:tcPr>
          <w:p>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ascii="仿宋" w:hAnsi="仿宋" w:eastAsia="仿宋" w:cs="Times New Roman"/>
                <w:sz w:val="24"/>
                <w:szCs w:val="24"/>
              </w:rPr>
            </w:pPr>
            <w:r>
              <w:rPr>
                <w:rFonts w:ascii="仿宋" w:hAnsi="仿宋" w:eastAsia="仿宋" w:cs="Times New Roman"/>
                <w:sz w:val="24"/>
                <w:szCs w:val="24"/>
              </w:rPr>
              <w:t>序号</w:t>
            </w:r>
          </w:p>
        </w:tc>
        <w:tc>
          <w:tcPr>
            <w:tcW w:w="1129" w:type="dxa"/>
            <w:vAlign w:val="center"/>
          </w:tcPr>
          <w:p>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ascii="仿宋" w:hAnsi="仿宋" w:eastAsia="仿宋" w:cs="Times New Roman"/>
                <w:sz w:val="24"/>
                <w:szCs w:val="24"/>
              </w:rPr>
            </w:pPr>
            <w:r>
              <w:rPr>
                <w:rFonts w:ascii="仿宋" w:hAnsi="仿宋" w:eastAsia="仿宋" w:cs="Times New Roman"/>
                <w:sz w:val="24"/>
                <w:szCs w:val="24"/>
              </w:rPr>
              <w:t>采办包</w:t>
            </w:r>
          </w:p>
          <w:p>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ascii="仿宋" w:hAnsi="仿宋" w:eastAsia="仿宋" w:cs="Times New Roman"/>
                <w:sz w:val="24"/>
                <w:szCs w:val="24"/>
              </w:rPr>
            </w:pPr>
            <w:r>
              <w:rPr>
                <w:rFonts w:ascii="仿宋" w:hAnsi="仿宋" w:eastAsia="仿宋" w:cs="Times New Roman"/>
                <w:sz w:val="24"/>
                <w:szCs w:val="24"/>
              </w:rPr>
              <w:t>名称</w:t>
            </w:r>
          </w:p>
        </w:tc>
        <w:tc>
          <w:tcPr>
            <w:tcW w:w="2642" w:type="dxa"/>
            <w:vAlign w:val="center"/>
          </w:tcPr>
          <w:p>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ascii="仿宋" w:hAnsi="仿宋" w:eastAsia="仿宋" w:cs="Times New Roman"/>
                <w:sz w:val="24"/>
                <w:szCs w:val="24"/>
              </w:rPr>
            </w:pPr>
            <w:r>
              <w:rPr>
                <w:rFonts w:ascii="仿宋" w:hAnsi="仿宋" w:eastAsia="仿宋" w:cs="Times New Roman"/>
                <w:sz w:val="24"/>
                <w:szCs w:val="24"/>
              </w:rPr>
              <w:t>采购范围与主要技术指标</w:t>
            </w:r>
          </w:p>
        </w:tc>
        <w:tc>
          <w:tcPr>
            <w:tcW w:w="1316" w:type="dxa"/>
            <w:vAlign w:val="center"/>
          </w:tcPr>
          <w:p>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ascii="仿宋" w:hAnsi="仿宋" w:eastAsia="仿宋" w:cs="Times New Roman"/>
                <w:sz w:val="24"/>
                <w:szCs w:val="24"/>
              </w:rPr>
            </w:pPr>
            <w:r>
              <w:rPr>
                <w:rFonts w:ascii="仿宋" w:hAnsi="仿宋" w:eastAsia="仿宋" w:cs="Times New Roman"/>
                <w:sz w:val="24"/>
                <w:szCs w:val="24"/>
              </w:rPr>
              <w:t>预计发标时间</w:t>
            </w:r>
          </w:p>
        </w:tc>
        <w:tc>
          <w:tcPr>
            <w:tcW w:w="2063" w:type="dxa"/>
            <w:vAlign w:val="center"/>
          </w:tcPr>
          <w:p>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ascii="仿宋" w:hAnsi="仿宋" w:eastAsia="仿宋" w:cs="Times New Roman"/>
                <w:sz w:val="24"/>
                <w:szCs w:val="24"/>
              </w:rPr>
            </w:pPr>
            <w:r>
              <w:rPr>
                <w:rFonts w:ascii="仿宋" w:hAnsi="仿宋" w:eastAsia="仿宋" w:cs="Times New Roman"/>
                <w:sz w:val="24"/>
                <w:szCs w:val="24"/>
              </w:rPr>
              <w:t>供应商资质基本要求</w:t>
            </w:r>
          </w:p>
        </w:tc>
        <w:tc>
          <w:tcPr>
            <w:tcW w:w="990" w:type="dxa"/>
            <w:vAlign w:val="center"/>
          </w:tcPr>
          <w:p>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ascii="仿宋" w:hAnsi="仿宋" w:eastAsia="仿宋" w:cs="Times New Roman"/>
                <w:sz w:val="24"/>
                <w:szCs w:val="24"/>
              </w:rPr>
            </w:pPr>
            <w:r>
              <w:rPr>
                <w:rFonts w:ascii="仿宋" w:hAnsi="仿宋" w:eastAsia="仿宋" w:cs="Times New Roman"/>
                <w:sz w:val="24"/>
                <w:szCs w:val="24"/>
              </w:rPr>
              <w:t>备注</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828" w:hRule="atLeast"/>
        </w:trPr>
        <w:tc>
          <w:tcPr>
            <w:tcW w:w="532" w:type="dxa"/>
            <w:vAlign w:val="center"/>
          </w:tcPr>
          <w:p>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w:t>
            </w:r>
          </w:p>
        </w:tc>
        <w:tc>
          <w:tcPr>
            <w:tcW w:w="1129" w:type="dxa"/>
            <w:vAlign w:val="center"/>
          </w:tcPr>
          <w:p>
            <w:pPr>
              <w:keepNext w:val="0"/>
              <w:keepLines w:val="0"/>
              <w:pageBreakBefore w:val="0"/>
              <w:kinsoku/>
              <w:wordWrap/>
              <w:overflowPunct/>
              <w:topLinePunct w:val="0"/>
              <w:autoSpaceDE/>
              <w:autoSpaceDN/>
              <w:bidi w:val="0"/>
              <w:adjustRightInd w:val="0"/>
              <w:snapToGrid w:val="0"/>
              <w:ind w:firstLine="0" w:firstLineChars="0"/>
              <w:jc w:val="both"/>
              <w:textAlignment w:val="auto"/>
              <w:rPr>
                <w:rFonts w:hint="default" w:ascii="仿宋" w:hAnsi="仿宋" w:eastAsia="仿宋" w:cs="Times New Roman"/>
                <w:sz w:val="24"/>
                <w:szCs w:val="24"/>
                <w:lang w:val="en-US" w:eastAsia="zh-CN"/>
              </w:rPr>
            </w:pPr>
            <w:r>
              <w:rPr>
                <w:rFonts w:hint="default" w:ascii="仿宋" w:hAnsi="仿宋" w:eastAsia="仿宋" w:cs="Times New Roman"/>
                <w:sz w:val="24"/>
                <w:szCs w:val="24"/>
                <w:lang w:val="en-US" w:eastAsia="zh-CN"/>
              </w:rPr>
              <w:t>宁波31-1气田北区开发项目四项法定检验服务</w:t>
            </w:r>
          </w:p>
        </w:tc>
        <w:tc>
          <w:tcPr>
            <w:tcW w:w="2642" w:type="dxa"/>
            <w:vAlign w:val="center"/>
          </w:tcPr>
          <w:p>
            <w:pPr>
              <w:keepNext w:val="0"/>
              <w:keepLines w:val="0"/>
              <w:pageBreakBefore w:val="0"/>
              <w:kinsoku/>
              <w:wordWrap/>
              <w:overflowPunct/>
              <w:topLinePunct w:val="0"/>
              <w:autoSpaceDE/>
              <w:autoSpaceDN/>
              <w:bidi w:val="0"/>
              <w:adjustRightInd w:val="0"/>
              <w:snapToGrid w:val="0"/>
              <w:ind w:firstLine="0" w:firstLineChars="0"/>
              <w:jc w:val="both"/>
              <w:textAlignment w:val="auto"/>
              <w:rPr>
                <w:rFonts w:hint="default" w:ascii="仿宋" w:hAnsi="仿宋" w:eastAsia="仿宋" w:cs="Times New Roman"/>
                <w:sz w:val="24"/>
                <w:szCs w:val="24"/>
                <w:lang w:val="en-US" w:eastAsia="zh-CN"/>
              </w:rPr>
            </w:pPr>
            <w:r>
              <w:rPr>
                <w:rFonts w:hint="default" w:ascii="仿宋" w:hAnsi="仿宋" w:eastAsia="仿宋" w:cs="Times New Roman"/>
                <w:sz w:val="24"/>
                <w:szCs w:val="24"/>
                <w:lang w:val="en-US" w:eastAsia="zh-CN"/>
              </w:rPr>
              <w:t>依照</w:t>
            </w:r>
            <w:r>
              <w:rPr>
                <w:rFonts w:hint="eastAsia" w:ascii="仿宋" w:hAnsi="仿宋" w:eastAsia="仿宋" w:cs="Times New Roman"/>
                <w:sz w:val="24"/>
                <w:szCs w:val="24"/>
                <w:lang w:val="en-US" w:eastAsia="zh-CN"/>
              </w:rPr>
              <w:t>合同及</w:t>
            </w:r>
            <w:r>
              <w:rPr>
                <w:rFonts w:hint="default" w:ascii="仿宋" w:hAnsi="仿宋" w:eastAsia="仿宋" w:cs="Times New Roman"/>
                <w:sz w:val="24"/>
                <w:szCs w:val="24"/>
                <w:lang w:val="en-US" w:eastAsia="zh-CN"/>
              </w:rPr>
              <w:t>规范要求，对本项目新建平台的防污染设备、救生设施、无线电通信设备和导航信号设备检验发证等设备及系统的设计文件审查，工厂检验和发证、安装检验和试运行试验，现场符合性检验和证书签发、及其他相关报告及其他业主委托的工作。</w:t>
            </w:r>
          </w:p>
        </w:tc>
        <w:tc>
          <w:tcPr>
            <w:tcW w:w="1316" w:type="dxa"/>
            <w:vAlign w:val="center"/>
          </w:tcPr>
          <w:p>
            <w:pPr>
              <w:keepNext w:val="0"/>
              <w:keepLines w:val="0"/>
              <w:pageBreakBefore w:val="0"/>
              <w:kinsoku/>
              <w:wordWrap/>
              <w:overflowPunct/>
              <w:topLinePunct w:val="0"/>
              <w:autoSpaceDE/>
              <w:autoSpaceDN/>
              <w:bidi w:val="0"/>
              <w:adjustRightInd w:val="0"/>
              <w:snapToGrid w:val="0"/>
              <w:ind w:firstLine="0" w:firstLineChars="0"/>
              <w:jc w:val="both"/>
              <w:textAlignment w:val="auto"/>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2025/10/8</w:t>
            </w:r>
          </w:p>
        </w:tc>
        <w:tc>
          <w:tcPr>
            <w:tcW w:w="2063" w:type="dxa"/>
            <w:vAlign w:val="center"/>
          </w:tcPr>
          <w:p>
            <w:pPr>
              <w:keepNext w:val="0"/>
              <w:keepLines w:val="0"/>
              <w:pageBreakBefore w:val="0"/>
              <w:kinsoku/>
              <w:wordWrap/>
              <w:overflowPunct/>
              <w:topLinePunct w:val="0"/>
              <w:autoSpaceDE/>
              <w:autoSpaceDN/>
              <w:bidi w:val="0"/>
              <w:adjustRightInd w:val="0"/>
              <w:snapToGrid w:val="0"/>
              <w:ind w:firstLine="0" w:firstLineChars="0"/>
              <w:jc w:val="both"/>
              <w:textAlignment w:val="auto"/>
              <w:rPr>
                <w:rFonts w:hint="default" w:ascii="仿宋" w:hAnsi="仿宋" w:eastAsia="仿宋" w:cs="Times New Roman"/>
                <w:sz w:val="24"/>
                <w:szCs w:val="24"/>
                <w:lang w:val="en-US" w:eastAsia="zh-CN"/>
              </w:rPr>
            </w:pPr>
            <w:r>
              <w:rPr>
                <w:rFonts w:hint="default" w:ascii="仿宋" w:hAnsi="仿宋" w:eastAsia="仿宋" w:cs="Times New Roman"/>
                <w:sz w:val="24"/>
                <w:szCs w:val="24"/>
                <w:lang w:val="en-US" w:eastAsia="zh-CN"/>
              </w:rPr>
              <w:t>(1)检验单位应具有应急管理部核发的海洋石油天然气生产设施发证检验机构资质。</w:t>
            </w:r>
          </w:p>
          <w:p>
            <w:pPr>
              <w:keepNext w:val="0"/>
              <w:keepLines w:val="0"/>
              <w:pageBreakBefore w:val="0"/>
              <w:kinsoku/>
              <w:wordWrap/>
              <w:overflowPunct/>
              <w:topLinePunct w:val="0"/>
              <w:autoSpaceDE/>
              <w:autoSpaceDN/>
              <w:bidi w:val="0"/>
              <w:adjustRightInd w:val="0"/>
              <w:snapToGrid w:val="0"/>
              <w:ind w:firstLine="0" w:firstLineChars="0"/>
              <w:jc w:val="both"/>
              <w:textAlignment w:val="auto"/>
              <w:rPr>
                <w:rFonts w:hint="default" w:ascii="仿宋" w:hAnsi="仿宋" w:eastAsia="仿宋" w:cs="Times New Roman"/>
                <w:sz w:val="24"/>
                <w:szCs w:val="24"/>
                <w:lang w:val="en-US" w:eastAsia="zh-CN"/>
              </w:rPr>
            </w:pPr>
            <w:r>
              <w:rPr>
                <w:rFonts w:hint="default" w:ascii="仿宋" w:hAnsi="仿宋" w:eastAsia="仿宋" w:cs="Times New Roman"/>
                <w:sz w:val="24"/>
                <w:szCs w:val="24"/>
                <w:lang w:val="en-US" w:eastAsia="zh-CN"/>
              </w:rPr>
              <w:t>(2)根据《海上石油天然气生产设施检验规定》第十条、第十一条规定救生设备、无线电通讯设备等相关内容由中国的发证检验机构检验。</w:t>
            </w:r>
          </w:p>
        </w:tc>
        <w:tc>
          <w:tcPr>
            <w:tcW w:w="990" w:type="dxa"/>
            <w:vAlign w:val="center"/>
          </w:tcPr>
          <w:p>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ascii="仿宋" w:hAnsi="仿宋" w:eastAsia="仿宋" w:cs="Times New Roman"/>
                <w:sz w:val="24"/>
                <w:szCs w:val="24"/>
                <w:u w:val="single"/>
              </w:rPr>
            </w:pPr>
          </w:p>
        </w:tc>
      </w:tr>
    </w:tbl>
    <w:p>
      <w:pPr>
        <w:tabs>
          <w:tab w:val="left" w:pos="993"/>
          <w:tab w:val="left" w:pos="1134"/>
          <w:tab w:val="left" w:pos="1418"/>
        </w:tabs>
        <w:spacing w:line="560" w:lineRule="exact"/>
        <w:ind w:firstLine="640" w:firstLineChars="200"/>
        <w:rPr>
          <w:rFonts w:ascii="Times New Roman" w:hAnsi="Times New Roman" w:eastAsia="仿宋_GB2312" w:cs="Times New Roman"/>
          <w:sz w:val="32"/>
          <w:szCs w:val="32"/>
        </w:rPr>
      </w:pPr>
      <w:r>
        <w:rPr>
          <w:rFonts w:ascii="仿宋" w:hAnsi="仿宋" w:eastAsia="仿宋" w:cs="Times New Roman"/>
          <w:sz w:val="32"/>
          <w:szCs w:val="32"/>
        </w:rPr>
        <w:t>本次公开的采办计划是本项目采办工作的初步安排，</w:t>
      </w:r>
      <w:r>
        <w:rPr>
          <w:rFonts w:ascii="Times New Roman" w:hAnsi="Times New Roman" w:eastAsia="仿宋_GB2312" w:cs="Times New Roman"/>
          <w:sz w:val="32"/>
          <w:szCs w:val="32"/>
        </w:rPr>
        <w:t>实际采购应以相关采购公告和采购文件为准，所有提供和反馈的信息只作为项目采办参考。</w:t>
      </w:r>
    </w:p>
    <w:p>
      <w:pPr>
        <w:tabs>
          <w:tab w:val="left" w:pos="993"/>
          <w:tab w:val="left" w:pos="1134"/>
          <w:tab w:val="left" w:pos="1418"/>
        </w:tabs>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本次公告有效期为202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23</w:t>
      </w:r>
      <w:r>
        <w:rPr>
          <w:rFonts w:hint="eastAsia" w:ascii="Times New Roman" w:hAnsi="Times New Roman" w:eastAsia="仿宋_GB2312" w:cs="Times New Roman"/>
          <w:sz w:val="32"/>
          <w:szCs w:val="32"/>
        </w:rPr>
        <w:t>日至202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30</w:t>
      </w:r>
      <w:r>
        <w:rPr>
          <w:rFonts w:hint="eastAsia" w:ascii="Times New Roman" w:hAnsi="Times New Roman" w:eastAsia="仿宋_GB2312" w:cs="Times New Roman"/>
          <w:sz w:val="32"/>
          <w:szCs w:val="32"/>
        </w:rPr>
        <w:t>日止。在此期间，有意参</w:t>
      </w:r>
      <w:r>
        <w:rPr>
          <w:rFonts w:hint="eastAsia" w:ascii="Times New Roman" w:hAnsi="Times New Roman" w:eastAsia="仿宋_GB2312" w:cs="Times New Roman"/>
          <w:sz w:val="32"/>
          <w:szCs w:val="32"/>
          <w:highlight w:val="none"/>
        </w:rPr>
        <w:t>与</w:t>
      </w:r>
      <w:r>
        <w:rPr>
          <w:rFonts w:hint="eastAsia" w:ascii="Times New Roman" w:hAnsi="Times New Roman" w:eastAsia="仿宋_GB2312" w:cs="Times New Roman"/>
          <w:sz w:val="32"/>
          <w:szCs w:val="32"/>
          <w:highlight w:val="none"/>
          <w:lang w:val="en-US" w:eastAsia="zh-CN"/>
        </w:rPr>
        <w:t>该</w:t>
      </w:r>
      <w:r>
        <w:rPr>
          <w:rFonts w:hint="eastAsia" w:ascii="Times New Roman" w:hAnsi="Times New Roman" w:eastAsia="仿宋_GB2312" w:cs="Times New Roman"/>
          <w:sz w:val="32"/>
          <w:szCs w:val="32"/>
          <w:highlight w:val="none"/>
        </w:rPr>
        <w:t>采</w:t>
      </w:r>
      <w:r>
        <w:rPr>
          <w:rFonts w:hint="eastAsia" w:ascii="Times New Roman" w:hAnsi="Times New Roman" w:eastAsia="仿宋_GB2312" w:cs="Times New Roman"/>
          <w:sz w:val="32"/>
          <w:szCs w:val="32"/>
        </w:rPr>
        <w:t>办包的系统用户可在集团公司采办系统中提交反馈材料。</w:t>
      </w:r>
    </w:p>
    <w:p>
      <w:pPr>
        <w:tabs>
          <w:tab w:val="left" w:pos="993"/>
          <w:tab w:val="left" w:pos="1134"/>
          <w:tab w:val="left" w:pos="1418"/>
        </w:tabs>
        <w:spacing w:line="600" w:lineRule="exact"/>
        <w:rPr>
          <w:rFonts w:hint="eastAsia" w:ascii="Times New Roman" w:hAnsi="Times New Roman" w:eastAsia="仿宋" w:cs="Times New Roman"/>
          <w:sz w:val="24"/>
          <w:szCs w:val="24"/>
        </w:rPr>
      </w:pPr>
    </w:p>
    <w:p>
      <w:pPr>
        <w:tabs>
          <w:tab w:val="left" w:pos="993"/>
          <w:tab w:val="left" w:pos="1134"/>
          <w:tab w:val="left" w:pos="1418"/>
        </w:tabs>
        <w:spacing w:line="600" w:lineRule="exact"/>
        <w:rPr>
          <w:rFonts w:hint="eastAsia" w:ascii="Times New Roman" w:hAnsi="Times New Roman" w:eastAsia="仿宋_GB2312" w:cs="Times New Roman"/>
          <w:sz w:val="28"/>
          <w:szCs w:val="28"/>
          <w:lang w:eastAsia="zh-CN"/>
        </w:rPr>
      </w:pPr>
      <w:r>
        <w:rPr>
          <w:rFonts w:hint="eastAsia" w:ascii="Times New Roman" w:hAnsi="Times New Roman" w:eastAsia="仿宋" w:cs="Times New Roman"/>
          <w:sz w:val="24"/>
          <w:szCs w:val="24"/>
        </w:rPr>
        <w:t xml:space="preserve"> </w:t>
      </w:r>
      <w:r>
        <w:rPr>
          <w:rFonts w:ascii="Times New Roman" w:hAnsi="Times New Roman" w:eastAsia="仿宋" w:cs="Times New Roman"/>
          <w:sz w:val="24"/>
          <w:szCs w:val="24"/>
        </w:rPr>
        <w:t xml:space="preserve">             </w:t>
      </w:r>
      <w:r>
        <w:rPr>
          <w:rFonts w:hint="eastAsia" w:ascii="Times New Roman" w:hAnsi="Times New Roman" w:eastAsia="仿宋_GB2312" w:cs="Times New Roman"/>
          <w:sz w:val="32"/>
          <w:szCs w:val="32"/>
          <w:lang w:eastAsia="zh-CN"/>
        </w:rPr>
        <w:t>中海石油（中国）东海西湖石油天然气作业公司</w:t>
      </w:r>
    </w:p>
    <w:p>
      <w:pPr>
        <w:tabs>
          <w:tab w:val="left" w:pos="993"/>
          <w:tab w:val="left" w:pos="1134"/>
          <w:tab w:val="left" w:pos="1418"/>
        </w:tabs>
        <w:spacing w:line="600" w:lineRule="exact"/>
        <w:ind w:right="480" w:firstLine="960" w:firstLineChars="300"/>
        <w:jc w:val="right"/>
        <w:rPr>
          <w:rFonts w:ascii="Times New Roman" w:hAnsi="Times New Roman" w:eastAsia="仿宋_GB2312" w:cs="Times New Roman"/>
          <w:b/>
          <w:sz w:val="32"/>
          <w:szCs w:val="32"/>
        </w:rPr>
      </w:pPr>
      <w:r>
        <w:rPr>
          <w:rFonts w:hint="eastAsia" w:ascii="Times New Roman" w:hAnsi="Times New Roman" w:eastAsia="仿宋_GB2312" w:cs="Times New Roman"/>
          <w:sz w:val="32"/>
          <w:szCs w:val="32"/>
          <w:lang w:val="en-US" w:eastAsia="zh-CN"/>
        </w:rPr>
        <w:t xml:space="preserve">    2025</w:t>
      </w:r>
      <w:r>
        <w:rPr>
          <w:rFonts w:hint="eastAsia" w:ascii="Times New Roman" w:hAnsi="Times New Roman" w:eastAsia="仿宋_GB2312" w:cs="Times New Roman"/>
          <w:sz w:val="32"/>
          <w:szCs w:val="32"/>
        </w:rPr>
        <w:t xml:space="preserve">年 </w:t>
      </w: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rPr>
        <w:t xml:space="preserve">月 </w:t>
      </w:r>
      <w:r>
        <w:rPr>
          <w:rFonts w:hint="eastAsia" w:ascii="Times New Roman" w:hAnsi="Times New Roman" w:eastAsia="仿宋_GB2312" w:cs="Times New Roman"/>
          <w:sz w:val="32"/>
          <w:szCs w:val="32"/>
          <w:lang w:val="en-US" w:eastAsia="zh-CN"/>
        </w:rPr>
        <w:t>23</w:t>
      </w:r>
      <w:r>
        <w:rPr>
          <w:rFonts w:hint="eastAsia" w:ascii="Times New Roman" w:hAnsi="Times New Roman" w:eastAsia="仿宋_GB2312" w:cs="Times New Roman"/>
          <w:sz w:val="32"/>
          <w:szCs w:val="32"/>
        </w:rPr>
        <w:t xml:space="preserve">日    </w:t>
      </w:r>
      <w:r>
        <w:rPr>
          <w:rFonts w:ascii="Times New Roman" w:hAnsi="Times New Roman" w:eastAsia="仿宋" w:cs="Times New Roman"/>
          <w:sz w:val="28"/>
          <w:szCs w:val="28"/>
        </w:rPr>
        <w:t xml:space="preserve">          </w:t>
      </w:r>
      <w:bookmarkEnd w:id="0"/>
    </w:p>
    <w:sectPr>
      <w:pgSz w:w="11906" w:h="16838"/>
      <w:pgMar w:top="986"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0AB"/>
    <w:rsid w:val="001300D2"/>
    <w:rsid w:val="0027488A"/>
    <w:rsid w:val="002E3C4A"/>
    <w:rsid w:val="003D1D6E"/>
    <w:rsid w:val="004029A6"/>
    <w:rsid w:val="004F2772"/>
    <w:rsid w:val="00726B2C"/>
    <w:rsid w:val="008B35BC"/>
    <w:rsid w:val="009635DA"/>
    <w:rsid w:val="00AC26E9"/>
    <w:rsid w:val="00AE20AB"/>
    <w:rsid w:val="00C87211"/>
    <w:rsid w:val="00E759C7"/>
    <w:rsid w:val="00ED277A"/>
    <w:rsid w:val="03203E78"/>
    <w:rsid w:val="03C36C95"/>
    <w:rsid w:val="0746130D"/>
    <w:rsid w:val="0C6215CD"/>
    <w:rsid w:val="0ED356C7"/>
    <w:rsid w:val="11444D29"/>
    <w:rsid w:val="114A795E"/>
    <w:rsid w:val="12F10C86"/>
    <w:rsid w:val="171F1AEC"/>
    <w:rsid w:val="19080CAA"/>
    <w:rsid w:val="1A6C12E2"/>
    <w:rsid w:val="23F75A09"/>
    <w:rsid w:val="25A16285"/>
    <w:rsid w:val="2A5005B5"/>
    <w:rsid w:val="2CB7580A"/>
    <w:rsid w:val="2CC37DF7"/>
    <w:rsid w:val="30C4730B"/>
    <w:rsid w:val="335413D8"/>
    <w:rsid w:val="35383ADB"/>
    <w:rsid w:val="39CB0C6D"/>
    <w:rsid w:val="3E880892"/>
    <w:rsid w:val="436C2B91"/>
    <w:rsid w:val="4D36615B"/>
    <w:rsid w:val="4DB81CA4"/>
    <w:rsid w:val="50F757C6"/>
    <w:rsid w:val="53D679C6"/>
    <w:rsid w:val="54960471"/>
    <w:rsid w:val="54CB5A61"/>
    <w:rsid w:val="54D2130E"/>
    <w:rsid w:val="59A76A78"/>
    <w:rsid w:val="5A700403"/>
    <w:rsid w:val="5CB679B5"/>
    <w:rsid w:val="5D9E097B"/>
    <w:rsid w:val="5EAC234A"/>
    <w:rsid w:val="615F51DD"/>
    <w:rsid w:val="622D5E12"/>
    <w:rsid w:val="645D73CA"/>
    <w:rsid w:val="649D1C09"/>
    <w:rsid w:val="6D482330"/>
    <w:rsid w:val="6EAB0AB6"/>
    <w:rsid w:val="6F9C4785"/>
    <w:rsid w:val="6FCC4E65"/>
    <w:rsid w:val="706F5AF6"/>
    <w:rsid w:val="71431D75"/>
    <w:rsid w:val="72BE339D"/>
    <w:rsid w:val="734962B1"/>
    <w:rsid w:val="78CD47BD"/>
    <w:rsid w:val="795C293D"/>
    <w:rsid w:val="7F904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utoSpaceDE/>
      <w:autoSpaceDN/>
      <w:ind w:firstLine="420" w:firstLineChars="200"/>
      <w:jc w:val="both"/>
    </w:pPr>
    <w:rPr>
      <w:rFonts w:ascii="Times New Roman" w:hAnsi="Times New Roman" w:cs="Times New Roman"/>
      <w:kern w:val="2"/>
      <w:sz w:val="21"/>
      <w:szCs w:val="24"/>
      <w:lang w:val="en-US" w:bidi="ar-SA"/>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table" w:customStyle="1" w:styleId="10">
    <w:name w:val="网格型浅色1"/>
    <w:basedOn w:val="5"/>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459</Words>
  <Characters>470</Characters>
  <Lines>3</Lines>
  <Paragraphs>1</Paragraphs>
  <TotalTime>1</TotalTime>
  <ScaleCrop>false</ScaleCrop>
  <LinksUpToDate>false</LinksUpToDate>
  <CharactersWithSpaces>504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2022-03-21T00:20:00Z</dcterms:created>
  <dc:creator>季云峰/采办项目组/集团公司机关</dc:creator>
  <cp:lastModifiedBy>王嬿雯</cp:lastModifiedBy>
  <dcterms:modified xsi:type="dcterms:W3CDTF">2025-09-23T07:37:39Z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35B7A6BACDE344438890F8405A8DF873</vt:lpwstr>
  </property>
</Properties>
</file>