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387A8">
      <w:pPr>
        <w:ind w:firstLine="0" w:firstLineChars="0"/>
        <w:rPr>
          <w:rFonts w:hint="eastAsia" w:ascii="仿宋_GB2312" w:hAnsi="仿宋_GB2312" w:eastAsia="仿宋_GB2312" w:cs="仿宋_GB2312"/>
          <w:color w:val="auto"/>
          <w:sz w:val="44"/>
          <w:szCs w:val="44"/>
          <w:highlight w:val="none"/>
        </w:rPr>
      </w:pPr>
    </w:p>
    <w:p w14:paraId="5E960527">
      <w:pPr>
        <w:ind w:firstLine="0" w:firstLineChars="0"/>
        <w:rPr>
          <w:rFonts w:hint="eastAsia" w:ascii="仿宋_GB2312" w:hAnsi="仿宋_GB2312" w:eastAsia="仿宋_GB2312" w:cs="仿宋_GB2312"/>
          <w:color w:val="auto"/>
          <w:sz w:val="44"/>
          <w:szCs w:val="44"/>
          <w:highlight w:val="none"/>
        </w:rPr>
      </w:pPr>
    </w:p>
    <w:p w14:paraId="56B6BE8D">
      <w:pPr>
        <w:ind w:firstLine="0" w:firstLineChars="0"/>
        <w:rPr>
          <w:rFonts w:hint="eastAsia" w:ascii="仿宋_GB2312" w:hAnsi="仿宋_GB2312" w:eastAsia="仿宋_GB2312" w:cs="仿宋_GB2312"/>
          <w:color w:val="auto"/>
          <w:sz w:val="44"/>
          <w:szCs w:val="44"/>
          <w:highlight w:val="none"/>
        </w:rPr>
      </w:pPr>
    </w:p>
    <w:p w14:paraId="0AA2C012">
      <w:pPr>
        <w:pStyle w:val="2"/>
        <w:keepNext w:val="0"/>
        <w:keepLines w:val="0"/>
        <w:spacing w:before="0" w:after="0" w:line="800" w:lineRule="exact"/>
        <w:ind w:firstLine="0" w:firstLineChars="0"/>
        <w:jc w:val="center"/>
        <w:rPr>
          <w:rFonts w:ascii="方正小标宋简体" w:hAnsi="Times New Roman" w:eastAsia="方正小标宋简体" w:cs="Times New Roman"/>
          <w:color w:val="auto"/>
          <w:spacing w:val="20"/>
          <w:highlight w:val="none"/>
        </w:rPr>
      </w:pPr>
      <w:r>
        <w:rPr>
          <w:rFonts w:hint="eastAsia" w:ascii="方正小标宋简体" w:hAnsi="Times New Roman" w:eastAsia="方正小标宋简体" w:cs="Times New Roman"/>
          <w:color w:val="auto"/>
          <w:spacing w:val="20"/>
          <w:highlight w:val="none"/>
        </w:rPr>
        <w:t>广东省普通国道基础设施</w:t>
      </w:r>
    </w:p>
    <w:p w14:paraId="030F45EC">
      <w:pPr>
        <w:pStyle w:val="2"/>
        <w:keepNext w:val="0"/>
        <w:keepLines w:val="0"/>
        <w:spacing w:before="0" w:after="0" w:line="800" w:lineRule="exact"/>
        <w:ind w:firstLine="0" w:firstLineChars="0"/>
        <w:jc w:val="center"/>
        <w:rPr>
          <w:rFonts w:ascii="方正小标宋简体" w:hAnsi="Times New Roman" w:eastAsia="方正小标宋简体" w:cs="Times New Roman"/>
          <w:color w:val="auto"/>
          <w:spacing w:val="20"/>
          <w:highlight w:val="none"/>
        </w:rPr>
      </w:pPr>
      <w:r>
        <w:rPr>
          <w:rFonts w:hint="eastAsia" w:ascii="方正小标宋简体" w:hAnsi="Times New Roman" w:eastAsia="方正小标宋简体" w:cs="Times New Roman"/>
          <w:color w:val="auto"/>
          <w:spacing w:val="20"/>
          <w:highlight w:val="none"/>
        </w:rPr>
        <w:t>数字化转型升级示范工程</w:t>
      </w:r>
    </w:p>
    <w:p w14:paraId="679F258D">
      <w:pPr>
        <w:pStyle w:val="2"/>
        <w:keepNext w:val="0"/>
        <w:keepLines w:val="0"/>
        <w:spacing w:before="0" w:after="0" w:line="800" w:lineRule="exact"/>
        <w:ind w:firstLine="0" w:firstLineChars="0"/>
        <w:jc w:val="center"/>
        <w:rPr>
          <w:rFonts w:ascii="方正小标宋简体" w:hAnsi="Times New Roman" w:eastAsia="方正小标宋简体" w:cs="Times New Roman"/>
          <w:color w:val="auto"/>
          <w:spacing w:val="20"/>
          <w:highlight w:val="none"/>
        </w:rPr>
      </w:pPr>
      <w:r>
        <w:rPr>
          <w:rFonts w:hint="eastAsia" w:ascii="方正小标宋简体" w:hAnsi="Times New Roman" w:eastAsia="方正小标宋简体" w:cs="Times New Roman"/>
          <w:color w:val="auto"/>
          <w:spacing w:val="20"/>
          <w:highlight w:val="none"/>
        </w:rPr>
        <w:t>公路交通情况调查设备采购</w:t>
      </w:r>
    </w:p>
    <w:p w14:paraId="0FB07C62">
      <w:pPr>
        <w:ind w:firstLine="0" w:firstLineChars="0"/>
        <w:rPr>
          <w:rFonts w:hint="eastAsia" w:ascii="仿宋_GB2312" w:hAnsi="仿宋_GB2312" w:eastAsia="仿宋_GB2312" w:cs="仿宋_GB2312"/>
          <w:color w:val="auto"/>
          <w:sz w:val="44"/>
          <w:szCs w:val="44"/>
          <w:highlight w:val="none"/>
        </w:rPr>
      </w:pPr>
    </w:p>
    <w:p w14:paraId="3BA7D91A">
      <w:pPr>
        <w:ind w:firstLine="0" w:firstLineChars="0"/>
        <w:rPr>
          <w:rFonts w:hint="eastAsia" w:ascii="仿宋_GB2312" w:hAnsi="仿宋_GB2312" w:eastAsia="仿宋_GB2312" w:cs="仿宋_GB2312"/>
          <w:color w:val="auto"/>
          <w:sz w:val="44"/>
          <w:szCs w:val="44"/>
          <w:highlight w:val="none"/>
        </w:rPr>
      </w:pPr>
    </w:p>
    <w:p w14:paraId="6F550A69">
      <w:pPr>
        <w:ind w:firstLine="0" w:firstLineChars="0"/>
        <w:rPr>
          <w:rFonts w:hint="eastAsia" w:ascii="仿宋_GB2312" w:hAnsi="仿宋_GB2312" w:eastAsia="仿宋_GB2312" w:cs="仿宋_GB2312"/>
          <w:color w:val="auto"/>
          <w:sz w:val="44"/>
          <w:szCs w:val="44"/>
          <w:highlight w:val="none"/>
        </w:rPr>
      </w:pPr>
    </w:p>
    <w:p w14:paraId="1002BD91">
      <w:pPr>
        <w:ind w:firstLine="0" w:firstLineChars="0"/>
        <w:rPr>
          <w:rFonts w:hint="eastAsia" w:ascii="仿宋_GB2312" w:hAnsi="仿宋_GB2312" w:eastAsia="仿宋_GB2312" w:cs="仿宋_GB2312"/>
          <w:color w:val="auto"/>
          <w:sz w:val="44"/>
          <w:szCs w:val="44"/>
          <w:highlight w:val="none"/>
        </w:rPr>
      </w:pPr>
    </w:p>
    <w:p w14:paraId="3D9A3C56">
      <w:pPr>
        <w:ind w:firstLine="0" w:firstLineChars="0"/>
        <w:jc w:val="center"/>
        <w:rPr>
          <w:rFonts w:hint="eastAsia" w:ascii="楷体_GB2312" w:hAnsi="楷体_GB2312" w:eastAsia="楷体_GB2312" w:cs="楷体_GB2312"/>
          <w:b/>
          <w:color w:val="auto"/>
          <w:sz w:val="44"/>
          <w:szCs w:val="44"/>
          <w:highlight w:val="none"/>
        </w:rPr>
      </w:pPr>
      <w:r>
        <w:rPr>
          <w:rFonts w:hint="eastAsia" w:ascii="楷体_GB2312" w:hAnsi="楷体_GB2312" w:eastAsia="楷体_GB2312" w:cs="楷体_GB2312"/>
          <w:b/>
          <w:color w:val="auto"/>
          <w:sz w:val="44"/>
          <w:szCs w:val="44"/>
          <w:highlight w:val="none"/>
          <w:lang w:val="en-US" w:eastAsia="zh-CN"/>
        </w:rPr>
        <w:t>采购人</w:t>
      </w:r>
      <w:r>
        <w:rPr>
          <w:rFonts w:hint="eastAsia" w:ascii="楷体_GB2312" w:hAnsi="楷体_GB2312" w:eastAsia="楷体_GB2312" w:cs="楷体_GB2312"/>
          <w:b/>
          <w:color w:val="auto"/>
          <w:sz w:val="44"/>
          <w:szCs w:val="44"/>
          <w:highlight w:val="none"/>
        </w:rPr>
        <w:t>需求</w:t>
      </w:r>
    </w:p>
    <w:p w14:paraId="72C45B0E">
      <w:pPr>
        <w:ind w:firstLine="0" w:firstLineChars="0"/>
        <w:jc w:val="center"/>
        <w:rPr>
          <w:rFonts w:hint="eastAsia" w:ascii="仿宋_GB2312" w:hAnsi="仿宋_GB2312" w:eastAsia="仿宋_GB2312" w:cs="仿宋_GB2312"/>
          <w:b/>
          <w:color w:val="auto"/>
          <w:sz w:val="44"/>
          <w:szCs w:val="44"/>
          <w:highlight w:val="none"/>
        </w:rPr>
      </w:pPr>
    </w:p>
    <w:p w14:paraId="0BC52736">
      <w:pPr>
        <w:ind w:firstLine="0" w:firstLineChars="0"/>
        <w:jc w:val="center"/>
        <w:rPr>
          <w:rFonts w:hint="eastAsia" w:ascii="仿宋_GB2312" w:hAnsi="仿宋_GB2312" w:eastAsia="仿宋_GB2312" w:cs="仿宋_GB2312"/>
          <w:b/>
          <w:color w:val="auto"/>
          <w:sz w:val="44"/>
          <w:szCs w:val="44"/>
          <w:highlight w:val="none"/>
        </w:rPr>
      </w:pPr>
    </w:p>
    <w:p w14:paraId="70B9A2DB">
      <w:pPr>
        <w:ind w:firstLine="0" w:firstLineChars="0"/>
        <w:jc w:val="center"/>
        <w:rPr>
          <w:rFonts w:hint="eastAsia" w:ascii="仿宋_GB2312" w:hAnsi="仿宋_GB2312" w:eastAsia="仿宋_GB2312" w:cs="仿宋_GB2312"/>
          <w:b/>
          <w:color w:val="auto"/>
          <w:sz w:val="44"/>
          <w:szCs w:val="44"/>
          <w:highlight w:val="none"/>
        </w:rPr>
      </w:pPr>
    </w:p>
    <w:p w14:paraId="596A89F7">
      <w:pPr>
        <w:ind w:firstLine="0" w:firstLineChars="0"/>
        <w:jc w:val="center"/>
        <w:rPr>
          <w:rFonts w:hint="eastAsia" w:ascii="仿宋_GB2312" w:hAnsi="仿宋_GB2312" w:eastAsia="仿宋_GB2312" w:cs="仿宋_GB2312"/>
          <w:b/>
          <w:color w:val="auto"/>
          <w:sz w:val="44"/>
          <w:szCs w:val="44"/>
          <w:highlight w:val="none"/>
        </w:rPr>
      </w:pPr>
    </w:p>
    <w:p w14:paraId="215D68DE">
      <w:pPr>
        <w:ind w:firstLine="0" w:firstLineChars="0"/>
        <w:jc w:val="center"/>
        <w:rPr>
          <w:rFonts w:hint="eastAsia" w:ascii="仿宋_GB2312" w:hAnsi="仿宋_GB2312" w:eastAsia="仿宋_GB2312" w:cs="仿宋_GB2312"/>
          <w:b/>
          <w:color w:val="auto"/>
          <w:sz w:val="44"/>
          <w:szCs w:val="44"/>
          <w:highlight w:val="none"/>
        </w:rPr>
      </w:pPr>
    </w:p>
    <w:p w14:paraId="0BA0F996">
      <w:pPr>
        <w:ind w:firstLine="0" w:firstLineChars="0"/>
        <w:jc w:val="center"/>
        <w:rPr>
          <w:rFonts w:hint="eastAsia"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rPr>
        <w:t>2025年1</w:t>
      </w:r>
      <w:r>
        <w:rPr>
          <w:rFonts w:hint="eastAsia" w:ascii="仿宋_GB2312" w:hAnsi="仿宋_GB2312" w:eastAsia="仿宋_GB2312" w:cs="仿宋_GB2312"/>
          <w:b/>
          <w:color w:val="auto"/>
          <w:sz w:val="44"/>
          <w:szCs w:val="44"/>
          <w:highlight w:val="none"/>
          <w:lang w:val="en-US" w:eastAsia="zh-CN"/>
        </w:rPr>
        <w:t>1</w:t>
      </w:r>
      <w:r>
        <w:rPr>
          <w:rFonts w:hint="eastAsia" w:ascii="仿宋_GB2312" w:hAnsi="仿宋_GB2312" w:eastAsia="仿宋_GB2312" w:cs="仿宋_GB2312"/>
          <w:b/>
          <w:color w:val="auto"/>
          <w:sz w:val="44"/>
          <w:szCs w:val="44"/>
          <w:highlight w:val="none"/>
        </w:rPr>
        <w:t>月</w:t>
      </w:r>
    </w:p>
    <w:p w14:paraId="339050B0">
      <w:pPr>
        <w:ind w:firstLine="0" w:firstLineChars="0"/>
        <w:rPr>
          <w:rFonts w:hint="eastAsia" w:ascii="仿宋_GB2312" w:hAnsi="仿宋_GB2312" w:eastAsia="仿宋_GB2312" w:cs="仿宋_GB2312"/>
          <w:color w:val="auto"/>
          <w:sz w:val="44"/>
          <w:szCs w:val="44"/>
          <w:highlight w:val="none"/>
        </w:rPr>
      </w:pPr>
    </w:p>
    <w:p w14:paraId="74BA4B69">
      <w:pPr>
        <w:pStyle w:val="3"/>
        <w:spacing w:line="340" w:lineRule="exact"/>
        <w:rPr>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474" w:left="1474" w:header="851" w:footer="851" w:gutter="0"/>
          <w:pgBorders>
            <w:top w:val="none" w:sz="0" w:space="0"/>
            <w:left w:val="none" w:sz="0" w:space="0"/>
            <w:bottom w:val="none" w:sz="0" w:space="0"/>
            <w:right w:val="none" w:sz="0" w:space="0"/>
          </w:pgBorders>
          <w:cols w:space="425" w:num="1"/>
          <w:docGrid w:type="lines" w:linePitch="435" w:charSpace="0"/>
        </w:sectPr>
      </w:pPr>
    </w:p>
    <w:p w14:paraId="35509F03">
      <w:pPr>
        <w:pStyle w:val="3"/>
        <w:spacing w:line="340" w:lineRule="exact"/>
        <w:rPr>
          <w:color w:val="auto"/>
          <w:highlight w:val="none"/>
        </w:rPr>
      </w:pPr>
      <w:r>
        <w:rPr>
          <w:rFonts w:hint="eastAsia"/>
          <w:color w:val="auto"/>
          <w:highlight w:val="none"/>
        </w:rPr>
        <w:t>一、项目基本情况</w:t>
      </w:r>
    </w:p>
    <w:p w14:paraId="797A25CA">
      <w:pPr>
        <w:pStyle w:val="5"/>
        <w:widowControl/>
        <w:adjustRightInd/>
        <w:snapToGrid/>
        <w:spacing w:line="340" w:lineRule="exact"/>
        <w:ind w:firstLine="422"/>
        <w:rPr>
          <w:rFonts w:hint="eastAsia" w:ascii="楷体_GB2312" w:hAnsi="Times New Roman" w:eastAsia="楷体_GB2312" w:cs="Times New Roman"/>
          <w:color w:val="auto"/>
          <w:sz w:val="21"/>
          <w:szCs w:val="21"/>
          <w:highlight w:val="none"/>
        </w:rPr>
      </w:pPr>
      <w:r>
        <w:rPr>
          <w:rFonts w:hint="eastAsia" w:ascii="楷体_GB2312" w:hAnsi="Times New Roman" w:eastAsia="楷体_GB2312" w:cs="Times New Roman"/>
          <w:color w:val="auto"/>
          <w:sz w:val="21"/>
          <w:szCs w:val="21"/>
          <w:highlight w:val="none"/>
        </w:rPr>
        <w:t>（一）名称</w:t>
      </w:r>
    </w:p>
    <w:p w14:paraId="1F6D6CC0">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项目名称：</w:t>
      </w:r>
      <w:bookmarkStart w:id="2" w:name="_GoBack"/>
      <w:r>
        <w:rPr>
          <w:rFonts w:hint="eastAsia" w:ascii="仿宋_GB2312" w:hAnsi="仿宋_GB2312" w:eastAsia="仿宋_GB2312" w:cs="仿宋_GB2312"/>
          <w:color w:val="auto"/>
          <w:sz w:val="21"/>
          <w:szCs w:val="21"/>
          <w:highlight w:val="none"/>
        </w:rPr>
        <w:t>广东省普通国道基础设施数字化转型升级示范工程公路交通情况调查设备采购</w:t>
      </w:r>
      <w:bookmarkEnd w:id="2"/>
    </w:p>
    <w:p w14:paraId="7A78AB7A">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采购方式：公开招标</w:t>
      </w:r>
    </w:p>
    <w:p w14:paraId="41B3D2FF">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预算金额：人民币柒仟零伍拾万捌仟叁佰伍拾元捌角肆分（￥</w:t>
      </w:r>
      <w:r>
        <w:rPr>
          <w:rFonts w:hint="default" w:ascii="仿宋_GB2312" w:hAnsi="仿宋_GB2312" w:eastAsia="仿宋_GB2312" w:cs="仿宋_GB2312"/>
          <w:color w:val="auto"/>
          <w:sz w:val="21"/>
          <w:szCs w:val="21"/>
          <w:highlight w:val="none"/>
        </w:rPr>
        <w:t>70508350.84</w:t>
      </w:r>
      <w:r>
        <w:rPr>
          <w:rFonts w:hint="eastAsia" w:ascii="仿宋_GB2312" w:hAnsi="仿宋_GB2312" w:eastAsia="仿宋_GB2312" w:cs="仿宋_GB2312"/>
          <w:color w:val="auto"/>
          <w:sz w:val="21"/>
          <w:szCs w:val="21"/>
          <w:highlight w:val="none"/>
        </w:rPr>
        <w:t>元）</w:t>
      </w:r>
    </w:p>
    <w:p w14:paraId="226C029A">
      <w:pPr>
        <w:pStyle w:val="5"/>
        <w:widowControl/>
        <w:adjustRightInd/>
        <w:snapToGrid/>
        <w:spacing w:line="340" w:lineRule="exact"/>
        <w:ind w:firstLine="422"/>
        <w:rPr>
          <w:rFonts w:hint="eastAsia" w:ascii="楷体_GB2312" w:hAnsi="Times New Roman" w:eastAsia="楷体_GB2312" w:cs="Times New Roman"/>
          <w:color w:val="auto"/>
          <w:sz w:val="21"/>
          <w:szCs w:val="21"/>
          <w:highlight w:val="none"/>
        </w:rPr>
      </w:pPr>
      <w:r>
        <w:rPr>
          <w:rFonts w:hint="eastAsia" w:ascii="楷体_GB2312" w:hAnsi="Times New Roman" w:eastAsia="楷体_GB2312" w:cs="Times New Roman"/>
          <w:color w:val="auto"/>
          <w:sz w:val="21"/>
          <w:szCs w:val="21"/>
          <w:highlight w:val="none"/>
        </w:rPr>
        <w:t>（二）</w:t>
      </w:r>
      <w:r>
        <w:rPr>
          <w:rFonts w:hint="eastAsia" w:ascii="楷体_GB2312" w:eastAsia="楷体_GB2312" w:cs="Times New Roman"/>
          <w:color w:val="auto"/>
          <w:sz w:val="21"/>
          <w:szCs w:val="21"/>
          <w:highlight w:val="none"/>
          <w:lang w:val="en-US" w:eastAsia="zh-CN"/>
        </w:rPr>
        <w:t>采购</w:t>
      </w:r>
      <w:r>
        <w:rPr>
          <w:rFonts w:hint="eastAsia" w:ascii="楷体_GB2312" w:hAnsi="Times New Roman" w:eastAsia="楷体_GB2312" w:cs="Times New Roman"/>
          <w:color w:val="auto"/>
          <w:sz w:val="21"/>
          <w:szCs w:val="21"/>
          <w:highlight w:val="none"/>
        </w:rPr>
        <w:t>内容及需求情况</w:t>
      </w:r>
    </w:p>
    <w:p w14:paraId="059DC598">
      <w:pPr>
        <w:spacing w:line="340" w:lineRule="exact"/>
        <w:ind w:firstLine="42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标的名称：</w:t>
      </w:r>
      <w:r>
        <w:rPr>
          <w:rFonts w:hint="eastAsia" w:ascii="仿宋_GB2312" w:hAnsi="仿宋_GB2312" w:eastAsia="仿宋_GB2312" w:cs="仿宋_GB2312"/>
          <w:color w:val="auto"/>
          <w:sz w:val="21"/>
          <w:szCs w:val="21"/>
          <w:highlight w:val="none"/>
          <w:lang w:eastAsia="zh-CN"/>
        </w:rPr>
        <w:t>广东省普通国道基础设施数字化转型升级示范工程公路交通情况调查设备采购</w:t>
      </w:r>
    </w:p>
    <w:p w14:paraId="136C70A1">
      <w:pPr>
        <w:spacing w:line="340" w:lineRule="exact"/>
        <w:ind w:firstLine="42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标的数量：</w:t>
      </w:r>
      <w:r>
        <w:rPr>
          <w:rFonts w:hint="eastAsia" w:ascii="仿宋_GB2312" w:hAnsi="仿宋_GB2312" w:eastAsia="仿宋_GB2312" w:cs="仿宋_GB2312"/>
          <w:color w:val="auto"/>
          <w:sz w:val="21"/>
          <w:szCs w:val="21"/>
          <w:highlight w:val="none"/>
          <w:lang w:val="en-US" w:eastAsia="zh-CN"/>
        </w:rPr>
        <w:t>3</w:t>
      </w:r>
    </w:p>
    <w:p w14:paraId="5CA7185E">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简要技术需求或服务要求：</w:t>
      </w:r>
    </w:p>
    <w:p w14:paraId="16E85431">
      <w:pPr>
        <w:pStyle w:val="5"/>
        <w:spacing w:line="340" w:lineRule="exact"/>
        <w:ind w:firstLine="422"/>
        <w:rPr>
          <w:rFonts w:hint="eastAsia" w:hAnsi="仿宋_GB2312" w:cs="仿宋_GB2312"/>
          <w:b w:val="0"/>
          <w:color w:val="auto"/>
          <w:sz w:val="21"/>
          <w:szCs w:val="21"/>
          <w:highlight w:val="none"/>
        </w:rPr>
      </w:pPr>
      <w:r>
        <w:rPr>
          <w:rFonts w:hint="eastAsia" w:hAnsi="仿宋_GB2312" w:cs="仿宋_GB2312"/>
          <w:color w:val="auto"/>
          <w:sz w:val="21"/>
          <w:szCs w:val="21"/>
          <w:highlight w:val="none"/>
        </w:rPr>
        <w:t>1.品目类别：</w:t>
      </w:r>
      <w:r>
        <w:rPr>
          <w:rFonts w:hint="eastAsia" w:hAnsi="仿宋_GB2312" w:cs="仿宋_GB2312"/>
          <w:b w:val="0"/>
          <w:color w:val="auto"/>
          <w:sz w:val="21"/>
          <w:szCs w:val="21"/>
          <w:highlight w:val="none"/>
        </w:rPr>
        <w:t>货物</w:t>
      </w:r>
    </w:p>
    <w:p w14:paraId="22F2425F">
      <w:pPr>
        <w:pStyle w:val="5"/>
        <w:spacing w:line="340" w:lineRule="exact"/>
        <w:ind w:firstLine="422"/>
        <w:rPr>
          <w:rFonts w:hint="eastAsia" w:hAnsi="仿宋_GB2312" w:cs="仿宋_GB2312"/>
          <w:b w:val="0"/>
          <w:color w:val="auto"/>
          <w:sz w:val="21"/>
          <w:szCs w:val="21"/>
          <w:highlight w:val="none"/>
        </w:rPr>
      </w:pPr>
      <w:r>
        <w:rPr>
          <w:rFonts w:hint="eastAsia" w:hAnsi="仿宋_GB2312" w:cs="仿宋_GB2312"/>
          <w:color w:val="auto"/>
          <w:sz w:val="21"/>
          <w:szCs w:val="21"/>
          <w:highlight w:val="none"/>
        </w:rPr>
        <w:t>2.资金来源：</w:t>
      </w:r>
      <w:r>
        <w:rPr>
          <w:rFonts w:hint="eastAsia" w:hAnsi="仿宋_GB2312" w:cs="仿宋_GB2312"/>
          <w:b w:val="0"/>
          <w:color w:val="auto"/>
          <w:sz w:val="21"/>
          <w:szCs w:val="21"/>
          <w:highlight w:val="none"/>
        </w:rPr>
        <w:t>财政资金</w:t>
      </w:r>
    </w:p>
    <w:p w14:paraId="55DF2C1F">
      <w:pPr>
        <w:pStyle w:val="5"/>
        <w:spacing w:line="340" w:lineRule="exact"/>
        <w:ind w:firstLine="422"/>
        <w:rPr>
          <w:rFonts w:hint="eastAsia" w:hAnsi="仿宋_GB2312" w:cs="仿宋_GB2312"/>
          <w:b w:val="0"/>
          <w:color w:val="auto"/>
          <w:sz w:val="21"/>
          <w:szCs w:val="21"/>
          <w:highlight w:val="none"/>
        </w:rPr>
      </w:pPr>
      <w:r>
        <w:rPr>
          <w:rFonts w:hint="eastAsia" w:hAnsi="仿宋_GB2312" w:cs="仿宋_GB2312"/>
          <w:color w:val="auto"/>
          <w:sz w:val="21"/>
          <w:szCs w:val="21"/>
          <w:highlight w:val="none"/>
        </w:rPr>
        <w:t>3.</w:t>
      </w:r>
      <w:r>
        <w:rPr>
          <w:rFonts w:hint="eastAsia" w:hAnsi="仿宋_GB2312" w:cs="仿宋_GB2312"/>
          <w:color w:val="auto"/>
          <w:sz w:val="21"/>
          <w:szCs w:val="21"/>
          <w:highlight w:val="none"/>
          <w:lang w:val="en-US" w:eastAsia="zh-CN"/>
        </w:rPr>
        <w:t>采购</w:t>
      </w:r>
      <w:r>
        <w:rPr>
          <w:rFonts w:hint="eastAsia" w:hAnsi="仿宋_GB2312" w:cs="仿宋_GB2312"/>
          <w:color w:val="auto"/>
          <w:sz w:val="21"/>
          <w:szCs w:val="21"/>
          <w:highlight w:val="none"/>
        </w:rPr>
        <w:t>内容：</w:t>
      </w:r>
      <w:r>
        <w:rPr>
          <w:rFonts w:hint="eastAsia" w:hAnsi="仿宋_GB2312" w:cs="仿宋_GB2312"/>
          <w:b w:val="0"/>
          <w:color w:val="auto"/>
          <w:sz w:val="21"/>
          <w:szCs w:val="21"/>
          <w:highlight w:val="none"/>
        </w:rPr>
        <w:t>建设</w:t>
      </w:r>
      <w:r>
        <w:rPr>
          <w:rFonts w:hint="eastAsia" w:hAnsi="仿宋_GB2312" w:cs="仿宋_GB2312"/>
          <w:b w:val="0"/>
          <w:color w:val="auto"/>
          <w:sz w:val="21"/>
          <w:szCs w:val="21"/>
          <w:highlight w:val="none"/>
          <w:lang w:val="en-US" w:eastAsia="zh-CN"/>
        </w:rPr>
        <w:t>广东省</w:t>
      </w:r>
      <w:r>
        <w:rPr>
          <w:rFonts w:hint="eastAsia" w:hAnsi="仿宋_GB2312" w:cs="仿宋_GB2312"/>
          <w:b w:val="0"/>
          <w:color w:val="auto"/>
          <w:sz w:val="21"/>
          <w:szCs w:val="21"/>
          <w:highlight w:val="none"/>
        </w:rPr>
        <w:t>普通国道合</w:t>
      </w:r>
      <w:r>
        <w:rPr>
          <w:rFonts w:hint="eastAsia" w:hAnsi="仿宋_GB2312" w:cs="仿宋_GB2312"/>
          <w:b w:val="0"/>
          <w:color w:val="auto"/>
          <w:sz w:val="21"/>
          <w:szCs w:val="21"/>
          <w:highlight w:val="none"/>
          <w:lang w:eastAsia="zh-CN"/>
        </w:rPr>
        <w:t>（</w:t>
      </w:r>
      <w:r>
        <w:rPr>
          <w:rFonts w:hint="eastAsia" w:hAnsi="仿宋_GB2312" w:cs="仿宋_GB2312"/>
          <w:b w:val="0"/>
          <w:color w:val="auto"/>
          <w:sz w:val="21"/>
          <w:szCs w:val="21"/>
          <w:highlight w:val="none"/>
        </w:rPr>
        <w:t>分</w:t>
      </w:r>
      <w:r>
        <w:rPr>
          <w:rFonts w:hint="eastAsia" w:hAnsi="仿宋_GB2312" w:cs="仿宋_GB2312"/>
          <w:b w:val="0"/>
          <w:color w:val="auto"/>
          <w:sz w:val="21"/>
          <w:szCs w:val="21"/>
          <w:highlight w:val="none"/>
          <w:lang w:eastAsia="zh-CN"/>
        </w:rPr>
        <w:t>）</w:t>
      </w:r>
      <w:r>
        <w:rPr>
          <w:rFonts w:hint="eastAsia" w:hAnsi="仿宋_GB2312" w:cs="仿宋_GB2312"/>
          <w:b w:val="0"/>
          <w:color w:val="auto"/>
          <w:sz w:val="21"/>
          <w:szCs w:val="21"/>
          <w:highlight w:val="none"/>
        </w:rPr>
        <w:t>流独立路段多功能交通调查站368个，其中新建310个，升级改造58个</w:t>
      </w:r>
      <w:r>
        <w:rPr>
          <w:rFonts w:hint="eastAsia" w:hAnsi="仿宋_GB2312" w:cs="仿宋_GB2312"/>
          <w:b w:val="0"/>
          <w:color w:val="auto"/>
          <w:sz w:val="21"/>
          <w:szCs w:val="21"/>
          <w:highlight w:val="none"/>
          <w:lang w:eastAsia="zh-CN"/>
        </w:rPr>
        <w:t>；</w:t>
      </w:r>
      <w:r>
        <w:rPr>
          <w:rFonts w:hint="eastAsia" w:hAnsi="仿宋_GB2312" w:cs="仿宋_GB2312"/>
          <w:b w:val="0"/>
          <w:color w:val="auto"/>
          <w:sz w:val="21"/>
          <w:szCs w:val="21"/>
          <w:highlight w:val="none"/>
        </w:rPr>
        <w:t>实时汇聚沿线车流量、车牌、车型、车速、视频监测、气象监测等数据。</w:t>
      </w:r>
    </w:p>
    <w:p w14:paraId="7BBD5163">
      <w:pPr>
        <w:spacing w:line="340" w:lineRule="exact"/>
        <w:ind w:firstLine="420" w:firstLineChars="0"/>
        <w:rPr>
          <w:rFonts w:hint="default" w:ascii="仿宋_GB2312" w:hAnsi="仿宋_GB2312" w:eastAsia="仿宋_GB2312" w:cs="仿宋_GB2312"/>
          <w:b/>
          <w:bCs/>
          <w:color w:val="auto"/>
          <w:sz w:val="21"/>
          <w:szCs w:val="21"/>
          <w:highlight w:val="none"/>
          <w:lang w:val="en-US"/>
        </w:rPr>
      </w:pPr>
      <w:r>
        <w:rPr>
          <w:rFonts w:hint="eastAsia" w:ascii="仿宋_GB2312" w:hAnsi="仿宋_GB2312" w:eastAsia="仿宋_GB2312" w:cs="仿宋_GB2312"/>
          <w:b/>
          <w:bCs/>
          <w:color w:val="auto"/>
          <w:sz w:val="21"/>
          <w:szCs w:val="21"/>
          <w:highlight w:val="none"/>
        </w:rPr>
        <w:t>包组1：</w:t>
      </w:r>
      <w:r>
        <w:rPr>
          <w:rFonts w:hint="eastAsia" w:ascii="仿宋_GB2312" w:hAnsi="仿宋_GB2312" w:eastAsia="仿宋_GB2312" w:cs="仿宋_GB2312"/>
          <w:color w:val="auto"/>
          <w:sz w:val="21"/>
          <w:szCs w:val="21"/>
          <w:highlight w:val="none"/>
          <w:lang w:eastAsia="zh-CN"/>
        </w:rPr>
        <w:t>广东省普通国道基础设施数字化转型升级示范工程公路交通情况调查设备采购（</w:t>
      </w:r>
      <w:r>
        <w:rPr>
          <w:rFonts w:hint="eastAsia" w:ascii="仿宋_GB2312" w:hAnsi="仿宋_GB2312" w:eastAsia="仿宋_GB2312" w:cs="仿宋_GB2312"/>
          <w:color w:val="auto"/>
          <w:sz w:val="21"/>
          <w:szCs w:val="21"/>
          <w:highlight w:val="none"/>
          <w:lang w:val="en-US" w:eastAsia="zh-CN"/>
        </w:rPr>
        <w:t>粤中片区）</w:t>
      </w:r>
    </w:p>
    <w:p w14:paraId="4B1D42B2">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采购内容：建设广州、珠海、佛山、韶关、清远</w:t>
      </w:r>
      <w:r>
        <w:rPr>
          <w:rFonts w:hint="eastAsia" w:ascii="仿宋_GB2312" w:hAnsi="仿宋_GB2312" w:eastAsia="仿宋_GB2312" w:cs="仿宋_GB2312"/>
          <w:color w:val="auto"/>
          <w:sz w:val="21"/>
          <w:szCs w:val="21"/>
          <w:highlight w:val="none"/>
          <w:lang w:eastAsia="zh-CN"/>
        </w:rPr>
        <w:t>等</w:t>
      </w:r>
      <w:r>
        <w:rPr>
          <w:rFonts w:hint="eastAsia" w:ascii="仿宋_GB2312" w:hAnsi="仿宋_GB2312" w:eastAsia="仿宋_GB2312" w:cs="仿宋_GB2312"/>
          <w:color w:val="auto"/>
          <w:sz w:val="21"/>
          <w:szCs w:val="21"/>
          <w:highlight w:val="none"/>
        </w:rPr>
        <w:t>5个地级以上市域普通国道共计121个多功能交通调查站，实时汇聚沿线车流量、车牌、车型、车速、视频监测、气象监测等数据。</w:t>
      </w:r>
    </w:p>
    <w:p w14:paraId="701326F1">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数量：1项</w:t>
      </w:r>
    </w:p>
    <w:p w14:paraId="7623C91C">
      <w:pPr>
        <w:spacing w:line="340" w:lineRule="exact"/>
        <w:ind w:firstLine="420" w:firstLineChars="0"/>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color w:val="auto"/>
          <w:sz w:val="21"/>
          <w:szCs w:val="21"/>
          <w:highlight w:val="none"/>
        </w:rPr>
        <w:t>最高限价：人民币贰仟叁佰叁拾肆万陆仟肆佰陆拾肆元肆角捌分(￥</w:t>
      </w:r>
      <w:r>
        <w:rPr>
          <w:rFonts w:hint="default" w:ascii="仿宋_GB2312" w:hAnsi="仿宋_GB2312" w:eastAsia="仿宋_GB2312" w:cs="仿宋_GB2312"/>
          <w:color w:val="auto"/>
          <w:sz w:val="21"/>
          <w:szCs w:val="21"/>
          <w:highlight w:val="none"/>
        </w:rPr>
        <w:t>23346464.48</w:t>
      </w:r>
      <w:r>
        <w:rPr>
          <w:rFonts w:hint="eastAsia" w:ascii="仿宋_GB2312" w:hAnsi="仿宋_GB2312" w:eastAsia="仿宋_GB2312" w:cs="仿宋_GB2312"/>
          <w:color w:val="auto"/>
          <w:sz w:val="21"/>
          <w:szCs w:val="21"/>
          <w:highlight w:val="none"/>
        </w:rPr>
        <w:t>元</w:t>
      </w:r>
      <w:r>
        <w:rPr>
          <w:rFonts w:hint="eastAsia" w:ascii="仿宋_GB2312" w:hAnsi="仿宋_GB2312" w:eastAsia="仿宋_GB2312" w:cs="仿宋_GB2312"/>
          <w:color w:val="auto"/>
          <w:sz w:val="21"/>
          <w:szCs w:val="21"/>
          <w:highlight w:val="none"/>
          <w:lang w:eastAsia="zh-CN"/>
        </w:rPr>
        <w:t>）</w:t>
      </w:r>
    </w:p>
    <w:p w14:paraId="4DE09934">
      <w:pPr>
        <w:spacing w:line="340" w:lineRule="exact"/>
        <w:ind w:firstLine="420" w:firstLineChars="0"/>
        <w:rPr>
          <w:rFonts w:hint="default" w:ascii="仿宋_GB2312" w:hAnsi="仿宋_GB2312" w:eastAsia="仿宋_GB2312" w:cs="仿宋_GB2312"/>
          <w:b/>
          <w:bCs/>
          <w:color w:val="auto"/>
          <w:sz w:val="21"/>
          <w:szCs w:val="21"/>
          <w:highlight w:val="none"/>
          <w:lang w:val="en-US"/>
        </w:rPr>
      </w:pPr>
      <w:r>
        <w:rPr>
          <w:rFonts w:hint="eastAsia" w:ascii="仿宋_GB2312" w:hAnsi="仿宋_GB2312" w:eastAsia="仿宋_GB2312" w:cs="仿宋_GB2312"/>
          <w:b/>
          <w:bCs/>
          <w:color w:val="auto"/>
          <w:sz w:val="21"/>
          <w:szCs w:val="21"/>
          <w:highlight w:val="none"/>
        </w:rPr>
        <w:t>包组2：</w:t>
      </w:r>
      <w:r>
        <w:rPr>
          <w:rFonts w:hint="eastAsia" w:ascii="仿宋_GB2312" w:hAnsi="仿宋_GB2312" w:eastAsia="仿宋_GB2312" w:cs="仿宋_GB2312"/>
          <w:color w:val="auto"/>
          <w:sz w:val="21"/>
          <w:szCs w:val="21"/>
          <w:highlight w:val="none"/>
          <w:lang w:eastAsia="zh-CN"/>
        </w:rPr>
        <w:t>广东省普通国道基础设施数字化转型升级示范工程公路交通情况调查设备采购（</w:t>
      </w:r>
      <w:r>
        <w:rPr>
          <w:rFonts w:hint="eastAsia" w:ascii="仿宋_GB2312" w:hAnsi="仿宋_GB2312" w:eastAsia="仿宋_GB2312" w:cs="仿宋_GB2312"/>
          <w:color w:val="auto"/>
          <w:sz w:val="21"/>
          <w:szCs w:val="21"/>
          <w:highlight w:val="none"/>
          <w:lang w:val="en-US" w:eastAsia="zh-CN"/>
        </w:rPr>
        <w:t>粤东片区）</w:t>
      </w:r>
    </w:p>
    <w:p w14:paraId="7DE7630A">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采购内容：建设汕头、河源、梅州、惠州、汕尾、东莞、潮州、揭阳</w:t>
      </w:r>
      <w:r>
        <w:rPr>
          <w:rFonts w:hint="eastAsia" w:ascii="仿宋_GB2312" w:hAnsi="仿宋_GB2312" w:eastAsia="仿宋_GB2312" w:cs="仿宋_GB2312"/>
          <w:color w:val="auto"/>
          <w:sz w:val="21"/>
          <w:szCs w:val="21"/>
          <w:highlight w:val="none"/>
          <w:lang w:eastAsia="zh-CN"/>
        </w:rPr>
        <w:t>等</w:t>
      </w:r>
      <w:r>
        <w:rPr>
          <w:rFonts w:hint="eastAsia" w:ascii="仿宋_GB2312" w:hAnsi="仿宋_GB2312" w:eastAsia="仿宋_GB2312" w:cs="仿宋_GB2312"/>
          <w:color w:val="auto"/>
          <w:sz w:val="21"/>
          <w:szCs w:val="21"/>
          <w:highlight w:val="none"/>
        </w:rPr>
        <w:t>8个地级市域普通国道共计12</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个多功能交通调查站，实时汇聚沿线车流量、车牌、车型、车速、视频监测、气象监测等数据。</w:t>
      </w:r>
    </w:p>
    <w:p w14:paraId="4AA2E9DB">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数量：1项</w:t>
      </w:r>
    </w:p>
    <w:p w14:paraId="6C559634">
      <w:pPr>
        <w:spacing w:line="340" w:lineRule="exact"/>
        <w:ind w:firstLine="420" w:firstLineChars="0"/>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sz w:val="21"/>
          <w:szCs w:val="21"/>
          <w:highlight w:val="none"/>
        </w:rPr>
        <w:t>最高限价：人民币贰仟叁佰伍拾伍万柒仟伍佰贰拾壹元叁角伍分(￥</w:t>
      </w:r>
      <w:r>
        <w:rPr>
          <w:rFonts w:hint="default" w:ascii="仿宋_GB2312" w:hAnsi="仿宋_GB2312" w:eastAsia="仿宋_GB2312" w:cs="仿宋_GB2312"/>
          <w:color w:val="auto"/>
          <w:sz w:val="21"/>
          <w:szCs w:val="21"/>
          <w:highlight w:val="none"/>
        </w:rPr>
        <w:t>23557521.35</w:t>
      </w:r>
      <w:r>
        <w:rPr>
          <w:rFonts w:hint="eastAsia" w:ascii="仿宋_GB2312" w:hAnsi="仿宋_GB2312" w:eastAsia="仿宋_GB2312" w:cs="仿宋_GB2312"/>
          <w:color w:val="auto"/>
          <w:sz w:val="21"/>
          <w:szCs w:val="21"/>
          <w:highlight w:val="none"/>
        </w:rPr>
        <w:t>元)</w:t>
      </w:r>
    </w:p>
    <w:p w14:paraId="66C5A3A4">
      <w:pPr>
        <w:spacing w:line="340" w:lineRule="exact"/>
        <w:ind w:firstLine="420" w:firstLineChars="0"/>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包组3：</w:t>
      </w:r>
      <w:r>
        <w:rPr>
          <w:rFonts w:hint="eastAsia" w:ascii="仿宋_GB2312" w:hAnsi="仿宋_GB2312" w:eastAsia="仿宋_GB2312" w:cs="仿宋_GB2312"/>
          <w:color w:val="auto"/>
          <w:sz w:val="21"/>
          <w:szCs w:val="21"/>
          <w:highlight w:val="none"/>
          <w:lang w:eastAsia="zh-CN"/>
        </w:rPr>
        <w:t>广东省普通国道基础设施数字化转型升级示范工程公路交通情况调查设备采购（</w:t>
      </w:r>
      <w:r>
        <w:rPr>
          <w:rFonts w:hint="eastAsia" w:ascii="仿宋_GB2312" w:hAnsi="仿宋_GB2312" w:eastAsia="仿宋_GB2312" w:cs="仿宋_GB2312"/>
          <w:color w:val="auto"/>
          <w:sz w:val="21"/>
          <w:szCs w:val="21"/>
          <w:highlight w:val="none"/>
          <w:lang w:val="en-US" w:eastAsia="zh-CN"/>
        </w:rPr>
        <w:t>粤西片区）</w:t>
      </w:r>
    </w:p>
    <w:p w14:paraId="472DEC78">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采购内容：建设中山、江门、阳江、湛江、茂名、肇庆、云浮</w:t>
      </w:r>
      <w:r>
        <w:rPr>
          <w:rFonts w:hint="eastAsia" w:ascii="仿宋_GB2312" w:hAnsi="仿宋_GB2312" w:eastAsia="仿宋_GB2312" w:cs="仿宋_GB2312"/>
          <w:color w:val="auto"/>
          <w:sz w:val="21"/>
          <w:szCs w:val="21"/>
          <w:highlight w:val="none"/>
          <w:lang w:eastAsia="zh-CN"/>
        </w:rPr>
        <w:t>等</w:t>
      </w:r>
      <w:r>
        <w:rPr>
          <w:rFonts w:hint="eastAsia" w:ascii="仿宋_GB2312" w:hAnsi="仿宋_GB2312" w:eastAsia="仿宋_GB2312" w:cs="仿宋_GB2312"/>
          <w:color w:val="auto"/>
          <w:sz w:val="21"/>
          <w:szCs w:val="21"/>
          <w:highlight w:val="none"/>
        </w:rPr>
        <w:t>7个地级市域普通国道共12</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个多功能交通调查站，实时汇聚沿线车流量、车牌、车型、车速、视频监测、气象监测等数据。</w:t>
      </w:r>
    </w:p>
    <w:p w14:paraId="39AF48CE">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数量：1项</w:t>
      </w:r>
    </w:p>
    <w:p w14:paraId="6B601483">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最高限价：人民币贰仟叁佰陆拾万肆仟叁佰陆拾伍元壹分(￥</w:t>
      </w:r>
      <w:r>
        <w:rPr>
          <w:rFonts w:hint="default" w:ascii="仿宋_GB2312" w:hAnsi="仿宋_GB2312" w:eastAsia="仿宋_GB2312" w:cs="仿宋_GB2312"/>
          <w:color w:val="auto"/>
          <w:sz w:val="21"/>
          <w:szCs w:val="21"/>
          <w:highlight w:val="none"/>
        </w:rPr>
        <w:t>23604365.01</w:t>
      </w:r>
      <w:r>
        <w:rPr>
          <w:rFonts w:hint="eastAsia" w:ascii="仿宋_GB2312" w:hAnsi="仿宋_GB2312" w:eastAsia="仿宋_GB2312" w:cs="仿宋_GB2312"/>
          <w:color w:val="auto"/>
          <w:sz w:val="21"/>
          <w:szCs w:val="21"/>
          <w:highlight w:val="none"/>
        </w:rPr>
        <w:t>元)</w:t>
      </w:r>
    </w:p>
    <w:p w14:paraId="6B44BC23">
      <w:pPr>
        <w:adjustRightInd/>
        <w:snapToGrid/>
        <w:spacing w:line="340" w:lineRule="exact"/>
        <w:ind w:firstLine="422"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4.</w:t>
      </w:r>
      <w:r>
        <w:rPr>
          <w:rFonts w:hint="eastAsia" w:ascii="仿宋_GB2312" w:hAnsi="仿宋_GB2312" w:eastAsia="仿宋_GB2312" w:cs="仿宋_GB2312"/>
          <w:b/>
          <w:bCs/>
          <w:color w:val="auto"/>
          <w:sz w:val="21"/>
          <w:szCs w:val="21"/>
          <w:highlight w:val="none"/>
        </w:rPr>
        <w:t>服务期限：</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自合同生效之日起</w:t>
      </w:r>
      <w:r>
        <w:rPr>
          <w:rFonts w:hint="eastAsia" w:ascii="仿宋_GB2312" w:hAnsi="仿宋" w:eastAsia="仿宋_GB2312" w:cs="Times New Roman"/>
          <w:color w:val="auto"/>
          <w:sz w:val="21"/>
          <w:szCs w:val="21"/>
          <w:highlight w:val="none"/>
          <w:lang w:val="en-US" w:eastAsia="zh-CN"/>
        </w:rPr>
        <w:t>6</w:t>
      </w:r>
      <w:r>
        <w:rPr>
          <w:rFonts w:hint="eastAsia" w:ascii="仿宋_GB2312" w:hAnsi="仿宋" w:eastAsia="仿宋_GB2312" w:cs="Times New Roman"/>
          <w:color w:val="auto"/>
          <w:sz w:val="21"/>
          <w:szCs w:val="21"/>
          <w:highlight w:val="none"/>
        </w:rPr>
        <w:t>个月内完成各站点设备的安装、数据的接入、调试</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试运行满</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个月后完成交工验收。所有站点自交工验收通过之日起，提供</w:t>
      </w: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年的设备维护及数据采集服务。</w:t>
      </w:r>
    </w:p>
    <w:p w14:paraId="0261935E">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注：（1）本项目共划分</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个包组</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投标人可面向任何包组或全部包组的所有内容进行投标，但同一包组不得分拆；不允许只对其中部分内容进行投标</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如</w:t>
      </w:r>
      <w:r>
        <w:rPr>
          <w:rFonts w:hint="eastAsia" w:ascii="仿宋_GB2312" w:hAnsi="仿宋_GB2312" w:eastAsia="仿宋_GB2312" w:cs="仿宋_GB2312"/>
          <w:color w:val="auto"/>
          <w:sz w:val="21"/>
          <w:szCs w:val="21"/>
          <w:highlight w:val="none"/>
        </w:rPr>
        <w:t>投标报价超出所投包组最高限价，</w:t>
      </w:r>
      <w:r>
        <w:rPr>
          <w:rFonts w:hint="eastAsia" w:ascii="仿宋_GB2312" w:hAnsi="仿宋_GB2312" w:eastAsia="仿宋_GB2312" w:cs="仿宋_GB2312"/>
          <w:color w:val="auto"/>
          <w:sz w:val="21"/>
          <w:szCs w:val="21"/>
          <w:highlight w:val="none"/>
          <w:lang w:val="en-US" w:eastAsia="zh-CN"/>
        </w:rPr>
        <w:t>则</w:t>
      </w:r>
      <w:r>
        <w:rPr>
          <w:rFonts w:hint="eastAsia" w:ascii="仿宋_GB2312" w:hAnsi="仿宋_GB2312" w:eastAsia="仿宋_GB2312" w:cs="仿宋_GB2312"/>
          <w:color w:val="auto"/>
          <w:sz w:val="21"/>
          <w:szCs w:val="21"/>
          <w:highlight w:val="none"/>
        </w:rPr>
        <w:t>投标无效。</w:t>
      </w:r>
    </w:p>
    <w:p w14:paraId="3917D76D">
      <w:pPr>
        <w:numPr>
          <w:ilvl w:val="0"/>
          <w:numId w:val="1"/>
        </w:num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本项目兼投不兼中，将按包组1、包组2、包组3的顺序依次评审</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供应商如同时参投两个或以上包组</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已推荐为</w:t>
      </w:r>
      <w:r>
        <w:rPr>
          <w:rFonts w:hint="eastAsia" w:ascii="仿宋_GB2312" w:hAnsi="仿宋_GB2312" w:eastAsia="仿宋_GB2312" w:cs="仿宋_GB2312"/>
          <w:color w:val="auto"/>
          <w:sz w:val="21"/>
          <w:szCs w:val="21"/>
          <w:highlight w:val="none"/>
          <w:lang w:val="en-US" w:eastAsia="zh-CN"/>
        </w:rPr>
        <w:t>前包组</w:t>
      </w:r>
      <w:r>
        <w:rPr>
          <w:rFonts w:hint="eastAsia" w:ascii="仿宋_GB2312" w:hAnsi="仿宋_GB2312" w:eastAsia="仿宋_GB2312" w:cs="仿宋_GB2312"/>
          <w:color w:val="auto"/>
          <w:sz w:val="21"/>
          <w:szCs w:val="21"/>
          <w:highlight w:val="none"/>
        </w:rPr>
        <w:t>第一中标候选的单位，在后续包组中不再推荐为中标候选单位。</w:t>
      </w:r>
    </w:p>
    <w:p w14:paraId="31735988">
      <w:pPr>
        <w:numPr>
          <w:ilvl w:val="0"/>
          <w:numId w:val="1"/>
        </w:num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本项目各包组不允许联合体投标。</w:t>
      </w:r>
    </w:p>
    <w:p w14:paraId="2A68AC09">
      <w:pPr>
        <w:pStyle w:val="5"/>
        <w:widowControl/>
        <w:adjustRightInd/>
        <w:snapToGrid/>
        <w:spacing w:line="340" w:lineRule="exact"/>
        <w:ind w:firstLine="422"/>
        <w:rPr>
          <w:rFonts w:hint="eastAsia" w:ascii="楷体_GB2312" w:eastAsia="仿宋_GB2312"/>
          <w:color w:val="auto"/>
          <w:sz w:val="21"/>
          <w:szCs w:val="21"/>
          <w:highlight w:val="none"/>
          <w:lang w:val="en-US" w:eastAsia="zh-CN"/>
        </w:rPr>
      </w:pPr>
      <w:r>
        <w:rPr>
          <w:rFonts w:hint="eastAsia" w:ascii="楷体_GB2312" w:eastAsia="楷体_GB2312"/>
          <w:bCs w:val="0"/>
          <w:color w:val="auto"/>
          <w:sz w:val="21"/>
          <w:szCs w:val="21"/>
          <w:highlight w:val="none"/>
        </w:rPr>
        <w:t>（三）投标人的资格要求</w:t>
      </w:r>
      <w:r>
        <w:rPr>
          <w:rFonts w:hint="eastAsia" w:ascii="楷体_GB2312" w:eastAsia="楷体_GB2312"/>
          <w:bCs w:val="0"/>
          <w:color w:val="auto"/>
          <w:sz w:val="21"/>
          <w:szCs w:val="21"/>
          <w:highlight w:val="none"/>
          <w:lang w:eastAsia="zh-CN"/>
        </w:rPr>
        <w:t>（</w:t>
      </w:r>
      <w:r>
        <w:rPr>
          <w:rFonts w:hint="eastAsia" w:ascii="楷体_GB2312" w:eastAsia="楷体_GB2312"/>
          <w:bCs w:val="0"/>
          <w:color w:val="auto"/>
          <w:sz w:val="21"/>
          <w:szCs w:val="21"/>
          <w:highlight w:val="none"/>
          <w:lang w:val="en-US" w:eastAsia="zh-CN"/>
        </w:rPr>
        <w:t>适用</w:t>
      </w:r>
      <w:r>
        <w:rPr>
          <w:rFonts w:hint="eastAsia" w:ascii="仿宋_GB2312" w:hAnsi="仿宋_GB2312" w:eastAsia="仿宋_GB2312" w:cs="仿宋_GB2312"/>
          <w:color w:val="auto"/>
          <w:sz w:val="21"/>
          <w:szCs w:val="21"/>
          <w:highlight w:val="none"/>
        </w:rPr>
        <w:t>包组1、包组2、包组3</w:t>
      </w:r>
      <w:r>
        <w:rPr>
          <w:rFonts w:hint="eastAsia" w:hAnsi="仿宋_GB2312" w:cs="仿宋_GB2312"/>
          <w:color w:val="auto"/>
          <w:sz w:val="21"/>
          <w:szCs w:val="21"/>
          <w:highlight w:val="none"/>
          <w:lang w:eastAsia="zh-CN"/>
        </w:rPr>
        <w:t>）</w:t>
      </w:r>
    </w:p>
    <w:p w14:paraId="4A5A764B">
      <w:pPr>
        <w:pStyle w:val="5"/>
        <w:spacing w:line="340" w:lineRule="exact"/>
        <w:ind w:firstLine="422"/>
        <w:rPr>
          <w:rFonts w:hint="eastAsia" w:hAnsi="仿宋_GB2312" w:cs="仿宋_GB2312"/>
          <w:color w:val="auto"/>
          <w:sz w:val="21"/>
          <w:szCs w:val="21"/>
          <w:highlight w:val="none"/>
        </w:rPr>
      </w:pPr>
      <w:r>
        <w:rPr>
          <w:rFonts w:hint="eastAsia" w:hAnsi="仿宋_GB2312" w:cs="仿宋_GB2312"/>
          <w:color w:val="auto"/>
          <w:sz w:val="21"/>
          <w:szCs w:val="21"/>
          <w:highlight w:val="none"/>
        </w:rPr>
        <w:t>1.投标人应具备《中华人民共和国政府采购法》第二十二条规定的条件，提供下列材料：</w:t>
      </w:r>
    </w:p>
    <w:p w14:paraId="5ECFFD02">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（1）具有独立承担民事责任的能力：</w:t>
      </w:r>
      <w:r>
        <w:rPr>
          <w:rFonts w:hint="eastAsia" w:ascii="仿宋_GB2312" w:hAnsi="仿宋_GB2312" w:eastAsia="仿宋_GB2312" w:cs="仿宋_GB2312"/>
          <w:color w:val="auto"/>
          <w:sz w:val="21"/>
          <w:szCs w:val="21"/>
          <w:highlight w:val="none"/>
        </w:rPr>
        <w:t>在中华人民共和国境内注册的法人或其他组织或自然人，投标时提交有效的营业执照（或事业法人登记证或身份证等相关证明）副本扫描件。分支机构投标的，须提供总公司和分公司营业执照副本扫描件，</w:t>
      </w:r>
      <w:r>
        <w:rPr>
          <w:rFonts w:hint="eastAsia" w:ascii="仿宋_GB2312" w:hAnsi="仿宋_GB2312" w:eastAsia="仿宋_GB2312" w:cs="仿宋_GB2312"/>
          <w:color w:val="auto"/>
          <w:sz w:val="21"/>
          <w:szCs w:val="21"/>
          <w:highlight w:val="none"/>
          <w:lang w:val="en-US" w:eastAsia="zh-CN"/>
        </w:rPr>
        <w:t>以及</w:t>
      </w:r>
      <w:r>
        <w:rPr>
          <w:rFonts w:hint="eastAsia" w:ascii="仿宋_GB2312" w:hAnsi="仿宋_GB2312" w:eastAsia="仿宋_GB2312" w:cs="仿宋_GB2312"/>
          <w:color w:val="auto"/>
          <w:sz w:val="21"/>
          <w:szCs w:val="21"/>
          <w:highlight w:val="none"/>
        </w:rPr>
        <w:t>总公司出具给分支机构的授权书。</w:t>
      </w:r>
    </w:p>
    <w:p w14:paraId="286B9F52">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（2）有依法缴纳税收和社会保障资金的良好记录：</w:t>
      </w:r>
      <w:r>
        <w:rPr>
          <w:rFonts w:hint="eastAsia" w:ascii="仿宋_GB2312" w:hAnsi="仿宋_GB2312" w:eastAsia="仿宋_GB2312" w:cs="仿宋_GB2312"/>
          <w:color w:val="auto"/>
          <w:sz w:val="21"/>
          <w:szCs w:val="21"/>
          <w:highlight w:val="none"/>
        </w:rPr>
        <w:t>提供投标截止日前6个月内任意1个月依法缴纳税收和社会保障资金的相关材料。如依法免税或不需要缴纳社会保障资金的，请提供相应证明材料。</w:t>
      </w:r>
    </w:p>
    <w:p w14:paraId="5C8236D9">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（3）具有良好的商业信誉和健全的财务会计制度：</w:t>
      </w:r>
      <w:r>
        <w:rPr>
          <w:rFonts w:hint="eastAsia" w:ascii="仿宋_GB2312" w:hAnsi="仿宋_GB2312" w:eastAsia="仿宋_GB2312" w:cs="仿宋_GB2312"/>
          <w:color w:val="auto"/>
          <w:sz w:val="21"/>
          <w:szCs w:val="21"/>
          <w:highlight w:val="none"/>
        </w:rPr>
        <w:t>供应商必须具有良好的商业信誉和健全的财务会计制度。请提供以下两种证明材料之一：</w:t>
      </w:r>
      <w:r>
        <w:rPr>
          <w:rFonts w:ascii="Calibri" w:hAnsi="Calibri" w:eastAsia="仿宋_GB2312" w:cs="Calibri"/>
          <w:color w:val="auto"/>
          <w:sz w:val="21"/>
          <w:szCs w:val="21"/>
          <w:highlight w:val="none"/>
        </w:rPr>
        <w:t>①</w:t>
      </w:r>
      <w:r>
        <w:rPr>
          <w:rFonts w:hint="eastAsia" w:ascii="仿宋_GB2312" w:hAnsi="仿宋_GB2312" w:eastAsia="仿宋_GB2312" w:cs="仿宋_GB2312"/>
          <w:color w:val="auto"/>
          <w:sz w:val="21"/>
          <w:szCs w:val="21"/>
          <w:highlight w:val="none"/>
        </w:rPr>
        <w:t>2023或2024年度经会计师事务所审计的财务状况报告；</w:t>
      </w:r>
      <w:r>
        <w:rPr>
          <w:rFonts w:ascii="Calibri" w:hAnsi="Calibri" w:eastAsia="仿宋_GB2312" w:cs="Calibri"/>
          <w:color w:val="auto"/>
          <w:sz w:val="21"/>
          <w:szCs w:val="21"/>
          <w:highlight w:val="none"/>
        </w:rPr>
        <w:t>②</w:t>
      </w:r>
      <w:r>
        <w:rPr>
          <w:rFonts w:hint="eastAsia" w:ascii="仿宋_GB2312" w:hAnsi="仿宋_GB2312" w:eastAsia="仿宋_GB2312" w:cs="仿宋_GB2312"/>
          <w:color w:val="auto"/>
          <w:sz w:val="21"/>
          <w:szCs w:val="21"/>
          <w:highlight w:val="none"/>
        </w:rPr>
        <w:t>同时提供a.基本开户银行出具的资信证明，b.《基本存款账号信息》或《开户许可证》。</w:t>
      </w:r>
    </w:p>
    <w:p w14:paraId="4C524191">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（4）履行合同所必需的设备和专业技术能力：</w:t>
      </w:r>
      <w:r>
        <w:rPr>
          <w:rFonts w:hint="eastAsia" w:ascii="仿宋_GB2312" w:hAnsi="仿宋_GB2312" w:eastAsia="仿宋_GB2312" w:cs="仿宋_GB2312"/>
          <w:color w:val="auto"/>
          <w:sz w:val="21"/>
          <w:szCs w:val="21"/>
          <w:highlight w:val="none"/>
        </w:rPr>
        <w:t>出具保障按期完成相关内容的承诺函（格式自拟）。</w:t>
      </w:r>
    </w:p>
    <w:p w14:paraId="0778CB7C">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（5）参加采购活动前3年内，在经营活动中没有重大违法记录：</w:t>
      </w:r>
      <w:r>
        <w:rPr>
          <w:rFonts w:hint="eastAsia" w:ascii="仿宋_GB2312" w:hAnsi="仿宋_GB2312" w:eastAsia="仿宋_GB2312" w:cs="仿宋_GB2312"/>
          <w:color w:val="auto"/>
          <w:sz w:val="21"/>
          <w:szCs w:val="21"/>
          <w:highlight w:val="none"/>
        </w:rPr>
        <w:t>参照投标（报价）函相关承诺格式内容。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较大数额罚款”认定为200万元以上的罚款；法律、行政法规以及国务院有关部门明确规定相关领域“较大数额罚款”标准高于200万元的，从其规定。</w:t>
      </w:r>
    </w:p>
    <w:p w14:paraId="331936F7">
      <w:pPr>
        <w:pStyle w:val="5"/>
        <w:spacing w:line="340" w:lineRule="exact"/>
        <w:ind w:firstLine="422"/>
        <w:rPr>
          <w:rFonts w:hint="eastAsia" w:hAnsi="仿宋_GB2312" w:cs="仿宋_GB2312"/>
          <w:color w:val="auto"/>
          <w:sz w:val="21"/>
          <w:szCs w:val="21"/>
          <w:highlight w:val="none"/>
        </w:rPr>
      </w:pPr>
      <w:r>
        <w:rPr>
          <w:rFonts w:hint="eastAsia" w:hAnsi="仿宋_GB2312" w:cs="仿宋_GB2312"/>
          <w:color w:val="auto"/>
          <w:sz w:val="21"/>
          <w:szCs w:val="21"/>
          <w:highlight w:val="none"/>
        </w:rPr>
        <w:t>2.落实政府采购政策需满足的资格要求</w:t>
      </w:r>
    </w:p>
    <w:p w14:paraId="49683388">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本项目因符合《财政部 工业和信息化部关于印发</w:t>
      </w:r>
      <w:r>
        <w:rPr>
          <w:rFonts w:hint="eastAsia" w:ascii="仿宋_GB2312" w:hAnsi="仿宋_GB2312" w:eastAsia="仿宋_GB2312" w:cs="仿宋_GB2312"/>
          <w:color w:val="auto"/>
          <w:sz w:val="21"/>
          <w:szCs w:val="21"/>
          <w:highlight w:val="none"/>
          <w:lang w:val="en-US" w:eastAsia="zh-CN"/>
        </w:rPr>
        <w:t>&lt;</w:t>
      </w:r>
      <w:r>
        <w:rPr>
          <w:rFonts w:hint="eastAsia" w:ascii="仿宋_GB2312" w:hAnsi="仿宋_GB2312" w:eastAsia="仿宋_GB2312" w:cs="仿宋_GB2312"/>
          <w:color w:val="auto"/>
          <w:sz w:val="21"/>
          <w:szCs w:val="21"/>
          <w:highlight w:val="none"/>
        </w:rPr>
        <w:t>政府采购促进中小企业发展管理办法</w:t>
      </w:r>
      <w:r>
        <w:rPr>
          <w:rFonts w:hint="eastAsia" w:ascii="仿宋_GB2312" w:hAnsi="仿宋_GB2312" w:eastAsia="仿宋_GB2312" w:cs="仿宋_GB2312"/>
          <w:color w:val="auto"/>
          <w:sz w:val="21"/>
          <w:szCs w:val="21"/>
          <w:highlight w:val="none"/>
          <w:lang w:val="en-US" w:eastAsia="zh-CN"/>
        </w:rPr>
        <w:t>&gt;的通知</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（财库〔2020〕46号）</w:t>
      </w:r>
      <w:r>
        <w:rPr>
          <w:rFonts w:hint="eastAsia" w:ascii="仿宋_GB2312" w:hAnsi="仿宋_GB2312" w:eastAsia="仿宋_GB2312" w:cs="仿宋_GB2312"/>
          <w:color w:val="auto"/>
          <w:sz w:val="21"/>
          <w:szCs w:val="21"/>
          <w:highlight w:val="none"/>
          <w:lang w:val="en-US" w:eastAsia="zh-CN"/>
        </w:rPr>
        <w:t>第六条</w:t>
      </w:r>
      <w:r>
        <w:rPr>
          <w:rFonts w:hint="eastAsia" w:ascii="仿宋_GB2312" w:hAnsi="仿宋_GB2312" w:eastAsia="仿宋_GB2312" w:cs="仿宋_GB2312"/>
          <w:color w:val="auto"/>
          <w:sz w:val="21"/>
          <w:szCs w:val="21"/>
          <w:highlight w:val="none"/>
        </w:rPr>
        <w:t>“面向中小企业预留采购份额无法确保充分供应、充分竞争，或者存在可能影响政府采购目标实现的情形”，因此不专门面向中小企业采购。</w:t>
      </w:r>
    </w:p>
    <w:p w14:paraId="0C4FE645">
      <w:pPr>
        <w:pStyle w:val="5"/>
        <w:spacing w:line="340" w:lineRule="exact"/>
        <w:ind w:firstLine="422"/>
        <w:rPr>
          <w:rFonts w:hint="eastAsia" w:hAnsi="仿宋_GB2312" w:cs="仿宋_GB2312"/>
          <w:color w:val="auto"/>
          <w:sz w:val="21"/>
          <w:szCs w:val="21"/>
          <w:highlight w:val="none"/>
        </w:rPr>
      </w:pPr>
      <w:r>
        <w:rPr>
          <w:rFonts w:hint="eastAsia" w:hAnsi="仿宋_GB2312" w:cs="仿宋_GB2312"/>
          <w:color w:val="auto"/>
          <w:sz w:val="21"/>
          <w:szCs w:val="21"/>
          <w:highlight w:val="none"/>
        </w:rPr>
        <w:t>3.本项目特定的资格要求</w:t>
      </w:r>
    </w:p>
    <w:p w14:paraId="2AB7A15E">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包括两方面如下：（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截止日当天，在“信用中国”网站（www.creditchina.gov.cn）及中国政府采购网（http：//www.ccgp.gov.cn/）查询结果为准。如相关失信记录已失效，投标人需提供相</w:t>
      </w:r>
      <w:r>
        <w:rPr>
          <w:rFonts w:hint="eastAsia" w:ascii="仿宋_GB2312" w:hAnsi="仿宋_GB2312" w:eastAsia="仿宋_GB2312" w:cs="仿宋_GB2312"/>
          <w:color w:val="auto"/>
          <w:sz w:val="21"/>
          <w:szCs w:val="21"/>
          <w:highlight w:val="none"/>
          <w:lang w:val="en-US" w:eastAsia="zh-CN"/>
        </w:rPr>
        <w:t>关</w:t>
      </w:r>
      <w:r>
        <w:rPr>
          <w:rFonts w:hint="eastAsia" w:ascii="仿宋_GB2312" w:hAnsi="仿宋_GB2312" w:eastAsia="仿宋_GB2312" w:cs="仿宋_GB2312"/>
          <w:color w:val="auto"/>
          <w:sz w:val="21"/>
          <w:szCs w:val="21"/>
          <w:highlight w:val="none"/>
        </w:rPr>
        <w:t>证明资料。（2）单位负责人为同一人或者存在直接控股、管理关系的不同供应商，不得同时参加本采购项目（或采购包）投标（响应）。为本项目提供整体设计、规范编制或项目管理、监理、检测等服务的供应商，不得再参与本项目投标（响应）。投标函承诺相关要求内容。</w:t>
      </w:r>
    </w:p>
    <w:p w14:paraId="04E69957">
      <w:pPr>
        <w:pStyle w:val="5"/>
        <w:widowControl/>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bCs w:val="0"/>
          <w:color w:val="auto"/>
          <w:sz w:val="21"/>
          <w:szCs w:val="21"/>
          <w:highlight w:val="none"/>
        </w:rPr>
        <w:t>（四）获取招标文件</w:t>
      </w:r>
    </w:p>
    <w:p w14:paraId="598116C7">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时间：详见招标公告及其变更公告（如有）。</w:t>
      </w:r>
    </w:p>
    <w:p w14:paraId="2A641ED6">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地点：详见招标公告及其变更公告（如有）。</w:t>
      </w:r>
    </w:p>
    <w:p w14:paraId="7B10527C">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获取方式：在线获取。供应商应从广东省政府采购网（https：//gdgpo.czt.gd.gov.cn/）上广东政府采购智慧云平台（以下简称“云平台”）的政府采购供应商入口进行免费注册后，登录后完成项目投标登记并在线获取招标文件。未按上述方式获取招标文件的供应商，其投标资格将被视为无效。</w:t>
      </w:r>
    </w:p>
    <w:p w14:paraId="6E778587">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售价：免费。</w:t>
      </w:r>
    </w:p>
    <w:p w14:paraId="2F437DE8">
      <w:pPr>
        <w:pStyle w:val="5"/>
        <w:widowControl/>
        <w:adjustRightInd/>
        <w:snapToGrid/>
        <w:spacing w:line="340" w:lineRule="exact"/>
        <w:ind w:firstLine="422"/>
        <w:rPr>
          <w:rFonts w:ascii="楷体_GB2312" w:eastAsia="楷体_GB2312"/>
          <w:color w:val="auto"/>
          <w:sz w:val="21"/>
          <w:szCs w:val="21"/>
          <w:highlight w:val="none"/>
        </w:rPr>
      </w:pPr>
      <w:r>
        <w:rPr>
          <w:rFonts w:hint="eastAsia" w:ascii="楷体_GB2312" w:hAnsi="仿宋_GB2312" w:eastAsia="楷体_GB2312" w:cs="仿宋_GB2312"/>
          <w:color w:val="auto"/>
          <w:sz w:val="21"/>
          <w:szCs w:val="21"/>
          <w:highlight w:val="none"/>
        </w:rPr>
        <w:t>（五）</w:t>
      </w:r>
      <w:r>
        <w:rPr>
          <w:rFonts w:hint="eastAsia" w:ascii="楷体_GB2312" w:eastAsia="楷体_GB2312"/>
          <w:bCs w:val="0"/>
          <w:color w:val="auto"/>
          <w:sz w:val="21"/>
          <w:szCs w:val="21"/>
          <w:highlight w:val="none"/>
        </w:rPr>
        <w:t>提交投标文件截止时间、开标时间和地点</w:t>
      </w:r>
    </w:p>
    <w:p w14:paraId="61B946E4">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提交投标文件截止时间和开标时间：详见招标公告及其变更公告（如有）。</w:t>
      </w:r>
    </w:p>
    <w:p w14:paraId="7DEF8320">
      <w:pPr>
        <w:spacing w:line="340" w:lineRule="exact"/>
        <w:ind w:firstLine="420" w:firstLineChars="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自招标文件开始发出之日起至投标人提交投标文件截止之日止，不得少于20日</w:t>
      </w:r>
      <w:r>
        <w:rPr>
          <w:rFonts w:hint="eastAsia" w:ascii="仿宋_GB2312" w:hAnsi="仿宋_GB2312" w:eastAsia="仿宋_GB2312" w:cs="仿宋_GB2312"/>
          <w:color w:val="auto"/>
          <w:sz w:val="21"/>
          <w:szCs w:val="21"/>
          <w:highlight w:val="none"/>
          <w:lang w:eastAsia="zh-CN"/>
        </w:rPr>
        <w:t>。</w:t>
      </w:r>
    </w:p>
    <w:p w14:paraId="7EADC760">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地点：详见招标公告及其变更公告（如有）。</w:t>
      </w:r>
    </w:p>
    <w:p w14:paraId="146352D2">
      <w:pPr>
        <w:pStyle w:val="5"/>
        <w:widowControl/>
        <w:adjustRightInd/>
        <w:snapToGrid/>
        <w:spacing w:line="340" w:lineRule="exact"/>
        <w:ind w:firstLine="422"/>
        <w:rPr>
          <w:rFonts w:ascii="楷体_GB2312" w:eastAsia="楷体_GB2312"/>
          <w:color w:val="auto"/>
          <w:sz w:val="21"/>
          <w:szCs w:val="21"/>
          <w:highlight w:val="none"/>
        </w:rPr>
      </w:pPr>
      <w:r>
        <w:rPr>
          <w:rFonts w:hint="eastAsia" w:ascii="楷体_GB2312" w:hAnsi="仿宋_GB2312" w:eastAsia="楷体_GB2312" w:cs="仿宋_GB2312"/>
          <w:color w:val="auto"/>
          <w:sz w:val="21"/>
          <w:szCs w:val="21"/>
          <w:highlight w:val="none"/>
        </w:rPr>
        <w:t>（六）</w:t>
      </w:r>
      <w:r>
        <w:rPr>
          <w:rFonts w:hint="eastAsia" w:ascii="楷体_GB2312" w:eastAsia="楷体_GB2312"/>
          <w:bCs w:val="0"/>
          <w:color w:val="auto"/>
          <w:sz w:val="21"/>
          <w:szCs w:val="21"/>
          <w:highlight w:val="none"/>
        </w:rPr>
        <w:t>公告期限、发布公告的媒介</w:t>
      </w:r>
    </w:p>
    <w:p w14:paraId="37FC00A6">
      <w:pPr>
        <w:spacing w:line="340" w:lineRule="exact"/>
        <w:ind w:firstLine="42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1.公告期限：</w:t>
      </w:r>
      <w:r>
        <w:rPr>
          <w:rFonts w:hint="eastAsia" w:ascii="仿宋_GB2312" w:hAnsi="仿宋_GB2312" w:eastAsia="仿宋_GB2312" w:cs="仿宋_GB2312"/>
          <w:color w:val="auto"/>
          <w:sz w:val="21"/>
          <w:szCs w:val="21"/>
          <w:highlight w:val="none"/>
        </w:rPr>
        <w:t>自本公告发布之日起不得少于5个工作日。</w:t>
      </w:r>
    </w:p>
    <w:p w14:paraId="3F968343">
      <w:pPr>
        <w:spacing w:line="340" w:lineRule="exact"/>
        <w:ind w:firstLine="420" w:firstLineChars="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color w:val="auto"/>
          <w:sz w:val="21"/>
          <w:szCs w:val="21"/>
          <w:highlight w:val="none"/>
        </w:rPr>
        <w:t>2.发布公告的媒介：</w:t>
      </w:r>
      <w:r>
        <w:rPr>
          <w:rFonts w:hint="eastAsia" w:ascii="仿宋_GB2312" w:hAnsi="仿宋_GB2312" w:eastAsia="仿宋_GB2312" w:cs="仿宋_GB2312"/>
          <w:color w:val="auto"/>
          <w:sz w:val="21"/>
          <w:szCs w:val="21"/>
          <w:highlight w:val="none"/>
        </w:rPr>
        <w:t>中国政府采购网（www.ccgp.gov.cn）、广东省政府采购网（https：//gdgpo.czt.gd.gov.cn/）</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广州群生招标代理有限公司（http：//gzqunsheng.com/）</w:t>
      </w:r>
      <w:r>
        <w:rPr>
          <w:rFonts w:hint="eastAsia" w:ascii="仿宋_GB2312" w:hAnsi="仿宋_GB2312" w:eastAsia="仿宋_GB2312" w:cs="仿宋_GB2312"/>
          <w:color w:val="auto"/>
          <w:sz w:val="21"/>
          <w:szCs w:val="21"/>
          <w:highlight w:val="none"/>
          <w:lang w:eastAsia="zh-CN"/>
        </w:rPr>
        <w:t>。</w:t>
      </w:r>
    </w:p>
    <w:p w14:paraId="09706236">
      <w:pPr>
        <w:pStyle w:val="5"/>
        <w:widowControl/>
        <w:adjustRightInd/>
        <w:snapToGrid/>
        <w:spacing w:line="340" w:lineRule="exact"/>
        <w:ind w:firstLine="422"/>
        <w:rPr>
          <w:rFonts w:hint="eastAsia" w:ascii="楷体_GB2312" w:eastAsia="楷体_GB2312"/>
          <w:color w:val="auto"/>
          <w:sz w:val="21"/>
          <w:szCs w:val="21"/>
          <w:highlight w:val="none"/>
          <w:lang w:eastAsia="zh-CN"/>
        </w:rPr>
      </w:pPr>
      <w:r>
        <w:rPr>
          <w:rFonts w:hint="eastAsia" w:ascii="楷体_GB2312" w:hAnsi="仿宋_GB2312" w:eastAsia="楷体_GB2312" w:cs="仿宋_GB2312"/>
          <w:color w:val="auto"/>
          <w:sz w:val="21"/>
          <w:szCs w:val="21"/>
          <w:highlight w:val="none"/>
        </w:rPr>
        <w:t>（七）</w:t>
      </w:r>
      <w:r>
        <w:rPr>
          <w:rFonts w:hint="eastAsia" w:ascii="楷体_GB2312" w:eastAsia="楷体_GB2312"/>
          <w:bCs w:val="0"/>
          <w:color w:val="auto"/>
          <w:sz w:val="21"/>
          <w:szCs w:val="21"/>
          <w:highlight w:val="none"/>
        </w:rPr>
        <w:t>本项目联系</w:t>
      </w:r>
      <w:r>
        <w:rPr>
          <w:rFonts w:hint="default" w:ascii="楷体_GB2312" w:eastAsia="楷体_GB2312"/>
          <w:bCs w:val="0"/>
          <w:color w:val="auto"/>
          <w:sz w:val="21"/>
          <w:szCs w:val="21"/>
          <w:highlight w:val="none"/>
          <w:lang w:val="en-US"/>
        </w:rPr>
        <w:t>方式</w:t>
      </w:r>
    </w:p>
    <w:p w14:paraId="68BC8275">
      <w:pPr>
        <w:pStyle w:val="5"/>
        <w:spacing w:line="340" w:lineRule="exact"/>
        <w:ind w:firstLine="422"/>
        <w:rPr>
          <w:rFonts w:hint="eastAsia" w:hAnsi="仿宋_GB2312" w:cs="仿宋_GB2312"/>
          <w:color w:val="auto"/>
          <w:sz w:val="21"/>
          <w:szCs w:val="21"/>
          <w:highlight w:val="none"/>
        </w:rPr>
      </w:pPr>
      <w:r>
        <w:rPr>
          <w:rFonts w:hint="eastAsia" w:hAnsi="仿宋_GB2312" w:cs="仿宋_GB2312"/>
          <w:color w:val="auto"/>
          <w:sz w:val="21"/>
          <w:szCs w:val="21"/>
          <w:highlight w:val="none"/>
        </w:rPr>
        <w:t>1.采购人信息</w:t>
      </w:r>
    </w:p>
    <w:p w14:paraId="08EF7DFD">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名称：广东省公路事务中心</w:t>
      </w:r>
    </w:p>
    <w:p w14:paraId="6A1B6DDE">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地址：广州市越秀区环市东路428号</w:t>
      </w:r>
    </w:p>
    <w:p w14:paraId="211C3478">
      <w:pPr>
        <w:spacing w:line="340" w:lineRule="exact"/>
        <w:ind w:firstLine="420"/>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联系方式：020-</w:t>
      </w:r>
      <w:r>
        <w:rPr>
          <w:rFonts w:hint="eastAsia" w:ascii="仿宋_GB2312" w:hAnsi="仿宋_GB2312" w:eastAsia="仿宋_GB2312" w:cs="仿宋_GB2312"/>
          <w:color w:val="auto"/>
          <w:sz w:val="21"/>
          <w:szCs w:val="21"/>
          <w:highlight w:val="none"/>
          <w:lang w:val="en-US" w:eastAsia="zh-CN"/>
        </w:rPr>
        <w:t>87781603</w:t>
      </w:r>
    </w:p>
    <w:p w14:paraId="75C63C3F">
      <w:pPr>
        <w:pStyle w:val="5"/>
        <w:spacing w:line="340" w:lineRule="exact"/>
        <w:ind w:firstLine="422"/>
        <w:rPr>
          <w:rFonts w:hint="eastAsia" w:hAnsi="仿宋_GB2312" w:cs="仿宋_GB2312"/>
          <w:color w:val="auto"/>
          <w:sz w:val="21"/>
          <w:szCs w:val="21"/>
          <w:highlight w:val="none"/>
        </w:rPr>
      </w:pPr>
      <w:r>
        <w:rPr>
          <w:rFonts w:hint="eastAsia" w:hAnsi="仿宋_GB2312" w:cs="仿宋_GB2312"/>
          <w:color w:val="auto"/>
          <w:sz w:val="21"/>
          <w:szCs w:val="21"/>
          <w:highlight w:val="none"/>
        </w:rPr>
        <w:t>2.采购代理机构信息</w:t>
      </w:r>
    </w:p>
    <w:p w14:paraId="0AAEECCE">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名称：广州群生招标代理有限公司</w:t>
      </w:r>
    </w:p>
    <w:p w14:paraId="71AE8028">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地址：广州市越秀区东风东路555号粤海集团大厦2204</w:t>
      </w:r>
    </w:p>
    <w:p w14:paraId="7180B16F">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联系方式：020-83812782，020-83812935，18011735206</w:t>
      </w:r>
    </w:p>
    <w:p w14:paraId="5E2A9173">
      <w:pPr>
        <w:pStyle w:val="5"/>
        <w:spacing w:line="340" w:lineRule="exact"/>
        <w:ind w:firstLine="422"/>
        <w:rPr>
          <w:rFonts w:hint="eastAsia" w:hAnsi="仿宋_GB2312" w:cs="仿宋_GB2312"/>
          <w:color w:val="auto"/>
          <w:sz w:val="21"/>
          <w:szCs w:val="21"/>
          <w:highlight w:val="none"/>
        </w:rPr>
      </w:pPr>
      <w:r>
        <w:rPr>
          <w:rFonts w:hint="eastAsia" w:hAnsi="仿宋_GB2312" w:cs="仿宋_GB2312"/>
          <w:color w:val="auto"/>
          <w:sz w:val="21"/>
          <w:szCs w:val="21"/>
          <w:highlight w:val="none"/>
        </w:rPr>
        <w:t>3.项目联系方式</w:t>
      </w:r>
    </w:p>
    <w:p w14:paraId="7213EF8B">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联系人：陈先生</w:t>
      </w:r>
    </w:p>
    <w:p w14:paraId="6258181E">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电话：020-83812782，020-83812935，18011735206</w:t>
      </w:r>
    </w:p>
    <w:p w14:paraId="4AC7EE2C">
      <w:pPr>
        <w:pStyle w:val="5"/>
        <w:spacing w:line="340" w:lineRule="exact"/>
        <w:ind w:firstLine="422"/>
        <w:rPr>
          <w:rFonts w:hint="eastAsia" w:hAnsi="仿宋_GB2312" w:cs="仿宋_GB2312"/>
          <w:color w:val="auto"/>
          <w:sz w:val="21"/>
          <w:szCs w:val="21"/>
          <w:highlight w:val="none"/>
        </w:rPr>
      </w:pPr>
      <w:r>
        <w:rPr>
          <w:rFonts w:hint="eastAsia" w:hAnsi="仿宋_GB2312" w:cs="仿宋_GB2312"/>
          <w:color w:val="auto"/>
          <w:sz w:val="21"/>
          <w:szCs w:val="21"/>
          <w:highlight w:val="none"/>
        </w:rPr>
        <w:t>4.技术支持联系方式</w:t>
      </w:r>
    </w:p>
    <w:p w14:paraId="457FE5CF">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云平台：020-88696588</w:t>
      </w:r>
    </w:p>
    <w:p w14:paraId="5E7681CB">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开标评标服务专线：020-88696599</w:t>
      </w:r>
    </w:p>
    <w:p w14:paraId="3C607417">
      <w:pPr>
        <w:spacing w:line="340" w:lineRule="exact"/>
        <w:ind w:firstLine="42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采购代理机构：广州群生招标代理有限公司</w:t>
      </w:r>
      <w:r>
        <w:rPr>
          <w:rFonts w:hint="eastAsia" w:ascii="仿宋_GB2312" w:hAnsi="仿宋_GB2312" w:eastAsia="仿宋_GB2312" w:cs="仿宋_GB2312"/>
          <w:color w:val="auto"/>
          <w:sz w:val="21"/>
          <w:szCs w:val="21"/>
          <w:highlight w:val="none"/>
          <w:lang w:eastAsia="zh-CN"/>
        </w:rPr>
        <w:t>。</w:t>
      </w:r>
    </w:p>
    <w:p w14:paraId="5FA92C3D">
      <w:pPr>
        <w:keepNext w:val="0"/>
        <w:keepLines w:val="0"/>
        <w:spacing w:before="0" w:after="0"/>
        <w:ind w:firstLine="640" w:firstLineChars="200"/>
        <w:jc w:val="both"/>
        <w:rPr>
          <w:rFonts w:ascii="方正小标宋简体" w:hAnsi="Times New Roman" w:eastAsia="方正小标宋简体" w:cs="Times New Roman"/>
          <w:color w:val="auto"/>
          <w:spacing w:val="20"/>
          <w:highlight w:val="none"/>
        </w:rPr>
      </w:pPr>
      <w:r>
        <w:rPr>
          <w:rFonts w:hint="eastAsia" w:eastAsia="黑体" w:asciiTheme="majorHAnsi" w:hAnsiTheme="majorHAnsi" w:cstheme="majorBidi"/>
          <w:color w:val="auto"/>
          <w:spacing w:val="0"/>
          <w:kern w:val="2"/>
          <w:sz w:val="32"/>
          <w:szCs w:val="32"/>
          <w:highlight w:val="none"/>
        </w:rPr>
        <w:t>二、项目概况</w:t>
      </w:r>
    </w:p>
    <w:p w14:paraId="4148F1A8">
      <w:pPr>
        <w:pStyle w:val="5"/>
        <w:spacing w:line="340" w:lineRule="exact"/>
        <w:ind w:firstLine="422"/>
        <w:rPr>
          <w:rFonts w:ascii="楷体_GB2312" w:eastAsia="楷体_GB2312"/>
          <w:color w:val="auto"/>
          <w:sz w:val="21"/>
          <w:szCs w:val="21"/>
          <w:highlight w:val="none"/>
        </w:rPr>
      </w:pPr>
      <w:r>
        <w:rPr>
          <w:rFonts w:hint="eastAsia" w:ascii="楷体_GB2312" w:eastAsia="楷体_GB2312"/>
          <w:bCs w:val="0"/>
          <w:color w:val="auto"/>
          <w:sz w:val="21"/>
          <w:szCs w:val="21"/>
          <w:highlight w:val="none"/>
        </w:rPr>
        <w:t>（一）</w:t>
      </w:r>
      <w:r>
        <w:rPr>
          <w:rFonts w:hint="eastAsia" w:ascii="楷体_GB2312" w:eastAsia="楷体_GB2312"/>
          <w:bCs w:val="0"/>
          <w:color w:val="auto"/>
          <w:sz w:val="21"/>
          <w:szCs w:val="21"/>
          <w:highlight w:val="none"/>
          <w:lang w:val="en-US" w:eastAsia="zh-CN"/>
        </w:rPr>
        <w:t>实施</w:t>
      </w:r>
      <w:r>
        <w:rPr>
          <w:rFonts w:hint="eastAsia" w:ascii="楷体_GB2312" w:eastAsia="楷体_GB2312"/>
          <w:bCs w:val="0"/>
          <w:color w:val="auto"/>
          <w:sz w:val="21"/>
          <w:szCs w:val="21"/>
          <w:highlight w:val="none"/>
        </w:rPr>
        <w:t>背景</w:t>
      </w:r>
    </w:p>
    <w:p w14:paraId="38E2EE85">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根据《交通运输部关于推进公路数字化转型加快智慧公路建设发展的意见》（交公路发〔2023〕131号）</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《财政部  交通运输部关于支持引导公路水路交通基础设施数字化转型升级的通知》（财建〔2024〕96号）和《</w:t>
      </w:r>
      <w:bookmarkStart w:id="0" w:name="OLE_LINK1"/>
      <w:r>
        <w:rPr>
          <w:rFonts w:hint="eastAsia" w:ascii="仿宋_GB2312" w:hAnsi="Times New Roman" w:eastAsia="仿宋_GB2312" w:cs="Times New Roman"/>
          <w:color w:val="auto"/>
          <w:sz w:val="21"/>
          <w:szCs w:val="21"/>
          <w:highlight w:val="none"/>
        </w:rPr>
        <w:t>交通运输部办公厅  财政部办公厅关于印发公路水路交通基础设施数字化转型升级工作实施细则的通知</w:t>
      </w:r>
      <w:bookmarkEnd w:id="0"/>
      <w:r>
        <w:rPr>
          <w:rFonts w:hint="eastAsia" w:ascii="仿宋_GB2312" w:hAnsi="Times New Roman" w:eastAsia="仿宋_GB2312" w:cs="Times New Roman"/>
          <w:color w:val="auto"/>
          <w:sz w:val="21"/>
          <w:szCs w:val="21"/>
          <w:highlight w:val="none"/>
        </w:rPr>
        <w:t>》（交办规划〔2024〕28号）</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广东省启动了普通国道基础设施数字化转型升级示范工程。</w:t>
      </w:r>
    </w:p>
    <w:p w14:paraId="625AC77F">
      <w:pPr>
        <w:spacing w:line="340" w:lineRule="exact"/>
        <w:ind w:firstLine="420"/>
        <w:rPr>
          <w:rFonts w:ascii="仿宋_GB2312" w:hAnsi="Times New Roman" w:eastAsia="仿宋_GB2312" w:cs="Times New Roman"/>
          <w:color w:val="auto"/>
          <w:szCs w:val="32"/>
          <w:highlight w:val="none"/>
        </w:rPr>
      </w:pPr>
      <w:r>
        <w:rPr>
          <w:rFonts w:hint="eastAsia" w:ascii="仿宋_GB2312" w:hAnsi="Times New Roman" w:eastAsia="仿宋_GB2312" w:cs="Times New Roman"/>
          <w:color w:val="auto"/>
          <w:sz w:val="21"/>
          <w:szCs w:val="21"/>
          <w:highlight w:val="none"/>
        </w:rPr>
        <w:t>本项目作为广东省普通国道基础设施数</w:t>
      </w:r>
      <w:r>
        <w:rPr>
          <w:rFonts w:hint="eastAsia" w:ascii="仿宋_GB2312" w:hAnsi="Times New Roman" w:eastAsia="仿宋_GB2312" w:cs="Times New Roman"/>
          <w:color w:val="auto"/>
          <w:sz w:val="21"/>
          <w:szCs w:val="21"/>
          <w:highlight w:val="none"/>
          <w:lang w:val="en-US" w:eastAsia="zh-CN"/>
        </w:rPr>
        <w:t>字</w:t>
      </w:r>
      <w:r>
        <w:rPr>
          <w:rFonts w:hint="eastAsia" w:ascii="仿宋_GB2312" w:hAnsi="Times New Roman" w:eastAsia="仿宋_GB2312" w:cs="Times New Roman"/>
          <w:color w:val="auto"/>
          <w:sz w:val="21"/>
          <w:szCs w:val="21"/>
          <w:highlight w:val="none"/>
        </w:rPr>
        <w:t>化转型升级示范工程的</w:t>
      </w:r>
      <w:r>
        <w:rPr>
          <w:rFonts w:hint="eastAsia" w:ascii="仿宋_GB2312" w:hAnsi="Times New Roman" w:eastAsia="仿宋_GB2312" w:cs="Times New Roman"/>
          <w:color w:val="auto"/>
          <w:sz w:val="21"/>
          <w:szCs w:val="21"/>
          <w:highlight w:val="none"/>
          <w:lang w:val="en-US" w:eastAsia="zh-CN"/>
        </w:rPr>
        <w:t>重要</w:t>
      </w:r>
      <w:r>
        <w:rPr>
          <w:rFonts w:hint="eastAsia" w:ascii="仿宋_GB2312" w:hAnsi="Times New Roman" w:eastAsia="仿宋_GB2312" w:cs="Times New Roman"/>
          <w:color w:val="auto"/>
          <w:sz w:val="21"/>
          <w:szCs w:val="21"/>
          <w:highlight w:val="none"/>
        </w:rPr>
        <w:t>组成部分，在此前多年全省公路交通情况调查（简称“交调”）站点工程建设的基础上，围绕完善</w:t>
      </w:r>
      <w:r>
        <w:rPr>
          <w:rFonts w:hint="eastAsia" w:ascii="仿宋_GB2312" w:hAnsi="Times New Roman" w:eastAsia="仿宋_GB2312" w:cs="Times New Roman"/>
          <w:color w:val="auto"/>
          <w:sz w:val="21"/>
          <w:szCs w:val="21"/>
          <w:highlight w:val="none"/>
          <w:lang w:val="en-US" w:eastAsia="zh-CN"/>
        </w:rPr>
        <w:t>广东省</w:t>
      </w:r>
      <w:r>
        <w:rPr>
          <w:rFonts w:hint="eastAsia" w:ascii="仿宋_GB2312" w:hAnsi="Times New Roman" w:eastAsia="仿宋_GB2312" w:cs="Times New Roman"/>
          <w:color w:val="auto"/>
          <w:sz w:val="21"/>
          <w:szCs w:val="21"/>
          <w:highlight w:val="none"/>
        </w:rPr>
        <w:t>普通国道交调布局、提高全省公路交调服务成效</w:t>
      </w:r>
      <w:r>
        <w:rPr>
          <w:rFonts w:hint="eastAsia" w:ascii="仿宋_GB2312" w:hAnsi="Times New Roman" w:eastAsia="仿宋_GB2312" w:cs="Times New Roman"/>
          <w:color w:val="auto"/>
          <w:sz w:val="21"/>
          <w:szCs w:val="21"/>
          <w:highlight w:val="none"/>
          <w:lang w:val="en-US" w:eastAsia="zh-CN"/>
        </w:rPr>
        <w:t>的</w:t>
      </w:r>
      <w:r>
        <w:rPr>
          <w:rFonts w:hint="eastAsia" w:ascii="仿宋_GB2312" w:hAnsi="Times New Roman" w:eastAsia="仿宋_GB2312" w:cs="Times New Roman"/>
          <w:color w:val="auto"/>
          <w:sz w:val="21"/>
          <w:szCs w:val="21"/>
          <w:highlight w:val="none"/>
        </w:rPr>
        <w:t>目标，紧贴全省公路统计调查、经济运行分析等主体需求，整合行业内外既有资源，扩充覆盖</w:t>
      </w:r>
      <w:r>
        <w:rPr>
          <w:rFonts w:hint="eastAsia" w:ascii="仿宋_GB2312" w:hAnsi="Times New Roman" w:eastAsia="仿宋_GB2312" w:cs="Times New Roman"/>
          <w:color w:val="auto"/>
          <w:sz w:val="21"/>
          <w:szCs w:val="21"/>
          <w:highlight w:val="none"/>
          <w:lang w:val="en-US" w:eastAsia="zh-CN"/>
        </w:rPr>
        <w:t>广东省</w:t>
      </w:r>
      <w:r>
        <w:rPr>
          <w:rFonts w:hint="eastAsia" w:ascii="仿宋_GB2312" w:hAnsi="Times New Roman" w:eastAsia="仿宋_GB2312" w:cs="Times New Roman"/>
          <w:color w:val="auto"/>
          <w:sz w:val="21"/>
          <w:szCs w:val="21"/>
          <w:highlight w:val="none"/>
        </w:rPr>
        <w:t>普通国道交调范围，逐步建立面向广泛、重点突出、结构合理、支撑有力的全省公路自动化交通调查网络体系。</w:t>
      </w:r>
    </w:p>
    <w:p w14:paraId="7453415F">
      <w:pPr>
        <w:pStyle w:val="5"/>
        <w:spacing w:line="340" w:lineRule="exact"/>
        <w:ind w:firstLine="422"/>
        <w:rPr>
          <w:rFonts w:ascii="楷体_GB2312" w:eastAsia="楷体_GB2312"/>
          <w:color w:val="auto"/>
          <w:sz w:val="21"/>
          <w:szCs w:val="21"/>
          <w:highlight w:val="none"/>
        </w:rPr>
      </w:pPr>
      <w:r>
        <w:rPr>
          <w:rFonts w:hint="eastAsia" w:ascii="楷体_GB2312" w:eastAsia="楷体_GB2312"/>
          <w:bCs w:val="0"/>
          <w:color w:val="auto"/>
          <w:sz w:val="21"/>
          <w:szCs w:val="21"/>
          <w:highlight w:val="none"/>
        </w:rPr>
        <w:t>（二）</w:t>
      </w:r>
      <w:r>
        <w:rPr>
          <w:rFonts w:hint="eastAsia" w:ascii="楷体_GB2312" w:eastAsia="楷体_GB2312"/>
          <w:bCs w:val="0"/>
          <w:color w:val="auto"/>
          <w:sz w:val="21"/>
          <w:szCs w:val="21"/>
          <w:highlight w:val="none"/>
          <w:lang w:val="en-US" w:eastAsia="zh-CN"/>
        </w:rPr>
        <w:t>主要实施</w:t>
      </w:r>
      <w:r>
        <w:rPr>
          <w:rFonts w:hint="eastAsia" w:ascii="楷体_GB2312" w:eastAsia="楷体_GB2312"/>
          <w:bCs w:val="0"/>
          <w:color w:val="auto"/>
          <w:sz w:val="21"/>
          <w:szCs w:val="21"/>
          <w:highlight w:val="none"/>
        </w:rPr>
        <w:t>依据</w:t>
      </w:r>
    </w:p>
    <w:p w14:paraId="1CF8FD51">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1.《财政部 交通运输部关于支持引导公路水路交通基础设施数字化转型升级的通知》（财建〔2024〕96号）</w:t>
      </w:r>
    </w:p>
    <w:p w14:paraId="0FB3DEB5">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2.《交通运输部办公厅 财政部办公厅关于印发公路水路交通基础设施数字化转型升级工作实施细则的通知》（交办规划〔2024〕28号）</w:t>
      </w:r>
    </w:p>
    <w:p w14:paraId="18AE9C5A">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3.《交通运输部关于印发&lt;普通国省道多功能交通调查站布局和建设方案&gt;的通知》（交规划发〔2025〕8号）</w:t>
      </w:r>
    </w:p>
    <w:p w14:paraId="5A588A6B">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4.《交通运输部门统计调查制度》，交通运输部制定，国家统计局批准，2025年</w:t>
      </w:r>
    </w:p>
    <w:p w14:paraId="55E2C30B">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5.交通运输部颁《公路交通情况调查设备第1部分：技术条件（JT/T1008.1-2015）》</w:t>
      </w:r>
    </w:p>
    <w:p w14:paraId="165F898B">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6.交通运输部颁《公路交通情况调查设备第2部分：通讯协议（JT/T1008.2-2015）》</w:t>
      </w:r>
    </w:p>
    <w:p w14:paraId="4DBD0E0C">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7.《广东省发展改革委关于广东省普通国道基础设施数</w:t>
      </w:r>
      <w:r>
        <w:rPr>
          <w:rFonts w:hint="eastAsia" w:ascii="仿宋_GB2312" w:hAnsi="Times New Roman" w:eastAsia="仿宋_GB2312" w:cs="Times New Roman"/>
          <w:color w:val="auto"/>
          <w:sz w:val="21"/>
          <w:szCs w:val="21"/>
          <w:highlight w:val="none"/>
          <w:lang w:val="en-US" w:eastAsia="zh-CN"/>
        </w:rPr>
        <w:t>字</w:t>
      </w:r>
      <w:r>
        <w:rPr>
          <w:rFonts w:hint="eastAsia" w:ascii="仿宋_GB2312" w:hAnsi="Times New Roman" w:eastAsia="仿宋_GB2312" w:cs="Times New Roman"/>
          <w:color w:val="auto"/>
          <w:sz w:val="21"/>
          <w:szCs w:val="21"/>
          <w:highlight w:val="none"/>
        </w:rPr>
        <w:t>化转型升级示范工程可行性研究报告的批复》（粤发改投审〔2025〕87号）</w:t>
      </w:r>
    </w:p>
    <w:p w14:paraId="1AA8F36A">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8.《公路交通情况统计调查标志设置要求（试行）》，交通运输部规划研究院，2017年</w:t>
      </w:r>
      <w:r>
        <w:rPr>
          <w:rFonts w:hint="eastAsia" w:ascii="仿宋_GB2312" w:hAnsi="Times New Roman" w:eastAsia="仿宋_GB2312" w:cs="Times New Roman"/>
          <w:color w:val="auto"/>
          <w:sz w:val="21"/>
          <w:szCs w:val="21"/>
          <w:highlight w:val="none"/>
          <w:lang w:eastAsia="zh-CN"/>
        </w:rPr>
        <w:t>。</w:t>
      </w:r>
    </w:p>
    <w:p w14:paraId="2E190518">
      <w:pPr>
        <w:pStyle w:val="5"/>
        <w:spacing w:line="340" w:lineRule="exact"/>
        <w:ind w:firstLine="422"/>
        <w:rPr>
          <w:rFonts w:ascii="楷体_GB2312" w:eastAsia="楷体_GB2312"/>
          <w:color w:val="auto"/>
          <w:sz w:val="21"/>
          <w:szCs w:val="21"/>
          <w:highlight w:val="none"/>
        </w:rPr>
      </w:pPr>
      <w:r>
        <w:rPr>
          <w:rFonts w:hint="eastAsia" w:ascii="楷体_GB2312" w:eastAsia="楷体_GB2312"/>
          <w:bCs w:val="0"/>
          <w:color w:val="auto"/>
          <w:sz w:val="21"/>
          <w:szCs w:val="21"/>
          <w:highlight w:val="none"/>
        </w:rPr>
        <w:t>（三）建设目标</w:t>
      </w:r>
    </w:p>
    <w:p w14:paraId="19B4481C">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本项目旨在通过新建和升级改造368个</w:t>
      </w:r>
      <w:r>
        <w:rPr>
          <w:rFonts w:hint="eastAsia" w:ascii="仿宋_GB2312" w:hAnsi="Times New Roman" w:eastAsia="仿宋_GB2312" w:cs="Times New Roman"/>
          <w:color w:val="auto"/>
          <w:sz w:val="21"/>
          <w:szCs w:val="21"/>
          <w:highlight w:val="none"/>
          <w:lang w:val="en-US" w:eastAsia="zh-CN"/>
        </w:rPr>
        <w:t>广东省</w:t>
      </w:r>
      <w:r>
        <w:rPr>
          <w:rFonts w:hint="eastAsia" w:ascii="仿宋_GB2312" w:hAnsi="Times New Roman" w:eastAsia="仿宋_GB2312" w:cs="Times New Roman"/>
          <w:color w:val="auto"/>
          <w:sz w:val="21"/>
          <w:szCs w:val="21"/>
          <w:highlight w:val="none"/>
        </w:rPr>
        <w:t>普通国道多功能交通情况调查站</w:t>
      </w:r>
      <w:r>
        <w:rPr>
          <w:rFonts w:hint="eastAsia" w:ascii="仿宋_GB2312" w:hAnsi="Times New Roman" w:eastAsia="仿宋_GB2312" w:cs="Times New Roman"/>
          <w:color w:val="auto"/>
          <w:sz w:val="21"/>
          <w:szCs w:val="21"/>
          <w:highlight w:val="none"/>
          <w:lang w:val="en-US" w:eastAsia="zh-CN"/>
        </w:rPr>
        <w:t>点</w:t>
      </w:r>
      <w:r>
        <w:rPr>
          <w:rFonts w:hint="eastAsia" w:ascii="仿宋_GB2312" w:hAnsi="Times New Roman" w:eastAsia="仿宋_GB2312" w:cs="Times New Roman"/>
          <w:color w:val="auto"/>
          <w:sz w:val="21"/>
          <w:szCs w:val="21"/>
          <w:highlight w:val="none"/>
        </w:rPr>
        <w:t>，提高全省公路交通调查数据的及时性、准确性和覆盖度，为全省公路网运行提供监测预警服务。</w:t>
      </w:r>
    </w:p>
    <w:p w14:paraId="64EC6341">
      <w:pPr>
        <w:spacing w:line="340" w:lineRule="exact"/>
        <w:ind w:firstLine="420"/>
        <w:rPr>
          <w:rFonts w:ascii="仿宋_GB2312" w:hAnsi="Times New Roman" w:eastAsia="仿宋_GB2312" w:cs="Times New Roman"/>
          <w:color w:val="auto"/>
          <w:szCs w:val="32"/>
          <w:highlight w:val="none"/>
        </w:rPr>
      </w:pPr>
      <w:r>
        <w:rPr>
          <w:rFonts w:hint="eastAsia" w:ascii="仿宋_GB2312" w:hAnsi="Times New Roman" w:eastAsia="仿宋_GB2312" w:cs="Times New Roman"/>
          <w:color w:val="auto"/>
          <w:sz w:val="21"/>
          <w:szCs w:val="21"/>
          <w:highlight w:val="none"/>
        </w:rPr>
        <w:t>项目将引入北斗授时、AI视频、激光识别、气象感知等国产化新技术，通过上述</w:t>
      </w:r>
      <w:r>
        <w:rPr>
          <w:rFonts w:hint="eastAsia" w:ascii="仿宋_GB2312" w:hAnsi="Times New Roman" w:eastAsia="仿宋_GB2312" w:cs="Times New Roman"/>
          <w:color w:val="auto"/>
          <w:sz w:val="21"/>
          <w:szCs w:val="21"/>
          <w:highlight w:val="none"/>
          <w:lang w:val="en-US" w:eastAsia="zh-CN"/>
        </w:rPr>
        <w:t>广东省</w:t>
      </w:r>
      <w:r>
        <w:rPr>
          <w:rFonts w:hint="eastAsia" w:ascii="仿宋_GB2312" w:hAnsi="Times New Roman" w:eastAsia="仿宋_GB2312" w:cs="Times New Roman"/>
          <w:color w:val="auto"/>
          <w:sz w:val="21"/>
          <w:szCs w:val="21"/>
          <w:highlight w:val="none"/>
        </w:rPr>
        <w:t>普通国道多功能交调站，实时汇聚沿线车流量、车牌、车型、车速、视频监测、气象监测等数据，并实时接入部省两级公路数据</w:t>
      </w:r>
      <w:r>
        <w:rPr>
          <w:rFonts w:hint="eastAsia" w:ascii="仿宋_GB2312" w:hAnsi="Times New Roman" w:eastAsia="仿宋_GB2312" w:cs="Times New Roman"/>
          <w:color w:val="auto"/>
          <w:sz w:val="21"/>
          <w:szCs w:val="21"/>
          <w:highlight w:val="none"/>
          <w:lang w:val="en-US" w:eastAsia="zh-CN"/>
        </w:rPr>
        <w:t>信息化系统</w:t>
      </w:r>
      <w:r>
        <w:rPr>
          <w:rFonts w:hint="eastAsia" w:ascii="仿宋_GB2312" w:hAnsi="Times New Roman" w:eastAsia="仿宋_GB2312" w:cs="Times New Roman"/>
          <w:color w:val="auto"/>
          <w:sz w:val="21"/>
          <w:szCs w:val="21"/>
          <w:highlight w:val="none"/>
        </w:rPr>
        <w:t>，引导</w:t>
      </w:r>
      <w:r>
        <w:rPr>
          <w:rFonts w:hint="eastAsia" w:ascii="仿宋_GB2312" w:hAnsi="Times New Roman" w:eastAsia="仿宋_GB2312" w:cs="Times New Roman"/>
          <w:color w:val="auto"/>
          <w:sz w:val="21"/>
          <w:szCs w:val="21"/>
          <w:highlight w:val="none"/>
          <w:lang w:val="en-US" w:eastAsia="zh-CN"/>
        </w:rPr>
        <w:t>保障</w:t>
      </w:r>
      <w:r>
        <w:rPr>
          <w:rFonts w:hint="eastAsia" w:ascii="仿宋_GB2312" w:hAnsi="Times New Roman" w:eastAsia="仿宋_GB2312" w:cs="Times New Roman"/>
          <w:color w:val="auto"/>
          <w:sz w:val="21"/>
          <w:szCs w:val="21"/>
          <w:highlight w:val="none"/>
        </w:rPr>
        <w:t>全省普通公路安全平稳运行，支持全省普通公路</w:t>
      </w:r>
      <w:r>
        <w:rPr>
          <w:rFonts w:hint="eastAsia" w:ascii="仿宋_GB2312" w:hAnsi="Times New Roman" w:eastAsia="仿宋_GB2312" w:cs="Times New Roman"/>
          <w:color w:val="auto"/>
          <w:sz w:val="21"/>
          <w:szCs w:val="21"/>
          <w:highlight w:val="none"/>
          <w:lang w:eastAsia="zh-CN"/>
        </w:rPr>
        <w:t>网</w:t>
      </w:r>
      <w:r>
        <w:rPr>
          <w:rFonts w:hint="eastAsia" w:ascii="仿宋_GB2312" w:hAnsi="Times New Roman" w:eastAsia="仿宋_GB2312" w:cs="Times New Roman"/>
          <w:color w:val="auto"/>
          <w:sz w:val="21"/>
          <w:szCs w:val="21"/>
          <w:highlight w:val="none"/>
        </w:rPr>
        <w:t>经济运行分析、养护投资决策、应急指挥调度</w:t>
      </w:r>
      <w:r>
        <w:rPr>
          <w:rFonts w:hint="eastAsia" w:ascii="仿宋_GB2312" w:hAnsi="Times New Roman" w:eastAsia="仿宋_GB2312" w:cs="Times New Roman"/>
          <w:color w:val="auto"/>
          <w:sz w:val="21"/>
          <w:szCs w:val="21"/>
          <w:highlight w:val="none"/>
          <w:lang w:eastAsia="zh-CN"/>
        </w:rPr>
        <w:t>等</w:t>
      </w:r>
      <w:r>
        <w:rPr>
          <w:rFonts w:hint="eastAsia" w:ascii="仿宋_GB2312" w:hAnsi="Times New Roman" w:eastAsia="仿宋_GB2312" w:cs="Times New Roman"/>
          <w:color w:val="auto"/>
          <w:sz w:val="21"/>
          <w:szCs w:val="21"/>
          <w:highlight w:val="none"/>
        </w:rPr>
        <w:t>。</w:t>
      </w:r>
    </w:p>
    <w:p w14:paraId="3C5661DD">
      <w:pPr>
        <w:pStyle w:val="5"/>
        <w:spacing w:line="340" w:lineRule="exact"/>
        <w:ind w:firstLine="422"/>
        <w:rPr>
          <w:rFonts w:ascii="楷体_GB2312" w:eastAsia="楷体_GB2312"/>
          <w:color w:val="auto"/>
          <w:sz w:val="21"/>
          <w:szCs w:val="21"/>
          <w:highlight w:val="none"/>
        </w:rPr>
      </w:pPr>
      <w:r>
        <w:rPr>
          <w:rFonts w:hint="eastAsia" w:ascii="楷体_GB2312" w:eastAsia="楷体_GB2312"/>
          <w:bCs w:val="0"/>
          <w:color w:val="auto"/>
          <w:sz w:val="21"/>
          <w:szCs w:val="21"/>
          <w:highlight w:val="none"/>
        </w:rPr>
        <w:t>（四）规模和内容</w:t>
      </w:r>
    </w:p>
    <w:p w14:paraId="34708F97">
      <w:pPr>
        <w:spacing w:line="340" w:lineRule="exact"/>
        <w:ind w:firstLine="420"/>
        <w:rPr>
          <w:rFonts w:hint="eastAsia"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共规划</w:t>
      </w:r>
      <w:r>
        <w:rPr>
          <w:rFonts w:hint="eastAsia" w:ascii="仿宋_GB2312" w:hAnsi="Times New Roman" w:eastAsia="仿宋_GB2312" w:cs="Times New Roman"/>
          <w:color w:val="auto"/>
          <w:sz w:val="21"/>
          <w:szCs w:val="21"/>
          <w:highlight w:val="none"/>
          <w:lang w:val="en-US" w:eastAsia="zh-CN"/>
        </w:rPr>
        <w:t>布局</w:t>
      </w:r>
      <w:r>
        <w:rPr>
          <w:rFonts w:hint="eastAsia" w:ascii="仿宋_GB2312" w:hAnsi="Times New Roman" w:eastAsia="仿宋_GB2312" w:cs="Times New Roman"/>
          <w:color w:val="auto"/>
          <w:sz w:val="21"/>
          <w:szCs w:val="21"/>
          <w:highlight w:val="none"/>
          <w:lang w:eastAsia="zh-CN"/>
        </w:rPr>
        <w:t>广东省普通国道</w:t>
      </w:r>
      <w:r>
        <w:rPr>
          <w:rFonts w:hint="eastAsia" w:ascii="仿宋_GB2312" w:hAnsi="Times New Roman" w:eastAsia="仿宋_GB2312" w:cs="Times New Roman"/>
          <w:color w:val="auto"/>
          <w:sz w:val="21"/>
          <w:szCs w:val="21"/>
          <w:highlight w:val="none"/>
        </w:rPr>
        <w:t>368个多功能交通调查站，分布在省内20个地级以上市。其中，新建310个，升级改造58个。</w:t>
      </w:r>
    </w:p>
    <w:p w14:paraId="291107AE">
      <w:pPr>
        <w:spacing w:line="340" w:lineRule="exact"/>
        <w:ind w:firstLine="420"/>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1.</w:t>
      </w:r>
      <w:r>
        <w:rPr>
          <w:rFonts w:hint="eastAsia" w:ascii="仿宋_GB2312" w:hAnsi="仿宋_GB2312" w:eastAsia="仿宋_GB2312" w:cs="仿宋_GB2312"/>
          <w:b/>
          <w:bCs/>
          <w:color w:val="auto"/>
          <w:sz w:val="21"/>
          <w:highlight w:val="none"/>
        </w:rPr>
        <w:t>包组</w:t>
      </w:r>
      <w:r>
        <w:rPr>
          <w:rFonts w:hint="eastAsia" w:ascii="仿宋_GB2312" w:hAnsi="仿宋_GB2312" w:eastAsia="仿宋_GB2312" w:cs="仿宋_GB2312"/>
          <w:b/>
          <w:bCs/>
          <w:color w:val="auto"/>
          <w:sz w:val="21"/>
          <w:highlight w:val="none"/>
          <w:lang w:val="en-US" w:eastAsia="zh-CN"/>
        </w:rPr>
        <w:t>划分</w:t>
      </w:r>
    </w:p>
    <w:p w14:paraId="7E87CEEE">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仿宋_GB2312" w:eastAsia="仿宋_GB2312" w:cs="仿宋_GB2312"/>
          <w:b/>
          <w:bCs/>
          <w:color w:val="auto"/>
          <w:sz w:val="21"/>
          <w:highlight w:val="none"/>
          <w:lang w:val="en-US" w:eastAsia="zh-CN"/>
        </w:rPr>
        <w:t>按3个</w:t>
      </w:r>
      <w:r>
        <w:rPr>
          <w:rFonts w:hint="eastAsia" w:ascii="仿宋_GB2312" w:hAnsi="仿宋_GB2312" w:eastAsia="仿宋_GB2312" w:cs="仿宋_GB2312"/>
          <w:b/>
          <w:bCs/>
          <w:color w:val="auto"/>
          <w:sz w:val="21"/>
          <w:highlight w:val="none"/>
        </w:rPr>
        <w:t>包组</w:t>
      </w:r>
      <w:r>
        <w:rPr>
          <w:rFonts w:hint="eastAsia" w:ascii="仿宋_GB2312" w:hAnsi="仿宋_GB2312" w:eastAsia="仿宋_GB2312" w:cs="仿宋_GB2312"/>
          <w:b/>
          <w:bCs/>
          <w:color w:val="auto"/>
          <w:sz w:val="21"/>
          <w:highlight w:val="none"/>
          <w:lang w:val="en-US" w:eastAsia="zh-CN"/>
        </w:rPr>
        <w:t>划分。</w:t>
      </w:r>
      <w:r>
        <w:rPr>
          <w:rFonts w:hint="eastAsia" w:ascii="仿宋_GB2312" w:hAnsi="仿宋_GB2312" w:eastAsia="仿宋_GB2312" w:cs="仿宋_GB2312"/>
          <w:b w:val="0"/>
          <w:bCs w:val="0"/>
          <w:color w:val="auto"/>
          <w:sz w:val="21"/>
          <w:highlight w:val="none"/>
          <w:lang w:val="en-US" w:eastAsia="zh-CN"/>
        </w:rPr>
        <w:t>其中，</w:t>
      </w:r>
      <w:r>
        <w:rPr>
          <w:rFonts w:hint="eastAsia" w:ascii="仿宋_GB2312" w:hAnsi="仿宋_GB2312" w:eastAsia="仿宋_GB2312" w:cs="仿宋_GB2312"/>
          <w:b/>
          <w:bCs/>
          <w:color w:val="auto"/>
          <w:sz w:val="21"/>
          <w:highlight w:val="none"/>
        </w:rPr>
        <w:t>包组1</w:t>
      </w:r>
      <w:r>
        <w:rPr>
          <w:rFonts w:hint="eastAsia" w:ascii="仿宋_GB2312" w:hAnsi="仿宋_GB2312" w:eastAsia="仿宋_GB2312" w:cs="仿宋_GB2312"/>
          <w:color w:val="auto"/>
          <w:sz w:val="21"/>
          <w:highlight w:val="none"/>
        </w:rPr>
        <w:t>包括广州、珠海、佛山、韶关、清远5个</w:t>
      </w:r>
      <w:r>
        <w:rPr>
          <w:rFonts w:hint="eastAsia" w:ascii="仿宋_GB2312" w:hAnsi="仿宋_GB2312" w:eastAsia="仿宋_GB2312" w:cs="仿宋_GB2312"/>
          <w:color w:val="auto"/>
          <w:sz w:val="21"/>
          <w:szCs w:val="21"/>
          <w:highlight w:val="none"/>
        </w:rPr>
        <w:t>地级以上市</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b/>
          <w:bCs/>
          <w:color w:val="auto"/>
          <w:sz w:val="21"/>
          <w:highlight w:val="none"/>
        </w:rPr>
        <w:t>包组</w:t>
      </w:r>
      <w:r>
        <w:rPr>
          <w:rFonts w:hint="eastAsia" w:ascii="仿宋_GB2312" w:hAnsi="仿宋_GB2312" w:eastAsia="仿宋_GB2312" w:cs="仿宋_GB2312"/>
          <w:b/>
          <w:bCs/>
          <w:color w:val="auto"/>
          <w:sz w:val="21"/>
          <w:highlight w:val="none"/>
          <w:lang w:val="en-US" w:eastAsia="zh-CN"/>
        </w:rPr>
        <w:t>2</w:t>
      </w:r>
      <w:r>
        <w:rPr>
          <w:rFonts w:hint="eastAsia" w:ascii="仿宋_GB2312" w:hAnsi="仿宋_GB2312" w:eastAsia="仿宋_GB2312" w:cs="仿宋_GB2312"/>
          <w:color w:val="auto"/>
          <w:sz w:val="21"/>
          <w:highlight w:val="none"/>
        </w:rPr>
        <w:t>包括汕头、河源、梅州、惠州、汕尾、东莞、潮州、揭阳8个</w:t>
      </w:r>
      <w:r>
        <w:rPr>
          <w:rFonts w:hint="eastAsia" w:ascii="仿宋_GB2312" w:hAnsi="仿宋_GB2312" w:eastAsia="仿宋_GB2312" w:cs="仿宋_GB2312"/>
          <w:color w:val="auto"/>
          <w:sz w:val="21"/>
          <w:szCs w:val="21"/>
          <w:highlight w:val="none"/>
        </w:rPr>
        <w:t>地级市</w:t>
      </w:r>
      <w:r>
        <w:rPr>
          <w:rFonts w:hint="eastAsia" w:ascii="仿宋_GB2312" w:hAnsi="仿宋_GB2312" w:eastAsia="仿宋_GB2312" w:cs="仿宋_GB2312"/>
          <w:color w:val="auto"/>
          <w:sz w:val="21"/>
          <w:highlight w:val="none"/>
          <w:lang w:eastAsia="zh-CN"/>
        </w:rPr>
        <w:t>；</w:t>
      </w:r>
      <w:r>
        <w:rPr>
          <w:rFonts w:hint="eastAsia" w:ascii="仿宋_GB2312" w:hAnsi="仿宋_GB2312" w:eastAsia="仿宋_GB2312" w:cs="仿宋_GB2312"/>
          <w:b/>
          <w:bCs/>
          <w:color w:val="auto"/>
          <w:sz w:val="21"/>
          <w:highlight w:val="none"/>
        </w:rPr>
        <w:t>包组</w:t>
      </w:r>
      <w:r>
        <w:rPr>
          <w:rFonts w:hint="eastAsia" w:ascii="仿宋_GB2312" w:hAnsi="仿宋_GB2312" w:eastAsia="仿宋_GB2312" w:cs="仿宋_GB2312"/>
          <w:b/>
          <w:bCs/>
          <w:color w:val="auto"/>
          <w:sz w:val="21"/>
          <w:highlight w:val="none"/>
          <w:lang w:val="en-US" w:eastAsia="zh-CN"/>
        </w:rPr>
        <w:t>3</w:t>
      </w:r>
      <w:r>
        <w:rPr>
          <w:rFonts w:hint="eastAsia" w:ascii="仿宋_GB2312" w:hAnsi="仿宋_GB2312" w:eastAsia="仿宋_GB2312" w:cs="仿宋_GB2312"/>
          <w:color w:val="auto"/>
          <w:sz w:val="21"/>
          <w:highlight w:val="none"/>
          <w:lang w:val="en-US" w:eastAsia="zh-CN"/>
        </w:rPr>
        <w:t>涵盖</w:t>
      </w:r>
      <w:r>
        <w:rPr>
          <w:rFonts w:hint="eastAsia" w:ascii="仿宋_GB2312" w:hAnsi="仿宋_GB2312" w:eastAsia="仿宋_GB2312" w:cs="仿宋_GB2312"/>
          <w:color w:val="auto"/>
          <w:sz w:val="21"/>
          <w:highlight w:val="none"/>
        </w:rPr>
        <w:t>中山、江门、阳江、湛江、茂名、肇庆、云浮7个</w:t>
      </w:r>
      <w:r>
        <w:rPr>
          <w:rFonts w:hint="eastAsia" w:ascii="仿宋_GB2312" w:hAnsi="仿宋_GB2312" w:eastAsia="仿宋_GB2312" w:cs="仿宋_GB2312"/>
          <w:color w:val="auto"/>
          <w:sz w:val="21"/>
          <w:szCs w:val="21"/>
          <w:highlight w:val="none"/>
        </w:rPr>
        <w:t>地级市</w:t>
      </w:r>
      <w:r>
        <w:rPr>
          <w:rFonts w:hint="eastAsia" w:ascii="仿宋_GB2312" w:hAnsi="仿宋_GB2312" w:eastAsia="仿宋_GB2312" w:cs="仿宋_GB2312"/>
          <w:color w:val="auto"/>
          <w:sz w:val="21"/>
          <w:highlight w:val="none"/>
          <w:lang w:val="en-US" w:eastAsia="zh-CN"/>
        </w:rPr>
        <w:t>。</w:t>
      </w:r>
    </w:p>
    <w:p w14:paraId="032E003F">
      <w:pPr>
        <w:numPr>
          <w:ilvl w:val="0"/>
          <w:numId w:val="2"/>
        </w:numPr>
        <w:spacing w:line="340" w:lineRule="exact"/>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highlight w:val="none"/>
          <w:lang w:val="en-US" w:eastAsia="zh-CN"/>
        </w:rPr>
        <w:t>各</w:t>
      </w:r>
      <w:r>
        <w:rPr>
          <w:rFonts w:hint="eastAsia" w:ascii="仿宋_GB2312" w:hAnsi="仿宋_GB2312" w:eastAsia="仿宋_GB2312" w:cs="仿宋_GB2312"/>
          <w:b/>
          <w:bCs/>
          <w:color w:val="auto"/>
          <w:sz w:val="21"/>
          <w:highlight w:val="none"/>
        </w:rPr>
        <w:t>包组</w:t>
      </w:r>
      <w:r>
        <w:rPr>
          <w:rFonts w:hint="eastAsia" w:ascii="仿宋_GB2312" w:hAnsi="仿宋_GB2312" w:eastAsia="仿宋_GB2312" w:cs="仿宋_GB2312"/>
          <w:b/>
          <w:bCs/>
          <w:color w:val="auto"/>
          <w:sz w:val="21"/>
          <w:highlight w:val="none"/>
          <w:lang w:val="en-US" w:eastAsia="zh-CN"/>
        </w:rPr>
        <w:t>站点车道分布</w:t>
      </w:r>
      <w:r>
        <w:rPr>
          <w:rFonts w:hint="eastAsia" w:ascii="仿宋_GB2312" w:hAnsi="仿宋_GB2312" w:eastAsia="仿宋_GB2312" w:cs="仿宋_GB2312"/>
          <w:b/>
          <w:bCs/>
          <w:color w:val="auto"/>
          <w:sz w:val="21"/>
          <w:szCs w:val="21"/>
          <w:highlight w:val="none"/>
          <w:lang w:val="en-US" w:eastAsia="zh-CN"/>
        </w:rPr>
        <w:t>概</w:t>
      </w:r>
      <w:r>
        <w:rPr>
          <w:rFonts w:hint="eastAsia" w:ascii="仿宋_GB2312" w:hAnsi="仿宋_GB2312" w:eastAsia="仿宋_GB2312" w:cs="仿宋_GB2312"/>
          <w:b/>
          <w:bCs/>
          <w:color w:val="auto"/>
          <w:sz w:val="21"/>
          <w:szCs w:val="21"/>
          <w:highlight w:val="none"/>
        </w:rPr>
        <w:t>况</w:t>
      </w:r>
    </w:p>
    <w:p w14:paraId="62BEF1C9">
      <w:pPr>
        <w:numPr>
          <w:ilvl w:val="0"/>
          <w:numId w:val="0"/>
        </w:numPr>
        <w:spacing w:line="340" w:lineRule="exact"/>
        <w:ind w:firstLine="420" w:firstLineChars="200"/>
        <w:jc w:val="left"/>
        <w:rPr>
          <w:rFonts w:hint="eastAsia" w:ascii="楷体_GB2312" w:hAnsi="楷体_GB2312" w:eastAsia="楷体_GB2312" w:cs="楷体_GB2312"/>
          <w:b/>
          <w:bCs/>
          <w:color w:val="auto"/>
          <w:sz w:val="24"/>
          <w:szCs w:val="24"/>
          <w:highlight w:val="none"/>
        </w:rPr>
      </w:pPr>
      <w:r>
        <w:rPr>
          <w:rFonts w:hint="eastAsia" w:ascii="仿宋_GB2312" w:hAnsi="仿宋_GB2312" w:eastAsia="仿宋_GB2312" w:cs="仿宋_GB2312"/>
          <w:color w:val="auto"/>
          <w:sz w:val="21"/>
          <w:szCs w:val="21"/>
          <w:highlight w:val="none"/>
        </w:rPr>
        <w:t>如下表</w:t>
      </w:r>
      <w:r>
        <w:rPr>
          <w:rFonts w:hint="eastAsia" w:ascii="仿宋_GB2312" w:hAnsi="仿宋_GB2312" w:eastAsia="仿宋_GB2312" w:cs="仿宋_GB2312"/>
          <w:color w:val="auto"/>
          <w:sz w:val="21"/>
          <w:szCs w:val="21"/>
          <w:highlight w:val="none"/>
          <w:lang w:val="en-US" w:eastAsia="zh-CN"/>
        </w:rPr>
        <w:t>1-3</w:t>
      </w:r>
      <w:r>
        <w:rPr>
          <w:rFonts w:hint="eastAsia" w:ascii="仿宋_GB2312" w:hAnsi="仿宋_GB2312" w:eastAsia="仿宋_GB2312" w:cs="仿宋_GB2312"/>
          <w:color w:val="auto"/>
          <w:sz w:val="21"/>
          <w:szCs w:val="21"/>
          <w:highlight w:val="none"/>
        </w:rPr>
        <w:t>。</w:t>
      </w:r>
    </w:p>
    <w:p w14:paraId="2593E6C6">
      <w:pPr>
        <w:spacing w:line="340" w:lineRule="exact"/>
        <w:ind w:firstLine="0" w:firstLineChars="0"/>
        <w:jc w:val="center"/>
        <w:rPr>
          <w:rFonts w:hint="eastAsia" w:ascii="楷体_GB2312" w:hAnsi="楷体_GB2312" w:eastAsia="楷体_GB2312" w:cs="楷体_GB2312"/>
          <w:b/>
          <w:bCs/>
          <w:color w:val="auto"/>
          <w:sz w:val="24"/>
          <w:szCs w:val="24"/>
          <w:highlight w:val="none"/>
          <w:lang w:val="en-US" w:eastAsia="zh-CN"/>
        </w:rPr>
      </w:pPr>
      <w:r>
        <w:rPr>
          <w:rFonts w:hint="eastAsia" w:ascii="楷体_GB2312" w:hAnsi="楷体_GB2312" w:eastAsia="楷体_GB2312" w:cs="楷体_GB2312"/>
          <w:b/>
          <w:bCs/>
          <w:color w:val="auto"/>
          <w:sz w:val="24"/>
          <w:szCs w:val="24"/>
          <w:highlight w:val="none"/>
        </w:rPr>
        <w:t>表</w:t>
      </w:r>
      <w:r>
        <w:rPr>
          <w:rFonts w:hint="eastAsia" w:ascii="楷体_GB2312" w:hAnsi="楷体_GB2312" w:eastAsia="楷体_GB2312" w:cs="楷体_GB2312"/>
          <w:b/>
          <w:bCs/>
          <w:color w:val="auto"/>
          <w:sz w:val="24"/>
          <w:szCs w:val="24"/>
          <w:highlight w:val="none"/>
          <w:lang w:val="en-US" w:eastAsia="zh-CN"/>
        </w:rPr>
        <w:t>1</w:t>
      </w:r>
      <w:r>
        <w:rPr>
          <w:rFonts w:hint="eastAsia" w:ascii="楷体_GB2312" w:hAnsi="楷体_GB2312" w:eastAsia="楷体_GB2312" w:cs="楷体_GB2312"/>
          <w:b/>
          <w:bCs/>
          <w:color w:val="auto"/>
          <w:sz w:val="24"/>
          <w:szCs w:val="24"/>
          <w:highlight w:val="none"/>
        </w:rPr>
        <w:t xml:space="preserve">  包组1</w:t>
      </w:r>
      <w:r>
        <w:rPr>
          <w:rFonts w:hint="eastAsia" w:ascii="楷体_GB2312" w:hAnsi="楷体_GB2312" w:eastAsia="楷体_GB2312" w:cs="楷体_GB2312"/>
          <w:b/>
          <w:bCs/>
          <w:color w:val="auto"/>
          <w:sz w:val="24"/>
          <w:szCs w:val="24"/>
          <w:highlight w:val="none"/>
          <w:lang w:val="en-US" w:eastAsia="zh-CN"/>
        </w:rPr>
        <w:t>涉</w:t>
      </w:r>
      <w:r>
        <w:rPr>
          <w:rFonts w:hint="eastAsia" w:ascii="楷体_GB2312" w:hAnsi="楷体_GB2312" w:eastAsia="楷体_GB2312" w:cs="楷体_GB2312"/>
          <w:b/>
          <w:bCs/>
          <w:color w:val="auto"/>
          <w:sz w:val="24"/>
          <w:szCs w:val="24"/>
          <w:highlight w:val="none"/>
        </w:rPr>
        <w:t>5个地级以上市普通国道多功能交通调查站点车道分布</w:t>
      </w:r>
      <w:r>
        <w:rPr>
          <w:rFonts w:hint="eastAsia" w:ascii="楷体_GB2312" w:hAnsi="楷体_GB2312" w:eastAsia="楷体_GB2312" w:cs="楷体_GB2312"/>
          <w:b/>
          <w:bCs/>
          <w:color w:val="auto"/>
          <w:sz w:val="24"/>
          <w:szCs w:val="24"/>
          <w:highlight w:val="none"/>
          <w:lang w:val="en-US" w:eastAsia="zh-CN"/>
        </w:rPr>
        <w:t>表</w:t>
      </w:r>
    </w:p>
    <w:tbl>
      <w:tblPr>
        <w:tblStyle w:val="11"/>
        <w:tblW w:w="9397" w:type="dxa"/>
        <w:jc w:val="center"/>
        <w:tblLayout w:type="autofit"/>
        <w:tblCellMar>
          <w:top w:w="0" w:type="dxa"/>
          <w:left w:w="108" w:type="dxa"/>
          <w:bottom w:w="0" w:type="dxa"/>
          <w:right w:w="108" w:type="dxa"/>
        </w:tblCellMar>
      </w:tblPr>
      <w:tblGrid>
        <w:gridCol w:w="765"/>
        <w:gridCol w:w="952"/>
        <w:gridCol w:w="640"/>
        <w:gridCol w:w="640"/>
        <w:gridCol w:w="640"/>
        <w:gridCol w:w="640"/>
        <w:gridCol w:w="640"/>
        <w:gridCol w:w="640"/>
        <w:gridCol w:w="640"/>
        <w:gridCol w:w="640"/>
        <w:gridCol w:w="640"/>
        <w:gridCol w:w="640"/>
        <w:gridCol w:w="640"/>
        <w:gridCol w:w="640"/>
      </w:tblGrid>
      <w:tr w14:paraId="0D983ADC">
        <w:tblPrEx>
          <w:tblCellMar>
            <w:top w:w="0" w:type="dxa"/>
            <w:left w:w="108" w:type="dxa"/>
            <w:bottom w:w="0" w:type="dxa"/>
            <w:right w:w="108" w:type="dxa"/>
          </w:tblCellMar>
        </w:tblPrEx>
        <w:trPr>
          <w:trHeight w:val="340" w:hRule="atLeast"/>
          <w:jc w:val="center"/>
        </w:trPr>
        <w:tc>
          <w:tcPr>
            <w:tcW w:w="765" w:type="dxa"/>
            <w:vMerge w:val="restart"/>
            <w:tcBorders>
              <w:top w:val="single" w:color="auto" w:sz="12" w:space="0"/>
              <w:left w:val="single" w:color="auto" w:sz="12" w:space="0"/>
              <w:bottom w:val="single" w:color="auto" w:sz="4" w:space="0"/>
              <w:right w:val="single" w:color="auto" w:sz="4" w:space="0"/>
            </w:tcBorders>
            <w:shd w:val="clear" w:color="auto" w:fill="auto"/>
            <w:noWrap/>
            <w:vAlign w:val="center"/>
          </w:tcPr>
          <w:p w14:paraId="7DF102DA">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序号</w:t>
            </w:r>
          </w:p>
        </w:tc>
        <w:tc>
          <w:tcPr>
            <w:tcW w:w="952" w:type="dxa"/>
            <w:vMerge w:val="restart"/>
            <w:tcBorders>
              <w:top w:val="single" w:color="auto" w:sz="12" w:space="0"/>
              <w:left w:val="single" w:color="auto" w:sz="4" w:space="0"/>
              <w:bottom w:val="single" w:color="auto" w:sz="4" w:space="0"/>
              <w:right w:val="single" w:color="auto" w:sz="4" w:space="0"/>
            </w:tcBorders>
            <w:shd w:val="clear" w:color="auto" w:fill="auto"/>
            <w:noWrap/>
            <w:vAlign w:val="center"/>
          </w:tcPr>
          <w:p w14:paraId="1976ECEB">
            <w:pPr>
              <w:kinsoku/>
              <w:autoSpaceDE/>
              <w:autoSpaceDN/>
              <w:adjustRightInd/>
              <w:snapToGrid/>
              <w:spacing w:line="24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行政</w:t>
            </w:r>
          </w:p>
          <w:p w14:paraId="48938AD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区划</w:t>
            </w:r>
          </w:p>
        </w:tc>
        <w:tc>
          <w:tcPr>
            <w:tcW w:w="1280"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14:paraId="7D0FD32C">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2车道</w:t>
            </w:r>
          </w:p>
        </w:tc>
        <w:tc>
          <w:tcPr>
            <w:tcW w:w="1280"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14:paraId="59DCD6B7">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4车道</w:t>
            </w:r>
          </w:p>
        </w:tc>
        <w:tc>
          <w:tcPr>
            <w:tcW w:w="1280"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14:paraId="287278AA">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6车道</w:t>
            </w:r>
          </w:p>
        </w:tc>
        <w:tc>
          <w:tcPr>
            <w:tcW w:w="1280"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14:paraId="2B290B42">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8车道</w:t>
            </w:r>
          </w:p>
        </w:tc>
        <w:tc>
          <w:tcPr>
            <w:tcW w:w="1280"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14:paraId="574F6EE4">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10车道</w:t>
            </w:r>
          </w:p>
        </w:tc>
        <w:tc>
          <w:tcPr>
            <w:tcW w:w="1280" w:type="dxa"/>
            <w:gridSpan w:val="2"/>
            <w:tcBorders>
              <w:top w:val="single" w:color="auto" w:sz="12" w:space="0"/>
              <w:left w:val="single" w:color="auto" w:sz="4" w:space="0"/>
              <w:bottom w:val="single" w:color="auto" w:sz="4" w:space="0"/>
              <w:right w:val="single" w:color="auto" w:sz="12" w:space="0"/>
            </w:tcBorders>
            <w:shd w:val="clear" w:color="auto" w:fill="auto"/>
            <w:noWrap/>
            <w:vAlign w:val="center"/>
          </w:tcPr>
          <w:p w14:paraId="21321948">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12车道</w:t>
            </w:r>
          </w:p>
        </w:tc>
      </w:tr>
      <w:tr w14:paraId="33AA9E0C">
        <w:tblPrEx>
          <w:tblCellMar>
            <w:top w:w="0" w:type="dxa"/>
            <w:left w:w="108" w:type="dxa"/>
            <w:bottom w:w="0" w:type="dxa"/>
            <w:right w:w="108" w:type="dxa"/>
          </w:tblCellMar>
        </w:tblPrEx>
        <w:trPr>
          <w:trHeight w:val="340" w:hRule="atLeast"/>
          <w:jc w:val="center"/>
        </w:trPr>
        <w:tc>
          <w:tcPr>
            <w:tcW w:w="765" w:type="dxa"/>
            <w:vMerge w:val="continue"/>
            <w:tcBorders>
              <w:top w:val="single" w:color="auto" w:sz="4" w:space="0"/>
              <w:left w:val="single" w:color="auto" w:sz="12" w:space="0"/>
              <w:bottom w:val="double" w:color="auto" w:sz="4" w:space="0"/>
              <w:right w:val="single" w:color="auto" w:sz="4" w:space="0"/>
            </w:tcBorders>
            <w:vAlign w:val="center"/>
          </w:tcPr>
          <w:p w14:paraId="78E04622">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p>
        </w:tc>
        <w:tc>
          <w:tcPr>
            <w:tcW w:w="952" w:type="dxa"/>
            <w:vMerge w:val="continue"/>
            <w:tcBorders>
              <w:top w:val="single" w:color="auto" w:sz="4" w:space="0"/>
              <w:left w:val="single" w:color="auto" w:sz="4" w:space="0"/>
              <w:bottom w:val="double" w:color="auto" w:sz="4" w:space="0"/>
              <w:right w:val="single" w:color="auto" w:sz="4" w:space="0"/>
            </w:tcBorders>
            <w:vAlign w:val="center"/>
          </w:tcPr>
          <w:p w14:paraId="49C12805">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64427D5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新建</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59460BD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改造</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317958B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新建</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3D4C3D45">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改造</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6E2FECD1">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新建</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3A4741F9">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改造</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72DA00A5">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新建</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4A9D8504">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改造</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1DEA65E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新建</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0D89CFDB">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改造</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0048AB7A">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新建</w:t>
            </w:r>
          </w:p>
        </w:tc>
        <w:tc>
          <w:tcPr>
            <w:tcW w:w="640" w:type="dxa"/>
            <w:tcBorders>
              <w:top w:val="single" w:color="auto" w:sz="4" w:space="0"/>
              <w:left w:val="single" w:color="auto" w:sz="4" w:space="0"/>
              <w:bottom w:val="double" w:color="auto" w:sz="4" w:space="0"/>
              <w:right w:val="single" w:color="auto" w:sz="12" w:space="0"/>
            </w:tcBorders>
            <w:shd w:val="clear" w:color="auto" w:fill="auto"/>
            <w:noWrap/>
            <w:vAlign w:val="center"/>
          </w:tcPr>
          <w:p w14:paraId="3109FC3F">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改造</w:t>
            </w:r>
          </w:p>
        </w:tc>
      </w:tr>
      <w:tr w14:paraId="3CBF162E">
        <w:tblPrEx>
          <w:tblCellMar>
            <w:top w:w="0" w:type="dxa"/>
            <w:left w:w="108" w:type="dxa"/>
            <w:bottom w:w="0" w:type="dxa"/>
            <w:right w:w="108" w:type="dxa"/>
          </w:tblCellMar>
        </w:tblPrEx>
        <w:trPr>
          <w:trHeight w:val="340" w:hRule="atLeast"/>
          <w:jc w:val="center"/>
        </w:trPr>
        <w:tc>
          <w:tcPr>
            <w:tcW w:w="765" w:type="dxa"/>
            <w:tcBorders>
              <w:top w:val="double" w:color="auto" w:sz="4" w:space="0"/>
              <w:left w:val="single" w:color="auto" w:sz="12" w:space="0"/>
              <w:bottom w:val="single" w:color="auto" w:sz="4" w:space="0"/>
              <w:right w:val="single" w:color="auto" w:sz="4" w:space="0"/>
            </w:tcBorders>
            <w:shd w:val="clear" w:color="auto" w:fill="auto"/>
            <w:noWrap/>
            <w:vAlign w:val="center"/>
          </w:tcPr>
          <w:p w14:paraId="709B9BDF">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rPr>
              <w:t>1</w:t>
            </w:r>
          </w:p>
        </w:tc>
        <w:tc>
          <w:tcPr>
            <w:tcW w:w="952" w:type="dxa"/>
            <w:tcBorders>
              <w:top w:val="double" w:color="auto" w:sz="4" w:space="0"/>
              <w:left w:val="single" w:color="auto" w:sz="4" w:space="0"/>
              <w:bottom w:val="single" w:color="auto" w:sz="4" w:space="0"/>
              <w:right w:val="single" w:color="auto" w:sz="4" w:space="0"/>
            </w:tcBorders>
            <w:shd w:val="clear" w:color="auto" w:fill="auto"/>
            <w:noWrap/>
            <w:vAlign w:val="center"/>
          </w:tcPr>
          <w:p w14:paraId="225A7FF1">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rPr>
              <w:t>广州市</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2803C351">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5E0BE08E">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4F57AF8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5</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0CFF6A37">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4</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020960DF">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13</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5F8C43EE">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6</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389CC4D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4</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147D61B9">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2</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34F9167A">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5CC6E82B">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3D54D506">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double" w:color="auto" w:sz="4" w:space="0"/>
              <w:left w:val="single" w:color="auto" w:sz="4" w:space="0"/>
              <w:bottom w:val="single" w:color="auto" w:sz="4" w:space="0"/>
              <w:right w:val="single" w:color="auto" w:sz="12" w:space="0"/>
            </w:tcBorders>
            <w:shd w:val="clear" w:color="auto" w:fill="auto"/>
            <w:noWrap/>
            <w:vAlign w:val="center"/>
          </w:tcPr>
          <w:p w14:paraId="077EEF5D">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3419D273">
        <w:tblPrEx>
          <w:tblCellMar>
            <w:top w:w="0" w:type="dxa"/>
            <w:left w:w="108" w:type="dxa"/>
            <w:bottom w:w="0" w:type="dxa"/>
            <w:right w:w="108" w:type="dxa"/>
          </w:tblCellMar>
        </w:tblPrEx>
        <w:trPr>
          <w:trHeight w:val="340" w:hRule="atLeast"/>
          <w:jc w:val="center"/>
        </w:trPr>
        <w:tc>
          <w:tcPr>
            <w:tcW w:w="765"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488FC8A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rPr>
              <w:t>2</w:t>
            </w:r>
          </w:p>
        </w:tc>
        <w:tc>
          <w:tcPr>
            <w:tcW w:w="9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B71D2">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rPr>
              <w:t>珠海市</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5139E">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BC640">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B356A">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D589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5E08D">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2</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3768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3</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49A5C">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98887">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5E69A">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3574F">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7A95F">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A0C77DC">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34002BCA">
        <w:tblPrEx>
          <w:tblCellMar>
            <w:top w:w="0" w:type="dxa"/>
            <w:left w:w="108" w:type="dxa"/>
            <w:bottom w:w="0" w:type="dxa"/>
            <w:right w:w="108" w:type="dxa"/>
          </w:tblCellMar>
        </w:tblPrEx>
        <w:trPr>
          <w:trHeight w:val="340" w:hRule="atLeast"/>
          <w:jc w:val="center"/>
        </w:trPr>
        <w:tc>
          <w:tcPr>
            <w:tcW w:w="765"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6EAFC3FB">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rPr>
              <w:t>3</w:t>
            </w:r>
          </w:p>
        </w:tc>
        <w:tc>
          <w:tcPr>
            <w:tcW w:w="9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558FC">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rPr>
              <w:t>佛山市</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C373F">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3</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2A165">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9BF59">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A3528">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BC882">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E8460">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3</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CBCE0">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5</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69841">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3</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88091">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59CB0">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50C6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9AC4FD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541C0AC7">
        <w:tblPrEx>
          <w:tblCellMar>
            <w:top w:w="0" w:type="dxa"/>
            <w:left w:w="108" w:type="dxa"/>
            <w:bottom w:w="0" w:type="dxa"/>
            <w:right w:w="108" w:type="dxa"/>
          </w:tblCellMar>
        </w:tblPrEx>
        <w:trPr>
          <w:trHeight w:val="340" w:hRule="atLeast"/>
          <w:jc w:val="center"/>
        </w:trPr>
        <w:tc>
          <w:tcPr>
            <w:tcW w:w="765"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4A9C80B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rPr>
              <w:t>4</w:t>
            </w:r>
          </w:p>
        </w:tc>
        <w:tc>
          <w:tcPr>
            <w:tcW w:w="9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9CDD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rPr>
              <w:t>韶关市</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4FA8A">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13</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64916">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7951F">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6</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233E2">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FC058">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FA419">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1AD71">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B96CE">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4606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AF781">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31EC2">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517EB5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4C372A54">
        <w:tblPrEx>
          <w:tblCellMar>
            <w:top w:w="0" w:type="dxa"/>
            <w:left w:w="108" w:type="dxa"/>
            <w:bottom w:w="0" w:type="dxa"/>
            <w:right w:w="108" w:type="dxa"/>
          </w:tblCellMar>
        </w:tblPrEx>
        <w:trPr>
          <w:trHeight w:val="340" w:hRule="atLeast"/>
          <w:jc w:val="center"/>
        </w:trPr>
        <w:tc>
          <w:tcPr>
            <w:tcW w:w="765"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6A2405F7">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rPr>
              <w:t>5</w:t>
            </w:r>
          </w:p>
        </w:tc>
        <w:tc>
          <w:tcPr>
            <w:tcW w:w="9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C630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rPr>
              <w:t>清远市</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5CB09">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14</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A7743">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2</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83CD3">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9</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2AC31">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54B36">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8E3BA">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2</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0BCC2">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2</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CA1B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B65EA">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BAB4C">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1CA97">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A71E7C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3AFD126F">
        <w:tblPrEx>
          <w:tblCellMar>
            <w:top w:w="0" w:type="dxa"/>
            <w:left w:w="108" w:type="dxa"/>
            <w:bottom w:w="0" w:type="dxa"/>
            <w:right w:w="108" w:type="dxa"/>
          </w:tblCellMar>
        </w:tblPrEx>
        <w:trPr>
          <w:trHeight w:val="340" w:hRule="atLeast"/>
          <w:jc w:val="center"/>
        </w:trPr>
        <w:tc>
          <w:tcPr>
            <w:tcW w:w="1717" w:type="dxa"/>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7B5D1C62">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小计</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A6D48">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30</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782FB">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2</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4B72F">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21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A3F51">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4</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41125">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28</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1792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15</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DE777">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12</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1601B">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6</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CEC17">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C5FF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2</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BE872">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F59F6AC">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1A3CF8B9">
        <w:tblPrEx>
          <w:tblCellMar>
            <w:top w:w="0" w:type="dxa"/>
            <w:left w:w="108" w:type="dxa"/>
            <w:bottom w:w="0" w:type="dxa"/>
            <w:right w:w="108" w:type="dxa"/>
          </w:tblCellMar>
        </w:tblPrEx>
        <w:trPr>
          <w:trHeight w:val="340" w:hRule="atLeast"/>
          <w:jc w:val="center"/>
        </w:trPr>
        <w:tc>
          <w:tcPr>
            <w:tcW w:w="1717" w:type="dxa"/>
            <w:gridSpan w:val="2"/>
            <w:tcBorders>
              <w:top w:val="single" w:color="auto" w:sz="4" w:space="0"/>
              <w:left w:val="single" w:color="auto" w:sz="12" w:space="0"/>
              <w:bottom w:val="single" w:color="auto" w:sz="12" w:space="0"/>
              <w:right w:val="single" w:color="auto" w:sz="4" w:space="0"/>
            </w:tcBorders>
            <w:shd w:val="clear" w:color="auto" w:fill="auto"/>
            <w:noWrap/>
            <w:vAlign w:val="center"/>
          </w:tcPr>
          <w:p w14:paraId="59F5CCC6">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合计</w:t>
            </w:r>
          </w:p>
        </w:tc>
        <w:tc>
          <w:tcPr>
            <w:tcW w:w="1280"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14:paraId="38542A0F">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32</w:t>
            </w:r>
          </w:p>
        </w:tc>
        <w:tc>
          <w:tcPr>
            <w:tcW w:w="1280"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14:paraId="593B07E1">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25</w:t>
            </w:r>
          </w:p>
        </w:tc>
        <w:tc>
          <w:tcPr>
            <w:tcW w:w="1280"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14:paraId="03C46CD2">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43</w:t>
            </w:r>
          </w:p>
        </w:tc>
        <w:tc>
          <w:tcPr>
            <w:tcW w:w="1280"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14:paraId="741BAA47">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18</w:t>
            </w:r>
          </w:p>
        </w:tc>
        <w:tc>
          <w:tcPr>
            <w:tcW w:w="1280"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14:paraId="383D60ED">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3</w:t>
            </w:r>
          </w:p>
        </w:tc>
        <w:tc>
          <w:tcPr>
            <w:tcW w:w="1280" w:type="dxa"/>
            <w:gridSpan w:val="2"/>
            <w:tcBorders>
              <w:top w:val="single" w:color="auto" w:sz="4" w:space="0"/>
              <w:left w:val="single" w:color="auto" w:sz="4" w:space="0"/>
              <w:bottom w:val="single" w:color="auto" w:sz="12" w:space="0"/>
              <w:right w:val="single" w:color="auto" w:sz="12" w:space="0"/>
            </w:tcBorders>
            <w:shd w:val="clear" w:color="auto" w:fill="auto"/>
            <w:noWrap/>
            <w:vAlign w:val="center"/>
          </w:tcPr>
          <w:p w14:paraId="44C23913">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0</w:t>
            </w:r>
          </w:p>
        </w:tc>
      </w:tr>
    </w:tbl>
    <w:p w14:paraId="5A610602">
      <w:pPr>
        <w:spacing w:line="340" w:lineRule="exact"/>
        <w:ind w:firstLine="0" w:firstLineChars="0"/>
        <w:jc w:val="both"/>
        <w:rPr>
          <w:rFonts w:hint="eastAsia" w:ascii="楷体_GB2312" w:hAnsi="楷体_GB2312" w:eastAsia="楷体_GB2312" w:cs="楷体_GB2312"/>
          <w:b/>
          <w:bCs/>
          <w:color w:val="auto"/>
          <w:sz w:val="24"/>
          <w:szCs w:val="24"/>
          <w:highlight w:val="none"/>
          <w:lang w:eastAsia="zh-CN"/>
        </w:rPr>
      </w:pPr>
    </w:p>
    <w:p w14:paraId="5310037C">
      <w:pPr>
        <w:spacing w:line="340" w:lineRule="exact"/>
        <w:ind w:firstLine="0" w:firstLineChars="0"/>
        <w:jc w:val="center"/>
        <w:rPr>
          <w:rFonts w:hint="eastAsia" w:ascii="楷体_GB2312" w:hAnsi="楷体_GB2312" w:eastAsia="楷体_GB2312" w:cs="楷体_GB2312"/>
          <w:b/>
          <w:bCs/>
          <w:color w:val="auto"/>
          <w:sz w:val="24"/>
          <w:szCs w:val="24"/>
          <w:highlight w:val="none"/>
          <w:lang w:val="en-US" w:eastAsia="zh-CN"/>
        </w:rPr>
      </w:pPr>
      <w:r>
        <w:rPr>
          <w:rFonts w:hint="eastAsia" w:ascii="楷体_GB2312" w:hAnsi="楷体_GB2312" w:eastAsia="楷体_GB2312" w:cs="楷体_GB2312"/>
          <w:b/>
          <w:bCs/>
          <w:color w:val="auto"/>
          <w:sz w:val="24"/>
          <w:szCs w:val="24"/>
          <w:highlight w:val="none"/>
        </w:rPr>
        <w:t>表</w:t>
      </w:r>
      <w:r>
        <w:rPr>
          <w:rFonts w:hint="eastAsia" w:ascii="楷体_GB2312" w:hAnsi="楷体_GB2312" w:eastAsia="楷体_GB2312" w:cs="楷体_GB2312"/>
          <w:b/>
          <w:bCs/>
          <w:color w:val="auto"/>
          <w:sz w:val="24"/>
          <w:szCs w:val="24"/>
          <w:highlight w:val="none"/>
          <w:lang w:val="en-US" w:eastAsia="zh-CN"/>
        </w:rPr>
        <w:t>2</w:t>
      </w:r>
      <w:r>
        <w:rPr>
          <w:rFonts w:hint="eastAsia" w:ascii="楷体_GB2312" w:hAnsi="楷体_GB2312" w:eastAsia="楷体_GB2312" w:cs="楷体_GB2312"/>
          <w:b/>
          <w:bCs/>
          <w:color w:val="auto"/>
          <w:sz w:val="24"/>
          <w:szCs w:val="24"/>
          <w:highlight w:val="none"/>
        </w:rPr>
        <w:t xml:space="preserve">  包组2</w:t>
      </w:r>
      <w:r>
        <w:rPr>
          <w:rFonts w:hint="eastAsia" w:ascii="楷体_GB2312" w:hAnsi="楷体_GB2312" w:eastAsia="楷体_GB2312" w:cs="楷体_GB2312"/>
          <w:b/>
          <w:bCs/>
          <w:color w:val="auto"/>
          <w:sz w:val="24"/>
          <w:szCs w:val="24"/>
          <w:highlight w:val="none"/>
          <w:lang w:val="en-US" w:eastAsia="zh-CN"/>
        </w:rPr>
        <w:t>涉8</w:t>
      </w:r>
      <w:r>
        <w:rPr>
          <w:rFonts w:hint="eastAsia" w:ascii="楷体_GB2312" w:hAnsi="楷体_GB2312" w:eastAsia="楷体_GB2312" w:cs="楷体_GB2312"/>
          <w:b/>
          <w:bCs/>
          <w:color w:val="auto"/>
          <w:sz w:val="24"/>
          <w:szCs w:val="24"/>
          <w:highlight w:val="none"/>
        </w:rPr>
        <w:t>个地级市普通国道多功能交通调查站点车道分布</w:t>
      </w:r>
      <w:r>
        <w:rPr>
          <w:rFonts w:hint="eastAsia" w:ascii="楷体_GB2312" w:hAnsi="楷体_GB2312" w:eastAsia="楷体_GB2312" w:cs="楷体_GB2312"/>
          <w:b/>
          <w:bCs/>
          <w:color w:val="auto"/>
          <w:sz w:val="24"/>
          <w:szCs w:val="24"/>
          <w:highlight w:val="none"/>
          <w:lang w:val="en-US" w:eastAsia="zh-CN"/>
        </w:rPr>
        <w:t>表</w:t>
      </w:r>
    </w:p>
    <w:tbl>
      <w:tblPr>
        <w:tblStyle w:val="11"/>
        <w:tblW w:w="9397" w:type="dxa"/>
        <w:jc w:val="center"/>
        <w:tblLayout w:type="autofit"/>
        <w:tblCellMar>
          <w:top w:w="0" w:type="dxa"/>
          <w:left w:w="108" w:type="dxa"/>
          <w:bottom w:w="0" w:type="dxa"/>
          <w:right w:w="108" w:type="dxa"/>
        </w:tblCellMar>
      </w:tblPr>
      <w:tblGrid>
        <w:gridCol w:w="765"/>
        <w:gridCol w:w="952"/>
        <w:gridCol w:w="640"/>
        <w:gridCol w:w="640"/>
        <w:gridCol w:w="640"/>
        <w:gridCol w:w="640"/>
        <w:gridCol w:w="640"/>
        <w:gridCol w:w="640"/>
        <w:gridCol w:w="640"/>
        <w:gridCol w:w="640"/>
        <w:gridCol w:w="640"/>
        <w:gridCol w:w="640"/>
        <w:gridCol w:w="640"/>
        <w:gridCol w:w="640"/>
      </w:tblGrid>
      <w:tr w14:paraId="64855CA5">
        <w:tblPrEx>
          <w:tblCellMar>
            <w:top w:w="0" w:type="dxa"/>
            <w:left w:w="108" w:type="dxa"/>
            <w:bottom w:w="0" w:type="dxa"/>
            <w:right w:w="108" w:type="dxa"/>
          </w:tblCellMar>
        </w:tblPrEx>
        <w:trPr>
          <w:trHeight w:val="340" w:hRule="atLeast"/>
          <w:jc w:val="center"/>
        </w:trPr>
        <w:tc>
          <w:tcPr>
            <w:tcW w:w="765" w:type="dxa"/>
            <w:vMerge w:val="restart"/>
            <w:tcBorders>
              <w:top w:val="single" w:color="auto" w:sz="12" w:space="0"/>
              <w:left w:val="single" w:color="auto" w:sz="12" w:space="0"/>
              <w:bottom w:val="single" w:color="auto" w:sz="4" w:space="0"/>
              <w:right w:val="single" w:color="auto" w:sz="4" w:space="0"/>
            </w:tcBorders>
            <w:shd w:val="clear" w:color="auto" w:fill="auto"/>
            <w:noWrap/>
            <w:vAlign w:val="center"/>
          </w:tcPr>
          <w:p w14:paraId="21E34DF6">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序号</w:t>
            </w:r>
          </w:p>
        </w:tc>
        <w:tc>
          <w:tcPr>
            <w:tcW w:w="952" w:type="dxa"/>
            <w:vMerge w:val="restart"/>
            <w:tcBorders>
              <w:top w:val="single" w:color="auto" w:sz="12" w:space="0"/>
              <w:left w:val="single" w:color="auto" w:sz="4" w:space="0"/>
              <w:bottom w:val="single" w:color="auto" w:sz="4" w:space="0"/>
              <w:right w:val="single" w:color="auto" w:sz="4" w:space="0"/>
            </w:tcBorders>
            <w:shd w:val="clear" w:color="auto" w:fill="auto"/>
            <w:noWrap/>
            <w:vAlign w:val="center"/>
          </w:tcPr>
          <w:p w14:paraId="7581BC77">
            <w:pPr>
              <w:kinsoku/>
              <w:autoSpaceDE/>
              <w:autoSpaceDN/>
              <w:adjustRightInd/>
              <w:snapToGrid/>
              <w:spacing w:line="24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行政</w:t>
            </w:r>
          </w:p>
          <w:p w14:paraId="16F9CD4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区划</w:t>
            </w:r>
          </w:p>
        </w:tc>
        <w:tc>
          <w:tcPr>
            <w:tcW w:w="1280"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14:paraId="16F46F16">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2车道</w:t>
            </w:r>
          </w:p>
        </w:tc>
        <w:tc>
          <w:tcPr>
            <w:tcW w:w="1280"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14:paraId="5BB2A2E2">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4车道</w:t>
            </w:r>
          </w:p>
        </w:tc>
        <w:tc>
          <w:tcPr>
            <w:tcW w:w="1280"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14:paraId="1F96A28B">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6车道</w:t>
            </w:r>
          </w:p>
        </w:tc>
        <w:tc>
          <w:tcPr>
            <w:tcW w:w="1280"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14:paraId="08622BE1">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8车道</w:t>
            </w:r>
          </w:p>
        </w:tc>
        <w:tc>
          <w:tcPr>
            <w:tcW w:w="1280"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14:paraId="238C577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10车道</w:t>
            </w:r>
          </w:p>
        </w:tc>
        <w:tc>
          <w:tcPr>
            <w:tcW w:w="1280" w:type="dxa"/>
            <w:gridSpan w:val="2"/>
            <w:tcBorders>
              <w:top w:val="single" w:color="auto" w:sz="12" w:space="0"/>
              <w:left w:val="single" w:color="auto" w:sz="4" w:space="0"/>
              <w:bottom w:val="single" w:color="auto" w:sz="4" w:space="0"/>
              <w:right w:val="single" w:color="auto" w:sz="12" w:space="0"/>
            </w:tcBorders>
            <w:shd w:val="clear" w:color="auto" w:fill="auto"/>
            <w:noWrap/>
            <w:vAlign w:val="center"/>
          </w:tcPr>
          <w:p w14:paraId="6496756B">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12车道</w:t>
            </w:r>
          </w:p>
        </w:tc>
      </w:tr>
      <w:tr w14:paraId="15B59CD4">
        <w:tblPrEx>
          <w:tblCellMar>
            <w:top w:w="0" w:type="dxa"/>
            <w:left w:w="108" w:type="dxa"/>
            <w:bottom w:w="0" w:type="dxa"/>
            <w:right w:w="108" w:type="dxa"/>
          </w:tblCellMar>
        </w:tblPrEx>
        <w:trPr>
          <w:trHeight w:val="340" w:hRule="atLeast"/>
          <w:jc w:val="center"/>
        </w:trPr>
        <w:tc>
          <w:tcPr>
            <w:tcW w:w="765" w:type="dxa"/>
            <w:vMerge w:val="continue"/>
            <w:tcBorders>
              <w:top w:val="single" w:color="auto" w:sz="4" w:space="0"/>
              <w:left w:val="single" w:color="auto" w:sz="12" w:space="0"/>
              <w:bottom w:val="double" w:color="auto" w:sz="4" w:space="0"/>
              <w:right w:val="single" w:color="auto" w:sz="4" w:space="0"/>
            </w:tcBorders>
            <w:vAlign w:val="center"/>
          </w:tcPr>
          <w:p w14:paraId="3916053A">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p>
        </w:tc>
        <w:tc>
          <w:tcPr>
            <w:tcW w:w="952" w:type="dxa"/>
            <w:vMerge w:val="continue"/>
            <w:tcBorders>
              <w:top w:val="single" w:color="auto" w:sz="4" w:space="0"/>
              <w:left w:val="single" w:color="auto" w:sz="4" w:space="0"/>
              <w:bottom w:val="double" w:color="auto" w:sz="4" w:space="0"/>
              <w:right w:val="single" w:color="auto" w:sz="4" w:space="0"/>
            </w:tcBorders>
            <w:vAlign w:val="center"/>
          </w:tcPr>
          <w:p w14:paraId="3D95D11F">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7A2FB57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新建</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71210D74">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改造</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797811D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新建</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0720B841">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改造</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4071B3B4">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新建</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774D31B7">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改造</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5A4C4DC4">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新建</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15687263">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改造</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18C11B16">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新建</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26C2B96D">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改造</w:t>
            </w:r>
          </w:p>
        </w:tc>
        <w:tc>
          <w:tcPr>
            <w:tcW w:w="640" w:type="dxa"/>
            <w:tcBorders>
              <w:top w:val="single" w:color="auto" w:sz="4" w:space="0"/>
              <w:left w:val="single" w:color="auto" w:sz="4" w:space="0"/>
              <w:bottom w:val="double" w:color="auto" w:sz="4" w:space="0"/>
              <w:right w:val="single" w:color="auto" w:sz="4" w:space="0"/>
            </w:tcBorders>
            <w:shd w:val="clear" w:color="auto" w:fill="auto"/>
            <w:noWrap/>
            <w:vAlign w:val="center"/>
          </w:tcPr>
          <w:p w14:paraId="491BB1B6">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新建</w:t>
            </w:r>
          </w:p>
        </w:tc>
        <w:tc>
          <w:tcPr>
            <w:tcW w:w="640" w:type="dxa"/>
            <w:tcBorders>
              <w:top w:val="single" w:color="auto" w:sz="4" w:space="0"/>
              <w:left w:val="single" w:color="auto" w:sz="4" w:space="0"/>
              <w:bottom w:val="double" w:color="auto" w:sz="4" w:space="0"/>
              <w:right w:val="single" w:color="auto" w:sz="12" w:space="0"/>
            </w:tcBorders>
            <w:shd w:val="clear" w:color="auto" w:fill="auto"/>
            <w:noWrap/>
            <w:vAlign w:val="center"/>
          </w:tcPr>
          <w:p w14:paraId="1B2536F5">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szCs w:val="21"/>
                <w:highlight w:val="none"/>
              </w:rPr>
              <w:t>改造</w:t>
            </w:r>
          </w:p>
        </w:tc>
      </w:tr>
      <w:tr w14:paraId="107AA924">
        <w:tblPrEx>
          <w:tblCellMar>
            <w:top w:w="0" w:type="dxa"/>
            <w:left w:w="108" w:type="dxa"/>
            <w:bottom w:w="0" w:type="dxa"/>
            <w:right w:w="108" w:type="dxa"/>
          </w:tblCellMar>
        </w:tblPrEx>
        <w:trPr>
          <w:trHeight w:val="340" w:hRule="atLeast"/>
          <w:jc w:val="center"/>
        </w:trPr>
        <w:tc>
          <w:tcPr>
            <w:tcW w:w="765" w:type="dxa"/>
            <w:tcBorders>
              <w:top w:val="double" w:color="auto" w:sz="4" w:space="0"/>
              <w:left w:val="single" w:color="auto" w:sz="12" w:space="0"/>
              <w:bottom w:val="single" w:color="auto" w:sz="4" w:space="0"/>
              <w:right w:val="single" w:color="auto" w:sz="4" w:space="0"/>
            </w:tcBorders>
            <w:shd w:val="clear" w:color="auto" w:fill="auto"/>
            <w:noWrap/>
            <w:vAlign w:val="center"/>
          </w:tcPr>
          <w:p w14:paraId="0B5EB055">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highlight w:val="none"/>
              </w:rPr>
              <w:t>1</w:t>
            </w:r>
          </w:p>
        </w:tc>
        <w:tc>
          <w:tcPr>
            <w:tcW w:w="952" w:type="dxa"/>
            <w:tcBorders>
              <w:top w:val="double" w:color="auto" w:sz="4" w:space="0"/>
              <w:left w:val="single" w:color="auto" w:sz="4" w:space="0"/>
              <w:bottom w:val="single" w:color="auto" w:sz="4" w:space="0"/>
              <w:right w:val="single" w:color="auto" w:sz="4" w:space="0"/>
            </w:tcBorders>
            <w:shd w:val="clear" w:color="auto" w:fill="auto"/>
            <w:noWrap/>
            <w:vAlign w:val="center"/>
          </w:tcPr>
          <w:p w14:paraId="3A559039">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highlight w:val="none"/>
              </w:rPr>
              <w:t>汕头市</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0B00789C">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010ECDC8">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36A32710">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73935815">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6B1959FA">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3</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04B32BAF">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26936175">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2</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4A281D53">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1659D5E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4BFCDAF7">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double" w:color="auto" w:sz="4" w:space="0"/>
              <w:left w:val="single" w:color="auto" w:sz="4" w:space="0"/>
              <w:bottom w:val="single" w:color="auto" w:sz="4" w:space="0"/>
              <w:right w:val="single" w:color="auto" w:sz="4" w:space="0"/>
            </w:tcBorders>
            <w:shd w:val="clear" w:color="auto" w:fill="auto"/>
            <w:noWrap/>
            <w:vAlign w:val="center"/>
          </w:tcPr>
          <w:p w14:paraId="5E5B7451">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double" w:color="auto" w:sz="4" w:space="0"/>
              <w:left w:val="single" w:color="auto" w:sz="4" w:space="0"/>
              <w:bottom w:val="single" w:color="auto" w:sz="4" w:space="0"/>
              <w:right w:val="single" w:color="auto" w:sz="12" w:space="0"/>
            </w:tcBorders>
            <w:shd w:val="clear" w:color="auto" w:fill="auto"/>
            <w:noWrap/>
            <w:vAlign w:val="center"/>
          </w:tcPr>
          <w:p w14:paraId="001EC413">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162C0731">
        <w:tblPrEx>
          <w:tblCellMar>
            <w:top w:w="0" w:type="dxa"/>
            <w:left w:w="108" w:type="dxa"/>
            <w:bottom w:w="0" w:type="dxa"/>
            <w:right w:w="108" w:type="dxa"/>
          </w:tblCellMar>
        </w:tblPrEx>
        <w:trPr>
          <w:trHeight w:val="340" w:hRule="atLeast"/>
          <w:jc w:val="center"/>
        </w:trPr>
        <w:tc>
          <w:tcPr>
            <w:tcW w:w="765"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4665808B">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highlight w:val="none"/>
              </w:rPr>
              <w:t>2</w:t>
            </w:r>
          </w:p>
        </w:tc>
        <w:tc>
          <w:tcPr>
            <w:tcW w:w="9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6B977">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highlight w:val="none"/>
              </w:rPr>
              <w:t>河源市</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7432F">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7</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D9452">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7298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14</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EBF24">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2EB39">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3</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9700B">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DC98A">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25F50">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C50B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0580F">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626ED">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40A796B">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06C358D8">
        <w:tblPrEx>
          <w:tblCellMar>
            <w:top w:w="0" w:type="dxa"/>
            <w:left w:w="108" w:type="dxa"/>
            <w:bottom w:w="0" w:type="dxa"/>
            <w:right w:w="108" w:type="dxa"/>
          </w:tblCellMar>
        </w:tblPrEx>
        <w:trPr>
          <w:trHeight w:val="340" w:hRule="atLeast"/>
          <w:jc w:val="center"/>
        </w:trPr>
        <w:tc>
          <w:tcPr>
            <w:tcW w:w="765"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505CE4EB">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highlight w:val="none"/>
              </w:rPr>
              <w:t>3</w:t>
            </w:r>
          </w:p>
        </w:tc>
        <w:tc>
          <w:tcPr>
            <w:tcW w:w="9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25A3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highlight w:val="none"/>
              </w:rPr>
              <w:t>梅州市</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4C558">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8</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56EBF">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2</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95D6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16</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6DC7B">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4</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F73A7">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3</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6FBF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4973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13446">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C4FB2">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ACFA9">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5EE8D">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DC45212">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5DAE8A15">
        <w:tblPrEx>
          <w:tblCellMar>
            <w:top w:w="0" w:type="dxa"/>
            <w:left w:w="108" w:type="dxa"/>
            <w:bottom w:w="0" w:type="dxa"/>
            <w:right w:w="108" w:type="dxa"/>
          </w:tblCellMar>
        </w:tblPrEx>
        <w:trPr>
          <w:trHeight w:val="340" w:hRule="atLeast"/>
          <w:jc w:val="center"/>
        </w:trPr>
        <w:tc>
          <w:tcPr>
            <w:tcW w:w="765"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0380B251">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highlight w:val="none"/>
              </w:rPr>
              <w:t>4</w:t>
            </w:r>
          </w:p>
        </w:tc>
        <w:tc>
          <w:tcPr>
            <w:tcW w:w="9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930C6">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highlight w:val="none"/>
              </w:rPr>
              <w:t>惠州市</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0D85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9F652">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6AB43">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7</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91977">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3</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48FD9">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9</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FEF88">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2</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A785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5</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C2E33">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BBBDF">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EBB9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96866">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F477FD7">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39C09404">
        <w:tblPrEx>
          <w:tblCellMar>
            <w:top w:w="0" w:type="dxa"/>
            <w:left w:w="108" w:type="dxa"/>
            <w:bottom w:w="0" w:type="dxa"/>
            <w:right w:w="108" w:type="dxa"/>
          </w:tblCellMar>
        </w:tblPrEx>
        <w:trPr>
          <w:trHeight w:val="340" w:hRule="atLeast"/>
          <w:jc w:val="center"/>
        </w:trPr>
        <w:tc>
          <w:tcPr>
            <w:tcW w:w="765"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323063BC">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highlight w:val="none"/>
              </w:rPr>
              <w:t>5</w:t>
            </w:r>
          </w:p>
        </w:tc>
        <w:tc>
          <w:tcPr>
            <w:tcW w:w="9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EA22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highlight w:val="none"/>
              </w:rPr>
              <w:t>汕尾市</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AD4AD">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F9430">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9E51B">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37253">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BBDDD">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5637C">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3E94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99812">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7DDA8">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14255">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8C416">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4D66A9A">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28EE4797">
        <w:tblPrEx>
          <w:tblCellMar>
            <w:top w:w="0" w:type="dxa"/>
            <w:left w:w="108" w:type="dxa"/>
            <w:bottom w:w="0" w:type="dxa"/>
            <w:right w:w="108" w:type="dxa"/>
          </w:tblCellMar>
        </w:tblPrEx>
        <w:trPr>
          <w:trHeight w:val="340" w:hRule="atLeast"/>
          <w:jc w:val="center"/>
        </w:trPr>
        <w:tc>
          <w:tcPr>
            <w:tcW w:w="765"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7AD96D04">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rPr>
            </w:pPr>
            <w:r>
              <w:rPr>
                <w:rFonts w:hint="eastAsia" w:ascii="仿宋_GB2312" w:hAnsi="仿宋_GB2312" w:eastAsia="仿宋_GB2312" w:cs="仿宋_GB2312"/>
                <w:snapToGrid/>
                <w:color w:val="auto"/>
                <w:sz w:val="21"/>
                <w:highlight w:val="none"/>
              </w:rPr>
              <w:t>6</w:t>
            </w:r>
          </w:p>
        </w:tc>
        <w:tc>
          <w:tcPr>
            <w:tcW w:w="9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0FFD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rPr>
            </w:pPr>
            <w:r>
              <w:rPr>
                <w:rFonts w:hint="eastAsia" w:ascii="仿宋_GB2312" w:hAnsi="仿宋_GB2312" w:eastAsia="仿宋_GB2312" w:cs="仿宋_GB2312"/>
                <w:snapToGrid/>
                <w:color w:val="auto"/>
                <w:sz w:val="21"/>
                <w:highlight w:val="none"/>
              </w:rPr>
              <w:t>东莞市</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FAD64">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E11E7">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17A94">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945A1">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FBD2F">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7</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873A3">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4119E">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7</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B9F1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3</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06296">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F0126">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05747">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0C98675">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3B606A3B">
        <w:tblPrEx>
          <w:tblCellMar>
            <w:top w:w="0" w:type="dxa"/>
            <w:left w:w="108" w:type="dxa"/>
            <w:bottom w:w="0" w:type="dxa"/>
            <w:right w:w="108" w:type="dxa"/>
          </w:tblCellMar>
        </w:tblPrEx>
        <w:trPr>
          <w:trHeight w:val="340" w:hRule="atLeast"/>
          <w:jc w:val="center"/>
        </w:trPr>
        <w:tc>
          <w:tcPr>
            <w:tcW w:w="765"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5A4F0053">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rPr>
            </w:pPr>
            <w:r>
              <w:rPr>
                <w:rFonts w:hint="eastAsia" w:ascii="仿宋_GB2312" w:hAnsi="仿宋_GB2312" w:eastAsia="仿宋_GB2312" w:cs="仿宋_GB2312"/>
                <w:snapToGrid/>
                <w:color w:val="auto"/>
                <w:sz w:val="21"/>
                <w:highlight w:val="none"/>
              </w:rPr>
              <w:t>7</w:t>
            </w:r>
          </w:p>
        </w:tc>
        <w:tc>
          <w:tcPr>
            <w:tcW w:w="9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D2FD9">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rPr>
            </w:pPr>
            <w:r>
              <w:rPr>
                <w:rFonts w:hint="eastAsia" w:ascii="仿宋_GB2312" w:hAnsi="仿宋_GB2312" w:eastAsia="仿宋_GB2312" w:cs="仿宋_GB2312"/>
                <w:snapToGrid/>
                <w:color w:val="auto"/>
                <w:sz w:val="21"/>
                <w:highlight w:val="none"/>
              </w:rPr>
              <w:t>潮州市</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E2DEE">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5239A">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31D1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28775">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69513">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45A5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3812F">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6B186">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D8A8D">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C84BB">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5AE76">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C41C7BD">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598DEA46">
        <w:tblPrEx>
          <w:tblCellMar>
            <w:top w:w="0" w:type="dxa"/>
            <w:left w:w="108" w:type="dxa"/>
            <w:bottom w:w="0" w:type="dxa"/>
            <w:right w:w="108" w:type="dxa"/>
          </w:tblCellMar>
        </w:tblPrEx>
        <w:trPr>
          <w:trHeight w:val="340" w:hRule="atLeast"/>
          <w:jc w:val="center"/>
        </w:trPr>
        <w:tc>
          <w:tcPr>
            <w:tcW w:w="765"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27492308">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rPr>
            </w:pPr>
            <w:r>
              <w:rPr>
                <w:rFonts w:hint="eastAsia" w:ascii="仿宋_GB2312" w:hAnsi="仿宋_GB2312" w:eastAsia="仿宋_GB2312" w:cs="仿宋_GB2312"/>
                <w:snapToGrid/>
                <w:color w:val="auto"/>
                <w:sz w:val="21"/>
                <w:highlight w:val="none"/>
              </w:rPr>
              <w:t>8</w:t>
            </w:r>
          </w:p>
        </w:tc>
        <w:tc>
          <w:tcPr>
            <w:tcW w:w="9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56EDD">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rPr>
            </w:pPr>
            <w:r>
              <w:rPr>
                <w:rFonts w:hint="eastAsia" w:ascii="仿宋_GB2312" w:hAnsi="仿宋_GB2312" w:eastAsia="仿宋_GB2312" w:cs="仿宋_GB2312"/>
                <w:snapToGrid/>
                <w:color w:val="auto"/>
                <w:sz w:val="21"/>
                <w:highlight w:val="none"/>
              </w:rPr>
              <w:t>揭阳市</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48E82">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5</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74C39">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F7D99">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82611">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1FB2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4</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D0337">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8C802">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2</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FE3E4">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DE3C3">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C382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876E2">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5609E3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2E4154FB">
        <w:tblPrEx>
          <w:tblCellMar>
            <w:top w:w="0" w:type="dxa"/>
            <w:left w:w="108" w:type="dxa"/>
            <w:bottom w:w="0" w:type="dxa"/>
            <w:right w:w="108" w:type="dxa"/>
          </w:tblCellMar>
        </w:tblPrEx>
        <w:trPr>
          <w:trHeight w:val="340" w:hRule="atLeast"/>
          <w:jc w:val="center"/>
        </w:trPr>
        <w:tc>
          <w:tcPr>
            <w:tcW w:w="1717" w:type="dxa"/>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BBB5134">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highlight w:val="none"/>
              </w:rPr>
              <w:t>小计</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0FC12">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21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0FE91">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3</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ABF3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37</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FE819">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8</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077DD">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30</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2609F">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4</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405E7">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16</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FEDFD">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3</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AF40C">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b/>
                <w:bCs/>
                <w:snapToGrid/>
                <w:color w:val="auto"/>
                <w:sz w:val="21"/>
                <w:szCs w:val="21"/>
                <w:highlight w:val="none"/>
                <w:lang w:val="en-US" w:eastAsia="zh-CN"/>
              </w:rPr>
              <w:t>1</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F1DE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98AEA">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A30DE93">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781587F1">
        <w:tblPrEx>
          <w:tblCellMar>
            <w:top w:w="0" w:type="dxa"/>
            <w:left w:w="108" w:type="dxa"/>
            <w:bottom w:w="0" w:type="dxa"/>
            <w:right w:w="108" w:type="dxa"/>
          </w:tblCellMar>
        </w:tblPrEx>
        <w:trPr>
          <w:trHeight w:val="340" w:hRule="atLeast"/>
          <w:jc w:val="center"/>
        </w:trPr>
        <w:tc>
          <w:tcPr>
            <w:tcW w:w="1717" w:type="dxa"/>
            <w:gridSpan w:val="2"/>
            <w:tcBorders>
              <w:top w:val="single" w:color="auto" w:sz="4" w:space="0"/>
              <w:left w:val="single" w:color="auto" w:sz="12" w:space="0"/>
              <w:bottom w:val="single" w:color="auto" w:sz="12" w:space="0"/>
              <w:right w:val="single" w:color="auto" w:sz="4" w:space="0"/>
            </w:tcBorders>
            <w:shd w:val="clear" w:color="auto" w:fill="auto"/>
            <w:noWrap/>
            <w:vAlign w:val="center"/>
          </w:tcPr>
          <w:p w14:paraId="3A23DDF8">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rPr>
            </w:pPr>
            <w:r>
              <w:rPr>
                <w:rFonts w:hint="eastAsia" w:ascii="仿宋_GB2312" w:hAnsi="仿宋_GB2312" w:eastAsia="仿宋_GB2312" w:cs="仿宋_GB2312"/>
                <w:b/>
                <w:bCs/>
                <w:snapToGrid/>
                <w:color w:val="auto"/>
                <w:sz w:val="21"/>
                <w:highlight w:val="none"/>
              </w:rPr>
              <w:t>合计</w:t>
            </w:r>
          </w:p>
        </w:tc>
        <w:tc>
          <w:tcPr>
            <w:tcW w:w="1280"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14:paraId="7A2FC215">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24</w:t>
            </w:r>
          </w:p>
        </w:tc>
        <w:tc>
          <w:tcPr>
            <w:tcW w:w="1280"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14:paraId="33CBBBA5">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45</w:t>
            </w:r>
          </w:p>
        </w:tc>
        <w:tc>
          <w:tcPr>
            <w:tcW w:w="1280"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14:paraId="61A087C5">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34</w:t>
            </w:r>
          </w:p>
        </w:tc>
        <w:tc>
          <w:tcPr>
            <w:tcW w:w="1280"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14:paraId="34E88C60">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19</w:t>
            </w:r>
          </w:p>
        </w:tc>
        <w:tc>
          <w:tcPr>
            <w:tcW w:w="1280"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14:paraId="5C51381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1</w:t>
            </w:r>
          </w:p>
        </w:tc>
        <w:tc>
          <w:tcPr>
            <w:tcW w:w="1280" w:type="dxa"/>
            <w:gridSpan w:val="2"/>
            <w:tcBorders>
              <w:top w:val="single" w:color="auto" w:sz="4" w:space="0"/>
              <w:left w:val="single" w:color="auto" w:sz="4" w:space="0"/>
              <w:bottom w:val="single" w:color="auto" w:sz="12" w:space="0"/>
              <w:right w:val="single" w:color="auto" w:sz="12" w:space="0"/>
            </w:tcBorders>
            <w:shd w:val="clear" w:color="auto" w:fill="auto"/>
            <w:noWrap/>
            <w:vAlign w:val="center"/>
          </w:tcPr>
          <w:p w14:paraId="4569F218">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szCs w:val="21"/>
                <w:highlight w:val="none"/>
                <w:lang w:val="en-US" w:eastAsia="zh-CN"/>
              </w:rPr>
            </w:pPr>
            <w:r>
              <w:rPr>
                <w:rFonts w:hint="eastAsia" w:ascii="仿宋_GB2312" w:hAnsi="仿宋_GB2312" w:eastAsia="仿宋_GB2312" w:cs="仿宋_GB2312"/>
                <w:b/>
                <w:bCs/>
                <w:snapToGrid/>
                <w:color w:val="auto"/>
                <w:sz w:val="21"/>
                <w:szCs w:val="21"/>
                <w:highlight w:val="none"/>
                <w:lang w:val="en-US" w:eastAsia="zh-CN"/>
              </w:rPr>
              <w:t>0</w:t>
            </w:r>
          </w:p>
        </w:tc>
      </w:tr>
    </w:tbl>
    <w:p w14:paraId="551E6D23">
      <w:pPr>
        <w:spacing w:line="340" w:lineRule="exact"/>
        <w:ind w:firstLine="0" w:firstLineChars="0"/>
        <w:jc w:val="center"/>
        <w:rPr>
          <w:rFonts w:hint="eastAsia" w:ascii="楷体_GB2312" w:hAnsi="楷体_GB2312" w:eastAsia="楷体_GB2312" w:cs="楷体_GB2312"/>
          <w:b/>
          <w:bCs/>
          <w:color w:val="auto"/>
          <w:sz w:val="24"/>
          <w:szCs w:val="24"/>
          <w:highlight w:val="none"/>
          <w:lang w:val="en-US" w:eastAsia="zh-CN"/>
        </w:rPr>
      </w:pPr>
      <w:r>
        <w:rPr>
          <w:rFonts w:hint="eastAsia" w:ascii="楷体_GB2312" w:hAnsi="楷体_GB2312" w:eastAsia="楷体_GB2312" w:cs="楷体_GB2312"/>
          <w:b/>
          <w:bCs/>
          <w:color w:val="auto"/>
          <w:sz w:val="24"/>
          <w:szCs w:val="24"/>
          <w:highlight w:val="none"/>
        </w:rPr>
        <w:t>表</w:t>
      </w:r>
      <w:r>
        <w:rPr>
          <w:rFonts w:hint="eastAsia" w:ascii="楷体_GB2312" w:hAnsi="楷体_GB2312" w:eastAsia="楷体_GB2312" w:cs="楷体_GB2312"/>
          <w:b/>
          <w:bCs/>
          <w:color w:val="auto"/>
          <w:sz w:val="24"/>
          <w:szCs w:val="24"/>
          <w:highlight w:val="none"/>
          <w:lang w:val="en-US" w:eastAsia="zh-CN"/>
        </w:rPr>
        <w:t>3</w:t>
      </w:r>
      <w:r>
        <w:rPr>
          <w:rFonts w:hint="eastAsia" w:ascii="楷体_GB2312" w:hAnsi="楷体_GB2312" w:eastAsia="楷体_GB2312" w:cs="楷体_GB2312"/>
          <w:b/>
          <w:bCs/>
          <w:color w:val="auto"/>
          <w:sz w:val="24"/>
          <w:szCs w:val="24"/>
          <w:highlight w:val="none"/>
        </w:rPr>
        <w:t xml:space="preserve">  包组3</w:t>
      </w:r>
      <w:r>
        <w:rPr>
          <w:rFonts w:hint="eastAsia" w:ascii="楷体_GB2312" w:hAnsi="楷体_GB2312" w:eastAsia="楷体_GB2312" w:cs="楷体_GB2312"/>
          <w:b/>
          <w:bCs/>
          <w:color w:val="auto"/>
          <w:sz w:val="24"/>
          <w:szCs w:val="24"/>
          <w:highlight w:val="none"/>
          <w:lang w:val="en-US" w:eastAsia="zh-CN"/>
        </w:rPr>
        <w:t>涉7</w:t>
      </w:r>
      <w:r>
        <w:rPr>
          <w:rFonts w:hint="eastAsia" w:ascii="楷体_GB2312" w:hAnsi="楷体_GB2312" w:eastAsia="楷体_GB2312" w:cs="楷体_GB2312"/>
          <w:b/>
          <w:bCs/>
          <w:color w:val="auto"/>
          <w:sz w:val="24"/>
          <w:szCs w:val="24"/>
          <w:highlight w:val="none"/>
        </w:rPr>
        <w:t>个地级市普通国道多功能交通调查站点车道分布</w:t>
      </w:r>
      <w:r>
        <w:rPr>
          <w:rFonts w:hint="eastAsia" w:ascii="楷体_GB2312" w:hAnsi="楷体_GB2312" w:eastAsia="楷体_GB2312" w:cs="楷体_GB2312"/>
          <w:b/>
          <w:bCs/>
          <w:color w:val="auto"/>
          <w:sz w:val="24"/>
          <w:szCs w:val="24"/>
          <w:highlight w:val="none"/>
          <w:lang w:val="en-US" w:eastAsia="zh-CN"/>
        </w:rPr>
        <w:t>表</w:t>
      </w:r>
    </w:p>
    <w:tbl>
      <w:tblPr>
        <w:tblStyle w:val="11"/>
        <w:tblW w:w="9462" w:type="dxa"/>
        <w:jc w:val="center"/>
        <w:tblLayout w:type="autofit"/>
        <w:tblCellMar>
          <w:top w:w="0" w:type="dxa"/>
          <w:left w:w="108" w:type="dxa"/>
          <w:bottom w:w="0" w:type="dxa"/>
          <w:right w:w="108" w:type="dxa"/>
        </w:tblCellMar>
      </w:tblPr>
      <w:tblGrid>
        <w:gridCol w:w="770"/>
        <w:gridCol w:w="958"/>
        <w:gridCol w:w="644"/>
        <w:gridCol w:w="645"/>
        <w:gridCol w:w="644"/>
        <w:gridCol w:w="645"/>
        <w:gridCol w:w="644"/>
        <w:gridCol w:w="645"/>
        <w:gridCol w:w="644"/>
        <w:gridCol w:w="645"/>
        <w:gridCol w:w="644"/>
        <w:gridCol w:w="645"/>
        <w:gridCol w:w="644"/>
        <w:gridCol w:w="645"/>
      </w:tblGrid>
      <w:tr w14:paraId="39E7E2C7">
        <w:tblPrEx>
          <w:tblCellMar>
            <w:top w:w="0" w:type="dxa"/>
            <w:left w:w="108" w:type="dxa"/>
            <w:bottom w:w="0" w:type="dxa"/>
            <w:right w:w="108" w:type="dxa"/>
          </w:tblCellMar>
        </w:tblPrEx>
        <w:trPr>
          <w:trHeight w:val="340" w:hRule="atLeast"/>
          <w:jc w:val="center"/>
        </w:trPr>
        <w:tc>
          <w:tcPr>
            <w:tcW w:w="770" w:type="dxa"/>
            <w:vMerge w:val="restart"/>
            <w:tcBorders>
              <w:top w:val="single" w:color="auto" w:sz="12" w:space="0"/>
              <w:left w:val="single" w:color="auto" w:sz="12" w:space="0"/>
              <w:bottom w:val="single" w:color="auto" w:sz="4" w:space="0"/>
              <w:right w:val="single" w:color="auto" w:sz="4" w:space="0"/>
            </w:tcBorders>
            <w:shd w:val="clear" w:color="auto" w:fill="auto"/>
            <w:noWrap/>
            <w:vAlign w:val="center"/>
          </w:tcPr>
          <w:p w14:paraId="4F746088">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highlight w:val="none"/>
              </w:rPr>
            </w:pPr>
            <w:r>
              <w:rPr>
                <w:rFonts w:hint="eastAsia" w:ascii="仿宋_GB2312" w:hAnsi="仿宋_GB2312" w:eastAsia="仿宋_GB2312" w:cs="仿宋_GB2312"/>
                <w:b/>
                <w:bCs/>
                <w:snapToGrid/>
                <w:color w:val="auto"/>
                <w:sz w:val="21"/>
                <w:highlight w:val="none"/>
              </w:rPr>
              <w:t>序号</w:t>
            </w:r>
          </w:p>
        </w:tc>
        <w:tc>
          <w:tcPr>
            <w:tcW w:w="958" w:type="dxa"/>
            <w:vMerge w:val="restart"/>
            <w:tcBorders>
              <w:top w:val="single" w:color="auto" w:sz="12" w:space="0"/>
              <w:left w:val="single" w:color="auto" w:sz="4" w:space="0"/>
              <w:bottom w:val="single" w:color="auto" w:sz="4" w:space="0"/>
              <w:right w:val="single" w:color="auto" w:sz="4" w:space="0"/>
            </w:tcBorders>
            <w:shd w:val="clear" w:color="auto" w:fill="auto"/>
            <w:noWrap/>
            <w:vAlign w:val="center"/>
          </w:tcPr>
          <w:p w14:paraId="7D21566F">
            <w:pPr>
              <w:kinsoku/>
              <w:autoSpaceDE/>
              <w:autoSpaceDN/>
              <w:adjustRightInd/>
              <w:snapToGrid/>
              <w:spacing w:line="24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行政</w:t>
            </w:r>
          </w:p>
          <w:p w14:paraId="3EA81D92">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highlight w:val="none"/>
              </w:rPr>
            </w:pPr>
            <w:r>
              <w:rPr>
                <w:rFonts w:hint="eastAsia" w:ascii="仿宋_GB2312" w:hAnsi="仿宋" w:eastAsia="仿宋_GB2312" w:cs="Times New Roman"/>
                <w:b/>
                <w:bCs/>
                <w:snapToGrid/>
                <w:color w:val="auto"/>
                <w:sz w:val="21"/>
                <w:szCs w:val="21"/>
                <w:highlight w:val="none"/>
              </w:rPr>
              <w:t>区划</w:t>
            </w:r>
          </w:p>
        </w:tc>
        <w:tc>
          <w:tcPr>
            <w:tcW w:w="1289"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14:paraId="52832D8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highlight w:val="none"/>
              </w:rPr>
            </w:pPr>
            <w:r>
              <w:rPr>
                <w:rFonts w:hint="eastAsia" w:ascii="仿宋_GB2312" w:hAnsi="仿宋_GB2312" w:eastAsia="仿宋_GB2312" w:cs="仿宋_GB2312"/>
                <w:b/>
                <w:bCs/>
                <w:snapToGrid/>
                <w:color w:val="auto"/>
                <w:sz w:val="21"/>
                <w:highlight w:val="none"/>
              </w:rPr>
              <w:t>2车道</w:t>
            </w:r>
          </w:p>
        </w:tc>
        <w:tc>
          <w:tcPr>
            <w:tcW w:w="1289"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14:paraId="0D7746F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highlight w:val="none"/>
              </w:rPr>
            </w:pPr>
            <w:r>
              <w:rPr>
                <w:rFonts w:hint="eastAsia" w:ascii="仿宋_GB2312" w:hAnsi="仿宋_GB2312" w:eastAsia="仿宋_GB2312" w:cs="仿宋_GB2312"/>
                <w:b/>
                <w:bCs/>
                <w:snapToGrid/>
                <w:color w:val="auto"/>
                <w:sz w:val="21"/>
                <w:highlight w:val="none"/>
              </w:rPr>
              <w:t>4车道</w:t>
            </w:r>
          </w:p>
        </w:tc>
        <w:tc>
          <w:tcPr>
            <w:tcW w:w="1289"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14:paraId="33E9B21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highlight w:val="none"/>
              </w:rPr>
            </w:pPr>
            <w:r>
              <w:rPr>
                <w:rFonts w:hint="eastAsia" w:ascii="仿宋_GB2312" w:hAnsi="仿宋_GB2312" w:eastAsia="仿宋_GB2312" w:cs="仿宋_GB2312"/>
                <w:b/>
                <w:bCs/>
                <w:snapToGrid/>
                <w:color w:val="auto"/>
                <w:sz w:val="21"/>
                <w:highlight w:val="none"/>
              </w:rPr>
              <w:t>6车道</w:t>
            </w:r>
          </w:p>
        </w:tc>
        <w:tc>
          <w:tcPr>
            <w:tcW w:w="1289"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14:paraId="2762FA9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highlight w:val="none"/>
              </w:rPr>
            </w:pPr>
            <w:r>
              <w:rPr>
                <w:rFonts w:hint="eastAsia" w:ascii="仿宋_GB2312" w:hAnsi="仿宋_GB2312" w:eastAsia="仿宋_GB2312" w:cs="仿宋_GB2312"/>
                <w:b/>
                <w:bCs/>
                <w:snapToGrid/>
                <w:color w:val="auto"/>
                <w:sz w:val="21"/>
                <w:highlight w:val="none"/>
              </w:rPr>
              <w:t>8车道</w:t>
            </w:r>
          </w:p>
        </w:tc>
        <w:tc>
          <w:tcPr>
            <w:tcW w:w="1289"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14:paraId="1B338C6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highlight w:val="none"/>
              </w:rPr>
            </w:pPr>
            <w:r>
              <w:rPr>
                <w:rFonts w:hint="eastAsia" w:ascii="仿宋_GB2312" w:hAnsi="仿宋_GB2312" w:eastAsia="仿宋_GB2312" w:cs="仿宋_GB2312"/>
                <w:b/>
                <w:bCs/>
                <w:snapToGrid/>
                <w:color w:val="auto"/>
                <w:sz w:val="21"/>
                <w:highlight w:val="none"/>
              </w:rPr>
              <w:t>10车道</w:t>
            </w:r>
          </w:p>
        </w:tc>
        <w:tc>
          <w:tcPr>
            <w:tcW w:w="1289" w:type="dxa"/>
            <w:gridSpan w:val="2"/>
            <w:tcBorders>
              <w:top w:val="single" w:color="auto" w:sz="12" w:space="0"/>
              <w:left w:val="single" w:color="auto" w:sz="4" w:space="0"/>
              <w:bottom w:val="single" w:color="auto" w:sz="4" w:space="0"/>
              <w:right w:val="single" w:color="auto" w:sz="12" w:space="0"/>
            </w:tcBorders>
            <w:shd w:val="clear" w:color="auto" w:fill="auto"/>
            <w:noWrap/>
            <w:vAlign w:val="center"/>
          </w:tcPr>
          <w:p w14:paraId="239F263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highlight w:val="none"/>
              </w:rPr>
            </w:pPr>
            <w:r>
              <w:rPr>
                <w:rFonts w:hint="eastAsia" w:ascii="仿宋_GB2312" w:hAnsi="仿宋_GB2312" w:eastAsia="仿宋_GB2312" w:cs="仿宋_GB2312"/>
                <w:b/>
                <w:bCs/>
                <w:snapToGrid/>
                <w:color w:val="auto"/>
                <w:sz w:val="21"/>
                <w:highlight w:val="none"/>
              </w:rPr>
              <w:t>12车道</w:t>
            </w:r>
          </w:p>
        </w:tc>
      </w:tr>
      <w:tr w14:paraId="17611606">
        <w:tblPrEx>
          <w:tblCellMar>
            <w:top w:w="0" w:type="dxa"/>
            <w:left w:w="108" w:type="dxa"/>
            <w:bottom w:w="0" w:type="dxa"/>
            <w:right w:w="108" w:type="dxa"/>
          </w:tblCellMar>
        </w:tblPrEx>
        <w:trPr>
          <w:trHeight w:val="340" w:hRule="atLeast"/>
          <w:jc w:val="center"/>
        </w:trPr>
        <w:tc>
          <w:tcPr>
            <w:tcW w:w="770" w:type="dxa"/>
            <w:vMerge w:val="continue"/>
            <w:tcBorders>
              <w:top w:val="single" w:color="auto" w:sz="4" w:space="0"/>
              <w:left w:val="single" w:color="auto" w:sz="12" w:space="0"/>
              <w:bottom w:val="double" w:color="auto" w:sz="4" w:space="0"/>
              <w:right w:val="single" w:color="auto" w:sz="4" w:space="0"/>
            </w:tcBorders>
            <w:vAlign w:val="center"/>
          </w:tcPr>
          <w:p w14:paraId="0FF3CD2E">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仿宋_GB2312" w:hAnsi="仿宋_GB2312" w:eastAsia="仿宋_GB2312" w:cs="仿宋_GB2312"/>
                <w:b/>
                <w:bCs/>
                <w:snapToGrid/>
                <w:color w:val="auto"/>
                <w:sz w:val="21"/>
                <w:highlight w:val="none"/>
              </w:rPr>
            </w:pPr>
          </w:p>
        </w:tc>
        <w:tc>
          <w:tcPr>
            <w:tcW w:w="958" w:type="dxa"/>
            <w:vMerge w:val="continue"/>
            <w:tcBorders>
              <w:top w:val="single" w:color="auto" w:sz="4" w:space="0"/>
              <w:left w:val="single" w:color="auto" w:sz="4" w:space="0"/>
              <w:bottom w:val="double" w:color="auto" w:sz="4" w:space="0"/>
              <w:right w:val="single" w:color="auto" w:sz="4" w:space="0"/>
            </w:tcBorders>
            <w:vAlign w:val="center"/>
          </w:tcPr>
          <w:p w14:paraId="17130BDF">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仿宋_GB2312" w:hAnsi="仿宋_GB2312" w:eastAsia="仿宋_GB2312" w:cs="仿宋_GB2312"/>
                <w:b/>
                <w:bCs/>
                <w:snapToGrid/>
                <w:color w:val="auto"/>
                <w:sz w:val="21"/>
                <w:highlight w:val="none"/>
              </w:rPr>
            </w:pPr>
          </w:p>
        </w:tc>
        <w:tc>
          <w:tcPr>
            <w:tcW w:w="644" w:type="dxa"/>
            <w:tcBorders>
              <w:top w:val="single" w:color="auto" w:sz="4" w:space="0"/>
              <w:left w:val="single" w:color="auto" w:sz="4" w:space="0"/>
              <w:bottom w:val="double" w:color="auto" w:sz="4" w:space="0"/>
              <w:right w:val="single" w:color="auto" w:sz="4" w:space="0"/>
            </w:tcBorders>
            <w:shd w:val="clear" w:color="auto" w:fill="auto"/>
            <w:noWrap/>
            <w:vAlign w:val="center"/>
          </w:tcPr>
          <w:p w14:paraId="50BB194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新建</w:t>
            </w:r>
          </w:p>
        </w:tc>
        <w:tc>
          <w:tcPr>
            <w:tcW w:w="645" w:type="dxa"/>
            <w:tcBorders>
              <w:top w:val="single" w:color="auto" w:sz="4" w:space="0"/>
              <w:left w:val="single" w:color="auto" w:sz="4" w:space="0"/>
              <w:bottom w:val="double" w:color="auto" w:sz="4" w:space="0"/>
              <w:right w:val="single" w:color="auto" w:sz="4" w:space="0"/>
            </w:tcBorders>
            <w:shd w:val="clear" w:color="auto" w:fill="auto"/>
            <w:noWrap/>
            <w:vAlign w:val="center"/>
          </w:tcPr>
          <w:p w14:paraId="34C61D5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改造</w:t>
            </w:r>
          </w:p>
        </w:tc>
        <w:tc>
          <w:tcPr>
            <w:tcW w:w="644" w:type="dxa"/>
            <w:tcBorders>
              <w:top w:val="single" w:color="auto" w:sz="4" w:space="0"/>
              <w:left w:val="single" w:color="auto" w:sz="4" w:space="0"/>
              <w:bottom w:val="double" w:color="auto" w:sz="4" w:space="0"/>
              <w:right w:val="single" w:color="auto" w:sz="4" w:space="0"/>
            </w:tcBorders>
            <w:shd w:val="clear" w:color="auto" w:fill="auto"/>
            <w:noWrap/>
            <w:vAlign w:val="center"/>
          </w:tcPr>
          <w:p w14:paraId="2F5FD32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新建</w:t>
            </w:r>
          </w:p>
        </w:tc>
        <w:tc>
          <w:tcPr>
            <w:tcW w:w="645" w:type="dxa"/>
            <w:tcBorders>
              <w:top w:val="single" w:color="auto" w:sz="4" w:space="0"/>
              <w:left w:val="single" w:color="auto" w:sz="4" w:space="0"/>
              <w:bottom w:val="double" w:color="auto" w:sz="4" w:space="0"/>
              <w:right w:val="single" w:color="auto" w:sz="4" w:space="0"/>
            </w:tcBorders>
            <w:shd w:val="clear" w:color="auto" w:fill="auto"/>
            <w:noWrap/>
            <w:vAlign w:val="center"/>
          </w:tcPr>
          <w:p w14:paraId="0A33EBB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改造</w:t>
            </w:r>
          </w:p>
        </w:tc>
        <w:tc>
          <w:tcPr>
            <w:tcW w:w="644" w:type="dxa"/>
            <w:tcBorders>
              <w:top w:val="single" w:color="auto" w:sz="4" w:space="0"/>
              <w:left w:val="single" w:color="auto" w:sz="4" w:space="0"/>
              <w:bottom w:val="double" w:color="auto" w:sz="4" w:space="0"/>
              <w:right w:val="single" w:color="auto" w:sz="4" w:space="0"/>
            </w:tcBorders>
            <w:shd w:val="clear" w:color="auto" w:fill="auto"/>
            <w:noWrap/>
            <w:vAlign w:val="center"/>
          </w:tcPr>
          <w:p w14:paraId="04E5901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新建</w:t>
            </w:r>
          </w:p>
        </w:tc>
        <w:tc>
          <w:tcPr>
            <w:tcW w:w="645" w:type="dxa"/>
            <w:tcBorders>
              <w:top w:val="single" w:color="auto" w:sz="4" w:space="0"/>
              <w:left w:val="single" w:color="auto" w:sz="4" w:space="0"/>
              <w:bottom w:val="double" w:color="auto" w:sz="4" w:space="0"/>
              <w:right w:val="single" w:color="auto" w:sz="4" w:space="0"/>
            </w:tcBorders>
            <w:shd w:val="clear" w:color="auto" w:fill="auto"/>
            <w:noWrap/>
            <w:vAlign w:val="center"/>
          </w:tcPr>
          <w:p w14:paraId="75D56AF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改造</w:t>
            </w:r>
          </w:p>
        </w:tc>
        <w:tc>
          <w:tcPr>
            <w:tcW w:w="644" w:type="dxa"/>
            <w:tcBorders>
              <w:top w:val="single" w:color="auto" w:sz="4" w:space="0"/>
              <w:left w:val="single" w:color="auto" w:sz="4" w:space="0"/>
              <w:bottom w:val="double" w:color="auto" w:sz="4" w:space="0"/>
              <w:right w:val="single" w:color="auto" w:sz="4" w:space="0"/>
            </w:tcBorders>
            <w:shd w:val="clear" w:color="auto" w:fill="auto"/>
            <w:noWrap/>
            <w:vAlign w:val="center"/>
          </w:tcPr>
          <w:p w14:paraId="177570C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新建</w:t>
            </w:r>
          </w:p>
        </w:tc>
        <w:tc>
          <w:tcPr>
            <w:tcW w:w="645" w:type="dxa"/>
            <w:tcBorders>
              <w:top w:val="single" w:color="auto" w:sz="4" w:space="0"/>
              <w:left w:val="single" w:color="auto" w:sz="4" w:space="0"/>
              <w:bottom w:val="double" w:color="auto" w:sz="4" w:space="0"/>
              <w:right w:val="single" w:color="auto" w:sz="4" w:space="0"/>
            </w:tcBorders>
            <w:shd w:val="clear" w:color="auto" w:fill="auto"/>
            <w:noWrap/>
            <w:vAlign w:val="center"/>
          </w:tcPr>
          <w:p w14:paraId="0F75580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改造</w:t>
            </w:r>
          </w:p>
        </w:tc>
        <w:tc>
          <w:tcPr>
            <w:tcW w:w="644" w:type="dxa"/>
            <w:tcBorders>
              <w:top w:val="single" w:color="auto" w:sz="4" w:space="0"/>
              <w:left w:val="single" w:color="auto" w:sz="4" w:space="0"/>
              <w:bottom w:val="double" w:color="auto" w:sz="4" w:space="0"/>
              <w:right w:val="single" w:color="auto" w:sz="4" w:space="0"/>
            </w:tcBorders>
            <w:shd w:val="clear" w:color="auto" w:fill="auto"/>
            <w:noWrap/>
            <w:vAlign w:val="center"/>
          </w:tcPr>
          <w:p w14:paraId="23BF633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新建</w:t>
            </w:r>
          </w:p>
        </w:tc>
        <w:tc>
          <w:tcPr>
            <w:tcW w:w="645" w:type="dxa"/>
            <w:tcBorders>
              <w:top w:val="single" w:color="auto" w:sz="4" w:space="0"/>
              <w:left w:val="single" w:color="auto" w:sz="4" w:space="0"/>
              <w:bottom w:val="double" w:color="auto" w:sz="4" w:space="0"/>
              <w:right w:val="single" w:color="auto" w:sz="4" w:space="0"/>
            </w:tcBorders>
            <w:shd w:val="clear" w:color="auto" w:fill="auto"/>
            <w:noWrap/>
            <w:vAlign w:val="center"/>
          </w:tcPr>
          <w:p w14:paraId="004EA1F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改造</w:t>
            </w:r>
          </w:p>
        </w:tc>
        <w:tc>
          <w:tcPr>
            <w:tcW w:w="644" w:type="dxa"/>
            <w:tcBorders>
              <w:top w:val="single" w:color="auto" w:sz="4" w:space="0"/>
              <w:left w:val="single" w:color="auto" w:sz="4" w:space="0"/>
              <w:bottom w:val="double" w:color="auto" w:sz="4" w:space="0"/>
              <w:right w:val="single" w:color="auto" w:sz="4" w:space="0"/>
            </w:tcBorders>
            <w:shd w:val="clear" w:color="auto" w:fill="auto"/>
            <w:noWrap/>
            <w:vAlign w:val="center"/>
          </w:tcPr>
          <w:p w14:paraId="63A8E1F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新建</w:t>
            </w:r>
          </w:p>
        </w:tc>
        <w:tc>
          <w:tcPr>
            <w:tcW w:w="645" w:type="dxa"/>
            <w:tcBorders>
              <w:top w:val="single" w:color="auto" w:sz="4" w:space="0"/>
              <w:left w:val="single" w:color="auto" w:sz="4" w:space="0"/>
              <w:bottom w:val="double" w:color="auto" w:sz="4" w:space="0"/>
              <w:right w:val="single" w:color="auto" w:sz="12" w:space="0"/>
            </w:tcBorders>
            <w:shd w:val="clear" w:color="auto" w:fill="auto"/>
            <w:noWrap/>
            <w:vAlign w:val="center"/>
          </w:tcPr>
          <w:p w14:paraId="60F19B0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改造</w:t>
            </w:r>
          </w:p>
        </w:tc>
      </w:tr>
      <w:tr w14:paraId="68D9D04D">
        <w:tblPrEx>
          <w:tblCellMar>
            <w:top w:w="0" w:type="dxa"/>
            <w:left w:w="108" w:type="dxa"/>
            <w:bottom w:w="0" w:type="dxa"/>
            <w:right w:w="108" w:type="dxa"/>
          </w:tblCellMar>
        </w:tblPrEx>
        <w:trPr>
          <w:trHeight w:val="340" w:hRule="atLeast"/>
          <w:jc w:val="center"/>
        </w:trPr>
        <w:tc>
          <w:tcPr>
            <w:tcW w:w="770" w:type="dxa"/>
            <w:tcBorders>
              <w:top w:val="double" w:color="auto" w:sz="4" w:space="0"/>
              <w:left w:val="single" w:color="auto" w:sz="12" w:space="0"/>
              <w:bottom w:val="single" w:color="auto" w:sz="4" w:space="0"/>
              <w:right w:val="single" w:color="auto" w:sz="4" w:space="0"/>
            </w:tcBorders>
            <w:shd w:val="clear" w:color="auto" w:fill="auto"/>
            <w:noWrap/>
            <w:vAlign w:val="center"/>
          </w:tcPr>
          <w:p w14:paraId="2F83E57C">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1</w:t>
            </w:r>
          </w:p>
        </w:tc>
        <w:tc>
          <w:tcPr>
            <w:tcW w:w="958" w:type="dxa"/>
            <w:tcBorders>
              <w:top w:val="double" w:color="auto" w:sz="4" w:space="0"/>
              <w:left w:val="single" w:color="auto" w:sz="4" w:space="0"/>
              <w:bottom w:val="single" w:color="auto" w:sz="4" w:space="0"/>
              <w:right w:val="single" w:color="auto" w:sz="4" w:space="0"/>
            </w:tcBorders>
            <w:shd w:val="clear" w:color="auto" w:fill="auto"/>
            <w:noWrap/>
            <w:vAlign w:val="center"/>
          </w:tcPr>
          <w:p w14:paraId="500E4EDA">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highlight w:val="none"/>
              </w:rPr>
              <w:t>中山市</w:t>
            </w:r>
          </w:p>
        </w:tc>
        <w:tc>
          <w:tcPr>
            <w:tcW w:w="644" w:type="dxa"/>
            <w:tcBorders>
              <w:top w:val="double" w:color="auto" w:sz="4" w:space="0"/>
              <w:left w:val="single" w:color="auto" w:sz="4" w:space="0"/>
              <w:bottom w:val="single" w:color="auto" w:sz="4" w:space="0"/>
              <w:right w:val="single" w:color="auto" w:sz="4" w:space="0"/>
            </w:tcBorders>
            <w:shd w:val="clear" w:color="auto" w:fill="auto"/>
            <w:noWrap/>
            <w:vAlign w:val="center"/>
          </w:tcPr>
          <w:p w14:paraId="77986B72">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double" w:color="auto" w:sz="4" w:space="0"/>
              <w:left w:val="single" w:color="auto" w:sz="4" w:space="0"/>
              <w:bottom w:val="single" w:color="auto" w:sz="4" w:space="0"/>
              <w:right w:val="single" w:color="auto" w:sz="4" w:space="0"/>
            </w:tcBorders>
            <w:shd w:val="clear" w:color="auto" w:fill="auto"/>
            <w:noWrap/>
            <w:vAlign w:val="center"/>
          </w:tcPr>
          <w:p w14:paraId="4A01612A">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double" w:color="auto" w:sz="4" w:space="0"/>
              <w:left w:val="single" w:color="auto" w:sz="4" w:space="0"/>
              <w:bottom w:val="single" w:color="auto" w:sz="4" w:space="0"/>
              <w:right w:val="single" w:color="auto" w:sz="4" w:space="0"/>
            </w:tcBorders>
            <w:shd w:val="clear" w:color="auto" w:fill="auto"/>
            <w:noWrap/>
            <w:vAlign w:val="center"/>
          </w:tcPr>
          <w:p w14:paraId="6A934EB7">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double" w:color="auto" w:sz="4" w:space="0"/>
              <w:left w:val="single" w:color="auto" w:sz="4" w:space="0"/>
              <w:bottom w:val="single" w:color="auto" w:sz="4" w:space="0"/>
              <w:right w:val="single" w:color="auto" w:sz="4" w:space="0"/>
            </w:tcBorders>
            <w:shd w:val="clear" w:color="auto" w:fill="auto"/>
            <w:noWrap/>
            <w:vAlign w:val="center"/>
          </w:tcPr>
          <w:p w14:paraId="5E833D4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double" w:color="auto" w:sz="4" w:space="0"/>
              <w:left w:val="single" w:color="auto" w:sz="4" w:space="0"/>
              <w:bottom w:val="single" w:color="auto" w:sz="4" w:space="0"/>
              <w:right w:val="single" w:color="auto" w:sz="4" w:space="0"/>
            </w:tcBorders>
            <w:shd w:val="clear" w:color="auto" w:fill="auto"/>
            <w:noWrap/>
            <w:vAlign w:val="center"/>
          </w:tcPr>
          <w:p w14:paraId="1FA85613">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double" w:color="auto" w:sz="4" w:space="0"/>
              <w:left w:val="single" w:color="auto" w:sz="4" w:space="0"/>
              <w:bottom w:val="single" w:color="auto" w:sz="4" w:space="0"/>
              <w:right w:val="single" w:color="auto" w:sz="4" w:space="0"/>
            </w:tcBorders>
            <w:shd w:val="clear" w:color="auto" w:fill="auto"/>
            <w:noWrap/>
            <w:vAlign w:val="center"/>
          </w:tcPr>
          <w:p w14:paraId="218DD93A">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double" w:color="auto" w:sz="4" w:space="0"/>
              <w:left w:val="single" w:color="auto" w:sz="4" w:space="0"/>
              <w:bottom w:val="single" w:color="auto" w:sz="4" w:space="0"/>
              <w:right w:val="single" w:color="auto" w:sz="4" w:space="0"/>
            </w:tcBorders>
            <w:shd w:val="clear" w:color="auto" w:fill="auto"/>
            <w:noWrap/>
            <w:vAlign w:val="center"/>
          </w:tcPr>
          <w:p w14:paraId="1A8C9CDA">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7</w:t>
            </w:r>
          </w:p>
        </w:tc>
        <w:tc>
          <w:tcPr>
            <w:tcW w:w="645" w:type="dxa"/>
            <w:tcBorders>
              <w:top w:val="double" w:color="auto" w:sz="4" w:space="0"/>
              <w:left w:val="single" w:color="auto" w:sz="4" w:space="0"/>
              <w:bottom w:val="single" w:color="auto" w:sz="4" w:space="0"/>
              <w:right w:val="single" w:color="auto" w:sz="4" w:space="0"/>
            </w:tcBorders>
            <w:shd w:val="clear" w:color="auto" w:fill="auto"/>
            <w:noWrap/>
            <w:vAlign w:val="center"/>
          </w:tcPr>
          <w:p w14:paraId="3B358033">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double" w:color="auto" w:sz="4" w:space="0"/>
              <w:left w:val="single" w:color="auto" w:sz="4" w:space="0"/>
              <w:bottom w:val="single" w:color="auto" w:sz="4" w:space="0"/>
              <w:right w:val="single" w:color="auto" w:sz="4" w:space="0"/>
            </w:tcBorders>
            <w:shd w:val="clear" w:color="auto" w:fill="auto"/>
            <w:noWrap/>
            <w:vAlign w:val="center"/>
          </w:tcPr>
          <w:p w14:paraId="37EAF630">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3</w:t>
            </w:r>
          </w:p>
        </w:tc>
        <w:tc>
          <w:tcPr>
            <w:tcW w:w="645" w:type="dxa"/>
            <w:tcBorders>
              <w:top w:val="double" w:color="auto" w:sz="4" w:space="0"/>
              <w:left w:val="single" w:color="auto" w:sz="4" w:space="0"/>
              <w:bottom w:val="single" w:color="auto" w:sz="4" w:space="0"/>
              <w:right w:val="single" w:color="auto" w:sz="4" w:space="0"/>
            </w:tcBorders>
            <w:shd w:val="clear" w:color="auto" w:fill="auto"/>
            <w:noWrap/>
            <w:vAlign w:val="center"/>
          </w:tcPr>
          <w:p w14:paraId="0DB1C4AA">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double" w:color="auto" w:sz="4" w:space="0"/>
              <w:left w:val="single" w:color="auto" w:sz="4" w:space="0"/>
              <w:bottom w:val="single" w:color="auto" w:sz="4" w:space="0"/>
              <w:right w:val="single" w:color="auto" w:sz="4" w:space="0"/>
            </w:tcBorders>
            <w:shd w:val="clear" w:color="auto" w:fill="auto"/>
            <w:noWrap/>
            <w:vAlign w:val="center"/>
          </w:tcPr>
          <w:p w14:paraId="15B821F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double" w:color="auto" w:sz="4" w:space="0"/>
              <w:left w:val="single" w:color="auto" w:sz="4" w:space="0"/>
              <w:bottom w:val="single" w:color="auto" w:sz="4" w:space="0"/>
              <w:right w:val="single" w:color="auto" w:sz="12" w:space="0"/>
            </w:tcBorders>
            <w:shd w:val="clear" w:color="auto" w:fill="auto"/>
            <w:noWrap/>
            <w:vAlign w:val="center"/>
          </w:tcPr>
          <w:p w14:paraId="4C3C102B">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47245982">
        <w:tblPrEx>
          <w:tblCellMar>
            <w:top w:w="0" w:type="dxa"/>
            <w:left w:w="108" w:type="dxa"/>
            <w:bottom w:w="0" w:type="dxa"/>
            <w:right w:w="108" w:type="dxa"/>
          </w:tblCellMar>
        </w:tblPrEx>
        <w:trPr>
          <w:trHeight w:val="340" w:hRule="atLeast"/>
          <w:jc w:val="center"/>
        </w:trPr>
        <w:tc>
          <w:tcPr>
            <w:tcW w:w="770"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7E99C3B5">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2</w:t>
            </w:r>
          </w:p>
        </w:tc>
        <w:tc>
          <w:tcPr>
            <w:tcW w:w="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3328B">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highlight w:val="none"/>
              </w:rPr>
              <w:t>江门市</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9F445">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458A2">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34BAD">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3</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556D6">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5C411">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B2962">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2</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0920F">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8D12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04898">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0DE59">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6903D">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1A46E1C">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1786A87C">
        <w:tblPrEx>
          <w:tblCellMar>
            <w:top w:w="0" w:type="dxa"/>
            <w:left w:w="108" w:type="dxa"/>
            <w:bottom w:w="0" w:type="dxa"/>
            <w:right w:w="108" w:type="dxa"/>
          </w:tblCellMar>
        </w:tblPrEx>
        <w:trPr>
          <w:trHeight w:val="340" w:hRule="atLeast"/>
          <w:jc w:val="center"/>
        </w:trPr>
        <w:tc>
          <w:tcPr>
            <w:tcW w:w="770"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19C29B2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3</w:t>
            </w:r>
          </w:p>
        </w:tc>
        <w:tc>
          <w:tcPr>
            <w:tcW w:w="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96527">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highlight w:val="none"/>
              </w:rPr>
              <w:t>阳江市</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3E3E0">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1D2FA">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36080">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C116F">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35547">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1E0CC">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6F337">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B8EA1">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E980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A7E27">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5BEA4">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A9B07F3">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48AB2705">
        <w:tblPrEx>
          <w:tblCellMar>
            <w:top w:w="0" w:type="dxa"/>
            <w:left w:w="108" w:type="dxa"/>
            <w:bottom w:w="0" w:type="dxa"/>
            <w:right w:w="108" w:type="dxa"/>
          </w:tblCellMar>
        </w:tblPrEx>
        <w:trPr>
          <w:trHeight w:val="340" w:hRule="atLeast"/>
          <w:jc w:val="center"/>
        </w:trPr>
        <w:tc>
          <w:tcPr>
            <w:tcW w:w="770"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185B72E2">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4</w:t>
            </w:r>
          </w:p>
        </w:tc>
        <w:tc>
          <w:tcPr>
            <w:tcW w:w="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E6AE2">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highlight w:val="none"/>
              </w:rPr>
              <w:t>湛江市</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B40B7">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20209">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5E136">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19</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F94B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2</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9E746">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40DD2">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AEFFA">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B7F68">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96CEF">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84852">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098FF">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63E4E01">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4F09E9EC">
        <w:tblPrEx>
          <w:tblCellMar>
            <w:top w:w="0" w:type="dxa"/>
            <w:left w:w="108" w:type="dxa"/>
            <w:bottom w:w="0" w:type="dxa"/>
            <w:right w:w="108" w:type="dxa"/>
          </w:tblCellMar>
        </w:tblPrEx>
        <w:trPr>
          <w:trHeight w:val="340" w:hRule="atLeast"/>
          <w:jc w:val="center"/>
        </w:trPr>
        <w:tc>
          <w:tcPr>
            <w:tcW w:w="770"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4C0AC463">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5</w:t>
            </w:r>
          </w:p>
        </w:tc>
        <w:tc>
          <w:tcPr>
            <w:tcW w:w="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66C95">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highlight w:val="none"/>
              </w:rPr>
              <w:t>茂名市</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54BAD">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3</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F826B">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1749C">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10</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1DC4E">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E1EB0">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4422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03FA8">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D26A1">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98F7C">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BAC51">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34EAC">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AB2DDBD">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3BF06318">
        <w:tblPrEx>
          <w:tblCellMar>
            <w:top w:w="0" w:type="dxa"/>
            <w:left w:w="108" w:type="dxa"/>
            <w:bottom w:w="0" w:type="dxa"/>
            <w:right w:w="108" w:type="dxa"/>
          </w:tblCellMar>
        </w:tblPrEx>
        <w:trPr>
          <w:trHeight w:val="340" w:hRule="atLeast"/>
          <w:jc w:val="center"/>
        </w:trPr>
        <w:tc>
          <w:tcPr>
            <w:tcW w:w="770"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56DC1E6B">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6</w:t>
            </w:r>
          </w:p>
        </w:tc>
        <w:tc>
          <w:tcPr>
            <w:tcW w:w="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0F9B5">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highlight w:val="none"/>
              </w:rPr>
              <w:t>肇庆市</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E300D">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9</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26749">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D3EF1">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D9079">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3</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91F15">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8B81A">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EDE15">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65569">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B0A49">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CCE4C">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739DC">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1</w:t>
            </w:r>
          </w:p>
        </w:tc>
        <w:tc>
          <w:tcPr>
            <w:tcW w:w="645"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D2624C8">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275CDA0A">
        <w:tblPrEx>
          <w:tblCellMar>
            <w:top w:w="0" w:type="dxa"/>
            <w:left w:w="108" w:type="dxa"/>
            <w:bottom w:w="0" w:type="dxa"/>
            <w:right w:w="108" w:type="dxa"/>
          </w:tblCellMar>
        </w:tblPrEx>
        <w:trPr>
          <w:trHeight w:val="340" w:hRule="atLeast"/>
          <w:jc w:val="center"/>
        </w:trPr>
        <w:tc>
          <w:tcPr>
            <w:tcW w:w="770"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13B0E9E7">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highlight w:val="none"/>
              </w:rPr>
            </w:pPr>
            <w:r>
              <w:rPr>
                <w:rFonts w:hint="eastAsia" w:ascii="仿宋_GB2312" w:hAnsi="仿宋_GB2312" w:eastAsia="仿宋_GB2312" w:cs="仿宋_GB2312"/>
                <w:snapToGrid/>
                <w:color w:val="auto"/>
                <w:sz w:val="21"/>
                <w:highlight w:val="none"/>
              </w:rPr>
              <w:t>7</w:t>
            </w:r>
          </w:p>
        </w:tc>
        <w:tc>
          <w:tcPr>
            <w:tcW w:w="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BB299">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highlight w:val="none"/>
              </w:rPr>
              <w:t>云浮市</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18905">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3</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51DA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854D1">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6</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D606A">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7301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2DD52">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AB4F4">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598ED">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5249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9A8E0">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EC826">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c>
          <w:tcPr>
            <w:tcW w:w="645"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AB4400E">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snapToGrid/>
                <w:color w:val="auto"/>
                <w:sz w:val="21"/>
                <w:szCs w:val="21"/>
                <w:highlight w:val="none"/>
                <w:lang w:val="en-US" w:eastAsia="zh-CN" w:bidi="ar-SA"/>
              </w:rPr>
            </w:pPr>
            <w:r>
              <w:rPr>
                <w:rFonts w:hint="eastAsia" w:ascii="仿宋_GB2312" w:hAnsi="仿宋_GB2312" w:eastAsia="仿宋_GB2312" w:cs="仿宋_GB2312"/>
                <w:snapToGrid/>
                <w:color w:val="auto"/>
                <w:sz w:val="21"/>
                <w:szCs w:val="21"/>
                <w:highlight w:val="none"/>
                <w:lang w:val="en-US" w:eastAsia="zh-CN" w:bidi="ar-SA"/>
              </w:rPr>
              <w:t>\</w:t>
            </w:r>
          </w:p>
        </w:tc>
      </w:tr>
      <w:tr w14:paraId="18C1FA8B">
        <w:tblPrEx>
          <w:tblCellMar>
            <w:top w:w="0" w:type="dxa"/>
            <w:left w:w="108" w:type="dxa"/>
            <w:bottom w:w="0" w:type="dxa"/>
            <w:right w:w="108" w:type="dxa"/>
          </w:tblCellMar>
        </w:tblPrEx>
        <w:trPr>
          <w:trHeight w:val="340" w:hRule="atLeast"/>
          <w:jc w:val="center"/>
        </w:trPr>
        <w:tc>
          <w:tcPr>
            <w:tcW w:w="1728" w:type="dxa"/>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7C61D939">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highlight w:val="none"/>
              </w:rPr>
            </w:pPr>
            <w:r>
              <w:rPr>
                <w:rFonts w:hint="eastAsia" w:ascii="仿宋_GB2312" w:hAnsi="仿宋_GB2312" w:eastAsia="仿宋_GB2312" w:cs="仿宋_GB2312"/>
                <w:b/>
                <w:bCs/>
                <w:snapToGrid/>
                <w:color w:val="auto"/>
                <w:sz w:val="21"/>
                <w:highlight w:val="none"/>
              </w:rPr>
              <w:t>小计</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759B1">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26</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8AA0C">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1</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08AE4">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54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D2253">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6</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A874B">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22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52A7A">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3</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B6942">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8</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1C1C5">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396A2">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3</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68630">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6C843">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1</w:t>
            </w:r>
          </w:p>
        </w:tc>
        <w:tc>
          <w:tcPr>
            <w:tcW w:w="645"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74D9099">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0</w:t>
            </w:r>
          </w:p>
        </w:tc>
      </w:tr>
      <w:tr w14:paraId="0CD39605">
        <w:tblPrEx>
          <w:tblCellMar>
            <w:top w:w="0" w:type="dxa"/>
            <w:left w:w="108" w:type="dxa"/>
            <w:bottom w:w="0" w:type="dxa"/>
            <w:right w:w="108" w:type="dxa"/>
          </w:tblCellMar>
        </w:tblPrEx>
        <w:trPr>
          <w:trHeight w:val="340" w:hRule="atLeast"/>
          <w:jc w:val="center"/>
        </w:trPr>
        <w:tc>
          <w:tcPr>
            <w:tcW w:w="1728" w:type="dxa"/>
            <w:gridSpan w:val="2"/>
            <w:tcBorders>
              <w:top w:val="single" w:color="auto" w:sz="4" w:space="0"/>
              <w:left w:val="single" w:color="auto" w:sz="12" w:space="0"/>
              <w:bottom w:val="single" w:color="auto" w:sz="12" w:space="0"/>
              <w:right w:val="single" w:color="auto" w:sz="4" w:space="0"/>
            </w:tcBorders>
            <w:shd w:val="clear" w:color="auto" w:fill="auto"/>
            <w:noWrap/>
            <w:vAlign w:val="center"/>
          </w:tcPr>
          <w:p w14:paraId="64B56476">
            <w:pPr>
              <w:kinsoku/>
              <w:autoSpaceDE/>
              <w:autoSpaceDN/>
              <w:adjustRightInd/>
              <w:snapToGrid/>
              <w:spacing w:line="240" w:lineRule="exact"/>
              <w:ind w:firstLine="0" w:firstLineChars="0"/>
              <w:jc w:val="center"/>
              <w:textAlignment w:val="auto"/>
              <w:rPr>
                <w:rFonts w:hint="eastAsia" w:ascii="仿宋_GB2312" w:hAnsi="仿宋_GB2312" w:eastAsia="仿宋_GB2312" w:cs="仿宋_GB2312"/>
                <w:b/>
                <w:bCs/>
                <w:snapToGrid/>
                <w:color w:val="auto"/>
                <w:sz w:val="21"/>
                <w:highlight w:val="none"/>
              </w:rPr>
            </w:pPr>
            <w:r>
              <w:rPr>
                <w:rFonts w:hint="eastAsia" w:ascii="仿宋_GB2312" w:hAnsi="仿宋_GB2312" w:eastAsia="仿宋_GB2312" w:cs="仿宋_GB2312"/>
                <w:b/>
                <w:bCs/>
                <w:snapToGrid/>
                <w:color w:val="auto"/>
                <w:sz w:val="21"/>
                <w:highlight w:val="none"/>
              </w:rPr>
              <w:t>合计</w:t>
            </w:r>
          </w:p>
        </w:tc>
        <w:tc>
          <w:tcPr>
            <w:tcW w:w="1289"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14:paraId="1DDBE507">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27</w:t>
            </w:r>
          </w:p>
        </w:tc>
        <w:tc>
          <w:tcPr>
            <w:tcW w:w="1289"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14:paraId="17EDEF13">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60</w:t>
            </w:r>
          </w:p>
        </w:tc>
        <w:tc>
          <w:tcPr>
            <w:tcW w:w="1289"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14:paraId="1DF961DA">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25</w:t>
            </w:r>
          </w:p>
        </w:tc>
        <w:tc>
          <w:tcPr>
            <w:tcW w:w="1289"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14:paraId="032BB9A5">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8</w:t>
            </w:r>
          </w:p>
        </w:tc>
        <w:tc>
          <w:tcPr>
            <w:tcW w:w="1289"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14:paraId="3F7DB36D">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3</w:t>
            </w:r>
          </w:p>
        </w:tc>
        <w:tc>
          <w:tcPr>
            <w:tcW w:w="1289" w:type="dxa"/>
            <w:gridSpan w:val="2"/>
            <w:tcBorders>
              <w:top w:val="single" w:color="auto" w:sz="4" w:space="0"/>
              <w:left w:val="single" w:color="auto" w:sz="4" w:space="0"/>
              <w:bottom w:val="single" w:color="auto" w:sz="12" w:space="0"/>
              <w:right w:val="single" w:color="auto" w:sz="12" w:space="0"/>
            </w:tcBorders>
            <w:shd w:val="clear" w:color="auto" w:fill="auto"/>
            <w:noWrap/>
            <w:vAlign w:val="center"/>
          </w:tcPr>
          <w:p w14:paraId="54593730">
            <w:pPr>
              <w:kinsoku/>
              <w:autoSpaceDE/>
              <w:autoSpaceDN/>
              <w:adjustRightInd/>
              <w:snapToGrid/>
              <w:spacing w:line="240" w:lineRule="exact"/>
              <w:ind w:firstLine="0" w:firstLineChars="0"/>
              <w:jc w:val="center"/>
              <w:textAlignment w:val="auto"/>
              <w:rPr>
                <w:rFonts w:hint="default" w:ascii="仿宋_GB2312" w:hAnsi="仿宋_GB2312" w:eastAsia="仿宋_GB2312" w:cs="仿宋_GB2312"/>
                <w:b/>
                <w:bCs/>
                <w:snapToGrid/>
                <w:color w:val="auto"/>
                <w:sz w:val="21"/>
                <w:highlight w:val="none"/>
                <w:lang w:val="en-US" w:eastAsia="zh-CN"/>
              </w:rPr>
            </w:pPr>
            <w:r>
              <w:rPr>
                <w:rFonts w:hint="eastAsia" w:ascii="仿宋_GB2312" w:hAnsi="仿宋_GB2312" w:eastAsia="仿宋_GB2312" w:cs="仿宋_GB2312"/>
                <w:b/>
                <w:bCs/>
                <w:snapToGrid/>
                <w:color w:val="auto"/>
                <w:sz w:val="21"/>
                <w:highlight w:val="none"/>
                <w:lang w:val="en-US" w:eastAsia="zh-CN"/>
              </w:rPr>
              <w:t>1</w:t>
            </w:r>
          </w:p>
        </w:tc>
      </w:tr>
    </w:tbl>
    <w:p w14:paraId="374903BC">
      <w:pPr>
        <w:widowControl/>
        <w:numPr>
          <w:ilvl w:val="-1"/>
          <w:numId w:val="0"/>
        </w:numPr>
        <w:adjustRightInd/>
        <w:snapToGrid/>
        <w:spacing w:line="240" w:lineRule="auto"/>
        <w:ind w:firstLine="0" w:firstLineChars="0"/>
        <w:jc w:val="left"/>
        <w:rPr>
          <w:rFonts w:hint="eastAsia" w:ascii="仿宋_GB2312" w:hAnsi="仿宋_GB2312" w:eastAsia="仿宋_GB2312" w:cs="仿宋_GB2312"/>
          <w:b/>
          <w:bCs/>
          <w:color w:val="auto"/>
          <w:sz w:val="21"/>
          <w:szCs w:val="22"/>
          <w:highlight w:val="none"/>
          <w:lang w:val="en-US" w:eastAsia="zh-CN"/>
        </w:rPr>
      </w:pPr>
    </w:p>
    <w:p w14:paraId="5E94D80B">
      <w:pPr>
        <w:widowControl/>
        <w:numPr>
          <w:ilvl w:val="0"/>
          <w:numId w:val="2"/>
        </w:numPr>
        <w:adjustRightInd/>
        <w:snapToGrid/>
        <w:spacing w:line="240" w:lineRule="auto"/>
        <w:ind w:left="0" w:leftChars="0" w:firstLine="422" w:firstLineChars="200"/>
        <w:jc w:val="left"/>
        <w:rPr>
          <w:rFonts w:hint="eastAsia" w:ascii="仿宋_GB2312" w:hAnsi="仿宋_GB2312" w:eastAsia="仿宋_GB2312" w:cs="仿宋_GB2312"/>
          <w:b/>
          <w:bCs/>
          <w:color w:val="auto"/>
          <w:sz w:val="21"/>
          <w:szCs w:val="22"/>
          <w:highlight w:val="none"/>
          <w:lang w:eastAsia="zh-CN"/>
        </w:rPr>
      </w:pPr>
      <w:r>
        <w:rPr>
          <w:rFonts w:hint="eastAsia" w:ascii="仿宋_GB2312" w:hAnsi="仿宋_GB2312" w:eastAsia="仿宋_GB2312" w:cs="仿宋_GB2312"/>
          <w:b/>
          <w:bCs/>
          <w:color w:val="auto"/>
          <w:sz w:val="21"/>
          <w:szCs w:val="22"/>
          <w:highlight w:val="none"/>
        </w:rPr>
        <w:t>各包组多功能交通调查站清单</w:t>
      </w:r>
      <w:r>
        <w:rPr>
          <w:rFonts w:hint="eastAsia" w:ascii="仿宋_GB2312" w:hAnsi="仿宋_GB2312" w:eastAsia="仿宋_GB2312" w:cs="仿宋_GB2312"/>
          <w:b/>
          <w:bCs/>
          <w:color w:val="auto"/>
          <w:sz w:val="21"/>
          <w:szCs w:val="22"/>
          <w:highlight w:val="none"/>
          <w:lang w:eastAsia="zh-CN"/>
        </w:rPr>
        <w:t>。</w:t>
      </w:r>
    </w:p>
    <w:p w14:paraId="152EFC13">
      <w:pPr>
        <w:widowControl/>
        <w:numPr>
          <w:ilvl w:val="0"/>
          <w:numId w:val="0"/>
        </w:numPr>
        <w:adjustRightInd/>
        <w:snapToGrid/>
        <w:spacing w:line="240" w:lineRule="auto"/>
        <w:ind w:leftChars="200"/>
        <w:jc w:val="left"/>
        <w:rPr>
          <w:rFonts w:hint="eastAsia" w:ascii="仿宋_GB2312" w:hAnsi="仿宋_GB2312" w:eastAsia="仿宋_GB2312" w:cs="仿宋_GB2312"/>
          <w:color w:val="auto"/>
          <w:sz w:val="21"/>
          <w:highlight w:val="none"/>
        </w:rPr>
      </w:pPr>
      <w:r>
        <w:rPr>
          <w:rFonts w:hint="eastAsia" w:ascii="仿宋_GB2312" w:hAnsi="仿宋_GB2312" w:eastAsia="仿宋_GB2312" w:cs="仿宋_GB2312"/>
          <w:b/>
          <w:bCs/>
          <w:color w:val="auto"/>
          <w:sz w:val="21"/>
          <w:szCs w:val="22"/>
          <w:highlight w:val="none"/>
          <w:lang w:val="en-US" w:eastAsia="zh-CN"/>
        </w:rPr>
        <w:t>其中，</w:t>
      </w:r>
      <w:r>
        <w:rPr>
          <w:rFonts w:hint="eastAsia" w:ascii="仿宋_GB2312" w:hAnsi="仿宋_GB2312" w:eastAsia="仿宋_GB2312" w:cs="仿宋_GB2312"/>
          <w:b/>
          <w:bCs/>
          <w:color w:val="auto"/>
          <w:sz w:val="21"/>
          <w:highlight w:val="none"/>
        </w:rPr>
        <w:t>包组1</w:t>
      </w:r>
      <w:r>
        <w:rPr>
          <w:rFonts w:hint="eastAsia" w:ascii="仿宋_GB2312" w:hAnsi="仿宋_GB2312" w:eastAsia="仿宋_GB2312" w:cs="仿宋_GB2312"/>
          <w:color w:val="auto"/>
          <w:sz w:val="21"/>
          <w:highlight w:val="none"/>
        </w:rPr>
        <w:t>共计建设</w:t>
      </w:r>
      <w:r>
        <w:rPr>
          <w:rFonts w:hint="eastAsia" w:ascii="仿宋_GB2312" w:hAnsi="仿宋_GB2312" w:eastAsia="仿宋_GB2312" w:cs="仿宋_GB2312"/>
          <w:color w:val="auto"/>
          <w:sz w:val="21"/>
          <w:highlight w:val="none"/>
          <w:u w:val="single"/>
        </w:rPr>
        <w:t>121</w:t>
      </w:r>
      <w:r>
        <w:rPr>
          <w:rFonts w:hint="eastAsia" w:ascii="仿宋_GB2312" w:hAnsi="仿宋_GB2312" w:eastAsia="仿宋_GB2312" w:cs="仿宋_GB2312"/>
          <w:color w:val="auto"/>
          <w:sz w:val="21"/>
          <w:highlight w:val="none"/>
        </w:rPr>
        <w:t>个普通国道多功能交通调查站</w:t>
      </w:r>
      <w:r>
        <w:rPr>
          <w:rFonts w:hint="eastAsia" w:ascii="仿宋_GB2312" w:hAnsi="仿宋_GB2312" w:eastAsia="仿宋_GB2312" w:cs="仿宋_GB2312"/>
          <w:color w:val="auto"/>
          <w:sz w:val="21"/>
          <w:highlight w:val="none"/>
          <w:lang w:val="en-US" w:eastAsia="zh-CN"/>
        </w:rPr>
        <w:t>点</w:t>
      </w:r>
      <w:r>
        <w:rPr>
          <w:rFonts w:hint="eastAsia" w:ascii="仿宋_GB2312" w:hAnsi="仿宋_GB2312" w:eastAsia="仿宋_GB2312" w:cs="仿宋_GB2312"/>
          <w:color w:val="auto"/>
          <w:sz w:val="21"/>
          <w:highlight w:val="none"/>
        </w:rPr>
        <w:t>。详见表</w:t>
      </w:r>
      <w:r>
        <w:rPr>
          <w:rFonts w:hint="eastAsia" w:ascii="仿宋_GB2312" w:hAnsi="仿宋_GB2312" w:eastAsia="仿宋_GB2312" w:cs="仿宋_GB2312"/>
          <w:color w:val="auto"/>
          <w:sz w:val="21"/>
          <w:highlight w:val="none"/>
          <w:lang w:val="en-US" w:eastAsia="zh-CN"/>
        </w:rPr>
        <w:t>4</w:t>
      </w:r>
      <w:r>
        <w:rPr>
          <w:rFonts w:hint="eastAsia" w:ascii="仿宋_GB2312" w:hAnsi="仿宋_GB2312" w:eastAsia="仿宋_GB2312" w:cs="仿宋_GB2312"/>
          <w:color w:val="auto"/>
          <w:sz w:val="21"/>
          <w:highlight w:val="none"/>
        </w:rPr>
        <w:t>。</w:t>
      </w:r>
    </w:p>
    <w:p w14:paraId="61583086">
      <w:pPr>
        <w:spacing w:line="340" w:lineRule="atLeast"/>
        <w:ind w:firstLine="0" w:firstLineChars="0"/>
        <w:jc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表</w:t>
      </w:r>
      <w:r>
        <w:rPr>
          <w:rFonts w:hint="eastAsia" w:ascii="楷体_GB2312" w:hAnsi="楷体_GB2312" w:eastAsia="楷体_GB2312" w:cs="楷体_GB2312"/>
          <w:b/>
          <w:bCs/>
          <w:color w:val="auto"/>
          <w:sz w:val="24"/>
          <w:szCs w:val="24"/>
          <w:highlight w:val="none"/>
          <w:lang w:val="en-US" w:eastAsia="zh-CN"/>
        </w:rPr>
        <w:t>4</w:t>
      </w:r>
      <w:r>
        <w:rPr>
          <w:rFonts w:hint="eastAsia" w:ascii="楷体_GB2312" w:hAnsi="楷体_GB2312" w:eastAsia="楷体_GB2312" w:cs="楷体_GB2312"/>
          <w:b/>
          <w:bCs/>
          <w:color w:val="auto"/>
          <w:sz w:val="24"/>
          <w:szCs w:val="24"/>
          <w:highlight w:val="none"/>
        </w:rPr>
        <w:t xml:space="preserve">  包组1涉5个地级以上市普通国道多功能交通调查站点清单</w:t>
      </w:r>
    </w:p>
    <w:tbl>
      <w:tblPr>
        <w:tblStyle w:val="11"/>
        <w:tblW w:w="4724" w:type="pct"/>
        <w:jc w:val="center"/>
        <w:tblLayout w:type="autofit"/>
        <w:tblCellMar>
          <w:top w:w="0" w:type="dxa"/>
          <w:left w:w="108" w:type="dxa"/>
          <w:bottom w:w="0" w:type="dxa"/>
          <w:right w:w="108" w:type="dxa"/>
        </w:tblCellMar>
      </w:tblPr>
      <w:tblGrid>
        <w:gridCol w:w="723"/>
        <w:gridCol w:w="875"/>
        <w:gridCol w:w="871"/>
        <w:gridCol w:w="1909"/>
        <w:gridCol w:w="521"/>
        <w:gridCol w:w="1087"/>
        <w:gridCol w:w="1140"/>
        <w:gridCol w:w="1167"/>
      </w:tblGrid>
      <w:tr w14:paraId="06B98C34">
        <w:tblPrEx>
          <w:tblCellMar>
            <w:top w:w="0" w:type="dxa"/>
            <w:left w:w="108" w:type="dxa"/>
            <w:bottom w:w="0" w:type="dxa"/>
            <w:right w:w="108" w:type="dxa"/>
          </w:tblCellMar>
        </w:tblPrEx>
        <w:trPr>
          <w:trHeight w:val="480" w:hRule="atLeast"/>
          <w:tblHeader/>
          <w:jc w:val="center"/>
        </w:trPr>
        <w:tc>
          <w:tcPr>
            <w:tcW w:w="436" w:type="pct"/>
            <w:tcBorders>
              <w:top w:val="single" w:color="auto" w:sz="12" w:space="0"/>
              <w:left w:val="single" w:color="auto" w:sz="12" w:space="0"/>
              <w:bottom w:val="double" w:color="auto" w:sz="4" w:space="0"/>
              <w:right w:val="single" w:color="auto" w:sz="4" w:space="0"/>
            </w:tcBorders>
            <w:shd w:val="clear" w:color="auto" w:fill="auto"/>
            <w:vAlign w:val="center"/>
          </w:tcPr>
          <w:p w14:paraId="14CCE2A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lang w:val="en-US" w:eastAsia="zh-CN"/>
              </w:rPr>
              <w:t>序</w:t>
            </w:r>
            <w:r>
              <w:rPr>
                <w:rFonts w:hint="eastAsia" w:ascii="仿宋_GB2312" w:hAnsi="仿宋" w:eastAsia="仿宋_GB2312" w:cs="Times New Roman"/>
                <w:b/>
                <w:bCs/>
                <w:snapToGrid/>
                <w:color w:val="auto"/>
                <w:sz w:val="21"/>
                <w:szCs w:val="21"/>
                <w:highlight w:val="none"/>
              </w:rPr>
              <w:t>号</w:t>
            </w:r>
          </w:p>
        </w:tc>
        <w:tc>
          <w:tcPr>
            <w:tcW w:w="527" w:type="pct"/>
            <w:tcBorders>
              <w:top w:val="single" w:color="auto" w:sz="12" w:space="0"/>
              <w:left w:val="single" w:color="auto" w:sz="4" w:space="0"/>
              <w:bottom w:val="double" w:color="auto" w:sz="4" w:space="0"/>
              <w:right w:val="single" w:color="auto" w:sz="4" w:space="0"/>
            </w:tcBorders>
            <w:shd w:val="clear" w:color="auto" w:fill="auto"/>
            <w:vAlign w:val="center"/>
          </w:tcPr>
          <w:p w14:paraId="16798F5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路线</w:t>
            </w:r>
          </w:p>
          <w:p w14:paraId="131F15F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编码</w:t>
            </w:r>
          </w:p>
        </w:tc>
        <w:tc>
          <w:tcPr>
            <w:tcW w:w="525" w:type="pct"/>
            <w:tcBorders>
              <w:top w:val="single" w:color="auto" w:sz="12" w:space="0"/>
              <w:left w:val="single" w:color="auto" w:sz="4" w:space="0"/>
              <w:bottom w:val="double" w:color="auto" w:sz="4" w:space="0"/>
              <w:right w:val="single" w:color="auto" w:sz="4" w:space="0"/>
            </w:tcBorders>
            <w:shd w:val="clear" w:color="auto" w:fill="auto"/>
            <w:vAlign w:val="center"/>
          </w:tcPr>
          <w:p w14:paraId="51BA474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行政</w:t>
            </w:r>
          </w:p>
          <w:p w14:paraId="0733604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kern w:val="2"/>
                <w:sz w:val="21"/>
                <w:szCs w:val="21"/>
                <w:highlight w:val="none"/>
                <w:lang w:val="en-US" w:eastAsia="zh-CN" w:bidi="ar-SA"/>
              </w:rPr>
            </w:pPr>
            <w:r>
              <w:rPr>
                <w:rFonts w:hint="eastAsia" w:ascii="仿宋_GB2312" w:hAnsi="仿宋" w:eastAsia="仿宋_GB2312" w:cs="Times New Roman"/>
                <w:b/>
                <w:bCs/>
                <w:snapToGrid/>
                <w:color w:val="auto"/>
                <w:sz w:val="21"/>
                <w:szCs w:val="21"/>
                <w:highlight w:val="none"/>
                <w:lang w:eastAsia="zh-CN"/>
              </w:rPr>
              <w:t>区划</w:t>
            </w:r>
          </w:p>
        </w:tc>
        <w:tc>
          <w:tcPr>
            <w:tcW w:w="1150" w:type="pct"/>
            <w:tcBorders>
              <w:top w:val="single" w:color="auto" w:sz="12" w:space="0"/>
              <w:left w:val="single" w:color="auto" w:sz="4" w:space="0"/>
              <w:bottom w:val="double" w:color="auto" w:sz="4" w:space="0"/>
              <w:right w:val="single" w:color="auto" w:sz="4" w:space="0"/>
            </w:tcBorders>
            <w:shd w:val="clear" w:color="auto" w:fill="auto"/>
            <w:vAlign w:val="center"/>
          </w:tcPr>
          <w:p w14:paraId="2E0AF6D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eastAsia="zh-CN"/>
              </w:rPr>
            </w:pPr>
            <w:r>
              <w:rPr>
                <w:rFonts w:hint="eastAsia" w:ascii="仿宋_GB2312" w:hAnsi="仿宋" w:eastAsia="仿宋_GB2312" w:cs="Times New Roman"/>
                <w:b/>
                <w:bCs/>
                <w:snapToGrid/>
                <w:color w:val="auto"/>
                <w:sz w:val="21"/>
                <w:szCs w:val="21"/>
                <w:highlight w:val="none"/>
                <w:lang w:eastAsia="zh-CN"/>
              </w:rPr>
              <w:t>多功能交通</w:t>
            </w:r>
          </w:p>
          <w:p w14:paraId="1716DB5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lang w:eastAsia="zh-CN"/>
              </w:rPr>
              <w:t>调查</w:t>
            </w:r>
            <w:r>
              <w:rPr>
                <w:rFonts w:hint="eastAsia" w:ascii="仿宋_GB2312" w:hAnsi="仿宋" w:eastAsia="仿宋_GB2312" w:cs="Times New Roman"/>
                <w:b/>
                <w:bCs/>
                <w:snapToGrid/>
                <w:color w:val="auto"/>
                <w:sz w:val="21"/>
                <w:szCs w:val="21"/>
                <w:highlight w:val="none"/>
              </w:rPr>
              <w:t>站点名称</w:t>
            </w:r>
          </w:p>
        </w:tc>
        <w:tc>
          <w:tcPr>
            <w:tcW w:w="314" w:type="pct"/>
            <w:tcBorders>
              <w:top w:val="single" w:color="auto" w:sz="12" w:space="0"/>
              <w:left w:val="single" w:color="auto" w:sz="4" w:space="0"/>
              <w:bottom w:val="double" w:color="auto" w:sz="4" w:space="0"/>
              <w:right w:val="single" w:color="auto" w:sz="4" w:space="0"/>
            </w:tcBorders>
            <w:shd w:val="clear" w:color="auto" w:fill="auto"/>
            <w:vAlign w:val="center"/>
          </w:tcPr>
          <w:p w14:paraId="176918B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车道</w:t>
            </w:r>
          </w:p>
        </w:tc>
        <w:tc>
          <w:tcPr>
            <w:tcW w:w="655" w:type="pct"/>
            <w:tcBorders>
              <w:top w:val="single" w:color="auto" w:sz="12" w:space="0"/>
              <w:left w:val="single" w:color="auto" w:sz="4" w:space="0"/>
              <w:bottom w:val="double" w:color="auto" w:sz="4" w:space="0"/>
              <w:right w:val="single" w:color="auto" w:sz="4" w:space="0"/>
            </w:tcBorders>
            <w:shd w:val="clear" w:color="auto" w:fill="auto"/>
            <w:vAlign w:val="center"/>
          </w:tcPr>
          <w:p w14:paraId="58B863A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起点里程桩号</w:t>
            </w:r>
          </w:p>
        </w:tc>
        <w:tc>
          <w:tcPr>
            <w:tcW w:w="687" w:type="pct"/>
            <w:tcBorders>
              <w:top w:val="single" w:color="auto" w:sz="12" w:space="0"/>
              <w:left w:val="single" w:color="auto" w:sz="4" w:space="0"/>
              <w:bottom w:val="double" w:color="auto" w:sz="4" w:space="0"/>
              <w:right w:val="single" w:color="auto" w:sz="4" w:space="0"/>
            </w:tcBorders>
            <w:shd w:val="clear" w:color="auto" w:fill="auto"/>
            <w:vAlign w:val="center"/>
          </w:tcPr>
          <w:p w14:paraId="34D37CF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终点里程桩号</w:t>
            </w:r>
          </w:p>
        </w:tc>
        <w:tc>
          <w:tcPr>
            <w:tcW w:w="703" w:type="pct"/>
            <w:tcBorders>
              <w:top w:val="single" w:color="auto" w:sz="12" w:space="0"/>
              <w:left w:val="single" w:color="auto" w:sz="4" w:space="0"/>
              <w:bottom w:val="double" w:color="auto" w:sz="4" w:space="0"/>
              <w:right w:val="single" w:color="auto" w:sz="12" w:space="0"/>
            </w:tcBorders>
            <w:shd w:val="clear" w:color="auto" w:fill="auto"/>
            <w:vAlign w:val="center"/>
          </w:tcPr>
          <w:p w14:paraId="2DFE100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类型</w:t>
            </w:r>
          </w:p>
        </w:tc>
      </w:tr>
      <w:tr w14:paraId="54ABFB9E">
        <w:tblPrEx>
          <w:tblCellMar>
            <w:top w:w="0" w:type="dxa"/>
            <w:left w:w="108" w:type="dxa"/>
            <w:bottom w:w="0" w:type="dxa"/>
            <w:right w:w="108" w:type="dxa"/>
          </w:tblCellMar>
        </w:tblPrEx>
        <w:trPr>
          <w:trHeight w:val="77" w:hRule="atLeast"/>
          <w:jc w:val="center"/>
        </w:trPr>
        <w:tc>
          <w:tcPr>
            <w:tcW w:w="723" w:type="dxa"/>
            <w:tcBorders>
              <w:top w:val="double" w:color="auto" w:sz="4" w:space="0"/>
              <w:left w:val="single" w:color="auto" w:sz="12" w:space="0"/>
              <w:bottom w:val="single" w:color="auto" w:sz="4" w:space="0"/>
              <w:right w:val="single" w:color="auto" w:sz="4" w:space="0"/>
            </w:tcBorders>
            <w:shd w:val="clear" w:color="auto" w:fill="auto"/>
            <w:vAlign w:val="center"/>
          </w:tcPr>
          <w:p w14:paraId="0EB902C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w:t>
            </w:r>
          </w:p>
        </w:tc>
        <w:tc>
          <w:tcPr>
            <w:tcW w:w="875" w:type="dxa"/>
            <w:tcBorders>
              <w:top w:val="double" w:color="auto" w:sz="4" w:space="0"/>
              <w:left w:val="single" w:color="auto" w:sz="4" w:space="0"/>
              <w:bottom w:val="single" w:color="auto" w:sz="4" w:space="0"/>
              <w:right w:val="single" w:color="auto" w:sz="4" w:space="0"/>
            </w:tcBorders>
            <w:shd w:val="clear" w:color="auto" w:fill="auto"/>
            <w:vAlign w:val="center"/>
          </w:tcPr>
          <w:p w14:paraId="6AAD3BA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double" w:color="auto" w:sz="4" w:space="0"/>
              <w:left w:val="single" w:color="auto" w:sz="4" w:space="0"/>
              <w:bottom w:val="single" w:color="auto" w:sz="4" w:space="0"/>
              <w:right w:val="single" w:color="auto" w:sz="4" w:space="0"/>
            </w:tcBorders>
            <w:shd w:val="clear" w:color="auto" w:fill="auto"/>
            <w:vAlign w:val="center"/>
          </w:tcPr>
          <w:p w14:paraId="5E5C497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double" w:color="auto" w:sz="4" w:space="0"/>
              <w:left w:val="single" w:color="auto" w:sz="4" w:space="0"/>
              <w:bottom w:val="single" w:color="auto" w:sz="4" w:space="0"/>
              <w:right w:val="single" w:color="auto" w:sz="4" w:space="0"/>
            </w:tcBorders>
            <w:shd w:val="clear" w:color="auto" w:fill="auto"/>
            <w:vAlign w:val="bottom"/>
          </w:tcPr>
          <w:p w14:paraId="12D7477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广州从化莲麻</w:t>
            </w:r>
          </w:p>
        </w:tc>
        <w:tc>
          <w:tcPr>
            <w:tcW w:w="521" w:type="dxa"/>
            <w:tcBorders>
              <w:top w:val="double" w:color="auto" w:sz="4" w:space="0"/>
              <w:left w:val="single" w:color="auto" w:sz="4" w:space="0"/>
              <w:bottom w:val="single" w:color="auto" w:sz="4" w:space="0"/>
              <w:right w:val="single" w:color="auto" w:sz="4" w:space="0"/>
            </w:tcBorders>
            <w:shd w:val="clear" w:color="auto" w:fill="auto"/>
            <w:noWrap/>
            <w:vAlign w:val="center"/>
          </w:tcPr>
          <w:p w14:paraId="67DCB3F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double" w:color="auto" w:sz="4" w:space="0"/>
              <w:left w:val="single" w:color="auto" w:sz="4" w:space="0"/>
              <w:bottom w:val="single" w:color="auto" w:sz="4" w:space="0"/>
              <w:right w:val="single" w:color="auto" w:sz="4" w:space="0"/>
            </w:tcBorders>
            <w:shd w:val="clear" w:color="auto" w:fill="auto"/>
            <w:vAlign w:val="center"/>
          </w:tcPr>
          <w:p w14:paraId="640908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2425.68</w:t>
            </w:r>
          </w:p>
        </w:tc>
        <w:tc>
          <w:tcPr>
            <w:tcW w:w="1140" w:type="dxa"/>
            <w:tcBorders>
              <w:top w:val="double" w:color="auto" w:sz="4" w:space="0"/>
              <w:left w:val="single" w:color="auto" w:sz="4" w:space="0"/>
              <w:bottom w:val="single" w:color="auto" w:sz="4" w:space="0"/>
              <w:right w:val="single" w:color="auto" w:sz="4" w:space="0"/>
            </w:tcBorders>
            <w:shd w:val="clear" w:color="auto" w:fill="auto"/>
            <w:vAlign w:val="center"/>
          </w:tcPr>
          <w:p w14:paraId="498855D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2436.252</w:t>
            </w:r>
          </w:p>
        </w:tc>
        <w:tc>
          <w:tcPr>
            <w:tcW w:w="1167" w:type="dxa"/>
            <w:tcBorders>
              <w:top w:val="double" w:color="auto" w:sz="4" w:space="0"/>
              <w:left w:val="single" w:color="auto" w:sz="4" w:space="0"/>
              <w:bottom w:val="single" w:color="auto" w:sz="4" w:space="0"/>
              <w:right w:val="single" w:color="auto" w:sz="12" w:space="0"/>
            </w:tcBorders>
            <w:shd w:val="clear" w:color="auto" w:fill="auto"/>
            <w:vAlign w:val="center"/>
          </w:tcPr>
          <w:p w14:paraId="751C2B0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D27763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4E0C64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E23382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8E1F96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82E305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广州从化吕田</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27E2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72B657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2436.252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6E0054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2451.582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4FDF18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5DAF66A">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DEE582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BB95B2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89C975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0EA2EA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广州从化古田</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D57F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505948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2451.582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21F119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2460.252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AF14B1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7A192E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C2C35C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717AAB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DAE102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1FE35A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广州从化良口</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E3B6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16EEE9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2466.316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7C50DF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2471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F4EA87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98C894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C8C9DA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989CAD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009073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6368D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广州从化牛眠</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CAB2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B8FFE6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2471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E1F7E0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2475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25A9ED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2208384">
        <w:tblPrEx>
          <w:tblCellMar>
            <w:top w:w="0" w:type="dxa"/>
            <w:left w:w="108" w:type="dxa"/>
            <w:bottom w:w="0" w:type="dxa"/>
            <w:right w:w="108" w:type="dxa"/>
          </w:tblCellMar>
        </w:tblPrEx>
        <w:trPr>
          <w:trHeight w:val="90"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F7A52B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2C3F0A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8EB67A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1F3022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广州从化新温泉</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6EF8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472C29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2475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19EBB7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2483.995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92817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3CAD9E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4622B1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51B8D1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A56364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D00515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广州从化云星</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D7A6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372832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2483.995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B1E4F6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2493.44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C61822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989DA2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81539B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1533AE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0C7698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107969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广州从化灌村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8330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5D20F0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2493.44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698B02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2495.74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623769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5FD1C7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88396D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B3F5DB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DD985C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8FA658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广州从化禾仓</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5F39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C6DF67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2495.74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1962E9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2497.582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FBE638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73886E3">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A38F23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5B0252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989AEF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18E43D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广州从化江埔</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CDCC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084B37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2497.582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DE52CF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2500.3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CB0D7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764225F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E9BA42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3F474E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61BA7F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434D55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广州从化街口</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9899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8713D7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2501.065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B4FCCF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2503.947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8C3452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2FD088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2B670C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C11879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809680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78B8B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广州从化神岗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0E62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03A26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2503.947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1E2CE3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2507.256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54F019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158C83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03DC5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CBC025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853617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3B2DD4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广州从化太平</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001E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A9C4B9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2507.256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90C7D2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2510.678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D7A8BF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9AA768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606C4E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CBB6A6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F3150A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CED4DD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广州钟落潭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F8D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BFF507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2516.464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CBE7DE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2518.058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FCAFF2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1C000793">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B929F5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2F8B01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3E4A8E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9874A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广州新村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6BCC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1016AD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2518.058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E6D43E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2522.612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BAFA2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1792D3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82F49E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933D36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276F01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442DD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广州良田</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D4BF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DF0FF4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2530.077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17D338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2533.067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48D08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C8584B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0C84D7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F5037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6097F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35AEF5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广州东平</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D9FF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DF7439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2537.906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1E863D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2542.744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70817C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353341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9411C4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1E6815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A00586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2FC031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佛山顺德北滘</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FCDE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3205D6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2590.501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BAD5C5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2592.8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443AD1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13F243B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A01A1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B8A96F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9F8700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ECED91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佛山顺德海尾</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A891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D65D9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2615.515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746017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2618.56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3385A7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58119B3">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01DADA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D9CEE5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C72B8A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8712CD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佛山顺德细窖</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12F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F25D6D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2618.56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9AF76B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2620.821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35BD82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356390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4C3E2A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9DC3AC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178A42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珠海市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0C6B63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珠海南溪</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5249F78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D181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2681.891</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334D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2684.197</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5FE999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7DCBC47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DD683D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98D38E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6B1C2F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珠海市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9CC052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珠海前山</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02EE74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3B61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2687.021</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E3B5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2693.13</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4AE4CF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6C16BD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D3E266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36D2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D2A126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珠海市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F8FF63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珠海拱北</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40E595E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121F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2693.13</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0AF7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2696.519</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6041C6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7BDDD5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553C0B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53EF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615485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F1D67B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仁化康溪</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661FC29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5789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2143.079</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09C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2149.894</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92E13E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9BB46B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9E1C97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BD4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9E2406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901973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仁化五马寨</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1D12D2D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59E7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2179.852</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C431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2182.96</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C66403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FB55A9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093C8A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6363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176918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7D9C93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韶关曲江大塘</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2908637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5E24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2188.069</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5C60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2192.824</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86F44F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EC3431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B607EA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FE706C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18C9E5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CFB2E9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翁源凉桥</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0B38640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FEE2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2230.538</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F5ED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2237.636</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8C6D4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7D1B31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3F1567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C8F0B5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3366DC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6B2E8F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翁源翁城</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58A015D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9F97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2257.36</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43CD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2270.652</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C8F12D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D06ECA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2CF768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C0313B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55B7C2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D17A12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翁源官渡</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3E8D466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8E2B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2257.442</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DAB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2276.573</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5976B9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0845024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DB26F8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16C8CB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E2646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C5F350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英德青塘</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6B83152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549F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2285.178</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383C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2288.351</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F29F91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ABCBE8A">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A75366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DB6159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6ACE7A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D6736D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佛冈大坪</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EDE8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33F8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2308.762</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9F47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2311.736</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B8364B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801606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5E695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26ED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E9D61E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49325F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佛冈迳头</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5C254C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114A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2311.736</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1843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2313.982</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8DE6CD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FDED01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7DCE88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33</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2307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555F8B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A9AAE8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佛冈汤塘</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0B276F8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7DB4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2352.379</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2FA0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2354.554</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224911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20DFFC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1E0ABD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34</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D092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EF6FCE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1C52A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广州花都花山</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03F300F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C005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2397.904</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580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2402.314</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FDE66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7F15CA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E197A1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26E6CB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5A04EB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14CD16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广州花都坪山</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AA6C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14728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2402.314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1E86B7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2406.469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081359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6C9AB14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17D915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93CD84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0B0DEE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E41B4F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广州白蟮塘</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8692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3A138C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2414.268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B0BFE9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2415.596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05449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11A6BA2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58F1B2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E11697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10D6E0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D0864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广州太成</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16FC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77E457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2415.569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23BCB3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2418.024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9F546B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CA031A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440B56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17AEEB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45C3D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42541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广州长虹</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C226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0419C8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2423.099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01E3F6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2428.079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9B4154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518FEAD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89CF79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8D2DFE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A554E9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CE4736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广州黄石</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C82D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93A7D8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2428.079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3EE22E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2434.778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2B9160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02D6E9A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931B03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2432ED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6B652F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667B7C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eastAsia" w:ascii="仿宋_GB2312" w:hAnsi="仿宋" w:eastAsia="仿宋_GB2312" w:cs="Times New Roman"/>
                <w:b/>
                <w:bCs/>
                <w:snapToGrid/>
                <w:color w:val="auto"/>
                <w:sz w:val="21"/>
                <w:szCs w:val="21"/>
                <w:highlight w:val="none"/>
                <w:lang w:val="en-US" w:eastAsia="zh-CN"/>
              </w:rPr>
              <w:t>韶关</w:t>
            </w:r>
            <w:r>
              <w:rPr>
                <w:rFonts w:hint="default" w:ascii="仿宋_GB2312" w:hAnsi="仿宋" w:eastAsia="仿宋_GB2312" w:cs="Times New Roman"/>
                <w:b/>
                <w:bCs/>
                <w:snapToGrid/>
                <w:color w:val="auto"/>
                <w:sz w:val="21"/>
                <w:szCs w:val="21"/>
                <w:highlight w:val="none"/>
                <w:lang w:val="en-US" w:eastAsia="zh-CN"/>
              </w:rPr>
              <w:t>曲江沙溪</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3364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C3252E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2211.884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1A25D1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2228.55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0D6FDE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1F3405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9CD51D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4C9F0E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4ACF69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22C0DD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连州大路边</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D22E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5ACC9E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2175.517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0CAA21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2179.933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6A3B8B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BD86F3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BF92CD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13A14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0E80D8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C1EA41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连州三村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AAB0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C7A342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2179.933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72FC17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2186.26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8F6B70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11E942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930865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59EE29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0834F9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B67A80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连州邓家洞</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5E0F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4FD076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2199.584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A115F3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2205.201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524D57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A86EE2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D27103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EA5B24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D0DA5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5B3F16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连州半岭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1DAE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6128A4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2220.94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050EC5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2223.464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64E079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4E417E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569FE2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E4888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4854D8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FA83D1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连州燕喜</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B3DA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A7495C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2223.464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5A1EA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2226.052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C6E775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D60B81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D75923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2783D7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97B6A6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9DC1D5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阳山凤山</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E2AC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C23842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2248.049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991F83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2269.54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1F9208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513DCF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282881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4ACD13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DC9EF5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4E347E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阳山新圩</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96A3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342C92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2311.3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42CAF6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2314.878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248272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58483A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610AD9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8E187F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B31A7E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F2951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阳山塘坪</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05FD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52A4D1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2315.716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2DB5DE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2318.706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B13E6A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5E26F1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7BADE8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6F6D00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B1FC18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598972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清远新北江桥</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BACD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84488F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2413.525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847B2D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2417.5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31C0B1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4BACE27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ACC70E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013A2C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9AF6D3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C57D4B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清远荷塘</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1087CA5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F18F4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2421.675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B55A4E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2424.656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D9296B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22B6AF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277DB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B2B834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48357D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F5912B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清远横荷</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FC5F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C64925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2424.656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94F213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2426.789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437F7D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B55188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6B25AD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352F7C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81DDA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0F7ED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清远新基</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124BE7D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4B924C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2440.696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DC3E3F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2442.35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66B3EC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615247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A9B265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D1AF16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B2BEFA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DAD05A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清远塘基岭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E48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4527FE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2442.35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C0125A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2444.808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B2DC6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D810E7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424C75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20033D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77E015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CD193C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广州花都白坭</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0F1EF68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9A98A3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2448.903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827E7B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2461.715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052A49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99B3CD3">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B14F4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DFD42F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A0AFB0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7FEA47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广州花都四角围</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5EF865E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299D72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2461.715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2E0493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2466.547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46ECC2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45CB51A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379552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0C38AB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AE8F2B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8AE2D8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广州江高</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5D158F1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73EEAE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2482.708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3C5BAD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2487.545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1794E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B85F3E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4077C1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E300F5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97B9DF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4CA458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广州江村大桥</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AA86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DD6B2D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2487.95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0984A3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2490.802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A9A464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2E8A61D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CEB631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D44AE8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63481F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EE8A77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广州石马</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E72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639C66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2490.802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17CED6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2493.639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BFDB15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32184A1">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DD8C7F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07BBAB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192947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5B7384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广州夏茅</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7CDC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032D8F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2493.639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9B9975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2496.08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7E04E1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ACFF7E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7E9E3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2B6D1B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114953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A983B5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广州夏园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934A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9D1E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2521.01</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6372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2534.535</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1A8FBC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6DE9406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766477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61</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F6A8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5E3591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536AAE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广州增城新塘</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6AB3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C642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2540.205</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B0AC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2549.407</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117176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5EB931C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857960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62</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3E9E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F08469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3D12ED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南雄梅关</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DD0F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7DC4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2159.34</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9970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2167.026</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9EF5C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B9D17FA">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1B7DFB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63</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E0DF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8FDEA8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43B06E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翁源坝仔</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425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FE83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2276.916</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D456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2292.717</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11B33C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DBFAAA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4ADB9B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64</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BABC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83BC4E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5B8DD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翁源联群</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3841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468A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2311.705</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EF2E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2332.279</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01B2DF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12BF8C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D01E86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65</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CE8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G220</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D69D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2A68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新丰黄沙坑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BC07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EABD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2332.279</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2E73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2366.295</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F2FA07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F35AEF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EF4CF2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66</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CD11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G228</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F7D6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ED7E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广州南沙洪奇沥</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D32E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8F71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5948.046</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CD5E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5952.617</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143558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645E6FB3">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985B15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8F1234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12D857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珠海市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5E26D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珠海香洲下村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CF39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066A8D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5995.855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D67870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5997.525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3E5724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475757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5F018A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6EF2E8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ED9032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珠海市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0D841F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珠海银坑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85E0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F8F5F8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6000.622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A51D80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6008.65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0291E2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79FAE8C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9270BE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A014C7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8E4F13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珠海市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EDED16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珠海斗门大桥</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3953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EE8F9A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6072.749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ABE97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6082.532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957022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65DDD2D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9C0631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4A588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7392C2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珠海市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D71691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珠海斗门南门大桥</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A719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AACACD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6082.532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D70015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6086.976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11175B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34606C6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9EF128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3A749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4E832C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3B86F6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连州山塘</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7957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083B70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2724.474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811DB4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2731.621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C0058E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925AA7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22C10C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F8C55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01F486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5C6181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连山龙尾</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7BF7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2296EF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2813.583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A932B2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2819.77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CC6FEB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169BB2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50A3D5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4DF70B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495FFC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AF50FD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连山湴田</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CF39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9EF04D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2868.232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19A84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2873.119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C8B91E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1ACB9A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03D149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24BCDC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6B7213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1214A5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连山抛石界</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DD4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D6DB52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2873.119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4CCBFF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2879.135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451656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6326F7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A59FD5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959317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C11DBE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DCAD4C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连山月九</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0D0F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A43232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2879.167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CA9406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2881.804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EDAAD2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5EDB245">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7EAF31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B7C581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01D89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C4BBCE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韶关老坪石</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9AD6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1C9D26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2201.944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698BD1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2212.542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0479A0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AB3CBE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ADD013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B83A5D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7363C3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47F133C">
            <w:pPr>
              <w:kinsoku/>
              <w:autoSpaceDE/>
              <w:autoSpaceDN/>
              <w:adjustRightInd/>
              <w:snapToGrid/>
              <w:spacing w:line="260" w:lineRule="exact"/>
              <w:ind w:firstLine="0" w:firstLineChars="0"/>
              <w:jc w:val="center"/>
              <w:textAlignment w:val="auto"/>
              <w:rPr>
                <w:rFonts w:hint="default"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乳源大桥</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1B99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5B0DB2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2248.326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CD54F3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2253.797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ACFA32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0CA362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EA1BBC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DAE766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B21177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8FFFEB1">
            <w:pPr>
              <w:kinsoku/>
              <w:autoSpaceDE/>
              <w:autoSpaceDN/>
              <w:adjustRightInd/>
              <w:snapToGrid/>
              <w:spacing w:line="260" w:lineRule="exact"/>
              <w:ind w:firstLine="0" w:firstLineChars="0"/>
              <w:jc w:val="center"/>
              <w:textAlignment w:val="auto"/>
              <w:rPr>
                <w:rFonts w:hint="default"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乳源东田</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AA08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F648D5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2253.797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F8F1B1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2266.176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74C9A5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9BDA7A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88D412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E084E3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6A8D5C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FADEC9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韶关龙归</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A883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91AF1A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2302.278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9B639B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2304.411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8A3AA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0AE39F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BD6845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F9FFE6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4CE4A2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7EFBED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韶关乌石港</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8F68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F7788A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2319.67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7C208E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2332.893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86047C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BF025D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6F38E8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8B0A9C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4D9457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C6E79E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英德黄田</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6A24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9C0869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2385.1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9F9678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2387.146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ADFEF6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5A4CCA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6E8DEF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EBE30C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89793C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161F89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英德莫屋</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B935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FCBD82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2392.857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A302F8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2395.808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6819E5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89F8135">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E4BA9A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7B7A8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CC5003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BB52DB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英德巫屋</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8A3C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656DA1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2399.421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CF8D2E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2402.676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22536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CB3095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A2C9D8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CA424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487D06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01DED2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清远龙塘</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F177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C2259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2481.315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CCD1CD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2484.645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F222A0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FA99D7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B7AFED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88E5D1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6964D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895E1A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清远龙田</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E49C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4C92A1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2490.258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45FECA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2496.651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6E94FD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32B73B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90B93D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C3340E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9877CD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54D8E5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佛山三水新岗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9C6A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54E22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2515.96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185270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2519.814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5AE84D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F879EE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503092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081DBB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3113CF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0D6626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佛山三水大日头</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902D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854DF3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2527.215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B04CC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2530.444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A21D8D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171427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0E7A7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2096B2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07750C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E612DA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佛山三水南边</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2687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46801E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2533.73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51D9A6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2536.611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DF23F3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0E3EEF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11046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86A59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F10BE2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2FD43F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佛山三水云东海</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42E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805C9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2536.611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10CFE3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2540.988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955EFF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D65EAD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35416F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C02886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BA8939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838B75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佛山三水基塘</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EFE4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3E5272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2544.9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91C645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2546.72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21C93F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59F7702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9EEF33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EF4D51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9F0BFC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1A01DA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佛山三水进港大道</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EC6B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C42EDE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2558.965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EAE977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2561.948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B1183B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C00096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49766F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F5695F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D1FA86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7C3AB9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佛山三水山水龙盘</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BE7E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33D53D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2561.948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2C6FE4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2565.169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4B5581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EF42A0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876432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BFA537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8AFBC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D607CC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佛山南海丹灶</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EDC5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DD0084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2565.038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0D9818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2570.106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EF1D7E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4738A0C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7FDD2E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F9162E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4B558F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78D0AF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佛山南海樵丹</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AA31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C6F90A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2570.106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F0E49A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2575.588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700729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19AA83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27E078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7F2C5B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74691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796EB5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佛山南海西樵</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53D06DB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B3BF1B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2582.395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5B3E1B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2586.671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E3D52B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22D0E4F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5353F1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6C25D2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778436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97B738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佛山南海樟坑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D141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43DA9B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2586.671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CA493F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2589.581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BF78C5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E94689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2EBBAF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871095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9FE274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37F7C5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佛山南海沙龙</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1B82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D81741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2589.581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A4EC34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2593.06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083E27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1D40F4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E7D55E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954573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G323</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241763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3A338A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始兴太坪</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27C0CCF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C53D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285.463</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9532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296.631</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5DFB29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0C3E414">
        <w:tblPrEx>
          <w:tblCellMar>
            <w:top w:w="0" w:type="dxa"/>
            <w:left w:w="108" w:type="dxa"/>
            <w:bottom w:w="0" w:type="dxa"/>
            <w:right w:w="108" w:type="dxa"/>
          </w:tblCellMar>
        </w:tblPrEx>
        <w:trPr>
          <w:trHeight w:val="90"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F5B9D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8B2DE4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G323</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142222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106EDF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乳源洛阳</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51E2F25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6613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414.299</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D0C3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450.469</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C64C41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7D74B6D">
        <w:tblPrEx>
          <w:tblCellMar>
            <w:top w:w="0" w:type="dxa"/>
            <w:left w:w="108" w:type="dxa"/>
            <w:bottom w:w="0" w:type="dxa"/>
            <w:right w:w="108" w:type="dxa"/>
          </w:tblCellMar>
        </w:tblPrEx>
        <w:trPr>
          <w:trHeight w:val="110"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611837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100</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C7E6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G323</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0C8C13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3B96AD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乳源半星</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4B45846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9BB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420.971</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88A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433.441</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2DA32A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949F4D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97564F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101</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060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G323</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1962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8D49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阳山岭背</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06A3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8848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490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21D9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513.44</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096EE8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3CD5A933">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5425AE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DA653B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DBDE34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0E680B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广州增城四丰</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532F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8E3729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898.375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8AFDB1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900.413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B5F94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E57B87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BC8D2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2465BA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C1E06D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0373A2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广州增城中新</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E1F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76B831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919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291115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930.284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70FA5C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371FEB0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64D23D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86400A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65A747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F7A374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佛山顺德仕版</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757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94CF8F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1007.589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8F71C2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1014.417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08AC7C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4980CF0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E88201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74312A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40FF57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330634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佛山顺德江村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D218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826015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1014.417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50DB8E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1017.139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3150C2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E643C6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D92E74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7BE8CC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4E3CC9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42C1C0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佛山顺德勒流</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C92B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7D9E48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1017.139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D20D2D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1019.537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65AA47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6D895B9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66E06B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604AFB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2BE469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CD6B8E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佛山顺德苏溪</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06E8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03F674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1022.949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B691D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1026.574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6C48E0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DA99E7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98A85F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24343A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F26A87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9874A7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佛山顺德新龙</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0872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3C0247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1030.694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D42C62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1033.535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92CFB1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A400A3D">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F31E1E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7B503A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6718FD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659431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佛山高明豸岗</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296F3F5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1A038E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1062.475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AB2DD4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1065.062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71060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50DA89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5D594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D9C065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B2B5A8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5ACFE5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佛山高明松柏</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58A73B2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5B743F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1065.062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2B78F8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1067.333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E54C4C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C44B49A">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80A49D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DC0209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5C31F0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EAF060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佛山高明六湾</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6940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6E3593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1067.333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AE1660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1070.894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804693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5CE7DC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2D1411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0BA5A8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DDC827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82FEB1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佛山高明富湾</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9FF5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FBDFFF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1070.894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710F26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1075.418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DA59EE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5310A8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DBD18E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A716AA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57A17D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C15517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广州番禺沙湾</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4644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4089A1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90D101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C16E3E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609744C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56DA41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114</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C4E3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51F8ED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6922BC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佛山顺德三洲</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5BB2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eastAsia"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4A2B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14.168</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329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16.253</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1EB729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6DF96AF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637265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115</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5D3F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G355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DBB1F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C61326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清远北江大桥</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77D6549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9340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1102.353</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D642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1115</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7449AF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2A1A4A7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488736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1BFCD6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G358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2F3CC0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清远市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63879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英德河江渡</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7143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57DB56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957.946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2A659A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966.339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A5DC34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23A4846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DA7D43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A84BD5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G359</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28A450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1605C0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佛山南海罗村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7D6A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22CA6D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0.022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6095D6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3.57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93A7B9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E22654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97966B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1669D3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G359</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AA26DC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8AA81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佛山南海崇南</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603BC2D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EB5A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26.187</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C88E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29.816</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0EEA44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D6C154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8945B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119</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F017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G359</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417426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9674AE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佛山高明龙尾</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16DB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0471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69.251</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4E25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71.203</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F940AB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96492C8">
        <w:tblPrEx>
          <w:tblCellMar>
            <w:top w:w="0" w:type="dxa"/>
            <w:left w:w="108" w:type="dxa"/>
            <w:bottom w:w="0" w:type="dxa"/>
            <w:right w:w="108" w:type="dxa"/>
          </w:tblCellMar>
        </w:tblPrEx>
        <w:trPr>
          <w:trHeight w:val="79"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67915F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120</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B8D8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G535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41650D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38138C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仁化石塘</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7F6B0D5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861B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215.672</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9E45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232.282</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4AFDAA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25DE1BD">
        <w:tblPrEx>
          <w:tblCellMar>
            <w:top w:w="0" w:type="dxa"/>
            <w:left w:w="108" w:type="dxa"/>
            <w:bottom w:w="0" w:type="dxa"/>
            <w:right w:w="108" w:type="dxa"/>
          </w:tblCellMar>
        </w:tblPrEx>
        <w:trPr>
          <w:trHeight w:val="79" w:hRule="atLeast"/>
          <w:jc w:val="center"/>
        </w:trPr>
        <w:tc>
          <w:tcPr>
            <w:tcW w:w="723" w:type="dxa"/>
            <w:tcBorders>
              <w:top w:val="single" w:color="auto" w:sz="4" w:space="0"/>
              <w:left w:val="single" w:color="auto" w:sz="12" w:space="0"/>
              <w:bottom w:val="single" w:color="auto" w:sz="12" w:space="0"/>
              <w:right w:val="single" w:color="auto" w:sz="4" w:space="0"/>
            </w:tcBorders>
            <w:shd w:val="clear" w:color="auto" w:fill="auto"/>
            <w:vAlign w:val="center"/>
          </w:tcPr>
          <w:p w14:paraId="2B75CA0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121</w:t>
            </w:r>
          </w:p>
        </w:tc>
        <w:tc>
          <w:tcPr>
            <w:tcW w:w="875"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61BA34A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G535</w:t>
            </w:r>
          </w:p>
        </w:tc>
        <w:tc>
          <w:tcPr>
            <w:tcW w:w="871" w:type="dxa"/>
            <w:tcBorders>
              <w:top w:val="single" w:color="auto" w:sz="4" w:space="0"/>
              <w:left w:val="single" w:color="auto" w:sz="4" w:space="0"/>
              <w:bottom w:val="single" w:color="auto" w:sz="12" w:space="0"/>
              <w:right w:val="single" w:color="auto" w:sz="4" w:space="0"/>
            </w:tcBorders>
            <w:shd w:val="clear" w:color="auto" w:fill="auto"/>
            <w:vAlign w:val="center"/>
          </w:tcPr>
          <w:p w14:paraId="5E6FE79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韶关市</w:t>
            </w:r>
          </w:p>
        </w:tc>
        <w:tc>
          <w:tcPr>
            <w:tcW w:w="1909" w:type="dxa"/>
            <w:tcBorders>
              <w:top w:val="single" w:color="auto" w:sz="4" w:space="0"/>
              <w:left w:val="single" w:color="auto" w:sz="4" w:space="0"/>
              <w:bottom w:val="single" w:color="auto" w:sz="12" w:space="0"/>
              <w:right w:val="single" w:color="auto" w:sz="4" w:space="0"/>
            </w:tcBorders>
            <w:shd w:val="clear" w:color="auto" w:fill="auto"/>
            <w:vAlign w:val="center"/>
          </w:tcPr>
          <w:p w14:paraId="5CBF213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乐昌新塘</w:t>
            </w:r>
          </w:p>
        </w:tc>
        <w:tc>
          <w:tcPr>
            <w:tcW w:w="521" w:type="dxa"/>
            <w:tcBorders>
              <w:top w:val="single" w:color="auto" w:sz="4" w:space="0"/>
              <w:left w:val="single" w:color="auto" w:sz="4" w:space="0"/>
              <w:bottom w:val="single" w:color="auto" w:sz="12" w:space="0"/>
              <w:right w:val="single" w:color="auto" w:sz="4" w:space="0"/>
            </w:tcBorders>
            <w:shd w:val="clear" w:color="auto" w:fill="auto"/>
            <w:vAlign w:val="center"/>
          </w:tcPr>
          <w:p w14:paraId="53D80DE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65BDE02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365.3</w:t>
            </w:r>
          </w:p>
        </w:tc>
        <w:tc>
          <w:tcPr>
            <w:tcW w:w="1140"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004911E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369.822</w:t>
            </w:r>
          </w:p>
        </w:tc>
        <w:tc>
          <w:tcPr>
            <w:tcW w:w="1167" w:type="dxa"/>
            <w:tcBorders>
              <w:top w:val="single" w:color="auto" w:sz="4" w:space="0"/>
              <w:left w:val="single" w:color="auto" w:sz="4" w:space="0"/>
              <w:bottom w:val="single" w:color="auto" w:sz="12" w:space="0"/>
              <w:right w:val="single" w:color="auto" w:sz="12" w:space="0"/>
            </w:tcBorders>
            <w:shd w:val="clear" w:color="auto" w:fill="auto"/>
            <w:noWrap/>
            <w:vAlign w:val="center"/>
          </w:tcPr>
          <w:p w14:paraId="3118481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bl>
    <w:p w14:paraId="74D19A5C">
      <w:pPr>
        <w:spacing w:line="340" w:lineRule="exact"/>
        <w:ind w:firstLine="0" w:firstLineChars="0"/>
        <w:rPr>
          <w:rFonts w:hint="eastAsia" w:ascii="仿宋_GB2312" w:hAnsi="仿宋_GB2312" w:eastAsia="仿宋_GB2312" w:cs="仿宋_GB2312"/>
          <w:color w:val="auto"/>
          <w:sz w:val="21"/>
          <w:highlight w:val="none"/>
        </w:rPr>
      </w:pPr>
      <w:r>
        <w:rPr>
          <w:rFonts w:hint="eastAsia" w:ascii="仿宋_GB2312" w:hAnsi="仿宋_GB2312" w:eastAsia="仿宋_GB2312" w:cs="仿宋_GB2312"/>
          <w:b/>
          <w:bCs/>
          <w:color w:val="auto"/>
          <w:sz w:val="21"/>
          <w:highlight w:val="none"/>
        </w:rPr>
        <w:t>包组2</w:t>
      </w:r>
      <w:r>
        <w:rPr>
          <w:rFonts w:hint="eastAsia" w:ascii="仿宋_GB2312" w:hAnsi="仿宋_GB2312" w:eastAsia="仿宋_GB2312" w:cs="仿宋_GB2312"/>
          <w:color w:val="auto"/>
          <w:sz w:val="21"/>
          <w:highlight w:val="none"/>
        </w:rPr>
        <w:t>共计建设</w:t>
      </w:r>
      <w:r>
        <w:rPr>
          <w:rFonts w:hint="eastAsia" w:ascii="仿宋_GB2312" w:hAnsi="仿宋_GB2312" w:eastAsia="仿宋_GB2312" w:cs="仿宋_GB2312"/>
          <w:color w:val="auto"/>
          <w:sz w:val="21"/>
          <w:highlight w:val="none"/>
          <w:u w:val="single"/>
        </w:rPr>
        <w:t>12</w:t>
      </w:r>
      <w:r>
        <w:rPr>
          <w:rFonts w:hint="eastAsia" w:ascii="仿宋_GB2312" w:hAnsi="仿宋_GB2312" w:eastAsia="仿宋_GB2312" w:cs="仿宋_GB2312"/>
          <w:color w:val="auto"/>
          <w:sz w:val="21"/>
          <w:highlight w:val="none"/>
          <w:u w:val="single"/>
          <w:lang w:val="en-US" w:eastAsia="zh-CN"/>
        </w:rPr>
        <w:t>3</w:t>
      </w:r>
      <w:r>
        <w:rPr>
          <w:rFonts w:hint="eastAsia" w:ascii="仿宋_GB2312" w:hAnsi="仿宋_GB2312" w:eastAsia="仿宋_GB2312" w:cs="仿宋_GB2312"/>
          <w:color w:val="auto"/>
          <w:sz w:val="21"/>
          <w:highlight w:val="none"/>
        </w:rPr>
        <w:t>个普通国道多功能交通调查站</w:t>
      </w:r>
      <w:r>
        <w:rPr>
          <w:rFonts w:hint="eastAsia" w:ascii="仿宋_GB2312" w:hAnsi="仿宋_GB2312" w:eastAsia="仿宋_GB2312" w:cs="仿宋_GB2312"/>
          <w:color w:val="auto"/>
          <w:sz w:val="21"/>
          <w:highlight w:val="none"/>
          <w:lang w:val="en-US" w:eastAsia="zh-CN"/>
        </w:rPr>
        <w:t>点</w:t>
      </w:r>
      <w:r>
        <w:rPr>
          <w:rFonts w:hint="eastAsia" w:ascii="仿宋_GB2312" w:hAnsi="仿宋_GB2312" w:eastAsia="仿宋_GB2312" w:cs="仿宋_GB2312"/>
          <w:color w:val="auto"/>
          <w:sz w:val="21"/>
          <w:highlight w:val="none"/>
        </w:rPr>
        <w:t>。详见表</w:t>
      </w:r>
      <w:r>
        <w:rPr>
          <w:rFonts w:hint="eastAsia" w:ascii="仿宋_GB2312" w:hAnsi="仿宋_GB2312" w:eastAsia="仿宋_GB2312" w:cs="仿宋_GB2312"/>
          <w:color w:val="auto"/>
          <w:sz w:val="21"/>
          <w:highlight w:val="none"/>
          <w:lang w:val="en-US" w:eastAsia="zh-CN"/>
        </w:rPr>
        <w:t>5</w:t>
      </w:r>
      <w:r>
        <w:rPr>
          <w:rFonts w:hint="eastAsia" w:ascii="仿宋_GB2312" w:hAnsi="仿宋_GB2312" w:eastAsia="仿宋_GB2312" w:cs="仿宋_GB2312"/>
          <w:color w:val="auto"/>
          <w:sz w:val="21"/>
          <w:highlight w:val="none"/>
        </w:rPr>
        <w:t>。</w:t>
      </w:r>
    </w:p>
    <w:p w14:paraId="0FC3FB90">
      <w:pPr>
        <w:spacing w:line="340" w:lineRule="exact"/>
        <w:ind w:firstLine="0" w:firstLineChars="0"/>
        <w:jc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表</w:t>
      </w:r>
      <w:r>
        <w:rPr>
          <w:rFonts w:hint="eastAsia" w:ascii="楷体_GB2312" w:hAnsi="楷体_GB2312" w:eastAsia="楷体_GB2312" w:cs="楷体_GB2312"/>
          <w:b/>
          <w:bCs/>
          <w:color w:val="auto"/>
          <w:sz w:val="24"/>
          <w:szCs w:val="24"/>
          <w:highlight w:val="none"/>
          <w:lang w:val="en-US" w:eastAsia="zh-CN"/>
        </w:rPr>
        <w:t>5</w:t>
      </w:r>
      <w:r>
        <w:rPr>
          <w:rFonts w:hint="eastAsia" w:ascii="楷体_GB2312" w:hAnsi="楷体_GB2312" w:eastAsia="楷体_GB2312" w:cs="楷体_GB2312"/>
          <w:b/>
          <w:bCs/>
          <w:color w:val="auto"/>
          <w:sz w:val="24"/>
          <w:szCs w:val="24"/>
          <w:highlight w:val="none"/>
        </w:rPr>
        <w:t xml:space="preserve">   包组2涉</w:t>
      </w:r>
      <w:r>
        <w:rPr>
          <w:rFonts w:hint="eastAsia" w:ascii="楷体_GB2312" w:hAnsi="楷体_GB2312" w:eastAsia="楷体_GB2312" w:cs="楷体_GB2312"/>
          <w:b/>
          <w:bCs/>
          <w:color w:val="auto"/>
          <w:sz w:val="24"/>
          <w:szCs w:val="24"/>
          <w:highlight w:val="none"/>
          <w:lang w:val="en-US" w:eastAsia="zh-CN"/>
        </w:rPr>
        <w:t>8</w:t>
      </w:r>
      <w:r>
        <w:rPr>
          <w:rFonts w:hint="eastAsia" w:ascii="楷体_GB2312" w:hAnsi="楷体_GB2312" w:eastAsia="楷体_GB2312" w:cs="楷体_GB2312"/>
          <w:b/>
          <w:bCs/>
          <w:color w:val="auto"/>
          <w:sz w:val="24"/>
          <w:szCs w:val="24"/>
          <w:highlight w:val="none"/>
        </w:rPr>
        <w:t>个地级市普通国道多功能交通调查站点清单</w:t>
      </w:r>
    </w:p>
    <w:tbl>
      <w:tblPr>
        <w:tblStyle w:val="11"/>
        <w:tblW w:w="4724" w:type="pct"/>
        <w:jc w:val="center"/>
        <w:tblLayout w:type="autofit"/>
        <w:tblCellMar>
          <w:top w:w="0" w:type="dxa"/>
          <w:left w:w="108" w:type="dxa"/>
          <w:bottom w:w="0" w:type="dxa"/>
          <w:right w:w="108" w:type="dxa"/>
        </w:tblCellMar>
      </w:tblPr>
      <w:tblGrid>
        <w:gridCol w:w="723"/>
        <w:gridCol w:w="875"/>
        <w:gridCol w:w="871"/>
        <w:gridCol w:w="1909"/>
        <w:gridCol w:w="521"/>
        <w:gridCol w:w="1087"/>
        <w:gridCol w:w="1140"/>
        <w:gridCol w:w="1167"/>
      </w:tblGrid>
      <w:tr w14:paraId="2B982FDE">
        <w:tblPrEx>
          <w:tblCellMar>
            <w:top w:w="0" w:type="dxa"/>
            <w:left w:w="108" w:type="dxa"/>
            <w:bottom w:w="0" w:type="dxa"/>
            <w:right w:w="108" w:type="dxa"/>
          </w:tblCellMar>
        </w:tblPrEx>
        <w:trPr>
          <w:trHeight w:val="480" w:hRule="atLeast"/>
          <w:tblHeader/>
          <w:jc w:val="center"/>
        </w:trPr>
        <w:tc>
          <w:tcPr>
            <w:tcW w:w="436" w:type="pct"/>
            <w:tcBorders>
              <w:top w:val="single" w:color="auto" w:sz="12" w:space="0"/>
              <w:left w:val="single" w:color="auto" w:sz="12" w:space="0"/>
              <w:bottom w:val="double" w:color="auto" w:sz="4" w:space="0"/>
              <w:right w:val="single" w:color="auto" w:sz="4" w:space="0"/>
            </w:tcBorders>
            <w:shd w:val="clear" w:color="auto" w:fill="auto"/>
            <w:vAlign w:val="center"/>
          </w:tcPr>
          <w:p w14:paraId="2494E6F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lang w:val="en-US" w:eastAsia="zh-CN"/>
              </w:rPr>
              <w:t>序</w:t>
            </w:r>
            <w:r>
              <w:rPr>
                <w:rFonts w:hint="eastAsia" w:ascii="仿宋_GB2312" w:hAnsi="仿宋" w:eastAsia="仿宋_GB2312" w:cs="Times New Roman"/>
                <w:b/>
                <w:bCs/>
                <w:snapToGrid/>
                <w:color w:val="auto"/>
                <w:sz w:val="21"/>
                <w:szCs w:val="21"/>
                <w:highlight w:val="none"/>
              </w:rPr>
              <w:t>号</w:t>
            </w:r>
          </w:p>
        </w:tc>
        <w:tc>
          <w:tcPr>
            <w:tcW w:w="527" w:type="pct"/>
            <w:tcBorders>
              <w:top w:val="single" w:color="auto" w:sz="12" w:space="0"/>
              <w:left w:val="single" w:color="auto" w:sz="4" w:space="0"/>
              <w:bottom w:val="double" w:color="auto" w:sz="4" w:space="0"/>
              <w:right w:val="single" w:color="auto" w:sz="4" w:space="0"/>
            </w:tcBorders>
            <w:shd w:val="clear" w:color="auto" w:fill="auto"/>
            <w:vAlign w:val="center"/>
          </w:tcPr>
          <w:p w14:paraId="3DAF2EC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路线</w:t>
            </w:r>
          </w:p>
          <w:p w14:paraId="5FE2697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编码</w:t>
            </w:r>
          </w:p>
        </w:tc>
        <w:tc>
          <w:tcPr>
            <w:tcW w:w="525" w:type="pct"/>
            <w:tcBorders>
              <w:top w:val="single" w:color="auto" w:sz="12" w:space="0"/>
              <w:left w:val="single" w:color="auto" w:sz="4" w:space="0"/>
              <w:bottom w:val="double" w:color="auto" w:sz="4" w:space="0"/>
              <w:right w:val="single" w:color="auto" w:sz="4" w:space="0"/>
            </w:tcBorders>
            <w:shd w:val="clear" w:color="auto" w:fill="auto"/>
            <w:vAlign w:val="center"/>
          </w:tcPr>
          <w:p w14:paraId="38DB706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行政</w:t>
            </w:r>
          </w:p>
          <w:p w14:paraId="17A3BA8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kern w:val="2"/>
                <w:sz w:val="21"/>
                <w:szCs w:val="21"/>
                <w:highlight w:val="none"/>
                <w:lang w:val="en-US" w:eastAsia="zh-CN" w:bidi="ar-SA"/>
              </w:rPr>
            </w:pPr>
            <w:r>
              <w:rPr>
                <w:rFonts w:hint="eastAsia" w:ascii="仿宋_GB2312" w:hAnsi="仿宋" w:eastAsia="仿宋_GB2312" w:cs="Times New Roman"/>
                <w:b/>
                <w:bCs/>
                <w:snapToGrid/>
                <w:color w:val="auto"/>
                <w:sz w:val="21"/>
                <w:szCs w:val="21"/>
                <w:highlight w:val="none"/>
                <w:lang w:eastAsia="zh-CN"/>
              </w:rPr>
              <w:t>区划</w:t>
            </w:r>
          </w:p>
        </w:tc>
        <w:tc>
          <w:tcPr>
            <w:tcW w:w="1150" w:type="pct"/>
            <w:tcBorders>
              <w:top w:val="single" w:color="auto" w:sz="12" w:space="0"/>
              <w:left w:val="single" w:color="auto" w:sz="4" w:space="0"/>
              <w:bottom w:val="double" w:color="auto" w:sz="4" w:space="0"/>
              <w:right w:val="single" w:color="auto" w:sz="4" w:space="0"/>
            </w:tcBorders>
            <w:shd w:val="clear" w:color="auto" w:fill="auto"/>
            <w:vAlign w:val="center"/>
          </w:tcPr>
          <w:p w14:paraId="4C56009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eastAsia="zh-CN"/>
              </w:rPr>
            </w:pPr>
            <w:r>
              <w:rPr>
                <w:rFonts w:hint="eastAsia" w:ascii="仿宋_GB2312" w:hAnsi="仿宋" w:eastAsia="仿宋_GB2312" w:cs="Times New Roman"/>
                <w:b/>
                <w:bCs/>
                <w:snapToGrid/>
                <w:color w:val="auto"/>
                <w:sz w:val="21"/>
                <w:szCs w:val="21"/>
                <w:highlight w:val="none"/>
                <w:lang w:eastAsia="zh-CN"/>
              </w:rPr>
              <w:t>多功能交通</w:t>
            </w:r>
          </w:p>
          <w:p w14:paraId="38CF303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lang w:eastAsia="zh-CN"/>
              </w:rPr>
              <w:t>调查</w:t>
            </w:r>
            <w:r>
              <w:rPr>
                <w:rFonts w:hint="eastAsia" w:ascii="仿宋_GB2312" w:hAnsi="仿宋" w:eastAsia="仿宋_GB2312" w:cs="Times New Roman"/>
                <w:b/>
                <w:bCs/>
                <w:snapToGrid/>
                <w:color w:val="auto"/>
                <w:sz w:val="21"/>
                <w:szCs w:val="21"/>
                <w:highlight w:val="none"/>
              </w:rPr>
              <w:t>站点名称</w:t>
            </w:r>
          </w:p>
        </w:tc>
        <w:tc>
          <w:tcPr>
            <w:tcW w:w="314" w:type="pct"/>
            <w:tcBorders>
              <w:top w:val="single" w:color="auto" w:sz="12" w:space="0"/>
              <w:left w:val="single" w:color="auto" w:sz="4" w:space="0"/>
              <w:bottom w:val="double" w:color="auto" w:sz="4" w:space="0"/>
              <w:right w:val="single" w:color="auto" w:sz="4" w:space="0"/>
            </w:tcBorders>
            <w:shd w:val="clear" w:color="auto" w:fill="auto"/>
            <w:vAlign w:val="center"/>
          </w:tcPr>
          <w:p w14:paraId="5B795C9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车道</w:t>
            </w:r>
          </w:p>
        </w:tc>
        <w:tc>
          <w:tcPr>
            <w:tcW w:w="655" w:type="pct"/>
            <w:tcBorders>
              <w:top w:val="single" w:color="auto" w:sz="12" w:space="0"/>
              <w:left w:val="single" w:color="auto" w:sz="4" w:space="0"/>
              <w:bottom w:val="double" w:color="auto" w:sz="4" w:space="0"/>
              <w:right w:val="single" w:color="auto" w:sz="4" w:space="0"/>
            </w:tcBorders>
            <w:shd w:val="clear" w:color="auto" w:fill="auto"/>
            <w:vAlign w:val="center"/>
          </w:tcPr>
          <w:p w14:paraId="0B4B5E6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起点里程桩号</w:t>
            </w:r>
          </w:p>
        </w:tc>
        <w:tc>
          <w:tcPr>
            <w:tcW w:w="687" w:type="pct"/>
            <w:tcBorders>
              <w:top w:val="single" w:color="auto" w:sz="12" w:space="0"/>
              <w:left w:val="single" w:color="auto" w:sz="4" w:space="0"/>
              <w:bottom w:val="double" w:color="auto" w:sz="4" w:space="0"/>
              <w:right w:val="single" w:color="auto" w:sz="4" w:space="0"/>
            </w:tcBorders>
            <w:shd w:val="clear" w:color="auto" w:fill="auto"/>
            <w:vAlign w:val="center"/>
          </w:tcPr>
          <w:p w14:paraId="64807EC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终点里程桩号</w:t>
            </w:r>
          </w:p>
        </w:tc>
        <w:tc>
          <w:tcPr>
            <w:tcW w:w="703" w:type="pct"/>
            <w:tcBorders>
              <w:top w:val="single" w:color="auto" w:sz="12" w:space="0"/>
              <w:left w:val="single" w:color="auto" w:sz="4" w:space="0"/>
              <w:bottom w:val="double" w:color="auto" w:sz="4" w:space="0"/>
              <w:right w:val="single" w:color="auto" w:sz="12" w:space="0"/>
            </w:tcBorders>
            <w:shd w:val="clear" w:color="auto" w:fill="auto"/>
            <w:vAlign w:val="center"/>
          </w:tcPr>
          <w:p w14:paraId="51F800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类型</w:t>
            </w:r>
          </w:p>
        </w:tc>
      </w:tr>
      <w:tr w14:paraId="7FEFCD31">
        <w:tblPrEx>
          <w:tblCellMar>
            <w:top w:w="0" w:type="dxa"/>
            <w:left w:w="108" w:type="dxa"/>
            <w:bottom w:w="0" w:type="dxa"/>
            <w:right w:w="108" w:type="dxa"/>
          </w:tblCellMar>
        </w:tblPrEx>
        <w:trPr>
          <w:trHeight w:val="77" w:hRule="atLeast"/>
          <w:jc w:val="center"/>
        </w:trPr>
        <w:tc>
          <w:tcPr>
            <w:tcW w:w="723" w:type="dxa"/>
            <w:tcBorders>
              <w:top w:val="double" w:color="auto" w:sz="4" w:space="0"/>
              <w:left w:val="single" w:color="auto" w:sz="12" w:space="0"/>
              <w:bottom w:val="single" w:color="auto" w:sz="4" w:space="0"/>
              <w:right w:val="single" w:color="auto" w:sz="4" w:space="0"/>
            </w:tcBorders>
            <w:shd w:val="clear" w:color="auto" w:fill="auto"/>
            <w:vAlign w:val="center"/>
          </w:tcPr>
          <w:p w14:paraId="713FDA1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w:t>
            </w:r>
          </w:p>
        </w:tc>
        <w:tc>
          <w:tcPr>
            <w:tcW w:w="875" w:type="dxa"/>
            <w:tcBorders>
              <w:top w:val="double" w:color="auto" w:sz="4" w:space="0"/>
              <w:left w:val="single" w:color="auto" w:sz="4" w:space="0"/>
              <w:bottom w:val="single" w:color="auto" w:sz="4" w:space="0"/>
              <w:right w:val="single" w:color="auto" w:sz="4" w:space="0"/>
            </w:tcBorders>
            <w:shd w:val="clear" w:color="auto" w:fill="auto"/>
            <w:vAlign w:val="center"/>
          </w:tcPr>
          <w:p w14:paraId="0A4EE43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double" w:color="auto" w:sz="4" w:space="0"/>
              <w:left w:val="single" w:color="auto" w:sz="4" w:space="0"/>
              <w:bottom w:val="single" w:color="auto" w:sz="4" w:space="0"/>
              <w:right w:val="single" w:color="auto" w:sz="4" w:space="0"/>
            </w:tcBorders>
            <w:shd w:val="clear" w:color="auto" w:fill="auto"/>
            <w:vAlign w:val="center"/>
          </w:tcPr>
          <w:p w14:paraId="71AFF53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double" w:color="auto" w:sz="4" w:space="0"/>
              <w:left w:val="single" w:color="auto" w:sz="4" w:space="0"/>
              <w:bottom w:val="single" w:color="auto" w:sz="4" w:space="0"/>
              <w:right w:val="single" w:color="auto" w:sz="4" w:space="0"/>
            </w:tcBorders>
            <w:shd w:val="clear" w:color="auto" w:fill="auto"/>
            <w:vAlign w:val="center"/>
          </w:tcPr>
          <w:p w14:paraId="795D32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连平沐河</w:t>
            </w:r>
          </w:p>
        </w:tc>
        <w:tc>
          <w:tcPr>
            <w:tcW w:w="521" w:type="dxa"/>
            <w:tcBorders>
              <w:top w:val="double" w:color="auto" w:sz="4" w:space="0"/>
              <w:left w:val="single" w:color="auto" w:sz="4" w:space="0"/>
              <w:bottom w:val="single" w:color="auto" w:sz="4" w:space="0"/>
              <w:right w:val="single" w:color="auto" w:sz="4" w:space="0"/>
            </w:tcBorders>
            <w:shd w:val="clear" w:color="auto" w:fill="auto"/>
            <w:noWrap/>
            <w:vAlign w:val="center"/>
          </w:tcPr>
          <w:p w14:paraId="30A49DD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double" w:color="auto" w:sz="4" w:space="0"/>
              <w:left w:val="single" w:color="auto" w:sz="4" w:space="0"/>
              <w:bottom w:val="single" w:color="auto" w:sz="4" w:space="0"/>
              <w:right w:val="single" w:color="auto" w:sz="4" w:space="0"/>
            </w:tcBorders>
            <w:shd w:val="clear" w:color="auto" w:fill="auto"/>
            <w:vAlign w:val="center"/>
          </w:tcPr>
          <w:p w14:paraId="1A2FED4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2368.931</w:t>
            </w:r>
          </w:p>
        </w:tc>
        <w:tc>
          <w:tcPr>
            <w:tcW w:w="1140" w:type="dxa"/>
            <w:tcBorders>
              <w:top w:val="double" w:color="auto" w:sz="4" w:space="0"/>
              <w:left w:val="single" w:color="auto" w:sz="4" w:space="0"/>
              <w:bottom w:val="single" w:color="auto" w:sz="4" w:space="0"/>
              <w:right w:val="single" w:color="auto" w:sz="4" w:space="0"/>
            </w:tcBorders>
            <w:shd w:val="clear" w:color="auto" w:fill="auto"/>
            <w:vAlign w:val="center"/>
          </w:tcPr>
          <w:p w14:paraId="56C77A5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2380.735</w:t>
            </w:r>
          </w:p>
        </w:tc>
        <w:tc>
          <w:tcPr>
            <w:tcW w:w="1167" w:type="dxa"/>
            <w:tcBorders>
              <w:top w:val="double" w:color="auto" w:sz="4" w:space="0"/>
              <w:left w:val="single" w:color="auto" w:sz="4" w:space="0"/>
              <w:bottom w:val="single" w:color="auto" w:sz="4" w:space="0"/>
              <w:right w:val="single" w:color="auto" w:sz="12" w:space="0"/>
            </w:tcBorders>
            <w:shd w:val="clear" w:color="auto" w:fill="auto"/>
            <w:vAlign w:val="center"/>
          </w:tcPr>
          <w:p w14:paraId="4F7C25C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1A05A1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3D07DE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0487B0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399C6F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7F3857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东莞中堂江南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5C00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6A4E78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2549.407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7773DF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2551.457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BA879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494B7213">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2A6A6F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8C9B8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ACDF1C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2E76DF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东莞中堂东泊</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39A2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72038F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2551.457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5A8F7B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2555.61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1FE89D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A3C8C83">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CFD871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D329A2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FC3D68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30C52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东莞万江蚬涌</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DDCF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BA0F5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2555.61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C546B1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2560.916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0783FD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45ED215">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799F75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A4BD61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5B8024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6033D3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东莞万江大莲塘</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73FC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52D619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2560.916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61EAC3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2566.68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4264AD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04CFFB5">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3A5D94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8055CA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ED71F9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192C00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东莞南城三元里</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5199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760975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2566.68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194EA9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2570.066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50BAF6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CB1E6C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1CCBB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7CC679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2B78FC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1EA122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东莞东城新锡边</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3E06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61DCC0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2570.066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65C950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2575.11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E31154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25DCB8D5">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E3753A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DDC036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F439C8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597F84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东莞大岭山连平</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2982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601D9E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2575.11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D39F29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2579.389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ADD748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962C5C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DA8CA9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110D9F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FDFC7A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809596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东莞大岭山梅林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CFF3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F895DE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2579.389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FE10B9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2582.712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8F6E45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105931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1E652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89B0FF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D8DE24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3F893E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东莞大岭山杨屋</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7670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35F471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2586.472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DDE989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2589.603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B60A3C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277CFE5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5AF528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5A0BF9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0D1BCC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D547BC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东莞长安涌头</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7D2F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1AB094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2589.603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809896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2597.06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0562C9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3C9B50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976637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CC3BFE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389B03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1DD00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蕉岭广福</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19DB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4D681D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2521.715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6EE4FD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2526.215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779413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36C2F33A">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AC01A3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A080BF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44A9A9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CE9147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蕉岭湖谷</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ADA0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6109F6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2547.142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8718B2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2551.141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696762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40DF2D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146978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BDA33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74C49A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B71385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蕉岭华侨场</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D8CA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8DC60B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2551.141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5DBE33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2555.254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AC6B89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226BE34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C7A3E9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60F439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B1EF58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30B5F2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蕉岭柑桔园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9490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E76F95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2555.254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74C3BD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2558.715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073AB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640D3B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E3A3AC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C1A140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89AD32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42A805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梅州梅县白渡</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E5F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C3971B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2566.807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F7311B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2577.274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B3F4E2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D26C04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1980A5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04170A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3F7A19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319C57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梅州梅县葵岭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8AB8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548F31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2577.274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894BF0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2580.831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FB5877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DC90C9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8BEF2A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65C278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5CDFD7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97BD78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梅州五里亭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4F7E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555368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2588.163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25D42B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2590.306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874C23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C99E7AA">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96E77A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E98F3E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7CA1E6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1DB733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梅州桃西</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A1C6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6CD960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2590.306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109B3D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2593.546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0A7263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1D5FA9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BCED75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26E759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069A6E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A1984E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梅州梅县南口</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1013483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8F3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2593.326</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FC68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2611.21</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6CB695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015E353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B40673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C2CEE5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18FF7B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CE72BF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兴宁径心</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7E0B121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391B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2614.972</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1DAB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2617.94</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7A79CE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938AE7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436781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DF55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F593CD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BEDA99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兴宁径南</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38B5FDD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A6FB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2617.94</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3CE2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2634.619</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BD52E0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E02731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002DBE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0B95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7E9196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B4F41C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兴宁永和</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7ED7FDB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1A92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2634.619</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C1B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2638.128</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FA30C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2346AF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AB1A5F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3B84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48701D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6F263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兴宁宁新</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3362480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59A6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2638.128</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A963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2640.611</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C53C41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E4A726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4BCFF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0B03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10A6C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0EC3BD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兴宁洋里</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1351FD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F539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2640.611</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BD0E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2644.875</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0D0DE8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A6DA08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956B09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C54102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3894FC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35C654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兴宁福兴</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2C097F5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79F4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2644.875</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D8FF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2647.536</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AE66B4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A8DC20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DAB939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004F66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1B519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B42BB9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五华罗经</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1E73426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F99B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2661.989</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A0C6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2668.119</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DD865E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0E59B8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66CDAE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F44783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A30D40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D89D16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五华清溪</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13EA13C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A856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2670.94</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118D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2677.391</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25B66C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61C462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C3F63F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4C8842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94E77B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54D26C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五华油岭坝</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733EBA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17EC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2677.391</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A877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2683.934</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4CFC2B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047CD4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FB72C4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1716F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A689CA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6F0D98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龙川老隆</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02E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007C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2698.853</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A7FB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2699.647</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7BC307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721654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5002D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6F1E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4E8AB3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5BA71E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龙川霍山</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6C1EFBE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4A4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2699.647</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E316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2702.725</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E40E19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DAD7BC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7D67DF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889E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4BB9B4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57DF43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龙川义都</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7D58984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F1FD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2702.725</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AA97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2709.857</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885EE8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0FDFDC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9B9B38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33</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4919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56AB2C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B777E8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龙川坨城</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7F8B4CC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3097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2709.857</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5BC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2711.931</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BC69B4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C78278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B09FE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E2A275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29BD91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E71EE8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东源柳城</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3B23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77CEDB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2716.261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729FC0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2723.588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625F06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6153EA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E7F015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C71AB4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E37B04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9ABD98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东源牛背脊</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DF56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7A697F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2723.588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4F72CE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2731.279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C02293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64E48C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909908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C4C009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577E34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A078CE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东源曾田</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69FE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7FA77A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2731.279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5A3CDD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2739.281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5E1F6F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4CD78F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C6616F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4387E8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B0F2BA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B71099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河源三角岭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2881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346864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2818.072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AFB141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2824.76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F9FF50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66CF28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37E27D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5AB88D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2E4779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8C293A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博罗石坝</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8889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632DBB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2828.333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C127C8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2832.053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136FAC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8073C5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E4E8DF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D90ECE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54061E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3FD95B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博罗杨村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21AE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DFCED7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2846.27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38400A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2851.962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AC42F2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2808760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2A8E7D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257DD5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32CE28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7BD1AB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博罗十二岭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EAB5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D3E32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2851.979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617521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2852.47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415813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059BBF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5C933B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CCA500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CC710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C40EF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博罗三径</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1271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7ED2F5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2858.992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0DA61E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2861.926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563B44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246872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CD5985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30E270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1E0FAB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368F62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博罗良田</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5415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22B107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2864.924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8D2E9D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2869.645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46314A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8B9423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6F3208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92EE04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F8F531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194A2D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惠州长坑桥</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252E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19D561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2877.067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3D102F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2884.347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3DD9A4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39B7196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DCBF6C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CDE77B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830A01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AB729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惠州田心</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EA5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1C7ADF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2884.347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235636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2887.454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CE6D0C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77CFA4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8155D4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2CD3F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2FF778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64242F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惠州叶屋</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C15B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321392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2891.429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6007B2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2894.405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67F244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DA6C0C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EAF4D3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A0800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6ECBED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124AC2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惠州文头岭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E240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E6FFAF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2894.424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D7B933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2901.344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D2D736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5426F3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66303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4093FF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05DB55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C45C1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惠州惠环</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72F1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1A430F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2906.709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620641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2908.273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3157FF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F3C83B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0DC135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D142D8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623536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BF8ABC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惠州平南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F43F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314B79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2908.273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D2DE12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2910.688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DD1666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09E197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1F9134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393D1D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3F07DD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98341E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惠州陈江南</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34F990F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09ABF5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2910.688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092B85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2912.88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2E7D22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444FD5A">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B5EED8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CF1EFB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97FBD1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44D04D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惠州惠阳佛祖坳</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5925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A1AB1A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2922.432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6534A3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2928.466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405730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16A0D6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A1BE25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B17E8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F413E1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9D2056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惠州惠阳塘吓</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03A7043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B16C67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2932.994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78D388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2935.975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009EBC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0CA3DF9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8A634E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702877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BC9D5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748A87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平远八尺</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1B53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B01F94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2151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201F2E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2153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D97951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3882BC0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57EE4D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EB9D82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8E266D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93855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平远中行</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4BDF800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20AD18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2160.302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EE1B49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2175.811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1C7F69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D9F06E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CA5245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18B54C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58D842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07CABA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平远超南</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16015E7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0D6DEA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2175.811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D54876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2180</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3B9C60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282347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2FBE39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362662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55E46F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898214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平远超竹</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6F56DDD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5737D7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2180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E56D71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2183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B1169B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0505E4E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80BC6E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26E482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D38F35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97AFB9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梅州扎田</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58AF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CDA88E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2202.025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5F2DC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2212.379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90374F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1B4ED32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C97E7A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F84E64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668E11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A36671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梅州梅县锭子桥</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B236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AB280D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2220.095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59DF54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2225.934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58B247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4E3AC7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345BEA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4B4621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564A3B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71E7B2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梅州湾下新村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FF92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F9CF1D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2229.965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A29CEC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2232.465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CA5101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AA6138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5B13BA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984608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3238CA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316F54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梅州梅县梅南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765E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9DE0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2238.284</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4B4A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2243.093</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A8CB0E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99FCFA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B4C168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60</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DFA3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0B6188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66F621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梅州梅县松棚</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12B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82B4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2263.746</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95D3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2269.063</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4EE40E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E96A28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C57433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61</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39DF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A0B548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51D18D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梅州梅县叶华</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AAE3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0233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2275.531</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700F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2279.204</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3A489D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7B63A9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35F238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62</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CF5C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85B4B9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7CFF58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丰顺环中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EB97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9BE1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2279.204</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D4CB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2283.195</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E13858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FC0B70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F756B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63</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F039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5E6A29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432DC8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丰顺埔头寨</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9689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3F1A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2290.55</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B4BD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2294.173</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1E1765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BD1AA9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208BC0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64</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B4AC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44E3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94B8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丰顺石桥头</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0B0D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8B0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2315.355</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5B26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2321.182</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9C7653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30FA5D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672AD5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65</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8D75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7B3E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622C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丰顺富城新村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BED0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5344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2326.248</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125E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2329.195</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1EECD5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E4B30B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222E0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4CE06D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1BFB6B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A86521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揭阳揭东汾水</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AFF1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341B2E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2332.465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A5F3E7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2336.71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359D47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95D1D1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5628A9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E3CCB8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7F62C3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E90497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揭阳揭东浮山</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0402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4784E6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2336.71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099EEE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2344.121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048D26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4BC66B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73EAA7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6A789A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663104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66E8D0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揭阳凤鸣</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F2C6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51FE37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2375.148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916E6B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2378.712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58FD0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13DDD7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F56C08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671F4F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FD0673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69BFCF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揭阳大瑶</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EE1E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C8E8DB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2378.712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AED28E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2388.067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BEA11F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C58221A">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4FB243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C4C891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D3187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B2F16C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东莞桥头朗厦</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AE86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6A5A43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2525.796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085566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2529.652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20DC26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709338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AB2E80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AD440D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4BA73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7A8092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东莞常平司马</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0C8E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3184D7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2534.203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5DD433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2537.729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5CBD9E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1F0DE3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51823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6E2DD1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3BC040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7BFE4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东莞常平九江水</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FAF9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4235B9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2537.729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DD350E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2544.412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8614D6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510223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8AD93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8E594A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819808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866361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东莞塘厦林村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878F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69FBA8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2551.613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4D41B9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2554.914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AC2699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93B477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5829CA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C34A1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80E51D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C51DA3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东莞塘厦莲湖</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AC4C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08A93C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2554.914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CD4963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2557.016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42D675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19C2161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7B578A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9C599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CFB298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43FE91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东莞塘厦石潭埔</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C75D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77FD10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2557.016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DC2F79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2562.719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98B3C7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112806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984D52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1F7A92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6A5C19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51CEC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东莞凤岗雁田</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ACC7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852020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2571.38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A1A92F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2577.382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BD41DF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74D273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BE610C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677148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58F108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BFCB04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惠来兴岗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4190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65A42A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5516.946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A8D22E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5535.406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11851C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229468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9CA1A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5AE2DA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4A7F14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汕尾市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FEDA79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海丰鲘门</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947B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65136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5669.179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58CA28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5697.74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A555A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60FE56F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A87459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16A9C1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B33A30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A55B00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惠州惠阳金玉</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3032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2D32A2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5813.042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CD8038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5817.653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48F33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BFAFCC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0C7D0C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5B1BA1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DFA90A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BCF6E7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东莞长安锦厦</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779C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9691D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5900.31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C1BF0D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5905.003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BF130C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BEF661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06943A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EF9DF2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BC24B1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梅州市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55EBA0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大埔北坎</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7AA6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3BCBD9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1881.506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7D066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1887.708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613839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DD65D6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F2411F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55C88B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31A6D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7D200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揭西京溪园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5741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045664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2086.807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2620B8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2101.269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069743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438C625">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41B243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47FEE7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6171BB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D45FE7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揭西灰寨</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CC20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1328DF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2101.269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5D1ED3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2113.47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C9DB92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E21E0F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9C37C7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F1546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B10D2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FF448C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龙川莲东</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54C9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74D6E2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1087.6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E1CD4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1116.437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B44C6E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C12752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8FAC15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5AE360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5581B7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89FB15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紫金福船岗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7B5E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11ABD7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1178.461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6397B3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1188.957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DC619C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E8A4BB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598A6F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63F0A9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DA14EC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88C92E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紫金苏区</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631A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EB0584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1209.427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CB196F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1236.2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FB8FD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A26CBB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B9765B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41BDE8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CB436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4163F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和平合水</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DB07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DE6CE2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622.522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ABF6F7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631.745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D1341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67980B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1755C6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97D867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1C4B88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811A48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和平公和</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D105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6771B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652.452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3D7ED3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669.8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E7FE10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CD4A87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7FE721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0939C2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95EA4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34A4F0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和平贝墩</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288E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292AAF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669.8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AB3CD5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698.6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9E9C51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368651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6DB0D8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8BFAD8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1BCC3C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CBB125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揭西坪上</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60C4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DD90D5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879.51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118D83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892.14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E9F436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7AD2ED4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6402CC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181313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AA8B40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汕头市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99CBE9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汕头潮阳棉北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AB4A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F87841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533.331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B349F4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537.444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1F4F17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D58FCF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34104C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17441A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59ED6D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汕头市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FF339D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汕头潮阳深浦</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ACEA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447C66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537.444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135204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541.118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71AD01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1A27BA3">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BA8C11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8F00D4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06A374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汕头市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86E200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汕头潮阳新庆</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A86F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DCAC1B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550.154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A8E943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554.527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02E29B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29BF12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728547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98630A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93E30E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汕头市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0C0307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汕头潮南瓦窑</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0770A7F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9AAB7D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561.025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902A2C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563.926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FA73FB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118B66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80B3CE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8FF402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A34D3D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汕头市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F1F399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汕头潮南陈店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FC4D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E5639C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565.05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C26060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567.742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0C89A5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902E395">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0A11E9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DFACE8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C3A017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3D3769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普宁占陇</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3E3A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EE9FF5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567.742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13F574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573.035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22EABF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1E9802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40A026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6BE639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2024B8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F9F78D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普宁塘边</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7A6878C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1541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568.801</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E673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613.906</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3C188A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605A4068">
        <w:tblPrEx>
          <w:tblCellMar>
            <w:top w:w="0" w:type="dxa"/>
            <w:left w:w="108" w:type="dxa"/>
            <w:bottom w:w="0" w:type="dxa"/>
            <w:right w:w="108" w:type="dxa"/>
          </w:tblCellMar>
        </w:tblPrEx>
        <w:trPr>
          <w:trHeight w:val="90"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4204EC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A30482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96D8ED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EF6F8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普宁新星</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3D663F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2C01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596.248</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120D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601.188</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7998A8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0CEA761">
        <w:tblPrEx>
          <w:tblCellMar>
            <w:top w:w="0" w:type="dxa"/>
            <w:left w:w="108" w:type="dxa"/>
            <w:bottom w:w="0" w:type="dxa"/>
            <w:right w:w="108" w:type="dxa"/>
          </w:tblCellMar>
        </w:tblPrEx>
        <w:trPr>
          <w:trHeight w:val="90"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71319B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99</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9D02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487440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揭阳市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5A66AD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普宁丰滩</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09CE4E1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1AFB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601.188</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933A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606.01</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4BA70F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113C3B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AEB438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100</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7B74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8C5E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揭阳市</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705B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普宁月塘</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8ABF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95C1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606.01</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7856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613.906</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C79E61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B72A2A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26BC4D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557954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3B618E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汕尾市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A59FB8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陆丰磨海</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E713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63CEDE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656.083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64D42A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656.498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A75CBD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ADE4A7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BAB12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0EE6A0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E88038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561E29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惠东三联</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9893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F46095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789.079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FF86B5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793.91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369E4A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2EE773A">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360697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1F813C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29633B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799628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惠东大岭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FE9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10315B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793.91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86123E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796.959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9B5314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7A7965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772843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CEEFA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986BFA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F0AE68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惠州惠阳泮尾</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0C3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82B454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805.877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377EB0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809.583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00BB61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8F9E65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3B671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1B31D3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09A0DA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49A2B5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惠州惠阳独石</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3B0A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591CF1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811.838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5E72B0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814.624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9DE673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B06897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BCB98B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26AAF7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6AF815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EDAB81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惠州东平</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B3A1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970A6B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830.204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A4FAFA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833.576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C32428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DDAE9F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D2E204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4C5254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FE85B8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041701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惠州小铁</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A4E2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277A97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833.576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8BC6B3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836.091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BD02AA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0C4DC6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92226C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5EF828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B820AE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7B4CFF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惠州小金</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684FDC2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F32562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836.091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981A3F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843.289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EFAD2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71BC9E6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40B077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622BEC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ACC3A9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66D764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博罗赤竹坑</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1DED5EA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F0810C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843.289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C8CF11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850.566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238C7A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F0F665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6CEC8C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990135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D804B4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03BF96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博罗老元江</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F71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A47B21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850.566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586160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854.293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764BC1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C6B318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359ADA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F3CFE8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579819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2124FD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博罗云步</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1093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814E38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854.293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373581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859.555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DDF793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C18358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3C0E3E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9C8269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6C9774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61B148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博罗石下</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0ED6A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09A1FD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884.895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00B9A9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888.442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864B1D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595641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1EA782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113</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DC1B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G355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111C0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潮州市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10896B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饶平上善</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5B75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D3A6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474.803</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65C9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527.143</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83DC02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5292C4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24A495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114</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658B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G355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B9C434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9602D7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紫金敬梓</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11085F9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AC38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731.349</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9339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745.848</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3DBB1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BF31CE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C8D9C3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C65E15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G355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4208C7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365DC8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紫金禅茶大道</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23B0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74B44C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769.55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DDB4E8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780.23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177DE0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0B5037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6C38DA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5F7FD7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G355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826219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8E8523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紫金中洞</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26E1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BD0D7F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780.23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0F0AD3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792.83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141BFC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B99AC1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452AB5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744C45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G355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DE4AEC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D2C501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河源高望</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49B3553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965A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816.991</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9FE7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829.666</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5BB985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721467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CC10A1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118</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DDC0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G355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9E7DF2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惠州市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87970E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龙门龙华</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D5AC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0A7E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918.565</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7367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945.726</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E299EF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06F0CC19">
        <w:tblPrEx>
          <w:tblCellMar>
            <w:top w:w="0" w:type="dxa"/>
            <w:left w:w="108" w:type="dxa"/>
            <w:bottom w:w="0" w:type="dxa"/>
            <w:right w:w="108" w:type="dxa"/>
          </w:tblCellMar>
        </w:tblPrEx>
        <w:trPr>
          <w:trHeight w:val="79"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5F9C18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119</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0DCD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G358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4BC2EE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26CEF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连平石板滩</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4F19148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6C4C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718.792</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DD15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724.7</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3A5B37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596F963">
        <w:tblPrEx>
          <w:tblCellMar>
            <w:top w:w="0" w:type="dxa"/>
            <w:left w:w="108" w:type="dxa"/>
            <w:bottom w:w="0" w:type="dxa"/>
            <w:right w:w="108" w:type="dxa"/>
          </w:tblCellMar>
        </w:tblPrEx>
        <w:trPr>
          <w:trHeight w:val="79"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F77C79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120</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3AC8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G358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1F4CC1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FD6742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连平大湖</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1B9A270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B7CC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724.7</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8485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733.039</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B8A574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C59F8EB">
        <w:tblPrEx>
          <w:tblCellMar>
            <w:top w:w="0" w:type="dxa"/>
            <w:left w:w="108" w:type="dxa"/>
            <w:bottom w:w="0" w:type="dxa"/>
            <w:right w:w="108" w:type="dxa"/>
          </w:tblCellMar>
        </w:tblPrEx>
        <w:trPr>
          <w:trHeight w:val="79"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24714E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121</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8725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G358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FDFDBA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DE3D9A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连平东升</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7A0324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205F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733.039</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83C4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738.164</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48394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E7FBB46">
        <w:tblPrEx>
          <w:tblCellMar>
            <w:top w:w="0" w:type="dxa"/>
            <w:left w:w="108" w:type="dxa"/>
            <w:bottom w:w="0" w:type="dxa"/>
            <w:right w:w="108" w:type="dxa"/>
          </w:tblCellMar>
        </w:tblPrEx>
        <w:trPr>
          <w:trHeight w:val="79"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8B433B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122</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683D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G358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47FB9C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E6E912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连平油溪</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10169DD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3FBF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738.164</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2BD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744.629</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01D281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34A4CBA">
        <w:tblPrEx>
          <w:tblCellMar>
            <w:top w:w="0" w:type="dxa"/>
            <w:left w:w="108" w:type="dxa"/>
            <w:bottom w:w="0" w:type="dxa"/>
            <w:right w:w="108" w:type="dxa"/>
          </w:tblCellMar>
        </w:tblPrEx>
        <w:trPr>
          <w:trHeight w:val="79" w:hRule="atLeast"/>
          <w:jc w:val="center"/>
        </w:trPr>
        <w:tc>
          <w:tcPr>
            <w:tcW w:w="723" w:type="dxa"/>
            <w:tcBorders>
              <w:top w:val="single" w:color="auto" w:sz="4" w:space="0"/>
              <w:left w:val="single" w:color="auto" w:sz="12" w:space="0"/>
              <w:bottom w:val="single" w:color="auto" w:sz="12" w:space="0"/>
              <w:right w:val="single" w:color="auto" w:sz="4" w:space="0"/>
            </w:tcBorders>
            <w:shd w:val="clear" w:color="auto" w:fill="auto"/>
            <w:vAlign w:val="center"/>
          </w:tcPr>
          <w:p w14:paraId="79DCAD7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123</w:t>
            </w:r>
          </w:p>
        </w:tc>
        <w:tc>
          <w:tcPr>
            <w:tcW w:w="875"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68D1FC8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G358</w:t>
            </w:r>
          </w:p>
        </w:tc>
        <w:tc>
          <w:tcPr>
            <w:tcW w:w="871" w:type="dxa"/>
            <w:tcBorders>
              <w:top w:val="single" w:color="auto" w:sz="4" w:space="0"/>
              <w:left w:val="single" w:color="auto" w:sz="4" w:space="0"/>
              <w:bottom w:val="single" w:color="auto" w:sz="12" w:space="0"/>
              <w:right w:val="single" w:color="auto" w:sz="4" w:space="0"/>
            </w:tcBorders>
            <w:shd w:val="clear" w:color="auto" w:fill="auto"/>
            <w:vAlign w:val="center"/>
          </w:tcPr>
          <w:p w14:paraId="6EF515B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河源市</w:t>
            </w:r>
          </w:p>
        </w:tc>
        <w:tc>
          <w:tcPr>
            <w:tcW w:w="1909" w:type="dxa"/>
            <w:tcBorders>
              <w:top w:val="single" w:color="auto" w:sz="4" w:space="0"/>
              <w:left w:val="single" w:color="auto" w:sz="4" w:space="0"/>
              <w:bottom w:val="single" w:color="auto" w:sz="12" w:space="0"/>
              <w:right w:val="single" w:color="auto" w:sz="4" w:space="0"/>
            </w:tcBorders>
            <w:shd w:val="clear" w:color="auto" w:fill="auto"/>
            <w:vAlign w:val="center"/>
          </w:tcPr>
          <w:p w14:paraId="066B315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连平金花洞桥</w:t>
            </w:r>
          </w:p>
        </w:tc>
        <w:tc>
          <w:tcPr>
            <w:tcW w:w="521" w:type="dxa"/>
            <w:tcBorders>
              <w:top w:val="single" w:color="auto" w:sz="4" w:space="0"/>
              <w:left w:val="single" w:color="auto" w:sz="4" w:space="0"/>
              <w:bottom w:val="single" w:color="auto" w:sz="12" w:space="0"/>
              <w:right w:val="single" w:color="auto" w:sz="4" w:space="0"/>
            </w:tcBorders>
            <w:shd w:val="clear" w:color="auto" w:fill="auto"/>
            <w:vAlign w:val="center"/>
          </w:tcPr>
          <w:p w14:paraId="5D9806E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1A2C0ED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741.5</w:t>
            </w:r>
          </w:p>
        </w:tc>
        <w:tc>
          <w:tcPr>
            <w:tcW w:w="1140"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3623A29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768.12</w:t>
            </w:r>
          </w:p>
        </w:tc>
        <w:tc>
          <w:tcPr>
            <w:tcW w:w="1167" w:type="dxa"/>
            <w:tcBorders>
              <w:top w:val="single" w:color="auto" w:sz="4" w:space="0"/>
              <w:left w:val="single" w:color="auto" w:sz="4" w:space="0"/>
              <w:bottom w:val="single" w:color="auto" w:sz="12" w:space="0"/>
              <w:right w:val="single" w:color="auto" w:sz="12" w:space="0"/>
            </w:tcBorders>
            <w:shd w:val="clear" w:color="auto" w:fill="auto"/>
            <w:noWrap/>
            <w:vAlign w:val="center"/>
          </w:tcPr>
          <w:p w14:paraId="1B06B82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bl>
    <w:p w14:paraId="4AC1CE53">
      <w:pPr>
        <w:spacing w:line="340" w:lineRule="exact"/>
        <w:ind w:firstLine="0" w:firstLineChars="0"/>
        <w:rPr>
          <w:rFonts w:hint="eastAsia" w:ascii="仿宋_GB2312" w:hAnsi="仿宋_GB2312" w:eastAsia="仿宋_GB2312" w:cs="仿宋_GB2312"/>
          <w:color w:val="auto"/>
          <w:sz w:val="21"/>
          <w:highlight w:val="none"/>
        </w:rPr>
      </w:pPr>
      <w:r>
        <w:rPr>
          <w:rFonts w:hint="eastAsia" w:ascii="仿宋_GB2312" w:hAnsi="仿宋_GB2312" w:eastAsia="仿宋_GB2312" w:cs="仿宋_GB2312"/>
          <w:b/>
          <w:bCs/>
          <w:color w:val="auto"/>
          <w:sz w:val="21"/>
          <w:highlight w:val="none"/>
        </w:rPr>
        <w:t>包组3</w:t>
      </w:r>
      <w:r>
        <w:rPr>
          <w:rFonts w:hint="eastAsia" w:ascii="仿宋_GB2312" w:hAnsi="仿宋_GB2312" w:eastAsia="仿宋_GB2312" w:cs="仿宋_GB2312"/>
          <w:color w:val="auto"/>
          <w:sz w:val="21"/>
          <w:highlight w:val="none"/>
        </w:rPr>
        <w:t>共计建设</w:t>
      </w:r>
      <w:r>
        <w:rPr>
          <w:rFonts w:hint="eastAsia" w:ascii="仿宋_GB2312" w:hAnsi="仿宋_GB2312" w:eastAsia="仿宋_GB2312" w:cs="仿宋_GB2312"/>
          <w:color w:val="auto"/>
          <w:sz w:val="21"/>
          <w:highlight w:val="none"/>
          <w:u w:val="single"/>
        </w:rPr>
        <w:t>12</w:t>
      </w:r>
      <w:r>
        <w:rPr>
          <w:rFonts w:hint="eastAsia" w:ascii="仿宋_GB2312" w:hAnsi="仿宋_GB2312" w:eastAsia="仿宋_GB2312" w:cs="仿宋_GB2312"/>
          <w:color w:val="auto"/>
          <w:sz w:val="21"/>
          <w:highlight w:val="none"/>
          <w:u w:val="single"/>
          <w:lang w:val="en-US" w:eastAsia="zh-CN"/>
        </w:rPr>
        <w:t>4</w:t>
      </w:r>
      <w:r>
        <w:rPr>
          <w:rFonts w:hint="eastAsia" w:ascii="仿宋_GB2312" w:hAnsi="仿宋_GB2312" w:eastAsia="仿宋_GB2312" w:cs="仿宋_GB2312"/>
          <w:color w:val="auto"/>
          <w:sz w:val="21"/>
          <w:highlight w:val="none"/>
        </w:rPr>
        <w:t>个普通国道多功能交通调查站点。详见表</w:t>
      </w:r>
      <w:r>
        <w:rPr>
          <w:rFonts w:hint="eastAsia" w:ascii="仿宋_GB2312" w:hAnsi="仿宋_GB2312" w:eastAsia="仿宋_GB2312" w:cs="仿宋_GB2312"/>
          <w:color w:val="auto"/>
          <w:sz w:val="21"/>
          <w:highlight w:val="none"/>
          <w:lang w:val="en-US" w:eastAsia="zh-CN"/>
        </w:rPr>
        <w:t>6</w:t>
      </w:r>
      <w:r>
        <w:rPr>
          <w:rFonts w:hint="eastAsia" w:ascii="仿宋_GB2312" w:hAnsi="仿宋_GB2312" w:eastAsia="仿宋_GB2312" w:cs="仿宋_GB2312"/>
          <w:color w:val="auto"/>
          <w:sz w:val="21"/>
          <w:highlight w:val="none"/>
        </w:rPr>
        <w:t>。</w:t>
      </w:r>
    </w:p>
    <w:p w14:paraId="25E465AB">
      <w:pPr>
        <w:spacing w:line="340" w:lineRule="exact"/>
        <w:ind w:firstLine="0" w:firstLineChars="0"/>
        <w:jc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表</w:t>
      </w:r>
      <w:r>
        <w:rPr>
          <w:rFonts w:hint="eastAsia" w:ascii="楷体_GB2312" w:hAnsi="楷体_GB2312" w:eastAsia="楷体_GB2312" w:cs="楷体_GB2312"/>
          <w:b/>
          <w:bCs/>
          <w:color w:val="auto"/>
          <w:sz w:val="24"/>
          <w:szCs w:val="24"/>
          <w:highlight w:val="none"/>
          <w:lang w:val="en-US" w:eastAsia="zh-CN"/>
        </w:rPr>
        <w:t>6</w:t>
      </w:r>
      <w:r>
        <w:rPr>
          <w:rFonts w:hint="eastAsia" w:ascii="楷体_GB2312" w:hAnsi="楷体_GB2312" w:eastAsia="楷体_GB2312" w:cs="楷体_GB2312"/>
          <w:b/>
          <w:bCs/>
          <w:color w:val="auto"/>
          <w:sz w:val="24"/>
          <w:szCs w:val="24"/>
          <w:highlight w:val="none"/>
        </w:rPr>
        <w:t xml:space="preserve">  包组3涉</w:t>
      </w:r>
      <w:r>
        <w:rPr>
          <w:rFonts w:hint="eastAsia" w:ascii="楷体_GB2312" w:hAnsi="楷体_GB2312" w:eastAsia="楷体_GB2312" w:cs="楷体_GB2312"/>
          <w:b/>
          <w:bCs/>
          <w:color w:val="auto"/>
          <w:sz w:val="24"/>
          <w:szCs w:val="24"/>
          <w:highlight w:val="none"/>
          <w:lang w:val="en-US" w:eastAsia="zh-CN"/>
        </w:rPr>
        <w:t>7</w:t>
      </w:r>
      <w:r>
        <w:rPr>
          <w:rFonts w:hint="eastAsia" w:ascii="楷体_GB2312" w:hAnsi="楷体_GB2312" w:eastAsia="楷体_GB2312" w:cs="楷体_GB2312"/>
          <w:b/>
          <w:bCs/>
          <w:color w:val="auto"/>
          <w:sz w:val="24"/>
          <w:szCs w:val="24"/>
          <w:highlight w:val="none"/>
        </w:rPr>
        <w:t>个地级市普通国道多功能交通调查站点清单</w:t>
      </w:r>
    </w:p>
    <w:tbl>
      <w:tblPr>
        <w:tblStyle w:val="11"/>
        <w:tblW w:w="4724" w:type="pct"/>
        <w:jc w:val="center"/>
        <w:tblLayout w:type="autofit"/>
        <w:tblCellMar>
          <w:top w:w="0" w:type="dxa"/>
          <w:left w:w="108" w:type="dxa"/>
          <w:bottom w:w="0" w:type="dxa"/>
          <w:right w:w="108" w:type="dxa"/>
        </w:tblCellMar>
      </w:tblPr>
      <w:tblGrid>
        <w:gridCol w:w="723"/>
        <w:gridCol w:w="875"/>
        <w:gridCol w:w="871"/>
        <w:gridCol w:w="1909"/>
        <w:gridCol w:w="521"/>
        <w:gridCol w:w="1087"/>
        <w:gridCol w:w="1140"/>
        <w:gridCol w:w="1167"/>
      </w:tblGrid>
      <w:tr w14:paraId="34B3E3CD">
        <w:tblPrEx>
          <w:tblCellMar>
            <w:top w:w="0" w:type="dxa"/>
            <w:left w:w="108" w:type="dxa"/>
            <w:bottom w:w="0" w:type="dxa"/>
            <w:right w:w="108" w:type="dxa"/>
          </w:tblCellMar>
        </w:tblPrEx>
        <w:trPr>
          <w:trHeight w:val="480" w:hRule="atLeast"/>
          <w:tblHeader/>
          <w:jc w:val="center"/>
        </w:trPr>
        <w:tc>
          <w:tcPr>
            <w:tcW w:w="436" w:type="pct"/>
            <w:tcBorders>
              <w:top w:val="single" w:color="auto" w:sz="12" w:space="0"/>
              <w:left w:val="single" w:color="auto" w:sz="12" w:space="0"/>
              <w:bottom w:val="double" w:color="auto" w:sz="4" w:space="0"/>
              <w:right w:val="single" w:color="auto" w:sz="4" w:space="0"/>
            </w:tcBorders>
            <w:shd w:val="clear" w:color="auto" w:fill="auto"/>
            <w:vAlign w:val="center"/>
          </w:tcPr>
          <w:p w14:paraId="4F04B22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lang w:val="en-US" w:eastAsia="zh-CN"/>
              </w:rPr>
              <w:t>序</w:t>
            </w:r>
            <w:r>
              <w:rPr>
                <w:rFonts w:hint="eastAsia" w:ascii="仿宋_GB2312" w:hAnsi="仿宋" w:eastAsia="仿宋_GB2312" w:cs="Times New Roman"/>
                <w:b/>
                <w:bCs/>
                <w:snapToGrid/>
                <w:color w:val="auto"/>
                <w:sz w:val="21"/>
                <w:szCs w:val="21"/>
                <w:highlight w:val="none"/>
              </w:rPr>
              <w:t>号</w:t>
            </w:r>
          </w:p>
        </w:tc>
        <w:tc>
          <w:tcPr>
            <w:tcW w:w="527" w:type="pct"/>
            <w:tcBorders>
              <w:top w:val="single" w:color="auto" w:sz="12" w:space="0"/>
              <w:left w:val="single" w:color="auto" w:sz="4" w:space="0"/>
              <w:bottom w:val="double" w:color="auto" w:sz="4" w:space="0"/>
              <w:right w:val="single" w:color="auto" w:sz="4" w:space="0"/>
            </w:tcBorders>
            <w:shd w:val="clear" w:color="auto" w:fill="auto"/>
            <w:vAlign w:val="center"/>
          </w:tcPr>
          <w:p w14:paraId="7DB9B97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路线</w:t>
            </w:r>
          </w:p>
          <w:p w14:paraId="407DB96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编码</w:t>
            </w:r>
          </w:p>
        </w:tc>
        <w:tc>
          <w:tcPr>
            <w:tcW w:w="525" w:type="pct"/>
            <w:tcBorders>
              <w:top w:val="single" w:color="auto" w:sz="12" w:space="0"/>
              <w:left w:val="single" w:color="auto" w:sz="4" w:space="0"/>
              <w:bottom w:val="double" w:color="auto" w:sz="4" w:space="0"/>
              <w:right w:val="single" w:color="auto" w:sz="4" w:space="0"/>
            </w:tcBorders>
            <w:shd w:val="clear" w:color="auto" w:fill="auto"/>
            <w:vAlign w:val="center"/>
          </w:tcPr>
          <w:p w14:paraId="5796214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行政</w:t>
            </w:r>
          </w:p>
          <w:p w14:paraId="4056F5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kern w:val="2"/>
                <w:sz w:val="21"/>
                <w:szCs w:val="21"/>
                <w:highlight w:val="none"/>
                <w:lang w:val="en-US" w:eastAsia="zh-CN" w:bidi="ar-SA"/>
              </w:rPr>
            </w:pPr>
            <w:r>
              <w:rPr>
                <w:rFonts w:hint="eastAsia" w:ascii="仿宋_GB2312" w:hAnsi="仿宋" w:eastAsia="仿宋_GB2312" w:cs="Times New Roman"/>
                <w:b/>
                <w:bCs/>
                <w:snapToGrid/>
                <w:color w:val="auto"/>
                <w:sz w:val="21"/>
                <w:szCs w:val="21"/>
                <w:highlight w:val="none"/>
                <w:lang w:eastAsia="zh-CN"/>
              </w:rPr>
              <w:t>区划</w:t>
            </w:r>
          </w:p>
        </w:tc>
        <w:tc>
          <w:tcPr>
            <w:tcW w:w="1150" w:type="pct"/>
            <w:tcBorders>
              <w:top w:val="single" w:color="auto" w:sz="12" w:space="0"/>
              <w:left w:val="single" w:color="auto" w:sz="4" w:space="0"/>
              <w:bottom w:val="double" w:color="auto" w:sz="4" w:space="0"/>
              <w:right w:val="single" w:color="auto" w:sz="4" w:space="0"/>
            </w:tcBorders>
            <w:shd w:val="clear" w:color="auto" w:fill="auto"/>
            <w:vAlign w:val="center"/>
          </w:tcPr>
          <w:p w14:paraId="1D0F29F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eastAsia="zh-CN"/>
              </w:rPr>
            </w:pPr>
            <w:r>
              <w:rPr>
                <w:rFonts w:hint="eastAsia" w:ascii="仿宋_GB2312" w:hAnsi="仿宋" w:eastAsia="仿宋_GB2312" w:cs="Times New Roman"/>
                <w:b/>
                <w:bCs/>
                <w:snapToGrid/>
                <w:color w:val="auto"/>
                <w:sz w:val="21"/>
                <w:szCs w:val="21"/>
                <w:highlight w:val="none"/>
                <w:lang w:eastAsia="zh-CN"/>
              </w:rPr>
              <w:t>多功能交通</w:t>
            </w:r>
          </w:p>
          <w:p w14:paraId="1DC6E97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lang w:eastAsia="zh-CN"/>
              </w:rPr>
              <w:t>调查</w:t>
            </w:r>
            <w:r>
              <w:rPr>
                <w:rFonts w:hint="eastAsia" w:ascii="仿宋_GB2312" w:hAnsi="仿宋" w:eastAsia="仿宋_GB2312" w:cs="Times New Roman"/>
                <w:b/>
                <w:bCs/>
                <w:snapToGrid/>
                <w:color w:val="auto"/>
                <w:sz w:val="21"/>
                <w:szCs w:val="21"/>
                <w:highlight w:val="none"/>
              </w:rPr>
              <w:t>站点名称</w:t>
            </w:r>
          </w:p>
        </w:tc>
        <w:tc>
          <w:tcPr>
            <w:tcW w:w="314" w:type="pct"/>
            <w:tcBorders>
              <w:top w:val="single" w:color="auto" w:sz="12" w:space="0"/>
              <w:left w:val="single" w:color="auto" w:sz="4" w:space="0"/>
              <w:bottom w:val="double" w:color="auto" w:sz="4" w:space="0"/>
              <w:right w:val="single" w:color="auto" w:sz="4" w:space="0"/>
            </w:tcBorders>
            <w:shd w:val="clear" w:color="auto" w:fill="auto"/>
            <w:vAlign w:val="center"/>
          </w:tcPr>
          <w:p w14:paraId="034A238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车道</w:t>
            </w:r>
          </w:p>
        </w:tc>
        <w:tc>
          <w:tcPr>
            <w:tcW w:w="655" w:type="pct"/>
            <w:tcBorders>
              <w:top w:val="single" w:color="auto" w:sz="12" w:space="0"/>
              <w:left w:val="single" w:color="auto" w:sz="4" w:space="0"/>
              <w:bottom w:val="double" w:color="auto" w:sz="4" w:space="0"/>
              <w:right w:val="single" w:color="auto" w:sz="4" w:space="0"/>
            </w:tcBorders>
            <w:shd w:val="clear" w:color="auto" w:fill="auto"/>
            <w:vAlign w:val="center"/>
          </w:tcPr>
          <w:p w14:paraId="721DAEA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起点里程桩号</w:t>
            </w:r>
          </w:p>
        </w:tc>
        <w:tc>
          <w:tcPr>
            <w:tcW w:w="687" w:type="pct"/>
            <w:tcBorders>
              <w:top w:val="single" w:color="auto" w:sz="12" w:space="0"/>
              <w:left w:val="single" w:color="auto" w:sz="4" w:space="0"/>
              <w:bottom w:val="double" w:color="auto" w:sz="4" w:space="0"/>
              <w:right w:val="single" w:color="auto" w:sz="4" w:space="0"/>
            </w:tcBorders>
            <w:shd w:val="clear" w:color="auto" w:fill="auto"/>
            <w:vAlign w:val="center"/>
          </w:tcPr>
          <w:p w14:paraId="4D1CF2F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终点里程桩号</w:t>
            </w:r>
          </w:p>
        </w:tc>
        <w:tc>
          <w:tcPr>
            <w:tcW w:w="703" w:type="pct"/>
            <w:tcBorders>
              <w:top w:val="single" w:color="auto" w:sz="12" w:space="0"/>
              <w:left w:val="single" w:color="auto" w:sz="4" w:space="0"/>
              <w:bottom w:val="double" w:color="auto" w:sz="4" w:space="0"/>
              <w:right w:val="single" w:color="auto" w:sz="12" w:space="0"/>
            </w:tcBorders>
            <w:shd w:val="clear" w:color="auto" w:fill="auto"/>
            <w:vAlign w:val="center"/>
          </w:tcPr>
          <w:p w14:paraId="4128EE3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rPr>
            </w:pPr>
            <w:r>
              <w:rPr>
                <w:rFonts w:hint="eastAsia" w:ascii="仿宋_GB2312" w:hAnsi="仿宋" w:eastAsia="仿宋_GB2312" w:cs="Times New Roman"/>
                <w:b/>
                <w:bCs/>
                <w:snapToGrid/>
                <w:color w:val="auto"/>
                <w:sz w:val="21"/>
                <w:szCs w:val="21"/>
                <w:highlight w:val="none"/>
              </w:rPr>
              <w:t>类型</w:t>
            </w:r>
          </w:p>
        </w:tc>
      </w:tr>
      <w:tr w14:paraId="486470AC">
        <w:tblPrEx>
          <w:tblCellMar>
            <w:top w:w="0" w:type="dxa"/>
            <w:left w:w="108" w:type="dxa"/>
            <w:bottom w:w="0" w:type="dxa"/>
            <w:right w:w="108" w:type="dxa"/>
          </w:tblCellMar>
        </w:tblPrEx>
        <w:trPr>
          <w:trHeight w:val="77" w:hRule="atLeast"/>
          <w:jc w:val="center"/>
        </w:trPr>
        <w:tc>
          <w:tcPr>
            <w:tcW w:w="723" w:type="dxa"/>
            <w:tcBorders>
              <w:top w:val="double" w:color="auto" w:sz="4" w:space="0"/>
              <w:left w:val="single" w:color="auto" w:sz="12" w:space="0"/>
              <w:bottom w:val="single" w:color="auto" w:sz="4" w:space="0"/>
              <w:right w:val="single" w:color="auto" w:sz="4" w:space="0"/>
            </w:tcBorders>
            <w:shd w:val="clear" w:color="auto" w:fill="auto"/>
            <w:vAlign w:val="center"/>
          </w:tcPr>
          <w:p w14:paraId="75984F5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w:t>
            </w:r>
          </w:p>
        </w:tc>
        <w:tc>
          <w:tcPr>
            <w:tcW w:w="875" w:type="dxa"/>
            <w:tcBorders>
              <w:top w:val="double" w:color="auto" w:sz="4" w:space="0"/>
              <w:left w:val="single" w:color="auto" w:sz="4" w:space="0"/>
              <w:bottom w:val="single" w:color="auto" w:sz="4" w:space="0"/>
              <w:right w:val="single" w:color="auto" w:sz="4" w:space="0"/>
            </w:tcBorders>
            <w:shd w:val="clear" w:color="auto" w:fill="auto"/>
            <w:vAlign w:val="center"/>
          </w:tcPr>
          <w:p w14:paraId="57A8D14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double" w:color="auto" w:sz="4" w:space="0"/>
              <w:left w:val="single" w:color="auto" w:sz="4" w:space="0"/>
              <w:bottom w:val="single" w:color="auto" w:sz="4" w:space="0"/>
              <w:right w:val="single" w:color="auto" w:sz="4" w:space="0"/>
            </w:tcBorders>
            <w:shd w:val="clear" w:color="auto" w:fill="auto"/>
            <w:vAlign w:val="center"/>
          </w:tcPr>
          <w:p w14:paraId="275A877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中山市</w:t>
            </w:r>
          </w:p>
        </w:tc>
        <w:tc>
          <w:tcPr>
            <w:tcW w:w="1909" w:type="dxa"/>
            <w:tcBorders>
              <w:top w:val="double" w:color="auto" w:sz="4" w:space="0"/>
              <w:left w:val="single" w:color="auto" w:sz="4" w:space="0"/>
              <w:bottom w:val="single" w:color="auto" w:sz="4" w:space="0"/>
              <w:right w:val="single" w:color="auto" w:sz="4" w:space="0"/>
            </w:tcBorders>
            <w:shd w:val="clear" w:color="auto" w:fill="auto"/>
            <w:vAlign w:val="center"/>
          </w:tcPr>
          <w:p w14:paraId="6F37774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中山小榄</w:t>
            </w:r>
          </w:p>
        </w:tc>
        <w:tc>
          <w:tcPr>
            <w:tcW w:w="521" w:type="dxa"/>
            <w:tcBorders>
              <w:top w:val="double" w:color="auto" w:sz="4" w:space="0"/>
              <w:left w:val="single" w:color="auto" w:sz="4" w:space="0"/>
              <w:bottom w:val="single" w:color="auto" w:sz="4" w:space="0"/>
              <w:right w:val="single" w:color="auto" w:sz="4" w:space="0"/>
            </w:tcBorders>
            <w:shd w:val="clear" w:color="auto" w:fill="auto"/>
            <w:noWrap/>
            <w:vAlign w:val="center"/>
          </w:tcPr>
          <w:p w14:paraId="7DEC585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double" w:color="auto" w:sz="4" w:space="0"/>
              <w:left w:val="single" w:color="auto" w:sz="4" w:space="0"/>
              <w:bottom w:val="single" w:color="auto" w:sz="4" w:space="0"/>
              <w:right w:val="single" w:color="auto" w:sz="4" w:space="0"/>
            </w:tcBorders>
            <w:shd w:val="clear" w:color="auto" w:fill="auto"/>
            <w:vAlign w:val="center"/>
          </w:tcPr>
          <w:p w14:paraId="3AE05EA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2629.56</w:t>
            </w:r>
          </w:p>
        </w:tc>
        <w:tc>
          <w:tcPr>
            <w:tcW w:w="1140" w:type="dxa"/>
            <w:tcBorders>
              <w:top w:val="double" w:color="auto" w:sz="4" w:space="0"/>
              <w:left w:val="single" w:color="auto" w:sz="4" w:space="0"/>
              <w:bottom w:val="single" w:color="auto" w:sz="4" w:space="0"/>
              <w:right w:val="single" w:color="auto" w:sz="4" w:space="0"/>
            </w:tcBorders>
            <w:shd w:val="clear" w:color="auto" w:fill="auto"/>
            <w:vAlign w:val="center"/>
          </w:tcPr>
          <w:p w14:paraId="4600F87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2632.965</w:t>
            </w:r>
          </w:p>
        </w:tc>
        <w:tc>
          <w:tcPr>
            <w:tcW w:w="1167" w:type="dxa"/>
            <w:tcBorders>
              <w:top w:val="double" w:color="auto" w:sz="4" w:space="0"/>
              <w:left w:val="single" w:color="auto" w:sz="4" w:space="0"/>
              <w:bottom w:val="single" w:color="auto" w:sz="4" w:space="0"/>
              <w:right w:val="single" w:color="auto" w:sz="12" w:space="0"/>
            </w:tcBorders>
            <w:shd w:val="clear" w:color="auto" w:fill="auto"/>
            <w:vAlign w:val="center"/>
          </w:tcPr>
          <w:p w14:paraId="0091D30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3621CA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7B0DBE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871172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250BE9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CCBCCC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中山同茂</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FD6F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DB72C5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2635.576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A6D522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2641.577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574348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5E2AB3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6D5557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E91658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614B01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576F21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中山西区</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53C0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2658CE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2646.16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ADFCEB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2650.497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82C3CE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8E1113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25366A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F68F60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9C42BD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5A2184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中山大石兜</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4F5D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FA3FD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2650.497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EEE6C2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2652.666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D16843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198D00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95960D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2DBE65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4EC95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35625F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中山西南物流园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AA4B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5B81A9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2652.666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82713F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2654.838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BBED43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50F2D93">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55E7F1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2D5C6F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E1C5A5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08AD9E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中山南区</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9F09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F7AE8F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2654.838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D7B9D4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2658.14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06B8EE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43E5C7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5B0815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DD47C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1DA14C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5C994E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中山曹边</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F133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D25007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2658.14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9DB04C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2661.09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AB9A93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F3420F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522B9E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61099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C19D49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2AB126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中山板芙</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6B8E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32AB00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2661.09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954FDF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2664.023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2109D2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71E778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970B4F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EE342F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B0ECFD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89A101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中山三乡</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EEC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CA25F6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2669.417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30861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2676.111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C7EA42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ED3A29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C19E8F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EC8136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G105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6BC1CB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D84032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中山茅湾</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969E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4A6E69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2676.111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676B3D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2680.013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C0BAC8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EFC465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E687A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6C4DC8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C54C46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茂名市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050DEA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信宜朱砂</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F465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6C6350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3868.264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CE5F77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3870.656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23D0A3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3487915">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062B63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1FB043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96B5D0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茂名市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5C6817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信宜龙埠</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399F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80482D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3870.656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08CA92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3878.069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5D6DA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7C943D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A96E63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7399A2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3FCB6F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茂名市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11DFF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信宜铜鼓</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AFFD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CBA026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3878.069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9EEF58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3885.257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B7BC1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EF2A09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DBD396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718EC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051D1C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茂名市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041268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信宜六运</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1659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B53601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3885.257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7014E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3893.285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C97970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C0F71B3">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F1CA79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969276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9E87DD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茂名市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9EAE8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信宜到永</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D865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69AF88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3893.285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0CAB55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3902.928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FD3444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A2C7CCA">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DC3268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665429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3B33D4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茂名市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ED0152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信宜十里</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326E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03AC44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3902.928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59C6B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3913.913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747A51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3586693">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8E6F7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7F6070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B8CCA7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茂名市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77F9D8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信宜镇隆</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1A6F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23E839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3913.913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AE2B69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3918.797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8F854C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588974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1E3320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3ED5CA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A79B35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茂名市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1C67CF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高州仙坑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3EA9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C39332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3950.931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16534A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3955.313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3B84B3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B4CC81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C03CA4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D63668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9A75F4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茂名市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71BD6B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高州石仔岭</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7E4A348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C0EE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3955.313</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D7CD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3958.457</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116DE3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827374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9601B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9E72F8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05346C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茂名市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062EE6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高州上垌</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622A5BD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A1D7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3972.786</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F9A9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3977.526</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D0FC0C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E362CF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135B59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33F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735418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茂名市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1BC32C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高州祥山</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13493FB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1592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3977.526</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4F63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3980.505</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17442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DD04F9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F906A8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E4F9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5D6EED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茂名市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5C9A89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化州南盛</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170E06D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D81E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3980.505</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0ECC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3984.503</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252B5B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EE254A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9FAC61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23</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3A3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8633C5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茂名市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131BD1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化州良光</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402E153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792A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4003.799</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6D58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4012.002</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A4C34F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BD2FA25">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2F8721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24</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1726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6E4890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茂名市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BE64AD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化州箮桥</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6C77165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D6A7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4012.002</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903C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4014.459</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43350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A00A543">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6F8CDE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825635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391948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7BA811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廉江良垌</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3890737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F541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4020.93</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6FA1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4024.865</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37652F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BD3A63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BC5ACF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31CBED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BCE240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229B04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廉江平田</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3DD2762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9E73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4029.572</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7B1F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4032.576</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37903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3DED67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F16D9A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1D4E4D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83CF22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9A8F76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廉江长桐尾</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3F15C32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3B9D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4032.576</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532B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4035.822</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FD388C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F1FA7D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812E43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D12A33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7665C3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89153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遂溪四九</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0CB04B8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08BE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4035.822</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672C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4039.47</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9D58C3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09D63AA">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EA4346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DBA9D4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B04444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B878EF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遂溪久辉塘</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B55A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BF15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4039.47</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7601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4044.188</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84A6E0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CD13D25">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87DBA2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30</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7B4E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E308AD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C4EA27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遂溪逐城</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6959623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E6FD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4044.188</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FF6B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4045.327</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1D3E55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4BD793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B5D458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AA1E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FE43F4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6B93D8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遂溪沙坭</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339E291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ADCD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4045.327</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346E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4047.969</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8E918D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72A768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8EDE7F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2632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D9D6CF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469130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遂溪田增</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636F394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A881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4051.132</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3ABC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4058.744</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A20701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9ABC6A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805D69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21B25C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AA555D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ACA753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遂溪岭北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2FA5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4561D3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4058.744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81976E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4061.953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76977C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4D7E34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F7C58C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FCAE68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0F6EF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BAE700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遂溪茶亭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A1072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EF6EC1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4064.457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D97074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4071.938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01EE6A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A434DAA">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891FBF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088E69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679C8E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6A4956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遂溪城月</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E2B3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CD52C5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4067.659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675382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4077.288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FEF447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397720E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340379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86045E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D8BA86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55B911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雷州迈哉</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F182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C64EE8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4082.23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9200CC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4086.326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67B4C4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5B3E07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0968F2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2BDA15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DF6B99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E1CDAA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雷州迈哉东</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9199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3B7289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4086.326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BAB9FC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4089.661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11D073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CB9A26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343C33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D65CEB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98D30C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E1E78B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雷州草黎</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AE75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FB6C7F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4089.661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59E603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4095.615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AF01C7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84AC99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E01FCC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E0A81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7B1ECB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3ED353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雷州邦塘北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D5FD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3DC9E7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4100.839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FF30CE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4103.59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774CD6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9415A1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856994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E9E50C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8F1B10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F240FD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雷州邦塘</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333D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9F55D6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4103.59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583397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4108.247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12234C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3D300D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1010BD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0E2293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0AFF09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E3C5FB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雷州下井</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AA26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69A4A2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4108.247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1E9CE5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4112.489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2FF612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7CFFE1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83B0D5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ABE5D7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45673A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B9684C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雷州五坑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A9174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FE5811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4124.732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25B39E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4128.351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9265F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9E2C40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2D182A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35E58E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BCA9DE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B085E9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雷州龙门</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6BC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BB2C93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4128.351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11F7C1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4134.315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5E98CD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D808FA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3B6CBB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677EA0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BB1549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DD8B57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雷州英利</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6F2E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6AEF9C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4154.284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053BF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4157.59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57B2D8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1E73DE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E648AA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FB8198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2DF61E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64E4CC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徐闻桥南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565D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092E14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4171.768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08B547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4174.756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7C89CF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93389A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EBF027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FA0F7A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4425D6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8A7DB2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徐闻儒家井</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D7F2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31014A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4174.756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FE87E5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4180.203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240663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85E01E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5446F9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1D038C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CFAF4B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820313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徐闻徐城</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7FFF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EB9A30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4187.355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A4BA36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4189.555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7479F1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B2257E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79CD14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E15F5E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G207</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56345C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AE95A5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徐闻海安</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346EFD6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8E1E56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4189.555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8803D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4197.418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5AB6BA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764E975">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89F9D9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BCF907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FCC122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B5901E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台山坦塘</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908A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1A334B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6117.25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70513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6130.628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343110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4B5DD35">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AE0AA5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0BFA77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FE5050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980D8D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台山烽火角</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574ED75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10C6ED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6138.628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632D1F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6142.567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CD5206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6F3C2D5">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A6E98C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53A76D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C1B922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4D788D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台山海宴</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B461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CBDEE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6166.634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F27F05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6186.567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0694F8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903BEB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8DAC39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0DF7BC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0A58A5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A76011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阳江望牛岗</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77ED18E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77D60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6289.239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D92D22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6309.169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673FD2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74B9B48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D5478D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4AF81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G228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B690DD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16142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湛江龙头</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7961978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8A4A7B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6465.6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0DA4AF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6470.6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CDA78E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289C923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FC12B3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EC0AAB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124195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931B9F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怀集大庙</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2AF3797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0A986C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2914.672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DD5AAA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2918.99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1F4CDC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5FC5CB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FE0EF5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4EA64F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E7313D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B31D15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怀集凤凰班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8E34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095845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2918.99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69B3B7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2929.817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6CA5A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0422C9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8E02F8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7E24A5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8D5BA4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755189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怀集登云亭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9592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AD00B2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2934.505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F7936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2936.405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6AEA70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0ED8CD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2020AE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24379B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743E43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01875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怀集怀高</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7F26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E2D555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2936.405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7AC994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2938.779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6E699E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D147B9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96CAFE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A531D2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6346AF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31298E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怀集永固</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0059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C931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2949.854</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ED38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2965.159</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8FB21D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F01967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754116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59</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2CA4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BF1074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C0595A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怀集万诗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CA51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4773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2965.159</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F6D4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2972.405</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3640AD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136BC9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FA2291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60</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7822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5023C6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A78DED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怀集金华</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1709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2515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2972.405</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2A33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2978.004</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1EEEA5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CA558A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9CD2CA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61</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E45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4C51EA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C94565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德庆荔枝岗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646C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3E4A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3017.719</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E760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3034.209</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58CE1F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DADD08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DDDDB3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62</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4FAB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7E5C30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49ED5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德庆旺埠</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0CFC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5EE5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3034.209</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27E8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3038.664</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913282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5C8B7C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BAD0DF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63</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26AA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BECB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58FD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德庆高良</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2C3D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CF5F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3038.664</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A2A4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3052.191</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F3AA99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EBF6D6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1F8A41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64</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AFA0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F95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2BA3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德庆西江大桥</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9967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997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3072.258</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10C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3074.06</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6ED9BF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2B59E17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C045C8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77E17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DD3EE9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云浮市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CD229F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郁南白马社</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B359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CB13D9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3101.432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C4E0CF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3103.802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3B56BD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73E0B6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942033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518992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A83B4D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云浮市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07F2AF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郁南狮子头</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2AF0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1F25D3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3120.645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770489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3124.389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112516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0D74B1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E6D0E3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ECC3F3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39869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云浮市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A369D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罗定凤西</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C3F1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F71AA3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3124.389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84D657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3127.795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C3BFD6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A15639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D498D4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91776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9F6A5B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云浮市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10A4FC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罗定素龙</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27F0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034D6F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3132.511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4832FD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3136.356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36FF1C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F72B505">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29AA6B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BFEEB1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AA69A6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云浮市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BED3BF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罗定信令</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12F8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34AD0E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3136.356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6CBEA3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3138.614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A0E377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FC88EB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DB1D0D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B4BF0B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13B0F6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云浮市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CD7A22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罗定葛寒岭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D41F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896BB3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3138.614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0635A3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3148.067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AA571D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B340FF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E0ABD9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2B1937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419A5A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云浮市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F3CE50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罗定蓝村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D65E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EAB069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3153.649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B17804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3157.984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48029F5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5F058A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AD03A8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908B88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868E05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云浮市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3B30D3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罗定两塘独石</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5647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416A26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3157.984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533BF3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3164.617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A760D6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AB583D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CE259C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7C2A3A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5D5616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D53B18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阳春河朗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0123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5F6716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3164.617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15555D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3173.204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CA63C6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3D6968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4A05DF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EEFE87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52C9B9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01A197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阳春罗阳</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01B5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6E7D59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3173.204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197E88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3185.496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5339B4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CAD588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AF2642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60D1E3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BB2FDC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674219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阳春冲口</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97B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E44236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3185.496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E7BD01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3190.325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8E20B6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A5DF4A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5CB2B7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5F671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0ED39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753FD4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阳春新团</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7FA2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82B414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3196.187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98B3EF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3200.499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C6DAAE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771351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7FE1A9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7554CF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05DD46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F487A7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阳春大岗坪</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C537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123F8C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3200.499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288933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3204.308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ED1B9C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A411F1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D4A3F3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F58B8A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943A3B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F07D95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阳春那乌桥</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4F56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0B192B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3204.308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991E5A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3208.548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14248F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EB5E435">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23A43E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B08EDB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E2F57F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A43043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阳春竹园村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21F7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95D1D3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3213.728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8FADF8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3216.973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B1144C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3FBA43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64AFD5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41EF1B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7DA3C7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590E29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阳春茶河</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A2F3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02FDA4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3220.323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DCF90B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3231.453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97A2E8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71356C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D5EE04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8C12F8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E6433B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74BB00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阳春人民桥</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B15D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9BF4FC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3234.327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E71668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3237.334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95D9E1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2E6C18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798027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E48675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98359F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0970A4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阳春东湖</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5ED4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9E4517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3237.334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60E9B4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3238.82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5EF48F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CCA8224">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DF604F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F70D99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A3593F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D5F44A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阳春七星</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26A5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A2D455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3238.82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C438A2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3242.916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1C9FB8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914A890">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3CDDFF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AC9183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6E570E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E86E42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阳春岗美</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4F92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C6C2D5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3251.197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F4E837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3253.494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24F2AF5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4ECD82D">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AC9C8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6063B4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B9F7A2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5BEBFB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阳东宁光</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09BB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DA650E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3253.494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D09F9C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3267.694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6E66D1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5B7933A">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A0EE9E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762C92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F98A91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9CD14E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阳江泥湾村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972C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B1C567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3273.037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A435C6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3278.482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3D4E2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84722B3">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207E86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42FDC3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F9507D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A72D13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阳江白沙</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6426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1C01D6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3278.482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50A7DB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3283.945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33CA70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573FDC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F15A5B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309C6C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B6A247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9CD52A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阳江海陵岛</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0F0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C32A1B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3305.471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DA7D8E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3308.27</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05E8A6C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4005DE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6C5197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A86525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267368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7D0422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阳江山屋</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C379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21C20A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3308.27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39F095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3313.968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A2700C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064D17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20D702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B19D85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7E6367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4D61EB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阳江闸坡南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E4C5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383BAB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3313.968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E91F88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3316.442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88CEB7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B0B2D1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0A4F1F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4DC3A9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G234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7AD99E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AC5F1D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阳江闸坡北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2C13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43D908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3316.442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97596E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3320.502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8C552C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F452B6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70D3E9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DD443F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763AB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BC3167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江门九江大桥</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01C2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8DDFF0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2608.379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3CD6EE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2609.782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26CEDB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26409C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8EBDEC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A3C075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B50650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699E73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江门新会东甲桥</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54DBE24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743AA8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2644.399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95E9D6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2647.562</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0EEB56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F638F4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270C45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A3EB30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AB462E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81BEE9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开平和龙</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F656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3AF289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2677.51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568DA1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2681.478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DD2394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768EA9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3FD1CB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8FE717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21AE8B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17F795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台山公益</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C3F9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6EFACC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2684.41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E9A6A4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2686.974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A21F02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E51568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05D5E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97A432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G240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16D88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B33CCE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台山永盛</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615BD35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249E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2735.215</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DFAB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2741.367</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FDAD77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C49DB61">
        <w:tblPrEx>
          <w:tblCellMar>
            <w:top w:w="0" w:type="dxa"/>
            <w:left w:w="108" w:type="dxa"/>
            <w:bottom w:w="0" w:type="dxa"/>
            <w:right w:w="108" w:type="dxa"/>
          </w:tblCellMar>
        </w:tblPrEx>
        <w:trPr>
          <w:trHeight w:val="90"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DF3300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DDF753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G321</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333B0F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8B01EA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肇庆大冲</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619FBEF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7E59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58.262</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3B66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67.552</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D191A1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4C4E0BA0">
        <w:tblPrEx>
          <w:tblCellMar>
            <w:top w:w="0" w:type="dxa"/>
            <w:left w:w="108" w:type="dxa"/>
            <w:bottom w:w="0" w:type="dxa"/>
            <w:right w:w="108" w:type="dxa"/>
          </w:tblCellMar>
        </w:tblPrEx>
        <w:trPr>
          <w:trHeight w:val="90"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6B2D59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98</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1274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G321</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B22B96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7C04E2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肇庆布基</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720103D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7BA5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67.552</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AB52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91</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5DE0C4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5C044D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8DCFDC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99</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769C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G321</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00A6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AD0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肇庆水坑</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DD91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031B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70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3ED5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80</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35971B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AFFB68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DEFFEE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80BD35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G321</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01CA43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01D5DE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肇庆都草</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D6DB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4F400B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91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21F3B6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106.174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6A76F3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0B215B73">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97C6B6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D2C968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G321</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3F598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21D018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肇庆高要禄镇围</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D53B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0FBFA8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106.174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DE8996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129.794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3C37B5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0A4A675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313BC1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62D10C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G321</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50ECFC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967440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德庆洲林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8A2B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6BE40A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129.794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B2B57A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165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8B2369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E8BCD6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9DB205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5B5440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G321</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9D0E4D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515D85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德庆九市</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4C86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E77CBE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157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6BFBAD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171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502117D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B563E68">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ACD881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690FD9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G321</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A91BED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087B65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德庆回龙</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3543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99DC0E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171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109F1F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208.259</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93BFBD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33CA1636">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A8DB5B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F0D66C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G321</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D6AC7D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F7AE70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封开长岗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173F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8D5D78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206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71C538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1D433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037A249">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9E4EAA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1B59D8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6B5635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E9C3D8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肇庆高要蚬岗</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576A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7769C9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1084.75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CF5B71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1103.3</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F209ED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3B3AC5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4CF148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77E05B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DC8839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3C55A1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肇庆高要白土</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3493286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4C13FF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1103.3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4EF9AB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1109.735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93F8BF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3AFAC07">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CAD5BC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70B2DA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6576C7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3D7B15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肇庆高要新桥</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3B58AC0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DC18F0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1141.19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1DA3C5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1156.665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1101DF0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3FD5381B">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DFB4BA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B58176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2CC457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云浮市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2554BE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云浮芙蓉</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1EB4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F1E840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1159.564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3469B6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1162.991</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3B97731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28A0BF3">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4C408A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5D57F4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7C462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云浮市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822D86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云浮邹屋</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78D9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9A23D9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1183.541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51140A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1185.718</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19481A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E7E07D1">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2D99E4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322B8B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034C23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云浮市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5FE36E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云浮迳口</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F955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314F9D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1190.98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AED320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1195.306</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B6C5C6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5D751FF">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AEE884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112</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856D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CACB1E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云浮市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9F52CD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云浮云安高岭</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D705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B2F9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1219.057</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7923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1229.601</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2C1247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597363CE">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699910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113</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FD39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8C966C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云浮市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85C032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罗定苹塘</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4C5BC59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6892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1234.509</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85AC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1240.872</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FE2D75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0228F8FC">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FF5BCC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7081A6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D60E95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5457A1F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江门星语天桥</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CC8E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8425EF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52.4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9462CC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66.4</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62C6504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3C27BBC3">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52C807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CDECFA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5BE06F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9950A7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开平水口</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1FF4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CE098B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102.532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A1DEC2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109.25</w:t>
            </w:r>
          </w:p>
        </w:tc>
        <w:tc>
          <w:tcPr>
            <w:tcW w:w="1167" w:type="dxa"/>
            <w:tcBorders>
              <w:top w:val="single" w:color="auto" w:sz="4" w:space="0"/>
              <w:left w:val="single" w:color="auto" w:sz="4" w:space="0"/>
              <w:bottom w:val="single" w:color="auto" w:sz="4" w:space="0"/>
              <w:right w:val="single" w:color="auto" w:sz="12" w:space="0"/>
            </w:tcBorders>
            <w:shd w:val="clear" w:color="auto" w:fill="auto"/>
            <w:vAlign w:val="center"/>
          </w:tcPr>
          <w:p w14:paraId="78BDF3E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FFCA1EA">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608841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17993B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5FB105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8C528A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开平幕村</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3086789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B0A2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109.25</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A7DB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115.9</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163F12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52CEF952">
        <w:tblPrEx>
          <w:tblCellMar>
            <w:top w:w="0" w:type="dxa"/>
            <w:left w:w="108" w:type="dxa"/>
            <w:bottom w:w="0" w:type="dxa"/>
            <w:right w:w="108" w:type="dxa"/>
          </w:tblCellMar>
        </w:tblPrEx>
        <w:trPr>
          <w:trHeight w:val="77"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E6F5B0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117</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259A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2E1F46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E3B315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开平冲澄</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6046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480F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115.9</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1626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122.5</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E999CC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260E4117">
        <w:tblPrEx>
          <w:tblCellMar>
            <w:top w:w="0" w:type="dxa"/>
            <w:left w:w="108" w:type="dxa"/>
            <w:bottom w:w="0" w:type="dxa"/>
            <w:right w:w="108" w:type="dxa"/>
          </w:tblCellMar>
        </w:tblPrEx>
        <w:trPr>
          <w:trHeight w:val="79"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26E039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118</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274D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176699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CD7DF7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开平中庙村</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5FA6DE4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EAF4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122.5</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66E4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129.1</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1A351F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2874CA7">
        <w:tblPrEx>
          <w:tblCellMar>
            <w:top w:w="0" w:type="dxa"/>
            <w:left w:w="108" w:type="dxa"/>
            <w:bottom w:w="0" w:type="dxa"/>
            <w:right w:w="108" w:type="dxa"/>
          </w:tblCellMar>
        </w:tblPrEx>
        <w:trPr>
          <w:trHeight w:val="79"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1FCA7C6">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119</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B809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AF4CC0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57AD30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开平义兴圩</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67DA8E4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01FE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136</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DD17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142.84</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2BDE7F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490134D7">
        <w:tblPrEx>
          <w:tblCellMar>
            <w:top w:w="0" w:type="dxa"/>
            <w:left w:w="108" w:type="dxa"/>
            <w:bottom w:w="0" w:type="dxa"/>
            <w:right w:w="108" w:type="dxa"/>
          </w:tblCellMar>
        </w:tblPrEx>
        <w:trPr>
          <w:trHeight w:val="79"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BB1461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120</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49C0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2A9892E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江门市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6E67C8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恩平圣堂</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7F01C26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209F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142.84</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5D96C">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165.63</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A65F26A">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升级改造</w:t>
            </w:r>
          </w:p>
        </w:tc>
      </w:tr>
      <w:tr w14:paraId="7C94C5A2">
        <w:tblPrEx>
          <w:tblCellMar>
            <w:top w:w="0" w:type="dxa"/>
            <w:left w:w="108" w:type="dxa"/>
            <w:bottom w:w="0" w:type="dxa"/>
            <w:right w:w="108" w:type="dxa"/>
          </w:tblCellMar>
        </w:tblPrEx>
        <w:trPr>
          <w:trHeight w:val="79"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2F16C9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121</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52EE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28128E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57C000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阳江阳东合山</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4DA211F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4</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37B5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202.692</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82D12">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210.157</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01700A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7BCBE011">
        <w:tblPrEx>
          <w:tblCellMar>
            <w:top w:w="0" w:type="dxa"/>
            <w:left w:w="108" w:type="dxa"/>
            <w:bottom w:w="0" w:type="dxa"/>
            <w:right w:w="108" w:type="dxa"/>
          </w:tblCellMar>
        </w:tblPrEx>
        <w:trPr>
          <w:trHeight w:val="79"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FAD440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122</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8669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A44E22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D933C2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阳江阳东北惯</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2E32CFE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2294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210.157</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A903F">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219.22</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0FB18E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1DF5BAD4">
        <w:tblPrEx>
          <w:tblCellMar>
            <w:top w:w="0" w:type="dxa"/>
            <w:left w:w="108" w:type="dxa"/>
            <w:bottom w:w="0" w:type="dxa"/>
            <w:right w:w="108" w:type="dxa"/>
          </w:tblCellMar>
        </w:tblPrEx>
        <w:trPr>
          <w:trHeight w:val="79"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42EC76B">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123</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2B51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981447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阳江市</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BEC8B57">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阳江美仑</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23ED99C0">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6</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EB4F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219.22</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44CF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222.986</w:t>
            </w:r>
          </w:p>
        </w:tc>
        <w:tc>
          <w:tcPr>
            <w:tcW w:w="1167"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9708853">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r w14:paraId="6FE475DF">
        <w:tblPrEx>
          <w:tblCellMar>
            <w:top w:w="0" w:type="dxa"/>
            <w:left w:w="108" w:type="dxa"/>
            <w:bottom w:w="0" w:type="dxa"/>
            <w:right w:w="108" w:type="dxa"/>
          </w:tblCellMar>
        </w:tblPrEx>
        <w:trPr>
          <w:trHeight w:val="79" w:hRule="atLeast"/>
          <w:jc w:val="center"/>
        </w:trPr>
        <w:tc>
          <w:tcPr>
            <w:tcW w:w="723" w:type="dxa"/>
            <w:tcBorders>
              <w:top w:val="single" w:color="auto" w:sz="4" w:space="0"/>
              <w:left w:val="single" w:color="auto" w:sz="12" w:space="0"/>
              <w:bottom w:val="single" w:color="auto" w:sz="12" w:space="0"/>
              <w:right w:val="single" w:color="auto" w:sz="4" w:space="0"/>
            </w:tcBorders>
            <w:shd w:val="clear" w:color="auto" w:fill="auto"/>
            <w:vAlign w:val="center"/>
          </w:tcPr>
          <w:p w14:paraId="07768C8E">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124</w:t>
            </w:r>
          </w:p>
        </w:tc>
        <w:tc>
          <w:tcPr>
            <w:tcW w:w="875"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0A4587E4">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G325</w:t>
            </w:r>
          </w:p>
        </w:tc>
        <w:tc>
          <w:tcPr>
            <w:tcW w:w="871" w:type="dxa"/>
            <w:tcBorders>
              <w:top w:val="single" w:color="auto" w:sz="4" w:space="0"/>
              <w:left w:val="single" w:color="auto" w:sz="4" w:space="0"/>
              <w:bottom w:val="single" w:color="auto" w:sz="12" w:space="0"/>
              <w:right w:val="single" w:color="auto" w:sz="4" w:space="0"/>
            </w:tcBorders>
            <w:shd w:val="clear" w:color="auto" w:fill="auto"/>
            <w:vAlign w:val="center"/>
          </w:tcPr>
          <w:p w14:paraId="2BFF1299">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湛江市</w:t>
            </w:r>
          </w:p>
        </w:tc>
        <w:tc>
          <w:tcPr>
            <w:tcW w:w="1909" w:type="dxa"/>
            <w:tcBorders>
              <w:top w:val="single" w:color="auto" w:sz="4" w:space="0"/>
              <w:left w:val="single" w:color="auto" w:sz="4" w:space="0"/>
              <w:bottom w:val="single" w:color="auto" w:sz="12" w:space="0"/>
              <w:right w:val="single" w:color="auto" w:sz="4" w:space="0"/>
            </w:tcBorders>
            <w:shd w:val="clear" w:color="auto" w:fill="auto"/>
            <w:vAlign w:val="center"/>
          </w:tcPr>
          <w:p w14:paraId="4B98CE4D">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廉江黄竹江</w:t>
            </w:r>
          </w:p>
        </w:tc>
        <w:tc>
          <w:tcPr>
            <w:tcW w:w="521" w:type="dxa"/>
            <w:tcBorders>
              <w:top w:val="single" w:color="auto" w:sz="4" w:space="0"/>
              <w:left w:val="single" w:color="auto" w:sz="4" w:space="0"/>
              <w:bottom w:val="single" w:color="auto" w:sz="12" w:space="0"/>
              <w:right w:val="single" w:color="auto" w:sz="4" w:space="0"/>
            </w:tcBorders>
            <w:shd w:val="clear" w:color="auto" w:fill="auto"/>
            <w:vAlign w:val="center"/>
          </w:tcPr>
          <w:p w14:paraId="62B2A75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2</w:t>
            </w:r>
          </w:p>
        </w:tc>
        <w:tc>
          <w:tcPr>
            <w:tcW w:w="1087"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48DE4B18">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526.073</w:t>
            </w:r>
          </w:p>
        </w:tc>
        <w:tc>
          <w:tcPr>
            <w:tcW w:w="1140"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6DDC4385">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535.235</w:t>
            </w:r>
          </w:p>
        </w:tc>
        <w:tc>
          <w:tcPr>
            <w:tcW w:w="1167" w:type="dxa"/>
            <w:tcBorders>
              <w:top w:val="single" w:color="auto" w:sz="4" w:space="0"/>
              <w:left w:val="single" w:color="auto" w:sz="4" w:space="0"/>
              <w:bottom w:val="single" w:color="auto" w:sz="12" w:space="0"/>
              <w:right w:val="single" w:color="auto" w:sz="12" w:space="0"/>
            </w:tcBorders>
            <w:shd w:val="clear" w:color="auto" w:fill="auto"/>
            <w:noWrap/>
            <w:vAlign w:val="center"/>
          </w:tcPr>
          <w:p w14:paraId="13DE5261">
            <w:pPr>
              <w:kinsoku/>
              <w:autoSpaceDE/>
              <w:autoSpaceDN/>
              <w:adjustRightInd/>
              <w:snapToGrid/>
              <w:spacing w:line="260" w:lineRule="exact"/>
              <w:ind w:firstLine="0" w:firstLineChars="0"/>
              <w:jc w:val="center"/>
              <w:textAlignment w:val="auto"/>
              <w:rPr>
                <w:rFonts w:hint="eastAsia" w:ascii="仿宋_GB2312" w:hAnsi="仿宋" w:eastAsia="仿宋_GB2312" w:cs="Times New Roman"/>
                <w:b/>
                <w:bCs/>
                <w:snapToGrid/>
                <w:color w:val="auto"/>
                <w:sz w:val="21"/>
                <w:szCs w:val="21"/>
                <w:highlight w:val="none"/>
                <w:lang w:val="en-US" w:eastAsia="zh-CN"/>
              </w:rPr>
            </w:pPr>
            <w:r>
              <w:rPr>
                <w:rFonts w:hint="default" w:ascii="仿宋_GB2312" w:hAnsi="仿宋" w:eastAsia="仿宋_GB2312" w:cs="Times New Roman"/>
                <w:b/>
                <w:bCs/>
                <w:snapToGrid/>
                <w:color w:val="auto"/>
                <w:sz w:val="21"/>
                <w:szCs w:val="21"/>
                <w:highlight w:val="none"/>
                <w:lang w:val="en-US" w:eastAsia="zh-CN"/>
              </w:rPr>
              <w:t>新建</w:t>
            </w:r>
          </w:p>
        </w:tc>
      </w:tr>
    </w:tbl>
    <w:p w14:paraId="149C681D">
      <w:pPr>
        <w:tabs>
          <w:tab w:val="left" w:pos="286"/>
        </w:tabs>
        <w:spacing w:line="340" w:lineRule="exact"/>
        <w:ind w:firstLine="422" w:firstLineChars="200"/>
        <w:jc w:val="left"/>
        <w:rPr>
          <w:rFonts w:hint="eastAsia" w:ascii="方正小标宋简体" w:hAnsi="方正小标宋简体" w:eastAsia="方正小标宋简体" w:cs="方正小标宋简体"/>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4.</w:t>
      </w:r>
      <w:r>
        <w:rPr>
          <w:rFonts w:hint="eastAsia" w:ascii="仿宋_GB2312" w:hAnsi="仿宋_GB2312" w:eastAsia="仿宋_GB2312" w:cs="仿宋_GB2312"/>
          <w:b/>
          <w:bCs/>
          <w:color w:val="auto"/>
          <w:sz w:val="21"/>
          <w:szCs w:val="21"/>
          <w:highlight w:val="none"/>
        </w:rPr>
        <w:t>各包组</w:t>
      </w:r>
      <w:r>
        <w:rPr>
          <w:rFonts w:hint="eastAsia" w:ascii="仿宋_GB2312" w:hAnsi="仿宋_GB2312" w:eastAsia="仿宋_GB2312" w:cs="仿宋_GB2312"/>
          <w:b/>
          <w:bCs/>
          <w:color w:val="auto"/>
          <w:sz w:val="21"/>
          <w:szCs w:val="21"/>
          <w:highlight w:val="none"/>
          <w:lang w:val="en-US" w:eastAsia="zh-CN"/>
        </w:rPr>
        <w:t>采购设备</w:t>
      </w:r>
      <w:r>
        <w:rPr>
          <w:rFonts w:hint="eastAsia" w:ascii="仿宋_GB2312" w:hAnsi="仿宋_GB2312" w:eastAsia="仿宋_GB2312" w:cs="仿宋_GB2312"/>
          <w:b/>
          <w:bCs/>
          <w:color w:val="auto"/>
          <w:sz w:val="21"/>
          <w:szCs w:val="21"/>
          <w:highlight w:val="none"/>
        </w:rPr>
        <w:t>清单</w:t>
      </w:r>
    </w:p>
    <w:p w14:paraId="0386354D">
      <w:pPr>
        <w:spacing w:line="340" w:lineRule="exact"/>
        <w:ind w:firstLine="422" w:firstLineChars="0"/>
        <w:jc w:val="left"/>
        <w:rPr>
          <w:rFonts w:hint="eastAsia" w:ascii="仿宋_GB2312" w:hAnsi="仿宋_GB2312" w:eastAsia="仿宋_GB2312" w:cs="仿宋_GB2312"/>
          <w:b w:val="0"/>
          <w:bCs w:val="0"/>
          <w:color w:val="auto"/>
          <w:sz w:val="21"/>
          <w:szCs w:val="22"/>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详见表7-9。</w:t>
      </w:r>
    </w:p>
    <w:p w14:paraId="417C6FF0">
      <w:pPr>
        <w:spacing w:line="340" w:lineRule="exact"/>
        <w:ind w:firstLine="0" w:firstLineChars="0"/>
        <w:jc w:val="center"/>
        <w:rPr>
          <w:rFonts w:hint="eastAsia" w:ascii="楷体_GB2312" w:hAnsi="楷体_GB2312" w:eastAsia="楷体_GB2312" w:cs="楷体_GB2312"/>
          <w:b w:val="0"/>
          <w:bCs w:val="0"/>
          <w:color w:val="auto"/>
          <w:sz w:val="24"/>
          <w:szCs w:val="24"/>
          <w:highlight w:val="none"/>
        </w:rPr>
      </w:pPr>
      <w:r>
        <w:rPr>
          <w:rFonts w:hint="eastAsia" w:ascii="楷体_GB2312" w:hAnsi="楷体_GB2312" w:eastAsia="楷体_GB2312" w:cs="楷体_GB2312"/>
          <w:b/>
          <w:bCs/>
          <w:color w:val="auto"/>
          <w:sz w:val="24"/>
          <w:szCs w:val="24"/>
          <w:highlight w:val="none"/>
        </w:rPr>
        <w:t>表</w:t>
      </w:r>
      <w:r>
        <w:rPr>
          <w:rFonts w:hint="eastAsia" w:ascii="楷体_GB2312" w:hAnsi="楷体_GB2312" w:eastAsia="楷体_GB2312" w:cs="楷体_GB2312"/>
          <w:b/>
          <w:bCs/>
          <w:color w:val="auto"/>
          <w:sz w:val="24"/>
          <w:szCs w:val="24"/>
          <w:highlight w:val="none"/>
          <w:lang w:val="en-US" w:eastAsia="zh-CN"/>
        </w:rPr>
        <w:t>7</w:t>
      </w:r>
      <w:r>
        <w:rPr>
          <w:rFonts w:hint="eastAsia" w:ascii="楷体_GB2312" w:hAnsi="楷体_GB2312" w:eastAsia="楷体_GB2312" w:cs="楷体_GB2312"/>
          <w:b/>
          <w:bCs/>
          <w:color w:val="auto"/>
          <w:sz w:val="24"/>
          <w:szCs w:val="24"/>
          <w:highlight w:val="none"/>
        </w:rPr>
        <w:t xml:space="preserve">  包组1采购设备清单</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3"/>
        <w:gridCol w:w="1500"/>
        <w:gridCol w:w="1920"/>
        <w:gridCol w:w="1347"/>
        <w:gridCol w:w="1900"/>
        <w:gridCol w:w="1207"/>
      </w:tblGrid>
      <w:tr w14:paraId="17F84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dxa"/>
            <w:tcBorders>
              <w:top w:val="single" w:color="auto" w:sz="12" w:space="0"/>
              <w:left w:val="single" w:color="auto" w:sz="12" w:space="0"/>
              <w:bottom w:val="single" w:color="auto" w:sz="2" w:space="0"/>
              <w:right w:val="single" w:color="auto" w:sz="2" w:space="0"/>
            </w:tcBorders>
            <w:vAlign w:val="center"/>
          </w:tcPr>
          <w:p w14:paraId="23D7B56E">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品目号</w:t>
            </w:r>
          </w:p>
        </w:tc>
        <w:tc>
          <w:tcPr>
            <w:tcW w:w="1500" w:type="dxa"/>
            <w:tcBorders>
              <w:top w:val="single" w:color="auto" w:sz="12" w:space="0"/>
              <w:left w:val="single" w:color="auto" w:sz="2" w:space="0"/>
              <w:bottom w:val="single" w:color="auto" w:sz="2" w:space="0"/>
              <w:right w:val="single" w:color="auto" w:sz="2" w:space="0"/>
            </w:tcBorders>
            <w:vAlign w:val="center"/>
          </w:tcPr>
          <w:p w14:paraId="46E7358E">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品目名称</w:t>
            </w:r>
          </w:p>
        </w:tc>
        <w:tc>
          <w:tcPr>
            <w:tcW w:w="1920" w:type="dxa"/>
            <w:tcBorders>
              <w:top w:val="single" w:color="auto" w:sz="12" w:space="0"/>
              <w:left w:val="single" w:color="auto" w:sz="2" w:space="0"/>
              <w:bottom w:val="single" w:color="auto" w:sz="2" w:space="0"/>
              <w:right w:val="single" w:color="auto" w:sz="2" w:space="0"/>
            </w:tcBorders>
            <w:vAlign w:val="center"/>
          </w:tcPr>
          <w:p w14:paraId="316B2FDB">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采购标的</w:t>
            </w:r>
          </w:p>
        </w:tc>
        <w:tc>
          <w:tcPr>
            <w:tcW w:w="1347" w:type="dxa"/>
            <w:tcBorders>
              <w:top w:val="single" w:color="auto" w:sz="12" w:space="0"/>
              <w:left w:val="single" w:color="auto" w:sz="2" w:space="0"/>
              <w:bottom w:val="single" w:color="auto" w:sz="2" w:space="0"/>
              <w:right w:val="single" w:color="auto" w:sz="2" w:space="0"/>
            </w:tcBorders>
            <w:vAlign w:val="center"/>
          </w:tcPr>
          <w:p w14:paraId="5C1C9808">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数量</w:t>
            </w:r>
          </w:p>
          <w:p w14:paraId="2ED30CF8">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（单位）</w:t>
            </w:r>
          </w:p>
        </w:tc>
        <w:tc>
          <w:tcPr>
            <w:tcW w:w="1900" w:type="dxa"/>
            <w:tcBorders>
              <w:top w:val="single" w:color="auto" w:sz="12" w:space="0"/>
              <w:left w:val="single" w:color="auto" w:sz="2" w:space="0"/>
              <w:bottom w:val="single" w:color="auto" w:sz="2" w:space="0"/>
              <w:right w:val="single" w:color="auto" w:sz="2" w:space="0"/>
            </w:tcBorders>
            <w:vAlign w:val="center"/>
          </w:tcPr>
          <w:p w14:paraId="125CE0BA">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技术规格、参数</w:t>
            </w:r>
          </w:p>
          <w:p w14:paraId="1300550B">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及要求</w:t>
            </w:r>
          </w:p>
        </w:tc>
        <w:tc>
          <w:tcPr>
            <w:tcW w:w="1207" w:type="dxa"/>
            <w:tcBorders>
              <w:top w:val="single" w:color="auto" w:sz="12" w:space="0"/>
              <w:left w:val="single" w:color="auto" w:sz="2" w:space="0"/>
              <w:bottom w:val="single" w:color="auto" w:sz="2" w:space="0"/>
              <w:right w:val="single" w:color="auto" w:sz="12" w:space="0"/>
            </w:tcBorders>
            <w:vAlign w:val="center"/>
          </w:tcPr>
          <w:p w14:paraId="39CCB386">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是否允许进口产品</w:t>
            </w:r>
          </w:p>
        </w:tc>
      </w:tr>
      <w:tr w14:paraId="5EC34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3" w:hRule="atLeast"/>
        </w:trPr>
        <w:tc>
          <w:tcPr>
            <w:tcW w:w="903" w:type="dxa"/>
            <w:tcBorders>
              <w:top w:val="single" w:color="auto" w:sz="2" w:space="0"/>
              <w:left w:val="single" w:color="auto" w:sz="12" w:space="0"/>
              <w:bottom w:val="single" w:color="auto" w:sz="2" w:space="0"/>
              <w:right w:val="single" w:color="auto" w:sz="2" w:space="0"/>
            </w:tcBorders>
            <w:vAlign w:val="center"/>
          </w:tcPr>
          <w:p w14:paraId="540D00A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-1</w:t>
            </w:r>
          </w:p>
        </w:tc>
        <w:tc>
          <w:tcPr>
            <w:tcW w:w="1500" w:type="dxa"/>
            <w:tcBorders>
              <w:top w:val="single" w:color="auto" w:sz="2" w:space="0"/>
              <w:left w:val="single" w:color="auto" w:sz="2" w:space="0"/>
              <w:bottom w:val="single" w:color="auto" w:sz="2" w:space="0"/>
              <w:right w:val="single" w:color="auto" w:sz="2" w:space="0"/>
            </w:tcBorders>
            <w:vAlign w:val="center"/>
          </w:tcPr>
          <w:p w14:paraId="6F50E284">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20" w:type="dxa"/>
            <w:tcBorders>
              <w:top w:val="single" w:color="auto" w:sz="2" w:space="0"/>
              <w:left w:val="single" w:color="auto" w:sz="2" w:space="0"/>
              <w:bottom w:val="single" w:color="auto" w:sz="2" w:space="0"/>
              <w:right w:val="single" w:color="auto" w:sz="2" w:space="0"/>
            </w:tcBorders>
            <w:vAlign w:val="center"/>
          </w:tcPr>
          <w:p w14:paraId="56226BA5">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公路交通情况调查设备（核心设备）</w:t>
            </w:r>
          </w:p>
        </w:tc>
        <w:tc>
          <w:tcPr>
            <w:tcW w:w="1347" w:type="dxa"/>
            <w:tcBorders>
              <w:top w:val="single" w:color="auto" w:sz="2" w:space="0"/>
              <w:left w:val="single" w:color="auto" w:sz="2" w:space="0"/>
              <w:bottom w:val="single" w:color="auto" w:sz="2" w:space="0"/>
              <w:right w:val="single" w:color="auto" w:sz="2" w:space="0"/>
            </w:tcBorders>
            <w:vAlign w:val="center"/>
          </w:tcPr>
          <w:p w14:paraId="388A3819">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i w:val="0"/>
                <w:iCs w:val="0"/>
                <w:color w:val="auto"/>
                <w:kern w:val="2"/>
                <w:sz w:val="21"/>
                <w:szCs w:val="21"/>
                <w:highlight w:val="none"/>
                <w:u w:val="none"/>
                <w:lang w:val="en-US" w:eastAsia="zh-CN" w:bidi="ar"/>
              </w:rPr>
              <w:t>124（</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00" w:type="dxa"/>
            <w:tcBorders>
              <w:top w:val="single" w:color="auto" w:sz="2" w:space="0"/>
              <w:left w:val="single" w:color="auto" w:sz="2" w:space="0"/>
              <w:bottom w:val="single" w:color="auto" w:sz="2" w:space="0"/>
              <w:right w:val="single" w:color="auto" w:sz="2" w:space="0"/>
            </w:tcBorders>
            <w:vAlign w:val="center"/>
          </w:tcPr>
          <w:p w14:paraId="794BFCEE">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详见</w:t>
            </w:r>
            <w:r>
              <w:rPr>
                <w:rFonts w:hint="eastAsia" w:ascii="仿宋_GB2312" w:hAnsi="仿宋" w:eastAsia="仿宋_GB2312" w:cs="Times New Roman"/>
                <w:color w:val="auto"/>
                <w:sz w:val="21"/>
                <w:szCs w:val="21"/>
                <w:highlight w:val="none"/>
                <w:lang w:eastAsia="zh-CN"/>
              </w:rPr>
              <w:t>后</w:t>
            </w:r>
            <w:r>
              <w:rPr>
                <w:rFonts w:hint="eastAsia" w:ascii="仿宋_GB2312" w:hAnsi="仿宋" w:eastAsia="仿宋_GB2312" w:cs="Times New Roman"/>
                <w:color w:val="auto"/>
                <w:sz w:val="21"/>
                <w:szCs w:val="21"/>
                <w:highlight w:val="none"/>
                <w:lang w:val="en-US" w:eastAsia="zh-CN"/>
              </w:rPr>
              <w:t>四（一）</w:t>
            </w:r>
          </w:p>
          <w:p w14:paraId="4CA875BE">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default" w:ascii="仿宋_GB2312" w:hAnsi="仿宋" w:eastAsia="仿宋_GB2312" w:cs="Times New Roman"/>
                <w:color w:val="auto"/>
                <w:sz w:val="21"/>
                <w:szCs w:val="21"/>
                <w:highlight w:val="none"/>
              </w:rPr>
              <w:t>交调系统数据采集所需设备及要求</w:t>
            </w:r>
          </w:p>
        </w:tc>
        <w:tc>
          <w:tcPr>
            <w:tcW w:w="1207" w:type="dxa"/>
            <w:tcBorders>
              <w:top w:val="single" w:color="auto" w:sz="2" w:space="0"/>
              <w:left w:val="single" w:color="auto" w:sz="2" w:space="0"/>
              <w:bottom w:val="single" w:color="auto" w:sz="2" w:space="0"/>
              <w:right w:val="single" w:color="auto" w:sz="12" w:space="0"/>
            </w:tcBorders>
            <w:vAlign w:val="center"/>
          </w:tcPr>
          <w:p w14:paraId="60BA2B33">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否</w:t>
            </w:r>
          </w:p>
        </w:tc>
      </w:tr>
      <w:tr w14:paraId="780A6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1" w:hRule="atLeast"/>
        </w:trPr>
        <w:tc>
          <w:tcPr>
            <w:tcW w:w="903" w:type="dxa"/>
            <w:tcBorders>
              <w:top w:val="single" w:color="auto" w:sz="2" w:space="0"/>
              <w:left w:val="single" w:color="auto" w:sz="12" w:space="0"/>
              <w:bottom w:val="single" w:color="auto" w:sz="2" w:space="0"/>
              <w:right w:val="single" w:color="auto" w:sz="2" w:space="0"/>
            </w:tcBorders>
            <w:vAlign w:val="center"/>
          </w:tcPr>
          <w:p w14:paraId="4E1266B6">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2</w:t>
            </w:r>
          </w:p>
        </w:tc>
        <w:tc>
          <w:tcPr>
            <w:tcW w:w="1500" w:type="dxa"/>
            <w:tcBorders>
              <w:top w:val="single" w:color="auto" w:sz="2" w:space="0"/>
              <w:left w:val="single" w:color="auto" w:sz="2" w:space="0"/>
              <w:bottom w:val="single" w:color="auto" w:sz="2" w:space="0"/>
              <w:right w:val="single" w:color="auto" w:sz="2" w:space="0"/>
            </w:tcBorders>
            <w:vAlign w:val="center"/>
          </w:tcPr>
          <w:p w14:paraId="74AE2E1E">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20" w:type="dxa"/>
            <w:tcBorders>
              <w:top w:val="single" w:color="auto" w:sz="2" w:space="0"/>
              <w:left w:val="single" w:color="auto" w:sz="2" w:space="0"/>
              <w:bottom w:val="single" w:color="auto" w:sz="2" w:space="0"/>
              <w:right w:val="single" w:color="auto" w:sz="2" w:space="0"/>
            </w:tcBorders>
            <w:vAlign w:val="center"/>
          </w:tcPr>
          <w:p w14:paraId="769487B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终端管理设施</w:t>
            </w:r>
          </w:p>
        </w:tc>
        <w:tc>
          <w:tcPr>
            <w:tcW w:w="1347" w:type="dxa"/>
            <w:tcBorders>
              <w:top w:val="single" w:color="auto" w:sz="2" w:space="0"/>
              <w:left w:val="single" w:color="auto" w:sz="2" w:space="0"/>
              <w:bottom w:val="single" w:color="auto" w:sz="2" w:space="0"/>
              <w:right w:val="single" w:color="auto" w:sz="2" w:space="0"/>
            </w:tcBorders>
            <w:vAlign w:val="center"/>
          </w:tcPr>
          <w:p w14:paraId="02905293">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i w:val="0"/>
                <w:iCs w:val="0"/>
                <w:color w:val="auto"/>
                <w:kern w:val="2"/>
                <w:sz w:val="21"/>
                <w:szCs w:val="21"/>
                <w:highlight w:val="none"/>
                <w:u w:val="none"/>
                <w:lang w:val="en-US" w:eastAsia="zh-CN" w:bidi="ar"/>
              </w:rPr>
              <w:t>124（</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00" w:type="dxa"/>
            <w:tcBorders>
              <w:top w:val="single" w:color="auto" w:sz="2" w:space="0"/>
              <w:left w:val="single" w:color="auto" w:sz="2" w:space="0"/>
              <w:bottom w:val="single" w:color="auto" w:sz="2" w:space="0"/>
              <w:right w:val="single" w:color="auto" w:sz="2" w:space="0"/>
            </w:tcBorders>
            <w:shd w:val="clear" w:color="auto" w:fill="auto"/>
            <w:vAlign w:val="center"/>
          </w:tcPr>
          <w:p w14:paraId="5C1BC254">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207" w:type="dxa"/>
            <w:tcBorders>
              <w:top w:val="single" w:color="auto" w:sz="2" w:space="0"/>
              <w:left w:val="single" w:color="auto" w:sz="2" w:space="0"/>
              <w:bottom w:val="single" w:color="auto" w:sz="2" w:space="0"/>
              <w:right w:val="single" w:color="auto" w:sz="12" w:space="0"/>
            </w:tcBorders>
            <w:shd w:val="clear" w:color="auto" w:fill="auto"/>
            <w:vAlign w:val="center"/>
          </w:tcPr>
          <w:p w14:paraId="66BC7E26">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4CCCF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 w:hRule="atLeast"/>
        </w:trPr>
        <w:tc>
          <w:tcPr>
            <w:tcW w:w="903" w:type="dxa"/>
            <w:tcBorders>
              <w:top w:val="single" w:color="auto" w:sz="2" w:space="0"/>
              <w:left w:val="single" w:color="auto" w:sz="12" w:space="0"/>
              <w:bottom w:val="single" w:color="auto" w:sz="2" w:space="0"/>
              <w:right w:val="single" w:color="auto" w:sz="2" w:space="0"/>
            </w:tcBorders>
            <w:vAlign w:val="center"/>
          </w:tcPr>
          <w:p w14:paraId="5BB4BE90">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3</w:t>
            </w:r>
          </w:p>
        </w:tc>
        <w:tc>
          <w:tcPr>
            <w:tcW w:w="1500" w:type="dxa"/>
            <w:tcBorders>
              <w:top w:val="single" w:color="auto" w:sz="2" w:space="0"/>
              <w:left w:val="single" w:color="auto" w:sz="2" w:space="0"/>
              <w:bottom w:val="single" w:color="auto" w:sz="2" w:space="0"/>
              <w:right w:val="single" w:color="auto" w:sz="2" w:space="0"/>
            </w:tcBorders>
            <w:vAlign w:val="center"/>
          </w:tcPr>
          <w:p w14:paraId="251438D5">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20" w:type="dxa"/>
            <w:tcBorders>
              <w:top w:val="single" w:color="auto" w:sz="2" w:space="0"/>
              <w:left w:val="single" w:color="auto" w:sz="2" w:space="0"/>
              <w:bottom w:val="single" w:color="auto" w:sz="2" w:space="0"/>
              <w:right w:val="single" w:color="auto" w:sz="2" w:space="0"/>
            </w:tcBorders>
            <w:vAlign w:val="center"/>
          </w:tcPr>
          <w:p w14:paraId="568A8448">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数据模块（工业级）</w:t>
            </w:r>
          </w:p>
        </w:tc>
        <w:tc>
          <w:tcPr>
            <w:tcW w:w="1347" w:type="dxa"/>
            <w:tcBorders>
              <w:top w:val="single" w:color="auto" w:sz="2" w:space="0"/>
              <w:left w:val="single" w:color="auto" w:sz="2" w:space="0"/>
              <w:bottom w:val="single" w:color="auto" w:sz="2" w:space="0"/>
              <w:right w:val="single" w:color="auto" w:sz="2" w:space="0"/>
            </w:tcBorders>
            <w:vAlign w:val="center"/>
          </w:tcPr>
          <w:p w14:paraId="035BD7FF">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i w:val="0"/>
                <w:iCs w:val="0"/>
                <w:color w:val="auto"/>
                <w:kern w:val="2"/>
                <w:sz w:val="21"/>
                <w:szCs w:val="21"/>
                <w:highlight w:val="none"/>
                <w:u w:val="none"/>
                <w:lang w:val="en-US" w:eastAsia="zh-CN" w:bidi="ar"/>
              </w:rPr>
              <w:t>121（</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00" w:type="dxa"/>
            <w:tcBorders>
              <w:top w:val="single" w:color="auto" w:sz="2" w:space="0"/>
              <w:left w:val="single" w:color="auto" w:sz="2" w:space="0"/>
              <w:bottom w:val="single" w:color="auto" w:sz="2" w:space="0"/>
              <w:right w:val="single" w:color="auto" w:sz="2" w:space="0"/>
            </w:tcBorders>
            <w:shd w:val="clear" w:color="auto" w:fill="auto"/>
            <w:vAlign w:val="center"/>
          </w:tcPr>
          <w:p w14:paraId="5849C562">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207" w:type="dxa"/>
            <w:tcBorders>
              <w:top w:val="single" w:color="auto" w:sz="2" w:space="0"/>
              <w:left w:val="single" w:color="auto" w:sz="2" w:space="0"/>
              <w:bottom w:val="single" w:color="auto" w:sz="2" w:space="0"/>
              <w:right w:val="single" w:color="auto" w:sz="12" w:space="0"/>
            </w:tcBorders>
            <w:shd w:val="clear" w:color="auto" w:fill="auto"/>
            <w:vAlign w:val="center"/>
          </w:tcPr>
          <w:p w14:paraId="16F04F35">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17436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03" w:type="dxa"/>
            <w:tcBorders>
              <w:top w:val="single" w:color="auto" w:sz="2" w:space="0"/>
              <w:left w:val="single" w:color="auto" w:sz="12" w:space="0"/>
              <w:bottom w:val="single" w:color="auto" w:sz="2" w:space="0"/>
              <w:right w:val="single" w:color="auto" w:sz="2" w:space="0"/>
            </w:tcBorders>
            <w:vAlign w:val="center"/>
          </w:tcPr>
          <w:p w14:paraId="7169CF79">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4</w:t>
            </w:r>
          </w:p>
        </w:tc>
        <w:tc>
          <w:tcPr>
            <w:tcW w:w="1500" w:type="dxa"/>
            <w:tcBorders>
              <w:top w:val="single" w:color="auto" w:sz="2" w:space="0"/>
              <w:left w:val="single" w:color="auto" w:sz="2" w:space="0"/>
              <w:bottom w:val="single" w:color="auto" w:sz="2" w:space="0"/>
              <w:right w:val="single" w:color="auto" w:sz="2" w:space="0"/>
            </w:tcBorders>
            <w:vAlign w:val="center"/>
          </w:tcPr>
          <w:p w14:paraId="546B7EFA">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20" w:type="dxa"/>
            <w:tcBorders>
              <w:top w:val="single" w:color="auto" w:sz="2" w:space="0"/>
              <w:left w:val="single" w:color="auto" w:sz="2" w:space="0"/>
              <w:bottom w:val="single" w:color="auto" w:sz="2" w:space="0"/>
              <w:right w:val="single" w:color="auto" w:sz="2" w:space="0"/>
            </w:tcBorders>
            <w:vAlign w:val="center"/>
          </w:tcPr>
          <w:p w14:paraId="2B96809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气象传感器</w:t>
            </w:r>
          </w:p>
        </w:tc>
        <w:tc>
          <w:tcPr>
            <w:tcW w:w="1347" w:type="dxa"/>
            <w:tcBorders>
              <w:top w:val="single" w:color="auto" w:sz="2" w:space="0"/>
              <w:left w:val="single" w:color="auto" w:sz="2" w:space="0"/>
              <w:bottom w:val="single" w:color="auto" w:sz="2" w:space="0"/>
              <w:right w:val="single" w:color="auto" w:sz="2" w:space="0"/>
            </w:tcBorders>
            <w:vAlign w:val="center"/>
          </w:tcPr>
          <w:p w14:paraId="67CA178F">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i w:val="0"/>
                <w:iCs w:val="0"/>
                <w:color w:val="auto"/>
                <w:kern w:val="2"/>
                <w:sz w:val="21"/>
                <w:szCs w:val="21"/>
                <w:highlight w:val="none"/>
                <w:u w:val="none"/>
                <w:lang w:val="en-US" w:eastAsia="zh-CN" w:bidi="ar"/>
              </w:rPr>
              <w:t>121（</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00" w:type="dxa"/>
            <w:tcBorders>
              <w:top w:val="single" w:color="auto" w:sz="2" w:space="0"/>
              <w:left w:val="single" w:color="auto" w:sz="2" w:space="0"/>
              <w:bottom w:val="single" w:color="auto" w:sz="2" w:space="0"/>
              <w:right w:val="single" w:color="auto" w:sz="2" w:space="0"/>
            </w:tcBorders>
            <w:shd w:val="clear" w:color="auto" w:fill="auto"/>
            <w:vAlign w:val="center"/>
          </w:tcPr>
          <w:p w14:paraId="305B772C">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207" w:type="dxa"/>
            <w:tcBorders>
              <w:top w:val="single" w:color="auto" w:sz="2" w:space="0"/>
              <w:left w:val="single" w:color="auto" w:sz="2" w:space="0"/>
              <w:bottom w:val="single" w:color="auto" w:sz="2" w:space="0"/>
              <w:right w:val="single" w:color="auto" w:sz="12" w:space="0"/>
            </w:tcBorders>
            <w:shd w:val="clear" w:color="auto" w:fill="auto"/>
            <w:vAlign w:val="center"/>
          </w:tcPr>
          <w:p w14:paraId="52D29DAE">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2FA4C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 w:hRule="atLeast"/>
        </w:trPr>
        <w:tc>
          <w:tcPr>
            <w:tcW w:w="903" w:type="dxa"/>
            <w:tcBorders>
              <w:top w:val="single" w:color="auto" w:sz="2" w:space="0"/>
              <w:left w:val="single" w:color="auto" w:sz="12" w:space="0"/>
              <w:bottom w:val="single" w:color="auto" w:sz="2" w:space="0"/>
              <w:right w:val="single" w:color="auto" w:sz="2" w:space="0"/>
            </w:tcBorders>
            <w:vAlign w:val="center"/>
          </w:tcPr>
          <w:p w14:paraId="462AF69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5</w:t>
            </w:r>
          </w:p>
        </w:tc>
        <w:tc>
          <w:tcPr>
            <w:tcW w:w="1500" w:type="dxa"/>
            <w:tcBorders>
              <w:top w:val="single" w:color="auto" w:sz="2" w:space="0"/>
              <w:left w:val="single" w:color="auto" w:sz="2" w:space="0"/>
              <w:bottom w:val="single" w:color="auto" w:sz="2" w:space="0"/>
              <w:right w:val="single" w:color="auto" w:sz="2" w:space="0"/>
            </w:tcBorders>
            <w:vAlign w:val="center"/>
          </w:tcPr>
          <w:p w14:paraId="36D256F3">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20" w:type="dxa"/>
            <w:tcBorders>
              <w:top w:val="single" w:color="auto" w:sz="2" w:space="0"/>
              <w:left w:val="single" w:color="auto" w:sz="2" w:space="0"/>
              <w:bottom w:val="single" w:color="auto" w:sz="2" w:space="0"/>
              <w:right w:val="single" w:color="auto" w:sz="2" w:space="0"/>
            </w:tcBorders>
            <w:vAlign w:val="center"/>
          </w:tcPr>
          <w:p w14:paraId="5DAEE140">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卡口抓拍摄像机</w:t>
            </w:r>
          </w:p>
        </w:tc>
        <w:tc>
          <w:tcPr>
            <w:tcW w:w="1347" w:type="dxa"/>
            <w:tcBorders>
              <w:top w:val="single" w:color="auto" w:sz="2" w:space="0"/>
              <w:left w:val="single" w:color="auto" w:sz="2" w:space="0"/>
              <w:bottom w:val="single" w:color="auto" w:sz="2" w:space="0"/>
              <w:right w:val="single" w:color="auto" w:sz="2" w:space="0"/>
            </w:tcBorders>
            <w:vAlign w:val="center"/>
          </w:tcPr>
          <w:p w14:paraId="3AED755B">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i w:val="0"/>
                <w:iCs w:val="0"/>
                <w:color w:val="auto"/>
                <w:kern w:val="2"/>
                <w:sz w:val="21"/>
                <w:szCs w:val="21"/>
                <w:highlight w:val="none"/>
                <w:u w:val="none"/>
                <w:lang w:val="en-US" w:eastAsia="zh-CN" w:bidi="ar"/>
              </w:rPr>
              <w:t>284（</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00" w:type="dxa"/>
            <w:tcBorders>
              <w:top w:val="single" w:color="auto" w:sz="2" w:space="0"/>
              <w:left w:val="single" w:color="auto" w:sz="2" w:space="0"/>
              <w:bottom w:val="single" w:color="auto" w:sz="2" w:space="0"/>
              <w:right w:val="single" w:color="auto" w:sz="2" w:space="0"/>
            </w:tcBorders>
            <w:shd w:val="clear" w:color="auto" w:fill="auto"/>
            <w:vAlign w:val="center"/>
          </w:tcPr>
          <w:p w14:paraId="757E200C">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207" w:type="dxa"/>
            <w:tcBorders>
              <w:top w:val="single" w:color="auto" w:sz="2" w:space="0"/>
              <w:left w:val="single" w:color="auto" w:sz="2" w:space="0"/>
              <w:bottom w:val="single" w:color="auto" w:sz="2" w:space="0"/>
              <w:right w:val="single" w:color="auto" w:sz="12" w:space="0"/>
            </w:tcBorders>
            <w:shd w:val="clear" w:color="auto" w:fill="auto"/>
            <w:vAlign w:val="center"/>
          </w:tcPr>
          <w:p w14:paraId="7C88D442">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21A2A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 w:hRule="atLeast"/>
        </w:trPr>
        <w:tc>
          <w:tcPr>
            <w:tcW w:w="903" w:type="dxa"/>
            <w:tcBorders>
              <w:top w:val="single" w:color="auto" w:sz="2" w:space="0"/>
              <w:left w:val="single" w:color="auto" w:sz="12" w:space="0"/>
              <w:bottom w:val="single" w:color="auto" w:sz="2" w:space="0"/>
              <w:right w:val="single" w:color="auto" w:sz="2" w:space="0"/>
            </w:tcBorders>
            <w:vAlign w:val="center"/>
          </w:tcPr>
          <w:p w14:paraId="6415AFDE">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6</w:t>
            </w:r>
          </w:p>
        </w:tc>
        <w:tc>
          <w:tcPr>
            <w:tcW w:w="1500" w:type="dxa"/>
            <w:tcBorders>
              <w:top w:val="single" w:color="auto" w:sz="2" w:space="0"/>
              <w:left w:val="single" w:color="auto" w:sz="2" w:space="0"/>
              <w:bottom w:val="single" w:color="auto" w:sz="2" w:space="0"/>
              <w:right w:val="single" w:color="auto" w:sz="2" w:space="0"/>
            </w:tcBorders>
            <w:vAlign w:val="center"/>
          </w:tcPr>
          <w:p w14:paraId="194D4BF8">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20" w:type="dxa"/>
            <w:tcBorders>
              <w:top w:val="single" w:color="auto" w:sz="2" w:space="0"/>
              <w:left w:val="single" w:color="auto" w:sz="2" w:space="0"/>
              <w:bottom w:val="single" w:color="auto" w:sz="2" w:space="0"/>
              <w:right w:val="single" w:color="auto" w:sz="2" w:space="0"/>
            </w:tcBorders>
            <w:vAlign w:val="center"/>
          </w:tcPr>
          <w:p w14:paraId="20DEE85F">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一体化补光灯</w:t>
            </w:r>
          </w:p>
        </w:tc>
        <w:tc>
          <w:tcPr>
            <w:tcW w:w="1347" w:type="dxa"/>
            <w:tcBorders>
              <w:top w:val="single" w:color="auto" w:sz="2" w:space="0"/>
              <w:left w:val="single" w:color="auto" w:sz="2" w:space="0"/>
              <w:bottom w:val="single" w:color="auto" w:sz="2" w:space="0"/>
              <w:right w:val="single" w:color="auto" w:sz="2" w:space="0"/>
            </w:tcBorders>
            <w:vAlign w:val="center"/>
          </w:tcPr>
          <w:p w14:paraId="08DB1282">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i w:val="0"/>
                <w:iCs w:val="0"/>
                <w:color w:val="auto"/>
                <w:kern w:val="2"/>
                <w:sz w:val="21"/>
                <w:szCs w:val="21"/>
                <w:highlight w:val="none"/>
                <w:u w:val="none"/>
                <w:lang w:val="en-US" w:eastAsia="zh-CN" w:bidi="ar"/>
              </w:rPr>
              <w:t>596（</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00" w:type="dxa"/>
            <w:tcBorders>
              <w:top w:val="single" w:color="auto" w:sz="2" w:space="0"/>
              <w:left w:val="single" w:color="auto" w:sz="2" w:space="0"/>
              <w:bottom w:val="single" w:color="auto" w:sz="2" w:space="0"/>
              <w:right w:val="single" w:color="auto" w:sz="2" w:space="0"/>
            </w:tcBorders>
            <w:shd w:val="clear" w:color="auto" w:fill="auto"/>
            <w:vAlign w:val="center"/>
          </w:tcPr>
          <w:p w14:paraId="32A39420">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207" w:type="dxa"/>
            <w:tcBorders>
              <w:top w:val="single" w:color="auto" w:sz="2" w:space="0"/>
              <w:left w:val="single" w:color="auto" w:sz="2" w:space="0"/>
              <w:bottom w:val="single" w:color="auto" w:sz="2" w:space="0"/>
              <w:right w:val="single" w:color="auto" w:sz="12" w:space="0"/>
            </w:tcBorders>
            <w:shd w:val="clear" w:color="auto" w:fill="auto"/>
            <w:vAlign w:val="center"/>
          </w:tcPr>
          <w:p w14:paraId="09122BB7">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2CECE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03" w:type="dxa"/>
            <w:tcBorders>
              <w:top w:val="single" w:color="auto" w:sz="2" w:space="0"/>
              <w:left w:val="single" w:color="auto" w:sz="12" w:space="0"/>
              <w:bottom w:val="single" w:color="auto" w:sz="2" w:space="0"/>
              <w:right w:val="single" w:color="auto" w:sz="2" w:space="0"/>
            </w:tcBorders>
            <w:vAlign w:val="center"/>
          </w:tcPr>
          <w:p w14:paraId="278A3BFB">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7</w:t>
            </w:r>
          </w:p>
        </w:tc>
        <w:tc>
          <w:tcPr>
            <w:tcW w:w="1500" w:type="dxa"/>
            <w:tcBorders>
              <w:top w:val="single" w:color="auto" w:sz="2" w:space="0"/>
              <w:left w:val="single" w:color="auto" w:sz="2" w:space="0"/>
              <w:bottom w:val="single" w:color="auto" w:sz="2" w:space="0"/>
              <w:right w:val="single" w:color="auto" w:sz="2" w:space="0"/>
            </w:tcBorders>
            <w:vAlign w:val="center"/>
          </w:tcPr>
          <w:p w14:paraId="551C0D25">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20" w:type="dxa"/>
            <w:tcBorders>
              <w:top w:val="single" w:color="auto" w:sz="2" w:space="0"/>
              <w:left w:val="single" w:color="auto" w:sz="2" w:space="0"/>
              <w:bottom w:val="single" w:color="auto" w:sz="2" w:space="0"/>
              <w:right w:val="single" w:color="auto" w:sz="2" w:space="0"/>
            </w:tcBorders>
            <w:vAlign w:val="center"/>
          </w:tcPr>
          <w:p w14:paraId="51BB07C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监控球型摄像机</w:t>
            </w:r>
          </w:p>
        </w:tc>
        <w:tc>
          <w:tcPr>
            <w:tcW w:w="1347" w:type="dxa"/>
            <w:tcBorders>
              <w:top w:val="single" w:color="auto" w:sz="2" w:space="0"/>
              <w:left w:val="single" w:color="auto" w:sz="2" w:space="0"/>
              <w:bottom w:val="single" w:color="auto" w:sz="2" w:space="0"/>
              <w:right w:val="single" w:color="auto" w:sz="2" w:space="0"/>
            </w:tcBorders>
            <w:vAlign w:val="center"/>
          </w:tcPr>
          <w:p w14:paraId="3A63DED9">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i w:val="0"/>
                <w:iCs w:val="0"/>
                <w:color w:val="auto"/>
                <w:kern w:val="2"/>
                <w:sz w:val="21"/>
                <w:szCs w:val="21"/>
                <w:highlight w:val="none"/>
                <w:u w:val="none"/>
                <w:lang w:val="en-US" w:eastAsia="zh-CN" w:bidi="ar"/>
              </w:rPr>
              <w:t>142（</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00" w:type="dxa"/>
            <w:tcBorders>
              <w:top w:val="single" w:color="auto" w:sz="2" w:space="0"/>
              <w:left w:val="single" w:color="auto" w:sz="2" w:space="0"/>
              <w:bottom w:val="single" w:color="auto" w:sz="2" w:space="0"/>
              <w:right w:val="single" w:color="auto" w:sz="2" w:space="0"/>
            </w:tcBorders>
            <w:shd w:val="clear" w:color="auto" w:fill="auto"/>
            <w:vAlign w:val="center"/>
          </w:tcPr>
          <w:p w14:paraId="05174A73">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207" w:type="dxa"/>
            <w:tcBorders>
              <w:top w:val="single" w:color="auto" w:sz="2" w:space="0"/>
              <w:left w:val="single" w:color="auto" w:sz="2" w:space="0"/>
              <w:bottom w:val="single" w:color="auto" w:sz="2" w:space="0"/>
              <w:right w:val="single" w:color="auto" w:sz="12" w:space="0"/>
            </w:tcBorders>
            <w:shd w:val="clear" w:color="auto" w:fill="auto"/>
            <w:vAlign w:val="center"/>
          </w:tcPr>
          <w:p w14:paraId="09488BDD">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24EAC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03" w:type="dxa"/>
            <w:tcBorders>
              <w:top w:val="single" w:color="auto" w:sz="2" w:space="0"/>
              <w:left w:val="single" w:color="auto" w:sz="12" w:space="0"/>
              <w:bottom w:val="single" w:color="auto" w:sz="2" w:space="0"/>
              <w:right w:val="single" w:color="auto" w:sz="2" w:space="0"/>
            </w:tcBorders>
            <w:vAlign w:val="center"/>
          </w:tcPr>
          <w:p w14:paraId="76B20EA6">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8</w:t>
            </w:r>
          </w:p>
        </w:tc>
        <w:tc>
          <w:tcPr>
            <w:tcW w:w="1500" w:type="dxa"/>
            <w:tcBorders>
              <w:top w:val="single" w:color="auto" w:sz="2" w:space="0"/>
              <w:left w:val="single" w:color="auto" w:sz="2" w:space="0"/>
              <w:bottom w:val="single" w:color="auto" w:sz="2" w:space="0"/>
              <w:right w:val="single" w:color="auto" w:sz="2" w:space="0"/>
            </w:tcBorders>
            <w:vAlign w:val="center"/>
          </w:tcPr>
          <w:p w14:paraId="7DADA763">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20" w:type="dxa"/>
            <w:tcBorders>
              <w:top w:val="single" w:color="auto" w:sz="2" w:space="0"/>
              <w:left w:val="single" w:color="auto" w:sz="2" w:space="0"/>
              <w:bottom w:val="single" w:color="auto" w:sz="2" w:space="0"/>
              <w:right w:val="single" w:color="auto" w:sz="2" w:space="0"/>
            </w:tcBorders>
            <w:vAlign w:val="center"/>
          </w:tcPr>
          <w:p w14:paraId="0E197B3B">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后备电源</w:t>
            </w:r>
          </w:p>
        </w:tc>
        <w:tc>
          <w:tcPr>
            <w:tcW w:w="1347" w:type="dxa"/>
            <w:tcBorders>
              <w:top w:val="single" w:color="auto" w:sz="2" w:space="0"/>
              <w:left w:val="single" w:color="auto" w:sz="2" w:space="0"/>
              <w:bottom w:val="single" w:color="auto" w:sz="2" w:space="0"/>
              <w:right w:val="single" w:color="auto" w:sz="2" w:space="0"/>
            </w:tcBorders>
            <w:vAlign w:val="center"/>
          </w:tcPr>
          <w:p w14:paraId="7A40C66A">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i w:val="0"/>
                <w:iCs w:val="0"/>
                <w:color w:val="auto"/>
                <w:kern w:val="2"/>
                <w:sz w:val="21"/>
                <w:szCs w:val="21"/>
                <w:highlight w:val="none"/>
                <w:u w:val="none"/>
                <w:lang w:val="en-US" w:eastAsia="zh-CN" w:bidi="ar"/>
              </w:rPr>
              <w:t>124（</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00" w:type="dxa"/>
            <w:tcBorders>
              <w:top w:val="single" w:color="auto" w:sz="2" w:space="0"/>
              <w:left w:val="single" w:color="auto" w:sz="2" w:space="0"/>
              <w:bottom w:val="single" w:color="auto" w:sz="2" w:space="0"/>
              <w:right w:val="single" w:color="auto" w:sz="2" w:space="0"/>
            </w:tcBorders>
            <w:shd w:val="clear" w:color="auto" w:fill="auto"/>
            <w:vAlign w:val="center"/>
          </w:tcPr>
          <w:p w14:paraId="4F81C3B3">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207" w:type="dxa"/>
            <w:tcBorders>
              <w:top w:val="single" w:color="auto" w:sz="2" w:space="0"/>
              <w:left w:val="single" w:color="auto" w:sz="2" w:space="0"/>
              <w:bottom w:val="single" w:color="auto" w:sz="2" w:space="0"/>
              <w:right w:val="single" w:color="auto" w:sz="12" w:space="0"/>
            </w:tcBorders>
            <w:shd w:val="clear" w:color="auto" w:fill="auto"/>
            <w:vAlign w:val="center"/>
          </w:tcPr>
          <w:p w14:paraId="4D801444">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690DC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03" w:type="dxa"/>
            <w:tcBorders>
              <w:top w:val="single" w:color="auto" w:sz="2" w:space="0"/>
              <w:left w:val="single" w:color="auto" w:sz="12" w:space="0"/>
              <w:bottom w:val="single" w:color="auto" w:sz="2" w:space="0"/>
              <w:right w:val="single" w:color="auto" w:sz="2" w:space="0"/>
            </w:tcBorders>
            <w:vAlign w:val="center"/>
          </w:tcPr>
          <w:p w14:paraId="36DFE852">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1-9</w:t>
            </w:r>
          </w:p>
        </w:tc>
        <w:tc>
          <w:tcPr>
            <w:tcW w:w="1500" w:type="dxa"/>
            <w:tcBorders>
              <w:top w:val="single" w:color="auto" w:sz="2" w:space="0"/>
              <w:left w:val="single" w:color="auto" w:sz="2" w:space="0"/>
              <w:bottom w:val="single" w:color="auto" w:sz="2" w:space="0"/>
              <w:right w:val="single" w:color="auto" w:sz="2" w:space="0"/>
            </w:tcBorders>
            <w:vAlign w:val="center"/>
          </w:tcPr>
          <w:p w14:paraId="19BBE387">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20" w:type="dxa"/>
            <w:tcBorders>
              <w:top w:val="single" w:color="auto" w:sz="2" w:space="0"/>
              <w:left w:val="single" w:color="auto" w:sz="2" w:space="0"/>
              <w:bottom w:val="single" w:color="auto" w:sz="2" w:space="0"/>
              <w:right w:val="single" w:color="auto" w:sz="2" w:space="0"/>
            </w:tcBorders>
            <w:vAlign w:val="center"/>
          </w:tcPr>
          <w:p w14:paraId="35F7BE3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智能中控机箱</w:t>
            </w:r>
          </w:p>
        </w:tc>
        <w:tc>
          <w:tcPr>
            <w:tcW w:w="1347" w:type="dxa"/>
            <w:tcBorders>
              <w:top w:val="single" w:color="auto" w:sz="2" w:space="0"/>
              <w:left w:val="single" w:color="auto" w:sz="2" w:space="0"/>
              <w:bottom w:val="single" w:color="auto" w:sz="2" w:space="0"/>
              <w:right w:val="single" w:color="auto" w:sz="2" w:space="0"/>
            </w:tcBorders>
            <w:vAlign w:val="center"/>
          </w:tcPr>
          <w:p w14:paraId="6F8B8B15">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i w:val="0"/>
                <w:iCs w:val="0"/>
                <w:color w:val="auto"/>
                <w:kern w:val="2"/>
                <w:sz w:val="21"/>
                <w:szCs w:val="21"/>
                <w:highlight w:val="none"/>
                <w:u w:val="none"/>
                <w:lang w:val="en-US" w:eastAsia="zh-CN" w:bidi="ar"/>
              </w:rPr>
              <w:t>124（</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00" w:type="dxa"/>
            <w:tcBorders>
              <w:top w:val="single" w:color="auto" w:sz="2" w:space="0"/>
              <w:left w:val="single" w:color="auto" w:sz="2" w:space="0"/>
              <w:bottom w:val="single" w:color="auto" w:sz="2" w:space="0"/>
              <w:right w:val="single" w:color="auto" w:sz="2" w:space="0"/>
            </w:tcBorders>
            <w:shd w:val="clear" w:color="auto" w:fill="auto"/>
            <w:vAlign w:val="center"/>
          </w:tcPr>
          <w:p w14:paraId="6F7EE8F5">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eastAsia="zh-CN"/>
              </w:rPr>
              <w:t>同上</w:t>
            </w:r>
          </w:p>
        </w:tc>
        <w:tc>
          <w:tcPr>
            <w:tcW w:w="1207" w:type="dxa"/>
            <w:tcBorders>
              <w:top w:val="single" w:color="auto" w:sz="2" w:space="0"/>
              <w:left w:val="single" w:color="auto" w:sz="2" w:space="0"/>
              <w:bottom w:val="single" w:color="auto" w:sz="2" w:space="0"/>
              <w:right w:val="single" w:color="auto" w:sz="12" w:space="0"/>
            </w:tcBorders>
            <w:shd w:val="clear" w:color="auto" w:fill="auto"/>
            <w:vAlign w:val="center"/>
          </w:tcPr>
          <w:p w14:paraId="461F15F6">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否</w:t>
            </w:r>
          </w:p>
        </w:tc>
      </w:tr>
      <w:tr w14:paraId="1FA1A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03" w:type="dxa"/>
            <w:tcBorders>
              <w:top w:val="single" w:color="auto" w:sz="2" w:space="0"/>
              <w:left w:val="single" w:color="auto" w:sz="12" w:space="0"/>
              <w:bottom w:val="single" w:color="auto" w:sz="12" w:space="0"/>
              <w:right w:val="single" w:color="auto" w:sz="2" w:space="0"/>
            </w:tcBorders>
            <w:vAlign w:val="center"/>
          </w:tcPr>
          <w:p w14:paraId="60740A5E">
            <w:pPr>
              <w:adjustRightInd/>
              <w:snapToGrid/>
              <w:spacing w:line="240" w:lineRule="exact"/>
              <w:ind w:firstLine="0" w:firstLineChars="0"/>
              <w:jc w:val="center"/>
              <w:rPr>
                <w:rFonts w:hint="default"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1-10</w:t>
            </w:r>
          </w:p>
        </w:tc>
        <w:tc>
          <w:tcPr>
            <w:tcW w:w="1500" w:type="dxa"/>
            <w:tcBorders>
              <w:top w:val="single" w:color="auto" w:sz="2" w:space="0"/>
              <w:left w:val="single" w:color="auto" w:sz="2" w:space="0"/>
              <w:bottom w:val="single" w:color="auto" w:sz="12" w:space="0"/>
              <w:right w:val="single" w:color="auto" w:sz="2" w:space="0"/>
            </w:tcBorders>
            <w:vAlign w:val="center"/>
          </w:tcPr>
          <w:p w14:paraId="7AF74A10">
            <w:pPr>
              <w:adjustRightInd/>
              <w:snapToGrid/>
              <w:spacing w:line="240" w:lineRule="exact"/>
              <w:ind w:firstLine="0" w:firstLineChars="0"/>
              <w:jc w:val="center"/>
              <w:rPr>
                <w:rFonts w:hint="default"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其他服务</w:t>
            </w:r>
          </w:p>
        </w:tc>
        <w:tc>
          <w:tcPr>
            <w:tcW w:w="1920" w:type="dxa"/>
            <w:tcBorders>
              <w:top w:val="single" w:color="auto" w:sz="2" w:space="0"/>
              <w:left w:val="single" w:color="auto" w:sz="2" w:space="0"/>
              <w:bottom w:val="single" w:color="auto" w:sz="12" w:space="0"/>
              <w:right w:val="single" w:color="auto" w:sz="2" w:space="0"/>
            </w:tcBorders>
            <w:vAlign w:val="center"/>
          </w:tcPr>
          <w:p w14:paraId="3BEFCB55">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楷体_GB2312" w:eastAsia="楷体_GB2312"/>
                <w:color w:val="auto"/>
                <w:sz w:val="21"/>
                <w:szCs w:val="21"/>
                <w:highlight w:val="none"/>
              </w:rPr>
              <w:t>交调系统数据采集所需软件及安装调试、配套服务</w:t>
            </w:r>
          </w:p>
        </w:tc>
        <w:tc>
          <w:tcPr>
            <w:tcW w:w="1347" w:type="dxa"/>
            <w:tcBorders>
              <w:top w:val="single" w:color="auto" w:sz="2" w:space="0"/>
              <w:left w:val="single" w:color="auto" w:sz="2" w:space="0"/>
              <w:bottom w:val="single" w:color="auto" w:sz="12" w:space="0"/>
              <w:right w:val="single" w:color="auto" w:sz="2" w:space="0"/>
            </w:tcBorders>
            <w:vAlign w:val="center"/>
          </w:tcPr>
          <w:p w14:paraId="71DFE70A">
            <w:pPr>
              <w:adjustRightInd/>
              <w:snapToGrid/>
              <w:spacing w:line="240" w:lineRule="exact"/>
              <w:ind w:firstLine="0" w:firstLineChars="0"/>
              <w:jc w:val="center"/>
              <w:rPr>
                <w:rFonts w:hint="default"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1（项）</w:t>
            </w:r>
          </w:p>
        </w:tc>
        <w:tc>
          <w:tcPr>
            <w:tcW w:w="1900" w:type="dxa"/>
            <w:tcBorders>
              <w:top w:val="single" w:color="auto" w:sz="2" w:space="0"/>
              <w:left w:val="single" w:color="auto" w:sz="2" w:space="0"/>
              <w:bottom w:val="single" w:color="auto" w:sz="12" w:space="0"/>
              <w:right w:val="single" w:color="auto" w:sz="2" w:space="0"/>
            </w:tcBorders>
            <w:shd w:val="clear" w:color="auto" w:fill="auto"/>
            <w:vAlign w:val="center"/>
          </w:tcPr>
          <w:p w14:paraId="2C071123">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详见</w:t>
            </w:r>
            <w:r>
              <w:rPr>
                <w:rFonts w:hint="eastAsia" w:ascii="仿宋_GB2312" w:hAnsi="仿宋" w:eastAsia="仿宋_GB2312" w:cs="Times New Roman"/>
                <w:color w:val="auto"/>
                <w:sz w:val="21"/>
                <w:szCs w:val="21"/>
                <w:highlight w:val="none"/>
                <w:lang w:eastAsia="zh-CN"/>
              </w:rPr>
              <w:t>后</w:t>
            </w:r>
            <w:r>
              <w:rPr>
                <w:rFonts w:hint="eastAsia" w:ascii="仿宋_GB2312" w:hAnsi="仿宋" w:eastAsia="仿宋_GB2312" w:cs="Times New Roman"/>
                <w:color w:val="auto"/>
                <w:sz w:val="21"/>
                <w:szCs w:val="21"/>
                <w:highlight w:val="none"/>
                <w:lang w:val="en-US" w:eastAsia="zh-CN"/>
              </w:rPr>
              <w:t>四（二）</w:t>
            </w:r>
          </w:p>
        </w:tc>
        <w:tc>
          <w:tcPr>
            <w:tcW w:w="1207" w:type="dxa"/>
            <w:tcBorders>
              <w:top w:val="single" w:color="auto" w:sz="2" w:space="0"/>
              <w:left w:val="single" w:color="auto" w:sz="2" w:space="0"/>
              <w:bottom w:val="single" w:color="auto" w:sz="12" w:space="0"/>
              <w:right w:val="single" w:color="auto" w:sz="12" w:space="0"/>
            </w:tcBorders>
            <w:shd w:val="clear" w:color="auto" w:fill="auto"/>
            <w:vAlign w:val="center"/>
          </w:tcPr>
          <w:p w14:paraId="745A2DC9">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否</w:t>
            </w:r>
          </w:p>
        </w:tc>
      </w:tr>
    </w:tbl>
    <w:p w14:paraId="6347B259">
      <w:pPr>
        <w:spacing w:line="340" w:lineRule="exact"/>
        <w:ind w:firstLine="0" w:firstLineChars="0"/>
        <w:jc w:val="center"/>
        <w:rPr>
          <w:rFonts w:hint="eastAsia" w:ascii="楷体_GB2312" w:hAnsi="楷体_GB2312" w:eastAsia="楷体_GB2312" w:cs="楷体_GB2312"/>
          <w:b w:val="0"/>
          <w:bCs w:val="0"/>
          <w:color w:val="auto"/>
          <w:sz w:val="24"/>
          <w:szCs w:val="24"/>
          <w:highlight w:val="none"/>
        </w:rPr>
      </w:pPr>
      <w:r>
        <w:rPr>
          <w:rFonts w:hint="eastAsia" w:ascii="楷体_GB2312" w:hAnsi="楷体_GB2312" w:eastAsia="楷体_GB2312" w:cs="楷体_GB2312"/>
          <w:b/>
          <w:bCs/>
          <w:color w:val="auto"/>
          <w:sz w:val="24"/>
          <w:szCs w:val="24"/>
          <w:highlight w:val="none"/>
        </w:rPr>
        <w:t>表</w:t>
      </w:r>
      <w:r>
        <w:rPr>
          <w:rFonts w:hint="eastAsia" w:ascii="楷体_GB2312" w:hAnsi="楷体_GB2312" w:eastAsia="楷体_GB2312" w:cs="楷体_GB2312"/>
          <w:b/>
          <w:bCs/>
          <w:color w:val="auto"/>
          <w:sz w:val="24"/>
          <w:szCs w:val="24"/>
          <w:highlight w:val="none"/>
          <w:lang w:val="en-US" w:eastAsia="zh-CN"/>
        </w:rPr>
        <w:t>8</w:t>
      </w:r>
      <w:r>
        <w:rPr>
          <w:rFonts w:hint="eastAsia" w:ascii="楷体_GB2312" w:hAnsi="楷体_GB2312" w:eastAsia="楷体_GB2312" w:cs="楷体_GB2312"/>
          <w:b/>
          <w:bCs/>
          <w:color w:val="auto"/>
          <w:sz w:val="24"/>
          <w:szCs w:val="24"/>
          <w:highlight w:val="none"/>
        </w:rPr>
        <w:t xml:space="preserve">  包组</w:t>
      </w:r>
      <w:r>
        <w:rPr>
          <w:rFonts w:hint="eastAsia" w:ascii="楷体_GB2312" w:hAnsi="楷体_GB2312" w:eastAsia="楷体_GB2312" w:cs="楷体_GB2312"/>
          <w:b/>
          <w:bCs/>
          <w:color w:val="auto"/>
          <w:sz w:val="24"/>
          <w:szCs w:val="24"/>
          <w:highlight w:val="none"/>
          <w:lang w:val="en-US" w:eastAsia="zh-CN"/>
        </w:rPr>
        <w:t>2</w:t>
      </w:r>
      <w:r>
        <w:rPr>
          <w:rFonts w:hint="eastAsia" w:ascii="楷体_GB2312" w:hAnsi="楷体_GB2312" w:eastAsia="楷体_GB2312" w:cs="楷体_GB2312"/>
          <w:b/>
          <w:bCs/>
          <w:color w:val="auto"/>
          <w:sz w:val="24"/>
          <w:szCs w:val="24"/>
          <w:highlight w:val="none"/>
        </w:rPr>
        <w:t>采购设备清单</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3"/>
        <w:gridCol w:w="1500"/>
        <w:gridCol w:w="1932"/>
        <w:gridCol w:w="1285"/>
        <w:gridCol w:w="1910"/>
        <w:gridCol w:w="1187"/>
      </w:tblGrid>
      <w:tr w14:paraId="409F6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Borders>
              <w:top w:val="single" w:color="auto" w:sz="12" w:space="0"/>
              <w:left w:val="single" w:color="auto" w:sz="12" w:space="0"/>
              <w:bottom w:val="double" w:color="auto" w:sz="4" w:space="0"/>
              <w:right w:val="single" w:color="auto" w:sz="2" w:space="0"/>
            </w:tcBorders>
            <w:vAlign w:val="center"/>
          </w:tcPr>
          <w:p w14:paraId="1D5AF27A">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品目号</w:t>
            </w:r>
          </w:p>
        </w:tc>
        <w:tc>
          <w:tcPr>
            <w:tcW w:w="1500" w:type="dxa"/>
            <w:tcBorders>
              <w:top w:val="single" w:color="auto" w:sz="12" w:space="0"/>
              <w:left w:val="single" w:color="auto" w:sz="2" w:space="0"/>
              <w:bottom w:val="double" w:color="auto" w:sz="4" w:space="0"/>
              <w:right w:val="single" w:color="auto" w:sz="2" w:space="0"/>
            </w:tcBorders>
            <w:vAlign w:val="center"/>
          </w:tcPr>
          <w:p w14:paraId="23321403">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品目名称</w:t>
            </w:r>
          </w:p>
        </w:tc>
        <w:tc>
          <w:tcPr>
            <w:tcW w:w="1932" w:type="dxa"/>
            <w:tcBorders>
              <w:top w:val="single" w:color="auto" w:sz="12" w:space="0"/>
              <w:left w:val="single" w:color="auto" w:sz="2" w:space="0"/>
              <w:bottom w:val="double" w:color="auto" w:sz="4" w:space="0"/>
              <w:right w:val="single" w:color="auto" w:sz="2" w:space="0"/>
            </w:tcBorders>
            <w:vAlign w:val="center"/>
          </w:tcPr>
          <w:p w14:paraId="6DFE4CB5">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采购标的</w:t>
            </w:r>
          </w:p>
        </w:tc>
        <w:tc>
          <w:tcPr>
            <w:tcW w:w="1285" w:type="dxa"/>
            <w:tcBorders>
              <w:top w:val="single" w:color="auto" w:sz="12" w:space="0"/>
              <w:left w:val="single" w:color="auto" w:sz="2" w:space="0"/>
              <w:bottom w:val="double" w:color="auto" w:sz="4" w:space="0"/>
              <w:right w:val="single" w:color="auto" w:sz="2" w:space="0"/>
            </w:tcBorders>
            <w:vAlign w:val="center"/>
          </w:tcPr>
          <w:p w14:paraId="647419DA">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数量</w:t>
            </w:r>
          </w:p>
          <w:p w14:paraId="7D14A75A">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（单位）</w:t>
            </w:r>
          </w:p>
        </w:tc>
        <w:tc>
          <w:tcPr>
            <w:tcW w:w="1910" w:type="dxa"/>
            <w:tcBorders>
              <w:top w:val="single" w:color="auto" w:sz="12" w:space="0"/>
              <w:left w:val="single" w:color="auto" w:sz="2" w:space="0"/>
              <w:bottom w:val="double" w:color="auto" w:sz="4" w:space="0"/>
              <w:right w:val="single" w:color="auto" w:sz="2" w:space="0"/>
            </w:tcBorders>
            <w:vAlign w:val="center"/>
          </w:tcPr>
          <w:p w14:paraId="334C5957">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技术规格、参数及要求</w:t>
            </w:r>
          </w:p>
        </w:tc>
        <w:tc>
          <w:tcPr>
            <w:tcW w:w="1187" w:type="dxa"/>
            <w:tcBorders>
              <w:top w:val="single" w:color="auto" w:sz="12" w:space="0"/>
              <w:left w:val="single" w:color="auto" w:sz="2" w:space="0"/>
              <w:bottom w:val="double" w:color="auto" w:sz="4" w:space="0"/>
              <w:right w:val="single" w:color="auto" w:sz="12" w:space="0"/>
            </w:tcBorders>
            <w:vAlign w:val="center"/>
          </w:tcPr>
          <w:p w14:paraId="6AE6EB1E">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是否允许进口产品</w:t>
            </w:r>
          </w:p>
        </w:tc>
      </w:tr>
      <w:tr w14:paraId="2DDD8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0" w:hRule="atLeast"/>
        </w:trPr>
        <w:tc>
          <w:tcPr>
            <w:tcW w:w="963" w:type="dxa"/>
            <w:tcBorders>
              <w:top w:val="double" w:color="auto" w:sz="4" w:space="0"/>
              <w:left w:val="single" w:color="auto" w:sz="12" w:space="0"/>
              <w:bottom w:val="single" w:color="auto" w:sz="2" w:space="0"/>
              <w:right w:val="single" w:color="auto" w:sz="2" w:space="0"/>
            </w:tcBorders>
            <w:vAlign w:val="center"/>
          </w:tcPr>
          <w:p w14:paraId="29F6212B">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-1</w:t>
            </w:r>
          </w:p>
        </w:tc>
        <w:tc>
          <w:tcPr>
            <w:tcW w:w="1500" w:type="dxa"/>
            <w:tcBorders>
              <w:top w:val="double" w:color="auto" w:sz="4" w:space="0"/>
              <w:left w:val="single" w:color="auto" w:sz="2" w:space="0"/>
              <w:bottom w:val="single" w:color="auto" w:sz="2" w:space="0"/>
              <w:right w:val="single" w:color="auto" w:sz="2" w:space="0"/>
            </w:tcBorders>
            <w:vAlign w:val="center"/>
          </w:tcPr>
          <w:p w14:paraId="6AF8F22A">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32" w:type="dxa"/>
            <w:tcBorders>
              <w:top w:val="double" w:color="auto" w:sz="4" w:space="0"/>
              <w:left w:val="single" w:color="auto" w:sz="2" w:space="0"/>
              <w:bottom w:val="single" w:color="auto" w:sz="2" w:space="0"/>
              <w:right w:val="single" w:color="auto" w:sz="2" w:space="0"/>
            </w:tcBorders>
            <w:vAlign w:val="center"/>
          </w:tcPr>
          <w:p w14:paraId="133C5BE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公路交通情况调查设备（核心设备）</w:t>
            </w:r>
          </w:p>
        </w:tc>
        <w:tc>
          <w:tcPr>
            <w:tcW w:w="1285" w:type="dxa"/>
            <w:tcBorders>
              <w:top w:val="double" w:color="auto" w:sz="4" w:space="0"/>
              <w:left w:val="single" w:color="auto" w:sz="2" w:space="0"/>
              <w:bottom w:val="single" w:color="auto" w:sz="2" w:space="0"/>
              <w:right w:val="single" w:color="auto" w:sz="2" w:space="0"/>
            </w:tcBorders>
            <w:vAlign w:val="center"/>
          </w:tcPr>
          <w:p w14:paraId="6A97C060">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bidi="ar"/>
              </w:rPr>
            </w:pPr>
            <w:r>
              <w:rPr>
                <w:rFonts w:hint="eastAsia" w:ascii="仿宋_GB2312" w:hAnsi="仿宋" w:eastAsia="仿宋_GB2312" w:cs="Times New Roman"/>
                <w:i w:val="0"/>
                <w:iCs w:val="0"/>
                <w:color w:val="auto"/>
                <w:kern w:val="2"/>
                <w:sz w:val="21"/>
                <w:szCs w:val="21"/>
                <w:highlight w:val="none"/>
                <w:u w:val="none"/>
                <w:lang w:val="en-US" w:eastAsia="zh-CN" w:bidi="ar"/>
              </w:rPr>
              <w:t>124（</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10" w:type="dxa"/>
            <w:tcBorders>
              <w:top w:val="double" w:color="auto" w:sz="4" w:space="0"/>
              <w:left w:val="single" w:color="auto" w:sz="2" w:space="0"/>
              <w:bottom w:val="single" w:color="auto" w:sz="2" w:space="0"/>
              <w:right w:val="single" w:color="auto" w:sz="2" w:space="0"/>
            </w:tcBorders>
            <w:vAlign w:val="center"/>
          </w:tcPr>
          <w:p w14:paraId="25BD170E">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eastAsia="zh-CN"/>
              </w:rPr>
              <w:t>详见后</w:t>
            </w:r>
            <w:r>
              <w:rPr>
                <w:rFonts w:hint="eastAsia" w:ascii="仿宋_GB2312" w:hAnsi="仿宋" w:eastAsia="仿宋_GB2312" w:cs="Times New Roman"/>
                <w:color w:val="auto"/>
                <w:sz w:val="21"/>
                <w:szCs w:val="21"/>
                <w:highlight w:val="none"/>
                <w:lang w:val="en-US" w:eastAsia="zh-CN"/>
              </w:rPr>
              <w:t>四（一）</w:t>
            </w:r>
          </w:p>
          <w:p w14:paraId="0978C97D">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eastAsia="zh-CN"/>
              </w:rPr>
              <w:t>交调系统数据采集所需设备及要求</w:t>
            </w:r>
          </w:p>
        </w:tc>
        <w:tc>
          <w:tcPr>
            <w:tcW w:w="1187" w:type="dxa"/>
            <w:tcBorders>
              <w:top w:val="double" w:color="auto" w:sz="4" w:space="0"/>
              <w:left w:val="single" w:color="auto" w:sz="2" w:space="0"/>
              <w:bottom w:val="single" w:color="auto" w:sz="2" w:space="0"/>
              <w:right w:val="single" w:color="auto" w:sz="12" w:space="0"/>
            </w:tcBorders>
            <w:vAlign w:val="center"/>
          </w:tcPr>
          <w:p w14:paraId="3D234449">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否</w:t>
            </w:r>
          </w:p>
        </w:tc>
      </w:tr>
      <w:tr w14:paraId="0E919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 w:hRule="atLeast"/>
        </w:trPr>
        <w:tc>
          <w:tcPr>
            <w:tcW w:w="963" w:type="dxa"/>
            <w:tcBorders>
              <w:top w:val="single" w:color="auto" w:sz="2" w:space="0"/>
              <w:left w:val="single" w:color="auto" w:sz="12" w:space="0"/>
              <w:bottom w:val="single" w:color="auto" w:sz="2" w:space="0"/>
              <w:right w:val="single" w:color="auto" w:sz="2" w:space="0"/>
            </w:tcBorders>
            <w:vAlign w:val="center"/>
          </w:tcPr>
          <w:p w14:paraId="590FCAE7">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2</w:t>
            </w:r>
          </w:p>
        </w:tc>
        <w:tc>
          <w:tcPr>
            <w:tcW w:w="1500" w:type="dxa"/>
            <w:tcBorders>
              <w:top w:val="single" w:color="auto" w:sz="2" w:space="0"/>
              <w:left w:val="single" w:color="auto" w:sz="2" w:space="0"/>
              <w:bottom w:val="single" w:color="auto" w:sz="2" w:space="0"/>
              <w:right w:val="single" w:color="auto" w:sz="2" w:space="0"/>
            </w:tcBorders>
            <w:vAlign w:val="center"/>
          </w:tcPr>
          <w:p w14:paraId="5279037B">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32" w:type="dxa"/>
            <w:tcBorders>
              <w:top w:val="single" w:color="auto" w:sz="2" w:space="0"/>
              <w:left w:val="single" w:color="auto" w:sz="2" w:space="0"/>
              <w:bottom w:val="single" w:color="auto" w:sz="2" w:space="0"/>
              <w:right w:val="single" w:color="auto" w:sz="2" w:space="0"/>
            </w:tcBorders>
            <w:vAlign w:val="center"/>
          </w:tcPr>
          <w:p w14:paraId="4088C54F">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终端管理设施</w:t>
            </w:r>
          </w:p>
        </w:tc>
        <w:tc>
          <w:tcPr>
            <w:tcW w:w="1285" w:type="dxa"/>
            <w:tcBorders>
              <w:top w:val="single" w:color="auto" w:sz="2" w:space="0"/>
              <w:left w:val="single" w:color="auto" w:sz="2" w:space="0"/>
              <w:bottom w:val="single" w:color="auto" w:sz="2" w:space="0"/>
              <w:right w:val="single" w:color="auto" w:sz="2" w:space="0"/>
            </w:tcBorders>
            <w:vAlign w:val="center"/>
          </w:tcPr>
          <w:p w14:paraId="723388B0">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val="en-US" w:eastAsia="zh-CN" w:bidi="ar"/>
              </w:rPr>
            </w:pPr>
            <w:r>
              <w:rPr>
                <w:rFonts w:hint="eastAsia" w:ascii="仿宋_GB2312" w:hAnsi="仿宋" w:eastAsia="仿宋_GB2312" w:cs="Times New Roman"/>
                <w:i w:val="0"/>
                <w:iCs w:val="0"/>
                <w:color w:val="auto"/>
                <w:kern w:val="2"/>
                <w:sz w:val="21"/>
                <w:szCs w:val="21"/>
                <w:highlight w:val="none"/>
                <w:u w:val="none"/>
                <w:lang w:val="en-US" w:eastAsia="zh-CN" w:bidi="ar"/>
              </w:rPr>
              <w:t>124（</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10" w:type="dxa"/>
            <w:tcBorders>
              <w:top w:val="single" w:color="auto" w:sz="2" w:space="0"/>
              <w:left w:val="single" w:color="auto" w:sz="2" w:space="0"/>
              <w:bottom w:val="single" w:color="auto" w:sz="2" w:space="0"/>
              <w:right w:val="single" w:color="auto" w:sz="2" w:space="0"/>
            </w:tcBorders>
            <w:shd w:val="clear" w:color="auto" w:fill="auto"/>
            <w:vAlign w:val="center"/>
          </w:tcPr>
          <w:p w14:paraId="32C89987">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187" w:type="dxa"/>
            <w:tcBorders>
              <w:top w:val="single" w:color="auto" w:sz="2" w:space="0"/>
              <w:left w:val="single" w:color="auto" w:sz="2" w:space="0"/>
              <w:bottom w:val="single" w:color="auto" w:sz="2" w:space="0"/>
              <w:right w:val="single" w:color="auto" w:sz="12" w:space="0"/>
            </w:tcBorders>
            <w:shd w:val="clear" w:color="auto" w:fill="auto"/>
            <w:vAlign w:val="center"/>
          </w:tcPr>
          <w:p w14:paraId="7C272681">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53633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 w:hRule="atLeast"/>
        </w:trPr>
        <w:tc>
          <w:tcPr>
            <w:tcW w:w="963" w:type="dxa"/>
            <w:tcBorders>
              <w:top w:val="single" w:color="auto" w:sz="2" w:space="0"/>
              <w:left w:val="single" w:color="auto" w:sz="12" w:space="0"/>
              <w:bottom w:val="single" w:color="auto" w:sz="2" w:space="0"/>
              <w:right w:val="single" w:color="auto" w:sz="2" w:space="0"/>
            </w:tcBorders>
            <w:vAlign w:val="center"/>
          </w:tcPr>
          <w:p w14:paraId="426F994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3</w:t>
            </w:r>
          </w:p>
        </w:tc>
        <w:tc>
          <w:tcPr>
            <w:tcW w:w="1500" w:type="dxa"/>
            <w:tcBorders>
              <w:top w:val="single" w:color="auto" w:sz="2" w:space="0"/>
              <w:left w:val="single" w:color="auto" w:sz="2" w:space="0"/>
              <w:bottom w:val="single" w:color="auto" w:sz="2" w:space="0"/>
              <w:right w:val="single" w:color="auto" w:sz="2" w:space="0"/>
            </w:tcBorders>
            <w:vAlign w:val="center"/>
          </w:tcPr>
          <w:p w14:paraId="6207BDFF">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32" w:type="dxa"/>
            <w:tcBorders>
              <w:top w:val="single" w:color="auto" w:sz="2" w:space="0"/>
              <w:left w:val="single" w:color="auto" w:sz="2" w:space="0"/>
              <w:bottom w:val="single" w:color="auto" w:sz="2" w:space="0"/>
              <w:right w:val="single" w:color="auto" w:sz="2" w:space="0"/>
            </w:tcBorders>
            <w:vAlign w:val="center"/>
          </w:tcPr>
          <w:p w14:paraId="0B613025">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数据模块（工业级）</w:t>
            </w:r>
          </w:p>
        </w:tc>
        <w:tc>
          <w:tcPr>
            <w:tcW w:w="1285" w:type="dxa"/>
            <w:tcBorders>
              <w:top w:val="single" w:color="auto" w:sz="2" w:space="0"/>
              <w:left w:val="single" w:color="auto" w:sz="2" w:space="0"/>
              <w:bottom w:val="single" w:color="auto" w:sz="2" w:space="0"/>
              <w:right w:val="single" w:color="auto" w:sz="2" w:space="0"/>
            </w:tcBorders>
            <w:vAlign w:val="center"/>
          </w:tcPr>
          <w:p w14:paraId="2801142B">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val="en-US" w:eastAsia="zh-CN" w:bidi="ar"/>
              </w:rPr>
            </w:pPr>
            <w:r>
              <w:rPr>
                <w:rFonts w:hint="eastAsia" w:ascii="仿宋_GB2312" w:hAnsi="仿宋" w:eastAsia="仿宋_GB2312" w:cs="Times New Roman"/>
                <w:i w:val="0"/>
                <w:iCs w:val="0"/>
                <w:color w:val="auto"/>
                <w:kern w:val="2"/>
                <w:sz w:val="21"/>
                <w:szCs w:val="21"/>
                <w:highlight w:val="none"/>
                <w:u w:val="none"/>
                <w:lang w:val="en-US" w:eastAsia="zh-CN" w:bidi="ar"/>
              </w:rPr>
              <w:t>123（</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10" w:type="dxa"/>
            <w:tcBorders>
              <w:top w:val="single" w:color="auto" w:sz="2" w:space="0"/>
              <w:left w:val="single" w:color="auto" w:sz="2" w:space="0"/>
              <w:bottom w:val="single" w:color="auto" w:sz="2" w:space="0"/>
              <w:right w:val="single" w:color="auto" w:sz="2" w:space="0"/>
            </w:tcBorders>
            <w:shd w:val="clear" w:color="auto" w:fill="auto"/>
            <w:vAlign w:val="center"/>
          </w:tcPr>
          <w:p w14:paraId="7CD33235">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187" w:type="dxa"/>
            <w:tcBorders>
              <w:top w:val="single" w:color="auto" w:sz="2" w:space="0"/>
              <w:left w:val="single" w:color="auto" w:sz="2" w:space="0"/>
              <w:bottom w:val="single" w:color="auto" w:sz="2" w:space="0"/>
              <w:right w:val="single" w:color="auto" w:sz="12" w:space="0"/>
            </w:tcBorders>
            <w:shd w:val="clear" w:color="auto" w:fill="auto"/>
            <w:vAlign w:val="center"/>
          </w:tcPr>
          <w:p w14:paraId="67A6AB8C">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6CCF4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 w:hRule="atLeast"/>
        </w:trPr>
        <w:tc>
          <w:tcPr>
            <w:tcW w:w="963" w:type="dxa"/>
            <w:tcBorders>
              <w:top w:val="single" w:color="auto" w:sz="2" w:space="0"/>
              <w:left w:val="single" w:color="auto" w:sz="12" w:space="0"/>
              <w:bottom w:val="single" w:color="auto" w:sz="2" w:space="0"/>
              <w:right w:val="single" w:color="auto" w:sz="2" w:space="0"/>
            </w:tcBorders>
            <w:vAlign w:val="center"/>
          </w:tcPr>
          <w:p w14:paraId="718ACE42">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4</w:t>
            </w:r>
          </w:p>
        </w:tc>
        <w:tc>
          <w:tcPr>
            <w:tcW w:w="1500" w:type="dxa"/>
            <w:tcBorders>
              <w:top w:val="single" w:color="auto" w:sz="2" w:space="0"/>
              <w:left w:val="single" w:color="auto" w:sz="2" w:space="0"/>
              <w:bottom w:val="single" w:color="auto" w:sz="2" w:space="0"/>
              <w:right w:val="single" w:color="auto" w:sz="2" w:space="0"/>
            </w:tcBorders>
            <w:vAlign w:val="center"/>
          </w:tcPr>
          <w:p w14:paraId="06948813">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32" w:type="dxa"/>
            <w:tcBorders>
              <w:top w:val="single" w:color="auto" w:sz="2" w:space="0"/>
              <w:left w:val="single" w:color="auto" w:sz="2" w:space="0"/>
              <w:bottom w:val="single" w:color="auto" w:sz="2" w:space="0"/>
              <w:right w:val="single" w:color="auto" w:sz="2" w:space="0"/>
            </w:tcBorders>
            <w:vAlign w:val="center"/>
          </w:tcPr>
          <w:p w14:paraId="311CD7CA">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气象传感器</w:t>
            </w:r>
          </w:p>
        </w:tc>
        <w:tc>
          <w:tcPr>
            <w:tcW w:w="1285" w:type="dxa"/>
            <w:tcBorders>
              <w:top w:val="single" w:color="auto" w:sz="2" w:space="0"/>
              <w:left w:val="single" w:color="auto" w:sz="2" w:space="0"/>
              <w:bottom w:val="single" w:color="auto" w:sz="2" w:space="0"/>
              <w:right w:val="single" w:color="auto" w:sz="2" w:space="0"/>
            </w:tcBorders>
            <w:vAlign w:val="center"/>
          </w:tcPr>
          <w:p w14:paraId="60D7C0B7">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val="en-US" w:eastAsia="zh-CN" w:bidi="ar"/>
              </w:rPr>
            </w:pPr>
            <w:r>
              <w:rPr>
                <w:rFonts w:hint="eastAsia" w:ascii="仿宋_GB2312" w:hAnsi="仿宋" w:eastAsia="仿宋_GB2312" w:cs="Times New Roman"/>
                <w:i w:val="0"/>
                <w:iCs w:val="0"/>
                <w:color w:val="auto"/>
                <w:kern w:val="2"/>
                <w:sz w:val="21"/>
                <w:szCs w:val="21"/>
                <w:highlight w:val="none"/>
                <w:u w:val="none"/>
                <w:lang w:val="en-US" w:eastAsia="zh-CN" w:bidi="ar"/>
              </w:rPr>
              <w:t>123（</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10" w:type="dxa"/>
            <w:tcBorders>
              <w:top w:val="single" w:color="auto" w:sz="2" w:space="0"/>
              <w:left w:val="single" w:color="auto" w:sz="2" w:space="0"/>
              <w:bottom w:val="single" w:color="auto" w:sz="2" w:space="0"/>
              <w:right w:val="single" w:color="auto" w:sz="2" w:space="0"/>
            </w:tcBorders>
            <w:shd w:val="clear" w:color="auto" w:fill="auto"/>
            <w:vAlign w:val="center"/>
          </w:tcPr>
          <w:p w14:paraId="2E7D6C3F">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187" w:type="dxa"/>
            <w:tcBorders>
              <w:top w:val="single" w:color="auto" w:sz="2" w:space="0"/>
              <w:left w:val="single" w:color="auto" w:sz="2" w:space="0"/>
              <w:bottom w:val="single" w:color="auto" w:sz="2" w:space="0"/>
              <w:right w:val="single" w:color="auto" w:sz="12" w:space="0"/>
            </w:tcBorders>
            <w:shd w:val="clear" w:color="auto" w:fill="auto"/>
            <w:vAlign w:val="center"/>
          </w:tcPr>
          <w:p w14:paraId="0B4AFC23">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4ABFA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63" w:type="dxa"/>
            <w:tcBorders>
              <w:top w:val="single" w:color="auto" w:sz="2" w:space="0"/>
              <w:left w:val="single" w:color="auto" w:sz="12" w:space="0"/>
              <w:bottom w:val="single" w:color="auto" w:sz="2" w:space="0"/>
              <w:right w:val="single" w:color="auto" w:sz="2" w:space="0"/>
            </w:tcBorders>
            <w:vAlign w:val="center"/>
          </w:tcPr>
          <w:p w14:paraId="1D6A2A24">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5</w:t>
            </w:r>
          </w:p>
        </w:tc>
        <w:tc>
          <w:tcPr>
            <w:tcW w:w="1500" w:type="dxa"/>
            <w:tcBorders>
              <w:top w:val="single" w:color="auto" w:sz="2" w:space="0"/>
              <w:left w:val="single" w:color="auto" w:sz="2" w:space="0"/>
              <w:bottom w:val="single" w:color="auto" w:sz="2" w:space="0"/>
              <w:right w:val="single" w:color="auto" w:sz="2" w:space="0"/>
            </w:tcBorders>
            <w:vAlign w:val="center"/>
          </w:tcPr>
          <w:p w14:paraId="33DD2AC6">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32" w:type="dxa"/>
            <w:tcBorders>
              <w:top w:val="single" w:color="auto" w:sz="2" w:space="0"/>
              <w:left w:val="single" w:color="auto" w:sz="2" w:space="0"/>
              <w:bottom w:val="single" w:color="auto" w:sz="2" w:space="0"/>
              <w:right w:val="single" w:color="auto" w:sz="2" w:space="0"/>
            </w:tcBorders>
            <w:vAlign w:val="center"/>
          </w:tcPr>
          <w:p w14:paraId="1E3FF16D">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卡口抓拍摄像机</w:t>
            </w:r>
          </w:p>
        </w:tc>
        <w:tc>
          <w:tcPr>
            <w:tcW w:w="1285" w:type="dxa"/>
            <w:tcBorders>
              <w:top w:val="single" w:color="auto" w:sz="2" w:space="0"/>
              <w:left w:val="single" w:color="auto" w:sz="2" w:space="0"/>
              <w:bottom w:val="single" w:color="auto" w:sz="2" w:space="0"/>
              <w:right w:val="single" w:color="auto" w:sz="2" w:space="0"/>
            </w:tcBorders>
            <w:vAlign w:val="center"/>
          </w:tcPr>
          <w:p w14:paraId="44EB515B">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val="en-US" w:eastAsia="zh-CN" w:bidi="ar"/>
              </w:rPr>
            </w:pPr>
            <w:r>
              <w:rPr>
                <w:rFonts w:hint="eastAsia" w:ascii="仿宋_GB2312" w:hAnsi="仿宋" w:eastAsia="仿宋_GB2312" w:cs="Times New Roman"/>
                <w:i w:val="0"/>
                <w:iCs w:val="0"/>
                <w:color w:val="auto"/>
                <w:kern w:val="2"/>
                <w:sz w:val="21"/>
                <w:szCs w:val="21"/>
                <w:highlight w:val="none"/>
                <w:u w:val="none"/>
                <w:lang w:val="en-US" w:eastAsia="zh-CN" w:bidi="ar"/>
              </w:rPr>
              <w:t>286（</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10" w:type="dxa"/>
            <w:tcBorders>
              <w:top w:val="single" w:color="auto" w:sz="2" w:space="0"/>
              <w:left w:val="single" w:color="auto" w:sz="2" w:space="0"/>
              <w:bottom w:val="single" w:color="auto" w:sz="2" w:space="0"/>
              <w:right w:val="single" w:color="auto" w:sz="2" w:space="0"/>
            </w:tcBorders>
            <w:shd w:val="clear" w:color="auto" w:fill="auto"/>
            <w:vAlign w:val="center"/>
          </w:tcPr>
          <w:p w14:paraId="1F47055C">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187" w:type="dxa"/>
            <w:tcBorders>
              <w:top w:val="single" w:color="auto" w:sz="2" w:space="0"/>
              <w:left w:val="single" w:color="auto" w:sz="2" w:space="0"/>
              <w:bottom w:val="single" w:color="auto" w:sz="2" w:space="0"/>
              <w:right w:val="single" w:color="auto" w:sz="12" w:space="0"/>
            </w:tcBorders>
            <w:shd w:val="clear" w:color="auto" w:fill="auto"/>
            <w:vAlign w:val="center"/>
          </w:tcPr>
          <w:p w14:paraId="0DD58D72">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3524F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63" w:type="dxa"/>
            <w:tcBorders>
              <w:top w:val="single" w:color="auto" w:sz="2" w:space="0"/>
              <w:left w:val="single" w:color="auto" w:sz="12" w:space="0"/>
              <w:bottom w:val="single" w:color="auto" w:sz="2" w:space="0"/>
              <w:right w:val="single" w:color="auto" w:sz="2" w:space="0"/>
            </w:tcBorders>
            <w:vAlign w:val="center"/>
          </w:tcPr>
          <w:p w14:paraId="75EDFB6E">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6</w:t>
            </w:r>
          </w:p>
        </w:tc>
        <w:tc>
          <w:tcPr>
            <w:tcW w:w="1500" w:type="dxa"/>
            <w:tcBorders>
              <w:top w:val="single" w:color="auto" w:sz="2" w:space="0"/>
              <w:left w:val="single" w:color="auto" w:sz="2" w:space="0"/>
              <w:bottom w:val="single" w:color="auto" w:sz="2" w:space="0"/>
              <w:right w:val="single" w:color="auto" w:sz="2" w:space="0"/>
            </w:tcBorders>
            <w:vAlign w:val="center"/>
          </w:tcPr>
          <w:p w14:paraId="6192C87F">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32" w:type="dxa"/>
            <w:tcBorders>
              <w:top w:val="single" w:color="auto" w:sz="2" w:space="0"/>
              <w:left w:val="single" w:color="auto" w:sz="2" w:space="0"/>
              <w:bottom w:val="single" w:color="auto" w:sz="2" w:space="0"/>
              <w:right w:val="single" w:color="auto" w:sz="2" w:space="0"/>
            </w:tcBorders>
            <w:vAlign w:val="center"/>
          </w:tcPr>
          <w:p w14:paraId="1FEB4125">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一体化补光灯</w:t>
            </w:r>
          </w:p>
        </w:tc>
        <w:tc>
          <w:tcPr>
            <w:tcW w:w="1285" w:type="dxa"/>
            <w:tcBorders>
              <w:top w:val="single" w:color="auto" w:sz="2" w:space="0"/>
              <w:left w:val="single" w:color="auto" w:sz="2" w:space="0"/>
              <w:bottom w:val="single" w:color="auto" w:sz="2" w:space="0"/>
              <w:right w:val="single" w:color="auto" w:sz="2" w:space="0"/>
            </w:tcBorders>
            <w:vAlign w:val="center"/>
          </w:tcPr>
          <w:p w14:paraId="30500CCB">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val="en-US" w:eastAsia="zh-CN" w:bidi="ar"/>
              </w:rPr>
            </w:pPr>
            <w:r>
              <w:rPr>
                <w:rFonts w:hint="eastAsia" w:ascii="仿宋_GB2312" w:hAnsi="仿宋" w:eastAsia="仿宋_GB2312" w:cs="Times New Roman"/>
                <w:i w:val="0"/>
                <w:iCs w:val="0"/>
                <w:color w:val="auto"/>
                <w:kern w:val="2"/>
                <w:sz w:val="21"/>
                <w:szCs w:val="21"/>
                <w:highlight w:val="none"/>
                <w:u w:val="none"/>
                <w:lang w:val="en-US" w:eastAsia="zh-CN" w:bidi="ar"/>
              </w:rPr>
              <w:t>594（</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10" w:type="dxa"/>
            <w:tcBorders>
              <w:top w:val="single" w:color="auto" w:sz="2" w:space="0"/>
              <w:left w:val="single" w:color="auto" w:sz="2" w:space="0"/>
              <w:bottom w:val="single" w:color="auto" w:sz="2" w:space="0"/>
              <w:right w:val="single" w:color="auto" w:sz="2" w:space="0"/>
            </w:tcBorders>
            <w:shd w:val="clear" w:color="auto" w:fill="auto"/>
            <w:vAlign w:val="center"/>
          </w:tcPr>
          <w:p w14:paraId="06240F13">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187" w:type="dxa"/>
            <w:tcBorders>
              <w:top w:val="single" w:color="auto" w:sz="2" w:space="0"/>
              <w:left w:val="single" w:color="auto" w:sz="2" w:space="0"/>
              <w:bottom w:val="single" w:color="auto" w:sz="2" w:space="0"/>
              <w:right w:val="single" w:color="auto" w:sz="12" w:space="0"/>
            </w:tcBorders>
            <w:shd w:val="clear" w:color="auto" w:fill="auto"/>
            <w:vAlign w:val="center"/>
          </w:tcPr>
          <w:p w14:paraId="7EC6C186">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5C7CA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63" w:type="dxa"/>
            <w:tcBorders>
              <w:top w:val="single" w:color="auto" w:sz="2" w:space="0"/>
              <w:left w:val="single" w:color="auto" w:sz="12" w:space="0"/>
              <w:bottom w:val="single" w:color="auto" w:sz="2" w:space="0"/>
              <w:right w:val="single" w:color="auto" w:sz="2" w:space="0"/>
            </w:tcBorders>
            <w:vAlign w:val="center"/>
          </w:tcPr>
          <w:p w14:paraId="41D9655E">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7</w:t>
            </w:r>
          </w:p>
        </w:tc>
        <w:tc>
          <w:tcPr>
            <w:tcW w:w="1500" w:type="dxa"/>
            <w:tcBorders>
              <w:top w:val="single" w:color="auto" w:sz="2" w:space="0"/>
              <w:left w:val="single" w:color="auto" w:sz="2" w:space="0"/>
              <w:bottom w:val="single" w:color="auto" w:sz="2" w:space="0"/>
              <w:right w:val="single" w:color="auto" w:sz="2" w:space="0"/>
            </w:tcBorders>
            <w:vAlign w:val="center"/>
          </w:tcPr>
          <w:p w14:paraId="70BBB76F">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32" w:type="dxa"/>
            <w:tcBorders>
              <w:top w:val="single" w:color="auto" w:sz="2" w:space="0"/>
              <w:left w:val="single" w:color="auto" w:sz="2" w:space="0"/>
              <w:bottom w:val="single" w:color="auto" w:sz="2" w:space="0"/>
              <w:right w:val="single" w:color="auto" w:sz="2" w:space="0"/>
            </w:tcBorders>
            <w:vAlign w:val="center"/>
          </w:tcPr>
          <w:p w14:paraId="404FA710">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监控球型摄像机</w:t>
            </w:r>
          </w:p>
        </w:tc>
        <w:tc>
          <w:tcPr>
            <w:tcW w:w="1285" w:type="dxa"/>
            <w:tcBorders>
              <w:top w:val="single" w:color="auto" w:sz="2" w:space="0"/>
              <w:left w:val="single" w:color="auto" w:sz="2" w:space="0"/>
              <w:bottom w:val="single" w:color="auto" w:sz="2" w:space="0"/>
              <w:right w:val="single" w:color="auto" w:sz="2" w:space="0"/>
            </w:tcBorders>
            <w:vAlign w:val="center"/>
          </w:tcPr>
          <w:p w14:paraId="2EE0C95D">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val="en-US" w:eastAsia="zh-CN" w:bidi="ar"/>
              </w:rPr>
            </w:pPr>
            <w:r>
              <w:rPr>
                <w:rFonts w:hint="eastAsia" w:ascii="仿宋_GB2312" w:hAnsi="仿宋" w:eastAsia="仿宋_GB2312" w:cs="Times New Roman"/>
                <w:i w:val="0"/>
                <w:iCs w:val="0"/>
                <w:color w:val="auto"/>
                <w:kern w:val="2"/>
                <w:sz w:val="21"/>
                <w:szCs w:val="21"/>
                <w:highlight w:val="none"/>
                <w:u w:val="none"/>
                <w:lang w:val="en-US" w:eastAsia="zh-CN" w:bidi="ar"/>
              </w:rPr>
              <w:t>143（</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10" w:type="dxa"/>
            <w:tcBorders>
              <w:top w:val="single" w:color="auto" w:sz="2" w:space="0"/>
              <w:left w:val="single" w:color="auto" w:sz="2" w:space="0"/>
              <w:bottom w:val="single" w:color="auto" w:sz="2" w:space="0"/>
              <w:right w:val="single" w:color="auto" w:sz="2" w:space="0"/>
            </w:tcBorders>
            <w:shd w:val="clear" w:color="auto" w:fill="auto"/>
            <w:vAlign w:val="center"/>
          </w:tcPr>
          <w:p w14:paraId="0AD62197">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187" w:type="dxa"/>
            <w:tcBorders>
              <w:top w:val="single" w:color="auto" w:sz="2" w:space="0"/>
              <w:left w:val="single" w:color="auto" w:sz="2" w:space="0"/>
              <w:bottom w:val="single" w:color="auto" w:sz="2" w:space="0"/>
              <w:right w:val="single" w:color="auto" w:sz="12" w:space="0"/>
            </w:tcBorders>
            <w:shd w:val="clear" w:color="auto" w:fill="auto"/>
            <w:vAlign w:val="center"/>
          </w:tcPr>
          <w:p w14:paraId="514FC416">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534A8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63" w:type="dxa"/>
            <w:tcBorders>
              <w:top w:val="single" w:color="auto" w:sz="2" w:space="0"/>
              <w:left w:val="single" w:color="auto" w:sz="12" w:space="0"/>
              <w:bottom w:val="single" w:color="auto" w:sz="2" w:space="0"/>
              <w:right w:val="single" w:color="auto" w:sz="2" w:space="0"/>
            </w:tcBorders>
            <w:vAlign w:val="center"/>
          </w:tcPr>
          <w:p w14:paraId="69F69E9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8</w:t>
            </w:r>
          </w:p>
        </w:tc>
        <w:tc>
          <w:tcPr>
            <w:tcW w:w="1500" w:type="dxa"/>
            <w:tcBorders>
              <w:top w:val="single" w:color="auto" w:sz="2" w:space="0"/>
              <w:left w:val="single" w:color="auto" w:sz="2" w:space="0"/>
              <w:bottom w:val="single" w:color="auto" w:sz="2" w:space="0"/>
              <w:right w:val="single" w:color="auto" w:sz="2" w:space="0"/>
            </w:tcBorders>
            <w:vAlign w:val="center"/>
          </w:tcPr>
          <w:p w14:paraId="0F218B65">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32" w:type="dxa"/>
            <w:tcBorders>
              <w:top w:val="single" w:color="auto" w:sz="2" w:space="0"/>
              <w:left w:val="single" w:color="auto" w:sz="2" w:space="0"/>
              <w:bottom w:val="single" w:color="auto" w:sz="2" w:space="0"/>
              <w:right w:val="single" w:color="auto" w:sz="2" w:space="0"/>
            </w:tcBorders>
            <w:vAlign w:val="center"/>
          </w:tcPr>
          <w:p w14:paraId="54A789C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后备电源</w:t>
            </w:r>
          </w:p>
        </w:tc>
        <w:tc>
          <w:tcPr>
            <w:tcW w:w="1285" w:type="dxa"/>
            <w:tcBorders>
              <w:top w:val="single" w:color="auto" w:sz="2" w:space="0"/>
              <w:left w:val="single" w:color="auto" w:sz="2" w:space="0"/>
              <w:bottom w:val="single" w:color="auto" w:sz="2" w:space="0"/>
              <w:right w:val="single" w:color="auto" w:sz="2" w:space="0"/>
            </w:tcBorders>
            <w:vAlign w:val="center"/>
          </w:tcPr>
          <w:p w14:paraId="5AB0735E">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val="en-US" w:eastAsia="zh-CN" w:bidi="ar"/>
              </w:rPr>
            </w:pPr>
            <w:r>
              <w:rPr>
                <w:rFonts w:hint="eastAsia" w:ascii="仿宋_GB2312" w:hAnsi="仿宋" w:eastAsia="仿宋_GB2312" w:cs="Times New Roman"/>
                <w:i w:val="0"/>
                <w:iCs w:val="0"/>
                <w:color w:val="auto"/>
                <w:kern w:val="2"/>
                <w:sz w:val="21"/>
                <w:szCs w:val="21"/>
                <w:highlight w:val="none"/>
                <w:u w:val="none"/>
                <w:lang w:val="en-US" w:eastAsia="zh-CN" w:bidi="ar"/>
              </w:rPr>
              <w:t>124（</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10" w:type="dxa"/>
            <w:tcBorders>
              <w:top w:val="single" w:color="auto" w:sz="2" w:space="0"/>
              <w:left w:val="single" w:color="auto" w:sz="2" w:space="0"/>
              <w:bottom w:val="single" w:color="auto" w:sz="2" w:space="0"/>
              <w:right w:val="single" w:color="auto" w:sz="2" w:space="0"/>
            </w:tcBorders>
            <w:shd w:val="clear" w:color="auto" w:fill="auto"/>
            <w:vAlign w:val="center"/>
          </w:tcPr>
          <w:p w14:paraId="013BAFA1">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187" w:type="dxa"/>
            <w:tcBorders>
              <w:top w:val="single" w:color="auto" w:sz="2" w:space="0"/>
              <w:left w:val="single" w:color="auto" w:sz="2" w:space="0"/>
              <w:bottom w:val="single" w:color="auto" w:sz="2" w:space="0"/>
              <w:right w:val="single" w:color="auto" w:sz="12" w:space="0"/>
            </w:tcBorders>
            <w:shd w:val="clear" w:color="auto" w:fill="auto"/>
            <w:vAlign w:val="center"/>
          </w:tcPr>
          <w:p w14:paraId="63F02ABD">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7870C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63" w:type="dxa"/>
            <w:tcBorders>
              <w:top w:val="single" w:color="auto" w:sz="2" w:space="0"/>
              <w:left w:val="single" w:color="auto" w:sz="12" w:space="0"/>
              <w:bottom w:val="single" w:color="auto" w:sz="2" w:space="0"/>
              <w:right w:val="single" w:color="auto" w:sz="2" w:space="0"/>
            </w:tcBorders>
            <w:vAlign w:val="center"/>
          </w:tcPr>
          <w:p w14:paraId="6CA5A88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2-9</w:t>
            </w:r>
          </w:p>
        </w:tc>
        <w:tc>
          <w:tcPr>
            <w:tcW w:w="1500" w:type="dxa"/>
            <w:tcBorders>
              <w:top w:val="single" w:color="auto" w:sz="2" w:space="0"/>
              <w:left w:val="single" w:color="auto" w:sz="2" w:space="0"/>
              <w:bottom w:val="single" w:color="auto" w:sz="2" w:space="0"/>
              <w:right w:val="single" w:color="auto" w:sz="2" w:space="0"/>
            </w:tcBorders>
            <w:vAlign w:val="center"/>
          </w:tcPr>
          <w:p w14:paraId="38C69E68">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32" w:type="dxa"/>
            <w:tcBorders>
              <w:top w:val="single" w:color="auto" w:sz="2" w:space="0"/>
              <w:left w:val="single" w:color="auto" w:sz="2" w:space="0"/>
              <w:bottom w:val="single" w:color="auto" w:sz="2" w:space="0"/>
              <w:right w:val="single" w:color="auto" w:sz="2" w:space="0"/>
            </w:tcBorders>
            <w:vAlign w:val="center"/>
          </w:tcPr>
          <w:p w14:paraId="3E6CBDE3">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智能中控机箱</w:t>
            </w:r>
          </w:p>
        </w:tc>
        <w:tc>
          <w:tcPr>
            <w:tcW w:w="1285" w:type="dxa"/>
            <w:tcBorders>
              <w:top w:val="single" w:color="auto" w:sz="2" w:space="0"/>
              <w:left w:val="single" w:color="auto" w:sz="2" w:space="0"/>
              <w:bottom w:val="single" w:color="auto" w:sz="2" w:space="0"/>
              <w:right w:val="single" w:color="auto" w:sz="2" w:space="0"/>
            </w:tcBorders>
            <w:vAlign w:val="center"/>
          </w:tcPr>
          <w:p w14:paraId="5702B4E9">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val="en-US" w:eastAsia="zh-CN" w:bidi="ar"/>
              </w:rPr>
            </w:pPr>
            <w:r>
              <w:rPr>
                <w:rFonts w:hint="eastAsia" w:ascii="仿宋_GB2312" w:hAnsi="仿宋" w:eastAsia="仿宋_GB2312" w:cs="Times New Roman"/>
                <w:i w:val="0"/>
                <w:iCs w:val="0"/>
                <w:color w:val="auto"/>
                <w:kern w:val="2"/>
                <w:sz w:val="21"/>
                <w:szCs w:val="21"/>
                <w:highlight w:val="none"/>
                <w:u w:val="none"/>
                <w:lang w:val="en-US" w:eastAsia="zh-CN" w:bidi="ar"/>
              </w:rPr>
              <w:t>124（</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10" w:type="dxa"/>
            <w:tcBorders>
              <w:top w:val="single" w:color="auto" w:sz="2" w:space="0"/>
              <w:left w:val="single" w:color="auto" w:sz="2" w:space="0"/>
              <w:bottom w:val="single" w:color="auto" w:sz="2" w:space="0"/>
              <w:right w:val="single" w:color="auto" w:sz="2" w:space="0"/>
            </w:tcBorders>
            <w:shd w:val="clear" w:color="auto" w:fill="auto"/>
            <w:vAlign w:val="center"/>
          </w:tcPr>
          <w:p w14:paraId="38BECCFF">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eastAsia="zh-CN"/>
              </w:rPr>
              <w:t>同上</w:t>
            </w:r>
          </w:p>
        </w:tc>
        <w:tc>
          <w:tcPr>
            <w:tcW w:w="1187" w:type="dxa"/>
            <w:tcBorders>
              <w:top w:val="single" w:color="auto" w:sz="2" w:space="0"/>
              <w:left w:val="single" w:color="auto" w:sz="2" w:space="0"/>
              <w:bottom w:val="single" w:color="auto" w:sz="2" w:space="0"/>
              <w:right w:val="single" w:color="auto" w:sz="12" w:space="0"/>
            </w:tcBorders>
            <w:shd w:val="clear" w:color="auto" w:fill="auto"/>
            <w:vAlign w:val="center"/>
          </w:tcPr>
          <w:p w14:paraId="082289F0">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否</w:t>
            </w:r>
          </w:p>
        </w:tc>
      </w:tr>
      <w:tr w14:paraId="6CCC3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63" w:type="dxa"/>
            <w:tcBorders>
              <w:top w:val="single" w:color="auto" w:sz="2" w:space="0"/>
              <w:left w:val="single" w:color="auto" w:sz="12" w:space="0"/>
              <w:bottom w:val="single" w:color="auto" w:sz="12" w:space="0"/>
              <w:right w:val="single" w:color="auto" w:sz="2" w:space="0"/>
            </w:tcBorders>
            <w:vAlign w:val="center"/>
          </w:tcPr>
          <w:p w14:paraId="3F1C58F6">
            <w:pPr>
              <w:adjustRightInd/>
              <w:snapToGrid/>
              <w:spacing w:line="240" w:lineRule="exact"/>
              <w:ind w:firstLine="0" w:firstLineChars="0"/>
              <w:jc w:val="center"/>
              <w:rPr>
                <w:rFonts w:hint="default"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2-10</w:t>
            </w:r>
          </w:p>
        </w:tc>
        <w:tc>
          <w:tcPr>
            <w:tcW w:w="1500" w:type="dxa"/>
            <w:tcBorders>
              <w:top w:val="single" w:color="auto" w:sz="2" w:space="0"/>
              <w:left w:val="single" w:color="auto" w:sz="2" w:space="0"/>
              <w:bottom w:val="single" w:color="auto" w:sz="12" w:space="0"/>
              <w:right w:val="single" w:color="auto" w:sz="2" w:space="0"/>
            </w:tcBorders>
            <w:vAlign w:val="center"/>
          </w:tcPr>
          <w:p w14:paraId="43CBF38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lang w:val="en-US" w:eastAsia="zh-CN"/>
              </w:rPr>
              <w:t>其他服务</w:t>
            </w:r>
          </w:p>
        </w:tc>
        <w:tc>
          <w:tcPr>
            <w:tcW w:w="1932" w:type="dxa"/>
            <w:tcBorders>
              <w:top w:val="single" w:color="auto" w:sz="2" w:space="0"/>
              <w:left w:val="single" w:color="auto" w:sz="2" w:space="0"/>
              <w:bottom w:val="single" w:color="auto" w:sz="12" w:space="0"/>
              <w:right w:val="single" w:color="auto" w:sz="2" w:space="0"/>
            </w:tcBorders>
            <w:vAlign w:val="center"/>
          </w:tcPr>
          <w:p w14:paraId="39524DD8">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楷体_GB2312" w:eastAsia="楷体_GB2312"/>
                <w:color w:val="auto"/>
                <w:sz w:val="21"/>
                <w:szCs w:val="21"/>
                <w:highlight w:val="none"/>
              </w:rPr>
              <w:t>交调系统数据采集所需软件及安装调试、配套服务</w:t>
            </w:r>
          </w:p>
        </w:tc>
        <w:tc>
          <w:tcPr>
            <w:tcW w:w="1285" w:type="dxa"/>
            <w:tcBorders>
              <w:top w:val="single" w:color="auto" w:sz="2" w:space="0"/>
              <w:left w:val="single" w:color="auto" w:sz="2" w:space="0"/>
              <w:bottom w:val="single" w:color="auto" w:sz="12" w:space="0"/>
              <w:right w:val="single" w:color="auto" w:sz="2" w:space="0"/>
            </w:tcBorders>
            <w:vAlign w:val="center"/>
          </w:tcPr>
          <w:p w14:paraId="25ED20DE">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lang w:val="en-US" w:eastAsia="zh-CN"/>
              </w:rPr>
              <w:t>1（项）</w:t>
            </w:r>
          </w:p>
        </w:tc>
        <w:tc>
          <w:tcPr>
            <w:tcW w:w="1910" w:type="dxa"/>
            <w:tcBorders>
              <w:top w:val="single" w:color="auto" w:sz="2" w:space="0"/>
              <w:left w:val="single" w:color="auto" w:sz="2" w:space="0"/>
              <w:bottom w:val="single" w:color="auto" w:sz="12" w:space="0"/>
              <w:right w:val="single" w:color="auto" w:sz="2" w:space="0"/>
            </w:tcBorders>
            <w:shd w:val="clear" w:color="auto" w:fill="auto"/>
            <w:vAlign w:val="center"/>
          </w:tcPr>
          <w:p w14:paraId="65C00F19">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详见</w:t>
            </w:r>
            <w:r>
              <w:rPr>
                <w:rFonts w:hint="eastAsia" w:ascii="仿宋_GB2312" w:hAnsi="仿宋" w:eastAsia="仿宋_GB2312" w:cs="Times New Roman"/>
                <w:color w:val="auto"/>
                <w:sz w:val="21"/>
                <w:szCs w:val="21"/>
                <w:highlight w:val="none"/>
                <w:lang w:eastAsia="zh-CN"/>
              </w:rPr>
              <w:t>后</w:t>
            </w:r>
            <w:r>
              <w:rPr>
                <w:rFonts w:hint="eastAsia" w:ascii="仿宋_GB2312" w:hAnsi="仿宋" w:eastAsia="仿宋_GB2312" w:cs="Times New Roman"/>
                <w:color w:val="auto"/>
                <w:sz w:val="21"/>
                <w:szCs w:val="21"/>
                <w:highlight w:val="none"/>
                <w:lang w:val="en-US" w:eastAsia="zh-CN"/>
              </w:rPr>
              <w:t>四（二）</w:t>
            </w:r>
          </w:p>
        </w:tc>
        <w:tc>
          <w:tcPr>
            <w:tcW w:w="1187" w:type="dxa"/>
            <w:tcBorders>
              <w:top w:val="single" w:color="auto" w:sz="2" w:space="0"/>
              <w:left w:val="single" w:color="auto" w:sz="2" w:space="0"/>
              <w:bottom w:val="single" w:color="auto" w:sz="12" w:space="0"/>
              <w:right w:val="single" w:color="auto" w:sz="12" w:space="0"/>
            </w:tcBorders>
            <w:shd w:val="clear" w:color="auto" w:fill="auto"/>
            <w:vAlign w:val="center"/>
          </w:tcPr>
          <w:p w14:paraId="03BC15BF">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否</w:t>
            </w:r>
          </w:p>
        </w:tc>
      </w:tr>
    </w:tbl>
    <w:p w14:paraId="7E85E266">
      <w:pPr>
        <w:spacing w:line="340" w:lineRule="exact"/>
        <w:ind w:firstLine="0" w:firstLineChars="0"/>
        <w:jc w:val="center"/>
        <w:rPr>
          <w:rFonts w:hint="eastAsia" w:ascii="楷体_GB2312" w:hAnsi="楷体_GB2312" w:eastAsia="楷体_GB2312" w:cs="楷体_GB2312"/>
          <w:b w:val="0"/>
          <w:bCs w:val="0"/>
          <w:color w:val="auto"/>
          <w:sz w:val="24"/>
          <w:szCs w:val="24"/>
          <w:highlight w:val="none"/>
        </w:rPr>
      </w:pPr>
      <w:r>
        <w:rPr>
          <w:rFonts w:hint="eastAsia" w:ascii="楷体_GB2312" w:hAnsi="楷体_GB2312" w:eastAsia="楷体_GB2312" w:cs="楷体_GB2312"/>
          <w:b/>
          <w:bCs/>
          <w:color w:val="auto"/>
          <w:sz w:val="24"/>
          <w:szCs w:val="24"/>
          <w:highlight w:val="none"/>
        </w:rPr>
        <w:t>表</w:t>
      </w:r>
      <w:r>
        <w:rPr>
          <w:rFonts w:hint="eastAsia" w:ascii="楷体_GB2312" w:hAnsi="楷体_GB2312" w:eastAsia="楷体_GB2312" w:cs="楷体_GB2312"/>
          <w:b/>
          <w:bCs/>
          <w:color w:val="auto"/>
          <w:sz w:val="24"/>
          <w:szCs w:val="24"/>
          <w:highlight w:val="none"/>
          <w:lang w:val="en-US" w:eastAsia="zh-CN"/>
        </w:rPr>
        <w:t>9</w:t>
      </w:r>
      <w:r>
        <w:rPr>
          <w:rFonts w:hint="eastAsia" w:ascii="楷体_GB2312" w:hAnsi="楷体_GB2312" w:eastAsia="楷体_GB2312" w:cs="楷体_GB2312"/>
          <w:b/>
          <w:bCs/>
          <w:color w:val="auto"/>
          <w:sz w:val="24"/>
          <w:szCs w:val="24"/>
          <w:highlight w:val="none"/>
        </w:rPr>
        <w:t xml:space="preserve">  包组</w:t>
      </w:r>
      <w:r>
        <w:rPr>
          <w:rFonts w:hint="eastAsia" w:ascii="楷体_GB2312" w:hAnsi="楷体_GB2312" w:eastAsia="楷体_GB2312" w:cs="楷体_GB2312"/>
          <w:b/>
          <w:bCs/>
          <w:color w:val="auto"/>
          <w:sz w:val="24"/>
          <w:szCs w:val="24"/>
          <w:highlight w:val="none"/>
          <w:lang w:val="en-US" w:eastAsia="zh-CN"/>
        </w:rPr>
        <w:t>3</w:t>
      </w:r>
      <w:r>
        <w:rPr>
          <w:rFonts w:hint="eastAsia" w:ascii="楷体_GB2312" w:hAnsi="楷体_GB2312" w:eastAsia="楷体_GB2312" w:cs="楷体_GB2312"/>
          <w:b/>
          <w:bCs/>
          <w:color w:val="auto"/>
          <w:sz w:val="24"/>
          <w:szCs w:val="24"/>
          <w:highlight w:val="none"/>
        </w:rPr>
        <w:t>采购设备清单</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5"/>
        <w:gridCol w:w="1500"/>
        <w:gridCol w:w="1968"/>
        <w:gridCol w:w="1297"/>
        <w:gridCol w:w="1920"/>
        <w:gridCol w:w="1177"/>
      </w:tblGrid>
      <w:tr w14:paraId="40291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 w:type="dxa"/>
            <w:tcBorders>
              <w:top w:val="single" w:color="auto" w:sz="12" w:space="0"/>
              <w:left w:val="single" w:color="auto" w:sz="12" w:space="0"/>
              <w:bottom w:val="single" w:color="auto" w:sz="2" w:space="0"/>
              <w:right w:val="single" w:color="auto" w:sz="2" w:space="0"/>
            </w:tcBorders>
            <w:vAlign w:val="center"/>
          </w:tcPr>
          <w:p w14:paraId="43C81FA1">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品目号</w:t>
            </w:r>
          </w:p>
        </w:tc>
        <w:tc>
          <w:tcPr>
            <w:tcW w:w="1500" w:type="dxa"/>
            <w:tcBorders>
              <w:top w:val="single" w:color="auto" w:sz="12" w:space="0"/>
              <w:left w:val="single" w:color="auto" w:sz="2" w:space="0"/>
              <w:bottom w:val="single" w:color="auto" w:sz="2" w:space="0"/>
              <w:right w:val="single" w:color="auto" w:sz="2" w:space="0"/>
            </w:tcBorders>
            <w:vAlign w:val="center"/>
          </w:tcPr>
          <w:p w14:paraId="284C4139">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品目名称</w:t>
            </w:r>
          </w:p>
        </w:tc>
        <w:tc>
          <w:tcPr>
            <w:tcW w:w="1968" w:type="dxa"/>
            <w:tcBorders>
              <w:top w:val="single" w:color="auto" w:sz="12" w:space="0"/>
              <w:left w:val="single" w:color="auto" w:sz="2" w:space="0"/>
              <w:bottom w:val="single" w:color="auto" w:sz="2" w:space="0"/>
              <w:right w:val="single" w:color="auto" w:sz="2" w:space="0"/>
            </w:tcBorders>
            <w:vAlign w:val="center"/>
          </w:tcPr>
          <w:p w14:paraId="585B1189">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采购标的</w:t>
            </w:r>
          </w:p>
        </w:tc>
        <w:tc>
          <w:tcPr>
            <w:tcW w:w="1297" w:type="dxa"/>
            <w:tcBorders>
              <w:top w:val="single" w:color="auto" w:sz="12" w:space="0"/>
              <w:left w:val="single" w:color="auto" w:sz="2" w:space="0"/>
              <w:bottom w:val="single" w:color="auto" w:sz="2" w:space="0"/>
              <w:right w:val="single" w:color="auto" w:sz="2" w:space="0"/>
            </w:tcBorders>
            <w:vAlign w:val="center"/>
          </w:tcPr>
          <w:p w14:paraId="1E20DAA7">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数量</w:t>
            </w:r>
          </w:p>
          <w:p w14:paraId="237FC045">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（单位）</w:t>
            </w:r>
          </w:p>
        </w:tc>
        <w:tc>
          <w:tcPr>
            <w:tcW w:w="1920" w:type="dxa"/>
            <w:tcBorders>
              <w:top w:val="single" w:color="auto" w:sz="12" w:space="0"/>
              <w:left w:val="single" w:color="auto" w:sz="2" w:space="0"/>
              <w:bottom w:val="single" w:color="auto" w:sz="2" w:space="0"/>
              <w:right w:val="single" w:color="auto" w:sz="2" w:space="0"/>
            </w:tcBorders>
            <w:vAlign w:val="center"/>
          </w:tcPr>
          <w:p w14:paraId="64C08849">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技术规格、参数及要求</w:t>
            </w:r>
          </w:p>
        </w:tc>
        <w:tc>
          <w:tcPr>
            <w:tcW w:w="1177" w:type="dxa"/>
            <w:tcBorders>
              <w:top w:val="single" w:color="auto" w:sz="12" w:space="0"/>
              <w:left w:val="single" w:color="auto" w:sz="2" w:space="0"/>
              <w:bottom w:val="single" w:color="auto" w:sz="2" w:space="0"/>
              <w:right w:val="single" w:color="auto" w:sz="12" w:space="0"/>
            </w:tcBorders>
            <w:vAlign w:val="center"/>
          </w:tcPr>
          <w:p w14:paraId="2A829E81">
            <w:pPr>
              <w:adjustRightInd/>
              <w:snapToGrid/>
              <w:spacing w:line="240" w:lineRule="exact"/>
              <w:ind w:firstLine="0" w:firstLineChars="0"/>
              <w:jc w:val="center"/>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是否允许进口产品</w:t>
            </w:r>
          </w:p>
        </w:tc>
      </w:tr>
      <w:tr w14:paraId="78C5B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8" w:hRule="atLeast"/>
        </w:trPr>
        <w:tc>
          <w:tcPr>
            <w:tcW w:w="915" w:type="dxa"/>
            <w:tcBorders>
              <w:top w:val="single" w:color="auto" w:sz="2" w:space="0"/>
              <w:left w:val="single" w:color="auto" w:sz="12" w:space="0"/>
              <w:bottom w:val="single" w:color="auto" w:sz="2" w:space="0"/>
              <w:right w:val="single" w:color="auto" w:sz="2" w:space="0"/>
            </w:tcBorders>
            <w:vAlign w:val="center"/>
          </w:tcPr>
          <w:p w14:paraId="2A826120">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-1</w:t>
            </w:r>
          </w:p>
        </w:tc>
        <w:tc>
          <w:tcPr>
            <w:tcW w:w="1500" w:type="dxa"/>
            <w:tcBorders>
              <w:top w:val="single" w:color="auto" w:sz="2" w:space="0"/>
              <w:left w:val="single" w:color="auto" w:sz="2" w:space="0"/>
              <w:bottom w:val="single" w:color="auto" w:sz="2" w:space="0"/>
              <w:right w:val="single" w:color="auto" w:sz="2" w:space="0"/>
            </w:tcBorders>
            <w:vAlign w:val="center"/>
          </w:tcPr>
          <w:p w14:paraId="4D9B1E0B">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68" w:type="dxa"/>
            <w:tcBorders>
              <w:top w:val="single" w:color="auto" w:sz="2" w:space="0"/>
              <w:left w:val="single" w:color="auto" w:sz="2" w:space="0"/>
              <w:bottom w:val="single" w:color="auto" w:sz="2" w:space="0"/>
              <w:right w:val="single" w:color="auto" w:sz="2" w:space="0"/>
            </w:tcBorders>
            <w:vAlign w:val="center"/>
          </w:tcPr>
          <w:p w14:paraId="15355B92">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公路交通情况调查设备（核心设备）</w:t>
            </w:r>
          </w:p>
        </w:tc>
        <w:tc>
          <w:tcPr>
            <w:tcW w:w="1297" w:type="dxa"/>
            <w:tcBorders>
              <w:top w:val="single" w:color="auto" w:sz="2" w:space="0"/>
              <w:left w:val="single" w:color="auto" w:sz="2" w:space="0"/>
              <w:bottom w:val="single" w:color="auto" w:sz="2" w:space="0"/>
              <w:right w:val="single" w:color="auto" w:sz="2" w:space="0"/>
            </w:tcBorders>
            <w:vAlign w:val="center"/>
          </w:tcPr>
          <w:p w14:paraId="6648A3D0">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bidi="ar"/>
              </w:rPr>
            </w:pPr>
            <w:r>
              <w:rPr>
                <w:rFonts w:hint="eastAsia" w:ascii="仿宋_GB2312" w:hAnsi="仿宋" w:eastAsia="仿宋_GB2312" w:cs="Times New Roman"/>
                <w:i w:val="0"/>
                <w:iCs w:val="0"/>
                <w:color w:val="auto"/>
                <w:kern w:val="2"/>
                <w:sz w:val="21"/>
                <w:szCs w:val="21"/>
                <w:highlight w:val="none"/>
                <w:u w:val="none"/>
                <w:lang w:val="en-US" w:eastAsia="zh-CN" w:bidi="ar"/>
              </w:rPr>
              <w:t>128（</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20" w:type="dxa"/>
            <w:tcBorders>
              <w:top w:val="single" w:color="auto" w:sz="2" w:space="0"/>
              <w:left w:val="single" w:color="auto" w:sz="2" w:space="0"/>
              <w:bottom w:val="single" w:color="auto" w:sz="2" w:space="0"/>
              <w:right w:val="single" w:color="auto" w:sz="2" w:space="0"/>
            </w:tcBorders>
            <w:vAlign w:val="center"/>
          </w:tcPr>
          <w:p w14:paraId="3977CD9E">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eastAsia="zh-CN"/>
              </w:rPr>
              <w:t>详见后</w:t>
            </w:r>
            <w:r>
              <w:rPr>
                <w:rFonts w:hint="eastAsia" w:ascii="仿宋_GB2312" w:hAnsi="仿宋" w:eastAsia="仿宋_GB2312" w:cs="Times New Roman"/>
                <w:color w:val="auto"/>
                <w:sz w:val="21"/>
                <w:szCs w:val="21"/>
                <w:highlight w:val="none"/>
                <w:lang w:val="en-US" w:eastAsia="zh-CN"/>
              </w:rPr>
              <w:t>四（一）</w:t>
            </w:r>
          </w:p>
          <w:p w14:paraId="790F1EB3">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eastAsia="zh-CN"/>
              </w:rPr>
              <w:t>交调系统数据采集所需设备及要求</w:t>
            </w:r>
          </w:p>
        </w:tc>
        <w:tc>
          <w:tcPr>
            <w:tcW w:w="1177" w:type="dxa"/>
            <w:tcBorders>
              <w:top w:val="single" w:color="auto" w:sz="2" w:space="0"/>
              <w:left w:val="single" w:color="auto" w:sz="2" w:space="0"/>
              <w:bottom w:val="single" w:color="auto" w:sz="2" w:space="0"/>
              <w:right w:val="single" w:color="auto" w:sz="12" w:space="0"/>
            </w:tcBorders>
            <w:vAlign w:val="center"/>
          </w:tcPr>
          <w:p w14:paraId="2695B320">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否</w:t>
            </w:r>
          </w:p>
        </w:tc>
      </w:tr>
      <w:tr w14:paraId="39FB8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15" w:type="dxa"/>
            <w:tcBorders>
              <w:top w:val="single" w:color="auto" w:sz="2" w:space="0"/>
              <w:left w:val="single" w:color="auto" w:sz="12" w:space="0"/>
              <w:bottom w:val="single" w:color="auto" w:sz="2" w:space="0"/>
              <w:right w:val="single" w:color="auto" w:sz="2" w:space="0"/>
            </w:tcBorders>
            <w:vAlign w:val="center"/>
          </w:tcPr>
          <w:p w14:paraId="386E7880">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2</w:t>
            </w:r>
          </w:p>
        </w:tc>
        <w:tc>
          <w:tcPr>
            <w:tcW w:w="1500" w:type="dxa"/>
            <w:tcBorders>
              <w:top w:val="single" w:color="auto" w:sz="2" w:space="0"/>
              <w:left w:val="single" w:color="auto" w:sz="2" w:space="0"/>
              <w:bottom w:val="single" w:color="auto" w:sz="2" w:space="0"/>
              <w:right w:val="single" w:color="auto" w:sz="2" w:space="0"/>
            </w:tcBorders>
            <w:vAlign w:val="center"/>
          </w:tcPr>
          <w:p w14:paraId="1EA5FB78">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68" w:type="dxa"/>
            <w:tcBorders>
              <w:top w:val="single" w:color="auto" w:sz="2" w:space="0"/>
              <w:left w:val="single" w:color="auto" w:sz="2" w:space="0"/>
              <w:bottom w:val="single" w:color="auto" w:sz="2" w:space="0"/>
              <w:right w:val="single" w:color="auto" w:sz="2" w:space="0"/>
            </w:tcBorders>
            <w:vAlign w:val="center"/>
          </w:tcPr>
          <w:p w14:paraId="3163108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终端管理设施</w:t>
            </w:r>
          </w:p>
        </w:tc>
        <w:tc>
          <w:tcPr>
            <w:tcW w:w="1297" w:type="dxa"/>
            <w:tcBorders>
              <w:top w:val="single" w:color="auto" w:sz="2" w:space="0"/>
              <w:left w:val="single" w:color="auto" w:sz="2" w:space="0"/>
              <w:bottom w:val="single" w:color="auto" w:sz="2" w:space="0"/>
              <w:right w:val="single" w:color="auto" w:sz="2" w:space="0"/>
            </w:tcBorders>
            <w:vAlign w:val="center"/>
          </w:tcPr>
          <w:p w14:paraId="6710C834">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val="en-US" w:eastAsia="zh-CN" w:bidi="ar"/>
              </w:rPr>
            </w:pPr>
            <w:r>
              <w:rPr>
                <w:rFonts w:hint="eastAsia" w:ascii="仿宋_GB2312" w:hAnsi="仿宋" w:eastAsia="仿宋_GB2312" w:cs="Times New Roman"/>
                <w:i w:val="0"/>
                <w:iCs w:val="0"/>
                <w:color w:val="auto"/>
                <w:kern w:val="2"/>
                <w:sz w:val="21"/>
                <w:szCs w:val="21"/>
                <w:highlight w:val="none"/>
                <w:u w:val="none"/>
                <w:lang w:val="en-US" w:eastAsia="zh-CN" w:bidi="ar"/>
              </w:rPr>
              <w:t>128（</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20" w:type="dxa"/>
            <w:tcBorders>
              <w:top w:val="single" w:color="auto" w:sz="2" w:space="0"/>
              <w:left w:val="single" w:color="auto" w:sz="2" w:space="0"/>
              <w:bottom w:val="single" w:color="auto" w:sz="2" w:space="0"/>
              <w:right w:val="single" w:color="auto" w:sz="2" w:space="0"/>
            </w:tcBorders>
            <w:shd w:val="clear" w:color="auto" w:fill="auto"/>
            <w:vAlign w:val="center"/>
          </w:tcPr>
          <w:p w14:paraId="3FD91F6F">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177" w:type="dxa"/>
            <w:tcBorders>
              <w:top w:val="single" w:color="auto" w:sz="2" w:space="0"/>
              <w:left w:val="single" w:color="auto" w:sz="2" w:space="0"/>
              <w:bottom w:val="single" w:color="auto" w:sz="2" w:space="0"/>
              <w:right w:val="single" w:color="auto" w:sz="12" w:space="0"/>
            </w:tcBorders>
            <w:shd w:val="clear" w:color="auto" w:fill="auto"/>
            <w:vAlign w:val="center"/>
          </w:tcPr>
          <w:p w14:paraId="483C36EA">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6860E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15" w:type="dxa"/>
            <w:tcBorders>
              <w:top w:val="single" w:color="auto" w:sz="2" w:space="0"/>
              <w:left w:val="single" w:color="auto" w:sz="12" w:space="0"/>
              <w:bottom w:val="single" w:color="auto" w:sz="2" w:space="0"/>
              <w:right w:val="single" w:color="auto" w:sz="2" w:space="0"/>
            </w:tcBorders>
            <w:vAlign w:val="center"/>
          </w:tcPr>
          <w:p w14:paraId="02F5255F">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3</w:t>
            </w:r>
          </w:p>
        </w:tc>
        <w:tc>
          <w:tcPr>
            <w:tcW w:w="1500" w:type="dxa"/>
            <w:tcBorders>
              <w:top w:val="single" w:color="auto" w:sz="2" w:space="0"/>
              <w:left w:val="single" w:color="auto" w:sz="2" w:space="0"/>
              <w:bottom w:val="single" w:color="auto" w:sz="2" w:space="0"/>
              <w:right w:val="single" w:color="auto" w:sz="2" w:space="0"/>
            </w:tcBorders>
            <w:vAlign w:val="center"/>
          </w:tcPr>
          <w:p w14:paraId="1429082E">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68" w:type="dxa"/>
            <w:tcBorders>
              <w:top w:val="single" w:color="auto" w:sz="2" w:space="0"/>
              <w:left w:val="single" w:color="auto" w:sz="2" w:space="0"/>
              <w:bottom w:val="single" w:color="auto" w:sz="2" w:space="0"/>
              <w:right w:val="single" w:color="auto" w:sz="2" w:space="0"/>
            </w:tcBorders>
            <w:vAlign w:val="center"/>
          </w:tcPr>
          <w:p w14:paraId="568216A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数据模块（工业级）</w:t>
            </w:r>
          </w:p>
        </w:tc>
        <w:tc>
          <w:tcPr>
            <w:tcW w:w="1297" w:type="dxa"/>
            <w:tcBorders>
              <w:top w:val="single" w:color="auto" w:sz="2" w:space="0"/>
              <w:left w:val="single" w:color="auto" w:sz="2" w:space="0"/>
              <w:bottom w:val="single" w:color="auto" w:sz="2" w:space="0"/>
              <w:right w:val="single" w:color="auto" w:sz="2" w:space="0"/>
            </w:tcBorders>
            <w:vAlign w:val="center"/>
          </w:tcPr>
          <w:p w14:paraId="4E6A8D80">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val="en-US" w:eastAsia="zh-CN" w:bidi="ar"/>
              </w:rPr>
            </w:pPr>
            <w:r>
              <w:rPr>
                <w:rFonts w:hint="eastAsia" w:ascii="仿宋_GB2312" w:hAnsi="仿宋" w:eastAsia="仿宋_GB2312" w:cs="Times New Roman"/>
                <w:i w:val="0"/>
                <w:iCs w:val="0"/>
                <w:color w:val="auto"/>
                <w:kern w:val="2"/>
                <w:sz w:val="21"/>
                <w:szCs w:val="21"/>
                <w:highlight w:val="none"/>
                <w:u w:val="none"/>
                <w:lang w:val="en-US" w:eastAsia="zh-CN" w:bidi="ar"/>
              </w:rPr>
              <w:t>124（</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20" w:type="dxa"/>
            <w:tcBorders>
              <w:top w:val="single" w:color="auto" w:sz="2" w:space="0"/>
              <w:left w:val="single" w:color="auto" w:sz="2" w:space="0"/>
              <w:bottom w:val="single" w:color="auto" w:sz="2" w:space="0"/>
              <w:right w:val="single" w:color="auto" w:sz="2" w:space="0"/>
            </w:tcBorders>
            <w:shd w:val="clear" w:color="auto" w:fill="auto"/>
            <w:vAlign w:val="center"/>
          </w:tcPr>
          <w:p w14:paraId="5A7F9C22">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177" w:type="dxa"/>
            <w:tcBorders>
              <w:top w:val="single" w:color="auto" w:sz="2" w:space="0"/>
              <w:left w:val="single" w:color="auto" w:sz="2" w:space="0"/>
              <w:bottom w:val="single" w:color="auto" w:sz="2" w:space="0"/>
              <w:right w:val="single" w:color="auto" w:sz="12" w:space="0"/>
            </w:tcBorders>
            <w:shd w:val="clear" w:color="auto" w:fill="auto"/>
            <w:vAlign w:val="center"/>
          </w:tcPr>
          <w:p w14:paraId="4DC4EB6C">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6AC52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15" w:type="dxa"/>
            <w:tcBorders>
              <w:top w:val="single" w:color="auto" w:sz="2" w:space="0"/>
              <w:left w:val="single" w:color="auto" w:sz="12" w:space="0"/>
              <w:bottom w:val="single" w:color="auto" w:sz="2" w:space="0"/>
              <w:right w:val="single" w:color="auto" w:sz="2" w:space="0"/>
            </w:tcBorders>
            <w:vAlign w:val="center"/>
          </w:tcPr>
          <w:p w14:paraId="6C3B0AF8">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4</w:t>
            </w:r>
          </w:p>
        </w:tc>
        <w:tc>
          <w:tcPr>
            <w:tcW w:w="1500" w:type="dxa"/>
            <w:tcBorders>
              <w:top w:val="single" w:color="auto" w:sz="2" w:space="0"/>
              <w:left w:val="single" w:color="auto" w:sz="2" w:space="0"/>
              <w:bottom w:val="single" w:color="auto" w:sz="2" w:space="0"/>
              <w:right w:val="single" w:color="auto" w:sz="2" w:space="0"/>
            </w:tcBorders>
            <w:vAlign w:val="center"/>
          </w:tcPr>
          <w:p w14:paraId="0534894F">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68" w:type="dxa"/>
            <w:tcBorders>
              <w:top w:val="single" w:color="auto" w:sz="2" w:space="0"/>
              <w:left w:val="single" w:color="auto" w:sz="2" w:space="0"/>
              <w:bottom w:val="single" w:color="auto" w:sz="2" w:space="0"/>
              <w:right w:val="single" w:color="auto" w:sz="2" w:space="0"/>
            </w:tcBorders>
            <w:vAlign w:val="center"/>
          </w:tcPr>
          <w:p w14:paraId="735CDC2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气象传感器</w:t>
            </w:r>
          </w:p>
        </w:tc>
        <w:tc>
          <w:tcPr>
            <w:tcW w:w="1297" w:type="dxa"/>
            <w:tcBorders>
              <w:top w:val="single" w:color="auto" w:sz="2" w:space="0"/>
              <w:left w:val="single" w:color="auto" w:sz="2" w:space="0"/>
              <w:bottom w:val="single" w:color="auto" w:sz="2" w:space="0"/>
              <w:right w:val="single" w:color="auto" w:sz="2" w:space="0"/>
            </w:tcBorders>
            <w:vAlign w:val="center"/>
          </w:tcPr>
          <w:p w14:paraId="63A59759">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val="en-US" w:eastAsia="zh-CN" w:bidi="ar"/>
              </w:rPr>
            </w:pPr>
            <w:r>
              <w:rPr>
                <w:rFonts w:hint="eastAsia" w:ascii="仿宋_GB2312" w:hAnsi="仿宋" w:eastAsia="仿宋_GB2312" w:cs="Times New Roman"/>
                <w:i w:val="0"/>
                <w:iCs w:val="0"/>
                <w:color w:val="auto"/>
                <w:kern w:val="2"/>
                <w:sz w:val="21"/>
                <w:szCs w:val="21"/>
                <w:highlight w:val="none"/>
                <w:u w:val="none"/>
                <w:lang w:val="en-US" w:eastAsia="zh-CN" w:bidi="ar"/>
              </w:rPr>
              <w:t>124（</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20" w:type="dxa"/>
            <w:tcBorders>
              <w:top w:val="single" w:color="auto" w:sz="2" w:space="0"/>
              <w:left w:val="single" w:color="auto" w:sz="2" w:space="0"/>
              <w:bottom w:val="single" w:color="auto" w:sz="2" w:space="0"/>
              <w:right w:val="single" w:color="auto" w:sz="2" w:space="0"/>
            </w:tcBorders>
            <w:shd w:val="clear" w:color="auto" w:fill="auto"/>
            <w:vAlign w:val="center"/>
          </w:tcPr>
          <w:p w14:paraId="1FF42C81">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177" w:type="dxa"/>
            <w:tcBorders>
              <w:top w:val="single" w:color="auto" w:sz="2" w:space="0"/>
              <w:left w:val="single" w:color="auto" w:sz="2" w:space="0"/>
              <w:bottom w:val="single" w:color="auto" w:sz="2" w:space="0"/>
              <w:right w:val="single" w:color="auto" w:sz="12" w:space="0"/>
            </w:tcBorders>
            <w:shd w:val="clear" w:color="auto" w:fill="auto"/>
            <w:vAlign w:val="center"/>
          </w:tcPr>
          <w:p w14:paraId="3ADF365C">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0056E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15" w:type="dxa"/>
            <w:tcBorders>
              <w:top w:val="single" w:color="auto" w:sz="2" w:space="0"/>
              <w:left w:val="single" w:color="auto" w:sz="12" w:space="0"/>
              <w:bottom w:val="single" w:color="auto" w:sz="2" w:space="0"/>
              <w:right w:val="single" w:color="auto" w:sz="2" w:space="0"/>
            </w:tcBorders>
            <w:vAlign w:val="center"/>
          </w:tcPr>
          <w:p w14:paraId="457FB21B">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5</w:t>
            </w:r>
          </w:p>
        </w:tc>
        <w:tc>
          <w:tcPr>
            <w:tcW w:w="1500" w:type="dxa"/>
            <w:tcBorders>
              <w:top w:val="single" w:color="auto" w:sz="2" w:space="0"/>
              <w:left w:val="single" w:color="auto" w:sz="2" w:space="0"/>
              <w:bottom w:val="single" w:color="auto" w:sz="2" w:space="0"/>
              <w:right w:val="single" w:color="auto" w:sz="2" w:space="0"/>
            </w:tcBorders>
            <w:vAlign w:val="center"/>
          </w:tcPr>
          <w:p w14:paraId="2F51E670">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68" w:type="dxa"/>
            <w:tcBorders>
              <w:top w:val="single" w:color="auto" w:sz="2" w:space="0"/>
              <w:left w:val="single" w:color="auto" w:sz="2" w:space="0"/>
              <w:bottom w:val="single" w:color="auto" w:sz="2" w:space="0"/>
              <w:right w:val="single" w:color="auto" w:sz="2" w:space="0"/>
            </w:tcBorders>
            <w:vAlign w:val="center"/>
          </w:tcPr>
          <w:p w14:paraId="50AF1237">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卡口抓拍摄像机</w:t>
            </w:r>
          </w:p>
        </w:tc>
        <w:tc>
          <w:tcPr>
            <w:tcW w:w="1297" w:type="dxa"/>
            <w:tcBorders>
              <w:top w:val="single" w:color="auto" w:sz="2" w:space="0"/>
              <w:left w:val="single" w:color="auto" w:sz="2" w:space="0"/>
              <w:bottom w:val="single" w:color="auto" w:sz="2" w:space="0"/>
              <w:right w:val="single" w:color="auto" w:sz="2" w:space="0"/>
            </w:tcBorders>
            <w:vAlign w:val="center"/>
          </w:tcPr>
          <w:p w14:paraId="2742B337">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val="en-US" w:eastAsia="zh-CN" w:bidi="ar"/>
              </w:rPr>
            </w:pPr>
            <w:r>
              <w:rPr>
                <w:rFonts w:hint="eastAsia" w:ascii="仿宋_GB2312" w:hAnsi="仿宋" w:eastAsia="仿宋_GB2312" w:cs="Times New Roman"/>
                <w:i w:val="0"/>
                <w:iCs w:val="0"/>
                <w:color w:val="auto"/>
                <w:kern w:val="2"/>
                <w:sz w:val="21"/>
                <w:szCs w:val="21"/>
                <w:highlight w:val="none"/>
                <w:u w:val="none"/>
                <w:lang w:val="en-US" w:eastAsia="zh-CN" w:bidi="ar"/>
              </w:rPr>
              <w:t>272（</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20" w:type="dxa"/>
            <w:tcBorders>
              <w:top w:val="single" w:color="auto" w:sz="2" w:space="0"/>
              <w:left w:val="single" w:color="auto" w:sz="2" w:space="0"/>
              <w:bottom w:val="single" w:color="auto" w:sz="2" w:space="0"/>
              <w:right w:val="single" w:color="auto" w:sz="2" w:space="0"/>
            </w:tcBorders>
            <w:shd w:val="clear" w:color="auto" w:fill="auto"/>
            <w:vAlign w:val="center"/>
          </w:tcPr>
          <w:p w14:paraId="20865ECC">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177" w:type="dxa"/>
            <w:tcBorders>
              <w:top w:val="single" w:color="auto" w:sz="2" w:space="0"/>
              <w:left w:val="single" w:color="auto" w:sz="2" w:space="0"/>
              <w:bottom w:val="single" w:color="auto" w:sz="2" w:space="0"/>
              <w:right w:val="single" w:color="auto" w:sz="12" w:space="0"/>
            </w:tcBorders>
            <w:shd w:val="clear" w:color="auto" w:fill="auto"/>
            <w:vAlign w:val="center"/>
          </w:tcPr>
          <w:p w14:paraId="536A999C">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4F11C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15" w:type="dxa"/>
            <w:tcBorders>
              <w:top w:val="single" w:color="auto" w:sz="2" w:space="0"/>
              <w:left w:val="single" w:color="auto" w:sz="12" w:space="0"/>
              <w:bottom w:val="single" w:color="auto" w:sz="2" w:space="0"/>
              <w:right w:val="single" w:color="auto" w:sz="2" w:space="0"/>
            </w:tcBorders>
            <w:vAlign w:val="center"/>
          </w:tcPr>
          <w:p w14:paraId="25F515DD">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6</w:t>
            </w:r>
          </w:p>
        </w:tc>
        <w:tc>
          <w:tcPr>
            <w:tcW w:w="1500" w:type="dxa"/>
            <w:tcBorders>
              <w:top w:val="single" w:color="auto" w:sz="2" w:space="0"/>
              <w:left w:val="single" w:color="auto" w:sz="2" w:space="0"/>
              <w:bottom w:val="single" w:color="auto" w:sz="2" w:space="0"/>
              <w:right w:val="single" w:color="auto" w:sz="2" w:space="0"/>
            </w:tcBorders>
            <w:vAlign w:val="center"/>
          </w:tcPr>
          <w:p w14:paraId="4B56625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68" w:type="dxa"/>
            <w:tcBorders>
              <w:top w:val="single" w:color="auto" w:sz="2" w:space="0"/>
              <w:left w:val="single" w:color="auto" w:sz="2" w:space="0"/>
              <w:bottom w:val="single" w:color="auto" w:sz="2" w:space="0"/>
              <w:right w:val="single" w:color="auto" w:sz="2" w:space="0"/>
            </w:tcBorders>
            <w:vAlign w:val="center"/>
          </w:tcPr>
          <w:p w14:paraId="4A10F5FB">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一体化补光灯</w:t>
            </w:r>
          </w:p>
        </w:tc>
        <w:tc>
          <w:tcPr>
            <w:tcW w:w="1297" w:type="dxa"/>
            <w:tcBorders>
              <w:top w:val="single" w:color="auto" w:sz="2" w:space="0"/>
              <w:left w:val="single" w:color="auto" w:sz="2" w:space="0"/>
              <w:bottom w:val="single" w:color="auto" w:sz="2" w:space="0"/>
              <w:right w:val="single" w:color="auto" w:sz="2" w:space="0"/>
            </w:tcBorders>
            <w:vAlign w:val="center"/>
          </w:tcPr>
          <w:p w14:paraId="62BD8BA9">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val="en-US" w:eastAsia="zh-CN" w:bidi="ar"/>
              </w:rPr>
            </w:pPr>
            <w:r>
              <w:rPr>
                <w:rFonts w:hint="eastAsia" w:ascii="仿宋_GB2312" w:hAnsi="仿宋" w:eastAsia="仿宋_GB2312" w:cs="Times New Roman"/>
                <w:i w:val="0"/>
                <w:iCs w:val="0"/>
                <w:color w:val="auto"/>
                <w:kern w:val="2"/>
                <w:sz w:val="21"/>
                <w:szCs w:val="21"/>
                <w:highlight w:val="none"/>
                <w:u w:val="none"/>
                <w:lang w:val="en-US" w:eastAsia="zh-CN" w:bidi="ar"/>
              </w:rPr>
              <w:t>550（</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20" w:type="dxa"/>
            <w:tcBorders>
              <w:top w:val="single" w:color="auto" w:sz="2" w:space="0"/>
              <w:left w:val="single" w:color="auto" w:sz="2" w:space="0"/>
              <w:bottom w:val="single" w:color="auto" w:sz="2" w:space="0"/>
              <w:right w:val="single" w:color="auto" w:sz="2" w:space="0"/>
            </w:tcBorders>
            <w:shd w:val="clear" w:color="auto" w:fill="auto"/>
            <w:vAlign w:val="center"/>
          </w:tcPr>
          <w:p w14:paraId="1F30D743">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177" w:type="dxa"/>
            <w:tcBorders>
              <w:top w:val="single" w:color="auto" w:sz="2" w:space="0"/>
              <w:left w:val="single" w:color="auto" w:sz="2" w:space="0"/>
              <w:bottom w:val="single" w:color="auto" w:sz="2" w:space="0"/>
              <w:right w:val="single" w:color="auto" w:sz="12" w:space="0"/>
            </w:tcBorders>
            <w:shd w:val="clear" w:color="auto" w:fill="auto"/>
            <w:vAlign w:val="center"/>
          </w:tcPr>
          <w:p w14:paraId="389A5F50">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2C56B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15" w:type="dxa"/>
            <w:tcBorders>
              <w:top w:val="single" w:color="auto" w:sz="2" w:space="0"/>
              <w:left w:val="single" w:color="auto" w:sz="12" w:space="0"/>
              <w:bottom w:val="single" w:color="auto" w:sz="2" w:space="0"/>
              <w:right w:val="single" w:color="auto" w:sz="2" w:space="0"/>
            </w:tcBorders>
            <w:vAlign w:val="center"/>
          </w:tcPr>
          <w:p w14:paraId="4DE82FE8">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7</w:t>
            </w:r>
          </w:p>
        </w:tc>
        <w:tc>
          <w:tcPr>
            <w:tcW w:w="1500" w:type="dxa"/>
            <w:tcBorders>
              <w:top w:val="single" w:color="auto" w:sz="2" w:space="0"/>
              <w:left w:val="single" w:color="auto" w:sz="2" w:space="0"/>
              <w:bottom w:val="single" w:color="auto" w:sz="2" w:space="0"/>
              <w:right w:val="single" w:color="auto" w:sz="2" w:space="0"/>
            </w:tcBorders>
            <w:vAlign w:val="center"/>
          </w:tcPr>
          <w:p w14:paraId="1094672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68" w:type="dxa"/>
            <w:tcBorders>
              <w:top w:val="single" w:color="auto" w:sz="2" w:space="0"/>
              <w:left w:val="single" w:color="auto" w:sz="2" w:space="0"/>
              <w:bottom w:val="single" w:color="auto" w:sz="2" w:space="0"/>
              <w:right w:val="single" w:color="auto" w:sz="2" w:space="0"/>
            </w:tcBorders>
            <w:vAlign w:val="center"/>
          </w:tcPr>
          <w:p w14:paraId="7FFF28F5">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监控球型摄像机</w:t>
            </w:r>
          </w:p>
        </w:tc>
        <w:tc>
          <w:tcPr>
            <w:tcW w:w="1297" w:type="dxa"/>
            <w:tcBorders>
              <w:top w:val="single" w:color="auto" w:sz="2" w:space="0"/>
              <w:left w:val="single" w:color="auto" w:sz="2" w:space="0"/>
              <w:bottom w:val="single" w:color="auto" w:sz="2" w:space="0"/>
              <w:right w:val="single" w:color="auto" w:sz="2" w:space="0"/>
            </w:tcBorders>
            <w:vAlign w:val="center"/>
          </w:tcPr>
          <w:p w14:paraId="4F848DB4">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val="en-US" w:eastAsia="zh-CN" w:bidi="ar"/>
              </w:rPr>
            </w:pPr>
            <w:r>
              <w:rPr>
                <w:rFonts w:hint="eastAsia" w:ascii="仿宋_GB2312" w:hAnsi="仿宋" w:eastAsia="仿宋_GB2312" w:cs="Times New Roman"/>
                <w:i w:val="0"/>
                <w:iCs w:val="0"/>
                <w:color w:val="auto"/>
                <w:kern w:val="2"/>
                <w:sz w:val="21"/>
                <w:szCs w:val="21"/>
                <w:highlight w:val="none"/>
                <w:u w:val="none"/>
                <w:lang w:val="en-US" w:eastAsia="zh-CN" w:bidi="ar"/>
              </w:rPr>
              <w:t>136（</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20" w:type="dxa"/>
            <w:tcBorders>
              <w:top w:val="single" w:color="auto" w:sz="2" w:space="0"/>
              <w:left w:val="single" w:color="auto" w:sz="2" w:space="0"/>
              <w:bottom w:val="single" w:color="auto" w:sz="2" w:space="0"/>
              <w:right w:val="single" w:color="auto" w:sz="2" w:space="0"/>
            </w:tcBorders>
            <w:shd w:val="clear" w:color="auto" w:fill="auto"/>
            <w:vAlign w:val="center"/>
          </w:tcPr>
          <w:p w14:paraId="664EDB45">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177" w:type="dxa"/>
            <w:tcBorders>
              <w:top w:val="single" w:color="auto" w:sz="2" w:space="0"/>
              <w:left w:val="single" w:color="auto" w:sz="2" w:space="0"/>
              <w:bottom w:val="single" w:color="auto" w:sz="2" w:space="0"/>
              <w:right w:val="single" w:color="auto" w:sz="12" w:space="0"/>
            </w:tcBorders>
            <w:shd w:val="clear" w:color="auto" w:fill="auto"/>
            <w:vAlign w:val="center"/>
          </w:tcPr>
          <w:p w14:paraId="492C9ADE">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09BD2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15" w:type="dxa"/>
            <w:tcBorders>
              <w:top w:val="single" w:color="auto" w:sz="2" w:space="0"/>
              <w:left w:val="single" w:color="auto" w:sz="12" w:space="0"/>
              <w:bottom w:val="single" w:color="auto" w:sz="2" w:space="0"/>
              <w:right w:val="single" w:color="auto" w:sz="2" w:space="0"/>
            </w:tcBorders>
            <w:vAlign w:val="center"/>
          </w:tcPr>
          <w:p w14:paraId="3BA1576F">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8</w:t>
            </w:r>
          </w:p>
        </w:tc>
        <w:tc>
          <w:tcPr>
            <w:tcW w:w="1500" w:type="dxa"/>
            <w:tcBorders>
              <w:top w:val="single" w:color="auto" w:sz="2" w:space="0"/>
              <w:left w:val="single" w:color="auto" w:sz="2" w:space="0"/>
              <w:bottom w:val="single" w:color="auto" w:sz="2" w:space="0"/>
              <w:right w:val="single" w:color="auto" w:sz="2" w:space="0"/>
            </w:tcBorders>
            <w:vAlign w:val="center"/>
          </w:tcPr>
          <w:p w14:paraId="124A317E">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68" w:type="dxa"/>
            <w:tcBorders>
              <w:top w:val="single" w:color="auto" w:sz="2" w:space="0"/>
              <w:left w:val="single" w:color="auto" w:sz="2" w:space="0"/>
              <w:bottom w:val="single" w:color="auto" w:sz="2" w:space="0"/>
              <w:right w:val="single" w:color="auto" w:sz="2" w:space="0"/>
            </w:tcBorders>
            <w:vAlign w:val="center"/>
          </w:tcPr>
          <w:p w14:paraId="4148A4C3">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后备电源</w:t>
            </w:r>
          </w:p>
        </w:tc>
        <w:tc>
          <w:tcPr>
            <w:tcW w:w="1297" w:type="dxa"/>
            <w:tcBorders>
              <w:top w:val="single" w:color="auto" w:sz="2" w:space="0"/>
              <w:left w:val="single" w:color="auto" w:sz="2" w:space="0"/>
              <w:bottom w:val="single" w:color="auto" w:sz="2" w:space="0"/>
              <w:right w:val="single" w:color="auto" w:sz="2" w:space="0"/>
            </w:tcBorders>
            <w:vAlign w:val="center"/>
          </w:tcPr>
          <w:p w14:paraId="7ECDE557">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val="en-US" w:eastAsia="zh-CN" w:bidi="ar"/>
              </w:rPr>
            </w:pPr>
            <w:r>
              <w:rPr>
                <w:rFonts w:hint="eastAsia" w:ascii="仿宋_GB2312" w:hAnsi="仿宋" w:eastAsia="仿宋_GB2312" w:cs="Times New Roman"/>
                <w:i w:val="0"/>
                <w:iCs w:val="0"/>
                <w:color w:val="auto"/>
                <w:kern w:val="2"/>
                <w:sz w:val="21"/>
                <w:szCs w:val="21"/>
                <w:highlight w:val="none"/>
                <w:u w:val="none"/>
                <w:lang w:val="en-US" w:eastAsia="zh-CN" w:bidi="ar"/>
              </w:rPr>
              <w:t>128（</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20" w:type="dxa"/>
            <w:tcBorders>
              <w:top w:val="single" w:color="auto" w:sz="2" w:space="0"/>
              <w:left w:val="single" w:color="auto" w:sz="2" w:space="0"/>
              <w:bottom w:val="single" w:color="auto" w:sz="2" w:space="0"/>
              <w:right w:val="single" w:color="auto" w:sz="2" w:space="0"/>
            </w:tcBorders>
            <w:shd w:val="clear" w:color="auto" w:fill="auto"/>
            <w:vAlign w:val="center"/>
          </w:tcPr>
          <w:p w14:paraId="1DF00F0B">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lang w:eastAsia="zh-CN"/>
              </w:rPr>
              <w:t>同上</w:t>
            </w:r>
          </w:p>
        </w:tc>
        <w:tc>
          <w:tcPr>
            <w:tcW w:w="1177" w:type="dxa"/>
            <w:tcBorders>
              <w:top w:val="single" w:color="auto" w:sz="2" w:space="0"/>
              <w:left w:val="single" w:color="auto" w:sz="2" w:space="0"/>
              <w:bottom w:val="single" w:color="auto" w:sz="2" w:space="0"/>
              <w:right w:val="single" w:color="auto" w:sz="12" w:space="0"/>
            </w:tcBorders>
            <w:shd w:val="clear" w:color="auto" w:fill="auto"/>
            <w:vAlign w:val="center"/>
          </w:tcPr>
          <w:p w14:paraId="13DD7635">
            <w:pPr>
              <w:adjustRightInd/>
              <w:snapToGrid/>
              <w:spacing w:line="2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否</w:t>
            </w:r>
          </w:p>
        </w:tc>
      </w:tr>
      <w:tr w14:paraId="497D3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15" w:type="dxa"/>
            <w:tcBorders>
              <w:top w:val="single" w:color="auto" w:sz="2" w:space="0"/>
              <w:left w:val="single" w:color="auto" w:sz="12" w:space="0"/>
              <w:bottom w:val="single" w:color="auto" w:sz="2" w:space="0"/>
              <w:right w:val="single" w:color="auto" w:sz="2" w:space="0"/>
            </w:tcBorders>
            <w:vAlign w:val="center"/>
          </w:tcPr>
          <w:p w14:paraId="69D8CE7E">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3-9</w:t>
            </w:r>
          </w:p>
        </w:tc>
        <w:tc>
          <w:tcPr>
            <w:tcW w:w="1500" w:type="dxa"/>
            <w:tcBorders>
              <w:top w:val="single" w:color="auto" w:sz="2" w:space="0"/>
              <w:left w:val="single" w:color="auto" w:sz="2" w:space="0"/>
              <w:bottom w:val="single" w:color="auto" w:sz="2" w:space="0"/>
              <w:right w:val="single" w:color="auto" w:sz="2" w:space="0"/>
            </w:tcBorders>
            <w:vAlign w:val="center"/>
          </w:tcPr>
          <w:p w14:paraId="5659B7FD">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交通管理设备</w:t>
            </w:r>
          </w:p>
        </w:tc>
        <w:tc>
          <w:tcPr>
            <w:tcW w:w="1968" w:type="dxa"/>
            <w:tcBorders>
              <w:top w:val="single" w:color="auto" w:sz="2" w:space="0"/>
              <w:left w:val="single" w:color="auto" w:sz="2" w:space="0"/>
              <w:bottom w:val="single" w:color="auto" w:sz="2" w:space="0"/>
              <w:right w:val="single" w:color="auto" w:sz="2" w:space="0"/>
            </w:tcBorders>
            <w:vAlign w:val="center"/>
          </w:tcPr>
          <w:p w14:paraId="2EA6ABF6">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智能中控机箱</w:t>
            </w:r>
          </w:p>
        </w:tc>
        <w:tc>
          <w:tcPr>
            <w:tcW w:w="1297" w:type="dxa"/>
            <w:tcBorders>
              <w:top w:val="single" w:color="auto" w:sz="2" w:space="0"/>
              <w:left w:val="single" w:color="auto" w:sz="2" w:space="0"/>
              <w:bottom w:val="single" w:color="auto" w:sz="2" w:space="0"/>
              <w:right w:val="single" w:color="auto" w:sz="2" w:space="0"/>
            </w:tcBorders>
            <w:vAlign w:val="center"/>
          </w:tcPr>
          <w:p w14:paraId="3A399E94">
            <w:pPr>
              <w:keepNext w:val="0"/>
              <w:keepLines w:val="0"/>
              <w:widowControl/>
              <w:suppressLineNumbers w:val="0"/>
              <w:adjustRightInd/>
              <w:snapToGrid/>
              <w:spacing w:line="240" w:lineRule="exact"/>
              <w:ind w:firstLine="0" w:firstLineChars="0"/>
              <w:jc w:val="center"/>
              <w:textAlignment w:val="auto"/>
              <w:rPr>
                <w:rFonts w:hint="eastAsia" w:ascii="仿宋_GB2312" w:hAnsi="仿宋" w:eastAsia="仿宋_GB2312" w:cs="Times New Roman"/>
                <w:color w:val="auto"/>
                <w:sz w:val="21"/>
                <w:szCs w:val="21"/>
                <w:highlight w:val="none"/>
                <w:u w:val="none"/>
                <w:lang w:val="en-US" w:eastAsia="zh-CN" w:bidi="ar"/>
              </w:rPr>
            </w:pPr>
            <w:r>
              <w:rPr>
                <w:rFonts w:hint="eastAsia" w:ascii="仿宋_GB2312" w:hAnsi="仿宋" w:eastAsia="仿宋_GB2312" w:cs="Times New Roman"/>
                <w:i w:val="0"/>
                <w:iCs w:val="0"/>
                <w:color w:val="auto"/>
                <w:kern w:val="2"/>
                <w:sz w:val="21"/>
                <w:szCs w:val="21"/>
                <w:highlight w:val="none"/>
                <w:u w:val="none"/>
                <w:lang w:val="en-US" w:eastAsia="zh-CN" w:bidi="ar"/>
              </w:rPr>
              <w:t>128（</w:t>
            </w:r>
            <w:r>
              <w:rPr>
                <w:rFonts w:hint="eastAsia" w:ascii="仿宋_GB2312" w:hAnsi="仿宋" w:eastAsia="仿宋_GB2312" w:cs="Times New Roman"/>
                <w:b w:val="0"/>
                <w:bCs w:val="0"/>
                <w:i w:val="0"/>
                <w:iCs w:val="0"/>
                <w:color w:val="auto"/>
                <w:kern w:val="2"/>
                <w:sz w:val="21"/>
                <w:szCs w:val="21"/>
                <w:highlight w:val="none"/>
                <w:u w:val="none"/>
                <w:lang w:val="en-US" w:eastAsia="zh-CN" w:bidi="ar"/>
              </w:rPr>
              <w:t>套</w:t>
            </w:r>
            <w:r>
              <w:rPr>
                <w:rFonts w:hint="eastAsia" w:ascii="仿宋_GB2312" w:hAnsi="仿宋" w:eastAsia="仿宋_GB2312" w:cs="Times New Roman"/>
                <w:i w:val="0"/>
                <w:iCs w:val="0"/>
                <w:color w:val="auto"/>
                <w:kern w:val="2"/>
                <w:sz w:val="21"/>
                <w:szCs w:val="21"/>
                <w:highlight w:val="none"/>
                <w:u w:val="none"/>
                <w:lang w:val="en-US" w:eastAsia="zh-CN" w:bidi="ar"/>
              </w:rPr>
              <w:t>）</w:t>
            </w:r>
          </w:p>
        </w:tc>
        <w:tc>
          <w:tcPr>
            <w:tcW w:w="1920" w:type="dxa"/>
            <w:tcBorders>
              <w:top w:val="single" w:color="auto" w:sz="2" w:space="0"/>
              <w:left w:val="single" w:color="auto" w:sz="2" w:space="0"/>
              <w:bottom w:val="single" w:color="auto" w:sz="2" w:space="0"/>
              <w:right w:val="single" w:color="auto" w:sz="2" w:space="0"/>
            </w:tcBorders>
            <w:shd w:val="clear" w:color="auto" w:fill="auto"/>
            <w:vAlign w:val="center"/>
          </w:tcPr>
          <w:p w14:paraId="3280585B">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eastAsia="zh-CN"/>
              </w:rPr>
              <w:t>同上</w:t>
            </w:r>
          </w:p>
        </w:tc>
        <w:tc>
          <w:tcPr>
            <w:tcW w:w="1177" w:type="dxa"/>
            <w:tcBorders>
              <w:top w:val="single" w:color="auto" w:sz="2" w:space="0"/>
              <w:left w:val="single" w:color="auto" w:sz="2" w:space="0"/>
              <w:bottom w:val="single" w:color="auto" w:sz="2" w:space="0"/>
              <w:right w:val="single" w:color="auto" w:sz="12" w:space="0"/>
            </w:tcBorders>
            <w:shd w:val="clear" w:color="auto" w:fill="auto"/>
            <w:vAlign w:val="center"/>
          </w:tcPr>
          <w:p w14:paraId="5034C744">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否</w:t>
            </w:r>
          </w:p>
        </w:tc>
      </w:tr>
      <w:tr w14:paraId="05ACA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15" w:type="dxa"/>
            <w:tcBorders>
              <w:top w:val="single" w:color="auto" w:sz="2" w:space="0"/>
              <w:left w:val="single" w:color="auto" w:sz="12" w:space="0"/>
              <w:bottom w:val="single" w:color="auto" w:sz="12" w:space="0"/>
              <w:right w:val="single" w:color="auto" w:sz="2" w:space="0"/>
            </w:tcBorders>
            <w:vAlign w:val="center"/>
          </w:tcPr>
          <w:p w14:paraId="646E9F29">
            <w:pPr>
              <w:adjustRightInd/>
              <w:snapToGrid/>
              <w:spacing w:line="240" w:lineRule="exact"/>
              <w:ind w:firstLine="0" w:firstLineChars="0"/>
              <w:jc w:val="center"/>
              <w:rPr>
                <w:rFonts w:hint="default"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3-10</w:t>
            </w:r>
          </w:p>
        </w:tc>
        <w:tc>
          <w:tcPr>
            <w:tcW w:w="1500" w:type="dxa"/>
            <w:tcBorders>
              <w:top w:val="single" w:color="auto" w:sz="2" w:space="0"/>
              <w:left w:val="single" w:color="auto" w:sz="2" w:space="0"/>
              <w:bottom w:val="single" w:color="auto" w:sz="12" w:space="0"/>
              <w:right w:val="single" w:color="auto" w:sz="2" w:space="0"/>
            </w:tcBorders>
            <w:vAlign w:val="center"/>
          </w:tcPr>
          <w:p w14:paraId="47AA6AFA">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lang w:val="en-US" w:eastAsia="zh-CN"/>
              </w:rPr>
              <w:t>其他服务</w:t>
            </w:r>
          </w:p>
        </w:tc>
        <w:tc>
          <w:tcPr>
            <w:tcW w:w="1968" w:type="dxa"/>
            <w:tcBorders>
              <w:top w:val="single" w:color="auto" w:sz="2" w:space="0"/>
              <w:left w:val="single" w:color="auto" w:sz="2" w:space="0"/>
              <w:bottom w:val="single" w:color="auto" w:sz="12" w:space="0"/>
              <w:right w:val="single" w:color="auto" w:sz="2" w:space="0"/>
            </w:tcBorders>
            <w:vAlign w:val="center"/>
          </w:tcPr>
          <w:p w14:paraId="051C162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楷体_GB2312" w:eastAsia="楷体_GB2312"/>
                <w:color w:val="auto"/>
                <w:sz w:val="21"/>
                <w:szCs w:val="21"/>
                <w:highlight w:val="none"/>
              </w:rPr>
              <w:t>交调系统数据采集所需软件及安装调试、配套服务</w:t>
            </w:r>
          </w:p>
        </w:tc>
        <w:tc>
          <w:tcPr>
            <w:tcW w:w="1297" w:type="dxa"/>
            <w:tcBorders>
              <w:top w:val="single" w:color="auto" w:sz="2" w:space="0"/>
              <w:left w:val="single" w:color="auto" w:sz="2" w:space="0"/>
              <w:bottom w:val="single" w:color="auto" w:sz="12" w:space="0"/>
              <w:right w:val="single" w:color="auto" w:sz="2" w:space="0"/>
            </w:tcBorders>
            <w:vAlign w:val="center"/>
          </w:tcPr>
          <w:p w14:paraId="23C29C77">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lang w:val="en-US" w:eastAsia="zh-CN"/>
              </w:rPr>
              <w:t>1（项）</w:t>
            </w:r>
          </w:p>
        </w:tc>
        <w:tc>
          <w:tcPr>
            <w:tcW w:w="1920" w:type="dxa"/>
            <w:tcBorders>
              <w:top w:val="single" w:color="auto" w:sz="2" w:space="0"/>
              <w:left w:val="single" w:color="auto" w:sz="2" w:space="0"/>
              <w:bottom w:val="single" w:color="auto" w:sz="12" w:space="0"/>
              <w:right w:val="single" w:color="auto" w:sz="2" w:space="0"/>
            </w:tcBorders>
            <w:shd w:val="clear" w:color="auto" w:fill="auto"/>
            <w:vAlign w:val="center"/>
          </w:tcPr>
          <w:p w14:paraId="114A0A15">
            <w:pPr>
              <w:adjustRightInd/>
              <w:snapToGrid/>
              <w:spacing w:line="240" w:lineRule="exact"/>
              <w:ind w:firstLine="0" w:firstLineChars="0"/>
              <w:jc w:val="center"/>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详见</w:t>
            </w:r>
            <w:r>
              <w:rPr>
                <w:rFonts w:hint="eastAsia" w:ascii="仿宋_GB2312" w:hAnsi="仿宋" w:eastAsia="仿宋_GB2312" w:cs="Times New Roman"/>
                <w:color w:val="auto"/>
                <w:sz w:val="21"/>
                <w:szCs w:val="21"/>
                <w:highlight w:val="none"/>
                <w:lang w:eastAsia="zh-CN"/>
              </w:rPr>
              <w:t>后</w:t>
            </w:r>
            <w:r>
              <w:rPr>
                <w:rFonts w:hint="eastAsia" w:ascii="仿宋_GB2312" w:hAnsi="仿宋" w:eastAsia="仿宋_GB2312" w:cs="Times New Roman"/>
                <w:color w:val="auto"/>
                <w:sz w:val="21"/>
                <w:szCs w:val="21"/>
                <w:highlight w:val="none"/>
                <w:lang w:val="en-US" w:eastAsia="zh-CN"/>
              </w:rPr>
              <w:t>四（二）</w:t>
            </w:r>
          </w:p>
        </w:tc>
        <w:tc>
          <w:tcPr>
            <w:tcW w:w="1177" w:type="dxa"/>
            <w:tcBorders>
              <w:top w:val="single" w:color="auto" w:sz="2" w:space="0"/>
              <w:left w:val="single" w:color="auto" w:sz="2" w:space="0"/>
              <w:bottom w:val="single" w:color="auto" w:sz="12" w:space="0"/>
              <w:right w:val="single" w:color="auto" w:sz="12" w:space="0"/>
            </w:tcBorders>
            <w:shd w:val="clear" w:color="auto" w:fill="auto"/>
            <w:vAlign w:val="center"/>
          </w:tcPr>
          <w:p w14:paraId="6CFD0B8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否</w:t>
            </w:r>
          </w:p>
        </w:tc>
      </w:tr>
    </w:tbl>
    <w:p w14:paraId="5249D68C">
      <w:pPr>
        <w:pStyle w:val="3"/>
        <w:rPr>
          <w:color w:val="auto"/>
          <w:highlight w:val="none"/>
        </w:rPr>
      </w:pPr>
      <w:r>
        <w:rPr>
          <w:rFonts w:hint="eastAsia"/>
          <w:color w:val="auto"/>
          <w:highlight w:val="none"/>
        </w:rPr>
        <w:t>三、商务要求（适用包组1、包组2、包组3）</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6986"/>
      </w:tblGrid>
      <w:tr w14:paraId="41FB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tcBorders>
              <w:top w:val="single" w:color="auto" w:sz="12" w:space="0"/>
              <w:left w:val="single" w:color="auto" w:sz="12" w:space="0"/>
            </w:tcBorders>
            <w:vAlign w:val="center"/>
          </w:tcPr>
          <w:p w14:paraId="4DB3B3F8">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标的提供</w:t>
            </w:r>
          </w:p>
          <w:p w14:paraId="76DC38C9">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的时间</w:t>
            </w:r>
          </w:p>
        </w:tc>
        <w:tc>
          <w:tcPr>
            <w:tcW w:w="6986" w:type="dxa"/>
            <w:tcBorders>
              <w:top w:val="single" w:color="auto" w:sz="12" w:space="0"/>
              <w:right w:val="single" w:color="auto" w:sz="12" w:space="0"/>
            </w:tcBorders>
          </w:tcPr>
          <w:p w14:paraId="67FFB691">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1.合同签订之日起1</w:t>
            </w:r>
            <w:r>
              <w:rPr>
                <w:rFonts w:hint="eastAsia" w:ascii="仿宋_GB2312" w:hAnsi="仿宋" w:eastAsia="仿宋_GB2312" w:cs="Times New Roman"/>
                <w:color w:val="auto"/>
                <w:sz w:val="21"/>
                <w:szCs w:val="21"/>
                <w:highlight w:val="none"/>
                <w:lang w:val="en-US" w:eastAsia="zh-CN"/>
              </w:rPr>
              <w:t>0个</w:t>
            </w:r>
            <w:r>
              <w:rPr>
                <w:rFonts w:hint="eastAsia" w:ascii="仿宋_GB2312" w:hAnsi="仿宋" w:eastAsia="仿宋_GB2312" w:cs="Times New Roman"/>
                <w:color w:val="auto"/>
                <w:sz w:val="21"/>
                <w:szCs w:val="21"/>
                <w:highlight w:val="none"/>
              </w:rPr>
              <w:t>日历日内，将完成本项目所需的公路交通情况调查</w:t>
            </w:r>
            <w:r>
              <w:rPr>
                <w:rFonts w:hint="eastAsia" w:ascii="仿宋_GB2312" w:hAnsi="仿宋" w:eastAsia="仿宋_GB2312" w:cs="Times New Roman"/>
                <w:color w:val="auto"/>
                <w:sz w:val="21"/>
                <w:szCs w:val="21"/>
                <w:highlight w:val="none"/>
                <w:lang w:val="en-US" w:eastAsia="zh-CN"/>
              </w:rPr>
              <w:t>设备</w:t>
            </w:r>
            <w:r>
              <w:rPr>
                <w:rFonts w:hint="eastAsia" w:ascii="仿宋_GB2312" w:hAnsi="仿宋" w:eastAsia="仿宋_GB2312" w:cs="Times New Roman"/>
                <w:color w:val="auto"/>
                <w:sz w:val="21"/>
                <w:szCs w:val="21"/>
                <w:highlight w:val="none"/>
              </w:rPr>
              <w:t>、终端管理设施</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数据模块（工业级）、气象传感器、卡口抓拍摄像机、一体化补光灯、监控球型摄像机、后备电源</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智能中控电箱等设备</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完整</w:t>
            </w:r>
            <w:r>
              <w:rPr>
                <w:rFonts w:hint="eastAsia" w:ascii="仿宋_GB2312" w:hAnsi="仿宋" w:eastAsia="仿宋_GB2312" w:cs="Times New Roman"/>
                <w:color w:val="auto"/>
                <w:sz w:val="21"/>
                <w:szCs w:val="21"/>
                <w:highlight w:val="none"/>
              </w:rPr>
              <w:t>送</w:t>
            </w:r>
            <w:r>
              <w:rPr>
                <w:rFonts w:hint="eastAsia" w:ascii="仿宋_GB2312" w:hAnsi="仿宋" w:eastAsia="仿宋_GB2312" w:cs="Times New Roman"/>
                <w:color w:val="auto"/>
                <w:sz w:val="21"/>
                <w:szCs w:val="21"/>
                <w:highlight w:val="none"/>
                <w:lang w:val="en-US" w:eastAsia="zh-CN"/>
              </w:rPr>
              <w:t>至</w:t>
            </w:r>
            <w:r>
              <w:rPr>
                <w:rFonts w:hint="eastAsia" w:ascii="仿宋_GB2312" w:hAnsi="仿宋" w:eastAsia="仿宋_GB2312" w:cs="Times New Roman"/>
                <w:color w:val="auto"/>
                <w:sz w:val="21"/>
                <w:szCs w:val="21"/>
                <w:highlight w:val="none"/>
              </w:rPr>
              <w:t>采购人认可的仓储场地</w:t>
            </w:r>
            <w:r>
              <w:rPr>
                <w:rFonts w:hint="eastAsia" w:ascii="仿宋_GB2312" w:hAnsi="仿宋" w:eastAsia="仿宋_GB2312" w:cs="Times New Roman"/>
                <w:color w:val="auto"/>
                <w:sz w:val="21"/>
                <w:szCs w:val="21"/>
                <w:highlight w:val="none"/>
                <w:lang w:eastAsia="zh-CN"/>
              </w:rPr>
              <w:t>。</w:t>
            </w:r>
          </w:p>
          <w:p w14:paraId="061DF446">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2.自合同生效之日起</w:t>
            </w:r>
            <w:r>
              <w:rPr>
                <w:rFonts w:hint="eastAsia" w:ascii="仿宋_GB2312" w:hAnsi="仿宋" w:eastAsia="仿宋_GB2312" w:cs="Times New Roman"/>
                <w:color w:val="auto"/>
                <w:sz w:val="21"/>
                <w:szCs w:val="21"/>
                <w:highlight w:val="none"/>
                <w:lang w:val="en-US" w:eastAsia="zh-CN"/>
              </w:rPr>
              <w:t>6</w:t>
            </w:r>
            <w:r>
              <w:rPr>
                <w:rFonts w:hint="eastAsia" w:ascii="仿宋_GB2312" w:hAnsi="仿宋" w:eastAsia="仿宋_GB2312" w:cs="Times New Roman"/>
                <w:color w:val="auto"/>
                <w:sz w:val="21"/>
                <w:szCs w:val="21"/>
                <w:highlight w:val="none"/>
              </w:rPr>
              <w:t>个月内完成各站点设备的安装、数据的接入、调试</w:t>
            </w:r>
            <w:r>
              <w:rPr>
                <w:rFonts w:hint="eastAsia" w:ascii="仿宋_GB2312" w:hAnsi="仿宋" w:eastAsia="仿宋_GB2312" w:cs="Times New Roman"/>
                <w:color w:val="auto"/>
                <w:sz w:val="21"/>
                <w:szCs w:val="21"/>
                <w:highlight w:val="none"/>
                <w:lang w:eastAsia="zh-CN"/>
              </w:rPr>
              <w:t>。</w:t>
            </w:r>
          </w:p>
          <w:p w14:paraId="3B303445">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3.试运行满</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个月后完成交工验收。所有站点自交工验收通过之日起，提供</w:t>
            </w: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年的设备维护及数据采集服务。</w:t>
            </w:r>
          </w:p>
        </w:tc>
      </w:tr>
      <w:tr w14:paraId="60A8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tcBorders>
              <w:left w:val="single" w:color="auto" w:sz="12" w:space="0"/>
            </w:tcBorders>
            <w:vAlign w:val="center"/>
          </w:tcPr>
          <w:p w14:paraId="47DF26B0">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标的提供地点</w:t>
            </w:r>
          </w:p>
        </w:tc>
        <w:tc>
          <w:tcPr>
            <w:tcW w:w="6986" w:type="dxa"/>
            <w:tcBorders>
              <w:right w:val="single" w:color="auto" w:sz="12" w:space="0"/>
            </w:tcBorders>
          </w:tcPr>
          <w:p w14:paraId="6F959EC8">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广东省境内（</w:t>
            </w:r>
            <w:r>
              <w:rPr>
                <w:rFonts w:hint="eastAsia" w:ascii="仿宋_GB2312" w:hAnsi="仿宋" w:eastAsia="仿宋_GB2312" w:cs="Times New Roman"/>
                <w:color w:val="auto"/>
                <w:sz w:val="21"/>
                <w:szCs w:val="21"/>
                <w:highlight w:val="none"/>
                <w:lang w:val="en-US" w:eastAsia="zh-CN"/>
              </w:rPr>
              <w:t>采购人</w:t>
            </w:r>
            <w:r>
              <w:rPr>
                <w:rFonts w:hint="eastAsia" w:ascii="仿宋_GB2312" w:hAnsi="仿宋" w:eastAsia="仿宋_GB2312" w:cs="Times New Roman"/>
                <w:color w:val="auto"/>
                <w:sz w:val="21"/>
                <w:szCs w:val="21"/>
                <w:highlight w:val="none"/>
              </w:rPr>
              <w:t>指定交货地点）</w:t>
            </w:r>
          </w:p>
        </w:tc>
      </w:tr>
      <w:tr w14:paraId="50B8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tcBorders>
              <w:left w:val="single" w:color="auto" w:sz="12" w:space="0"/>
            </w:tcBorders>
            <w:shd w:val="clear" w:color="auto" w:fill="auto"/>
            <w:vAlign w:val="center"/>
          </w:tcPr>
          <w:p w14:paraId="20B98FDB">
            <w:pPr>
              <w:adjustRightInd/>
              <w:snapToGrid/>
              <w:spacing w:line="340" w:lineRule="exact"/>
              <w:ind w:firstLine="0" w:firstLineChars="0"/>
              <w:jc w:val="center"/>
              <w:rPr>
                <w:rFonts w:hint="eastAsia" w:eastAsia="仿宋" w:asciiTheme="minorHAnsi" w:hAnsiTheme="minorHAnsi" w:cstheme="minorBidi"/>
                <w:color w:val="auto"/>
                <w:kern w:val="2"/>
                <w:sz w:val="21"/>
                <w:szCs w:val="22"/>
                <w:highlight w:val="none"/>
                <w:lang w:val="en-US" w:eastAsia="zh-CN" w:bidi="ar-SA"/>
              </w:rPr>
            </w:pPr>
            <w:r>
              <w:rPr>
                <w:rFonts w:hint="eastAsia" w:ascii="仿宋_GB2312" w:hAnsi="仿宋" w:eastAsia="仿宋_GB2312" w:cs="Times New Roman"/>
                <w:color w:val="auto"/>
                <w:sz w:val="21"/>
                <w:szCs w:val="21"/>
                <w:highlight w:val="none"/>
              </w:rPr>
              <w:t>验收要求</w:t>
            </w:r>
          </w:p>
        </w:tc>
        <w:tc>
          <w:tcPr>
            <w:tcW w:w="6986" w:type="dxa"/>
            <w:tcBorders>
              <w:right w:val="single" w:color="auto" w:sz="12" w:space="0"/>
            </w:tcBorders>
            <w:shd w:val="clear" w:color="auto" w:fill="auto"/>
            <w:vAlign w:val="top"/>
          </w:tcPr>
          <w:p w14:paraId="5253573C">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1.设备验收：中标人将完成本项目所需的公路交通情况调查</w:t>
            </w:r>
            <w:r>
              <w:rPr>
                <w:rFonts w:hint="eastAsia" w:ascii="仿宋_GB2312" w:hAnsi="仿宋" w:eastAsia="仿宋_GB2312" w:cs="Times New Roman"/>
                <w:color w:val="auto"/>
                <w:sz w:val="21"/>
                <w:szCs w:val="21"/>
                <w:highlight w:val="none"/>
                <w:lang w:val="en-US" w:eastAsia="zh-CN"/>
              </w:rPr>
              <w:t>设备</w:t>
            </w:r>
            <w:r>
              <w:rPr>
                <w:rFonts w:hint="eastAsia" w:ascii="仿宋_GB2312" w:hAnsi="仿宋" w:eastAsia="仿宋_GB2312" w:cs="Times New Roman"/>
                <w:color w:val="auto"/>
                <w:sz w:val="21"/>
                <w:szCs w:val="21"/>
                <w:highlight w:val="none"/>
              </w:rPr>
              <w:t>、终端管理设施</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数据模块（工业级）、气象传感器、卡口抓拍摄像机、一体化补光灯、监控球型摄像机、后备电源</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智能中控电箱等设备供应齐</w:t>
            </w:r>
            <w:r>
              <w:rPr>
                <w:rFonts w:hint="eastAsia" w:ascii="仿宋_GB2312" w:hAnsi="仿宋" w:eastAsia="仿宋_GB2312" w:cs="Times New Roman"/>
                <w:color w:val="auto"/>
                <w:sz w:val="21"/>
                <w:szCs w:val="21"/>
                <w:highlight w:val="none"/>
                <w:lang w:val="en-US" w:eastAsia="zh-CN"/>
              </w:rPr>
              <w:t>全</w:t>
            </w:r>
            <w:r>
              <w:rPr>
                <w:rFonts w:hint="eastAsia" w:ascii="仿宋_GB2312" w:hAnsi="仿宋" w:eastAsia="仿宋_GB2312" w:cs="Times New Roman"/>
                <w:color w:val="auto"/>
                <w:sz w:val="21"/>
                <w:szCs w:val="21"/>
                <w:highlight w:val="none"/>
              </w:rPr>
              <w:t>后，7日内完成设备验收。</w:t>
            </w:r>
          </w:p>
          <w:p w14:paraId="1A1D64FF">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2.外场验收：</w:t>
            </w:r>
            <w:r>
              <w:rPr>
                <w:rFonts w:hint="eastAsia" w:ascii="仿宋_GB2312" w:hAnsi="仿宋" w:eastAsia="仿宋_GB2312" w:cs="Times New Roman"/>
                <w:color w:val="auto"/>
                <w:sz w:val="21"/>
                <w:szCs w:val="21"/>
                <w:highlight w:val="none"/>
                <w:lang w:val="en-US" w:eastAsia="zh-CN"/>
              </w:rPr>
              <w:t>确认</w:t>
            </w:r>
            <w:r>
              <w:rPr>
                <w:rFonts w:hint="eastAsia" w:ascii="仿宋_GB2312" w:hAnsi="仿宋" w:eastAsia="仿宋_GB2312" w:cs="Times New Roman"/>
                <w:color w:val="auto"/>
                <w:sz w:val="21"/>
                <w:szCs w:val="21"/>
                <w:highlight w:val="none"/>
              </w:rPr>
              <w:t>设备安装正确，</w:t>
            </w:r>
            <w:r>
              <w:rPr>
                <w:rFonts w:hint="eastAsia" w:ascii="仿宋_GB2312" w:hAnsi="仿宋" w:eastAsia="仿宋_GB2312" w:cs="Times New Roman"/>
                <w:color w:val="auto"/>
                <w:sz w:val="21"/>
                <w:szCs w:val="21"/>
                <w:highlight w:val="none"/>
                <w:lang w:val="en-US" w:eastAsia="zh-CN"/>
              </w:rPr>
              <w:t>并</w:t>
            </w:r>
            <w:r>
              <w:rPr>
                <w:rFonts w:hint="eastAsia" w:ascii="仿宋_GB2312" w:hAnsi="仿宋" w:eastAsia="仿宋_GB2312" w:cs="Times New Roman"/>
                <w:color w:val="auto"/>
                <w:sz w:val="21"/>
                <w:szCs w:val="21"/>
                <w:highlight w:val="none"/>
              </w:rPr>
              <w:t>处于正常运行状态。</w:t>
            </w:r>
            <w:r>
              <w:rPr>
                <w:rFonts w:hint="eastAsia" w:ascii="仿宋_GB2312" w:hAnsi="仿宋" w:eastAsia="仿宋_GB2312" w:cs="Times New Roman"/>
                <w:color w:val="auto"/>
                <w:sz w:val="21"/>
                <w:szCs w:val="21"/>
                <w:highlight w:val="none"/>
                <w:lang w:val="en-US" w:eastAsia="zh-CN"/>
              </w:rPr>
              <w:t>主要</w:t>
            </w:r>
            <w:r>
              <w:rPr>
                <w:rFonts w:hint="eastAsia" w:ascii="仿宋_GB2312" w:hAnsi="仿宋" w:eastAsia="仿宋_GB2312" w:cs="Times New Roman"/>
                <w:color w:val="auto"/>
                <w:sz w:val="21"/>
                <w:szCs w:val="21"/>
                <w:highlight w:val="none"/>
              </w:rPr>
              <w:t>包括</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根据合同</w:t>
            </w:r>
            <w:r>
              <w:rPr>
                <w:rFonts w:hint="eastAsia" w:ascii="仿宋_GB2312" w:hAnsi="仿宋" w:eastAsia="仿宋_GB2312" w:cs="Times New Roman"/>
                <w:color w:val="auto"/>
                <w:sz w:val="21"/>
                <w:szCs w:val="21"/>
                <w:highlight w:val="none"/>
                <w:lang w:val="en-US" w:eastAsia="zh-CN"/>
              </w:rPr>
              <w:t>约定，</w:t>
            </w:r>
            <w:r>
              <w:rPr>
                <w:rFonts w:hint="eastAsia" w:ascii="仿宋_GB2312" w:hAnsi="仿宋" w:eastAsia="仿宋_GB2312" w:cs="Times New Roman"/>
                <w:color w:val="auto"/>
                <w:sz w:val="21"/>
                <w:szCs w:val="21"/>
                <w:highlight w:val="none"/>
              </w:rPr>
              <w:t>核对设备及配件工程量，外观检查；</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杆件防雷设施、基础；</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机箱标识尺寸、接线、线缆整理检查；</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4</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施工现场环境恢复。</w:t>
            </w:r>
          </w:p>
          <w:p w14:paraId="05E5467D">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3.数据质量验收：</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站点采集的数据合格</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并</w:t>
            </w:r>
            <w:r>
              <w:rPr>
                <w:rFonts w:hint="eastAsia" w:ascii="仿宋_GB2312" w:hAnsi="仿宋" w:eastAsia="仿宋_GB2312" w:cs="Times New Roman"/>
                <w:color w:val="auto"/>
                <w:sz w:val="21"/>
                <w:szCs w:val="21"/>
                <w:highlight w:val="none"/>
              </w:rPr>
              <w:t>按部要求传输到《广东省公路交通情况调查子系统》</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视频接入《广东省普通国省干线公路网监测与应急协调子系统》；</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设备安装调试</w:t>
            </w:r>
            <w:r>
              <w:rPr>
                <w:rFonts w:hint="eastAsia" w:ascii="仿宋_GB2312" w:hAnsi="仿宋" w:eastAsia="仿宋_GB2312" w:cs="Times New Roman"/>
                <w:color w:val="auto"/>
                <w:sz w:val="21"/>
                <w:szCs w:val="21"/>
                <w:highlight w:val="none"/>
                <w:lang w:val="en-US" w:eastAsia="zh-CN"/>
              </w:rPr>
              <w:t>到位，</w:t>
            </w:r>
            <w:r>
              <w:rPr>
                <w:rFonts w:hint="eastAsia" w:ascii="仿宋_GB2312" w:hAnsi="仿宋" w:eastAsia="仿宋_GB2312" w:cs="Times New Roman"/>
                <w:color w:val="auto"/>
                <w:sz w:val="21"/>
                <w:szCs w:val="21"/>
                <w:highlight w:val="none"/>
              </w:rPr>
              <w:t>数据接入《广东省公路交通情况调查子系统》后，试运行1个月，期间无质量问题，由采购人或采购人委托的第三方进行数据连续传输质量核查，并出具站点数据接入合格证明（包括设备运行报告、精度核查报告、数据质量报告）。</w:t>
            </w:r>
          </w:p>
          <w:p w14:paraId="610D5D13">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4.</w:t>
            </w:r>
            <w:r>
              <w:rPr>
                <w:rFonts w:hint="eastAsia" w:ascii="仿宋_GB2312" w:hAnsi="仿宋" w:eastAsia="仿宋_GB2312" w:cs="Times New Roman"/>
                <w:color w:val="auto"/>
                <w:sz w:val="21"/>
                <w:szCs w:val="21"/>
                <w:highlight w:val="none"/>
                <w:lang w:val="en-US" w:eastAsia="zh-CN"/>
              </w:rPr>
              <w:t>交工验收：</w:t>
            </w:r>
            <w:r>
              <w:rPr>
                <w:rFonts w:hint="eastAsia" w:ascii="仿宋_GB2312" w:hAnsi="仿宋" w:eastAsia="仿宋_GB2312" w:cs="Times New Roman"/>
                <w:color w:val="auto"/>
                <w:sz w:val="21"/>
                <w:szCs w:val="21"/>
                <w:highlight w:val="none"/>
              </w:rPr>
              <w:t>中标人申请交工验收，由采购人7日内组织评审验收。</w:t>
            </w:r>
          </w:p>
          <w:p w14:paraId="7C370BB8">
            <w:pPr>
              <w:adjustRightInd/>
              <w:snapToGrid/>
              <w:spacing w:line="340" w:lineRule="exact"/>
              <w:ind w:firstLine="0" w:firstLineChars="0"/>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5.</w:t>
            </w:r>
            <w:r>
              <w:rPr>
                <w:rFonts w:hint="eastAsia" w:ascii="仿宋_GB2312" w:hAnsi="仿宋" w:eastAsia="仿宋_GB2312" w:cs="Times New Roman"/>
                <w:color w:val="auto"/>
                <w:sz w:val="21"/>
                <w:szCs w:val="21"/>
                <w:highlight w:val="none"/>
                <w:lang w:val="en-US" w:eastAsia="zh-CN"/>
              </w:rPr>
              <w:t>整体验收：</w:t>
            </w:r>
            <w:r>
              <w:rPr>
                <w:rFonts w:hint="eastAsia" w:ascii="仿宋_GB2312" w:hAnsi="仿宋" w:eastAsia="仿宋_GB2312" w:cs="Times New Roman"/>
                <w:color w:val="auto"/>
                <w:sz w:val="21"/>
                <w:szCs w:val="21"/>
                <w:highlight w:val="none"/>
              </w:rPr>
              <w:t>交工验收且完成</w:t>
            </w: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年维护</w:t>
            </w:r>
            <w:r>
              <w:rPr>
                <w:rFonts w:hint="eastAsia" w:ascii="仿宋_GB2312" w:hAnsi="仿宋" w:eastAsia="仿宋_GB2312" w:cs="Times New Roman"/>
                <w:color w:val="auto"/>
                <w:sz w:val="21"/>
                <w:szCs w:val="21"/>
                <w:highlight w:val="none"/>
                <w:lang w:val="en-US" w:eastAsia="zh-CN"/>
              </w:rPr>
              <w:t>任务</w:t>
            </w:r>
            <w:r>
              <w:rPr>
                <w:rFonts w:hint="eastAsia" w:ascii="仿宋_GB2312" w:hAnsi="仿宋" w:eastAsia="仿宋_GB2312" w:cs="Times New Roman"/>
                <w:color w:val="auto"/>
                <w:sz w:val="21"/>
                <w:szCs w:val="21"/>
                <w:highlight w:val="none"/>
              </w:rPr>
              <w:t>后，7日内组织项目整体验收。</w:t>
            </w:r>
          </w:p>
        </w:tc>
      </w:tr>
      <w:tr w14:paraId="0800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tcBorders>
              <w:left w:val="single" w:color="auto" w:sz="12" w:space="0"/>
            </w:tcBorders>
            <w:shd w:val="clear" w:color="auto" w:fill="auto"/>
            <w:vAlign w:val="center"/>
          </w:tcPr>
          <w:p w14:paraId="1E177617">
            <w:pPr>
              <w:adjustRightInd/>
              <w:snapToGrid/>
              <w:spacing w:line="340" w:lineRule="exact"/>
              <w:ind w:firstLine="0" w:firstLineChars="0"/>
              <w:jc w:val="center"/>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付款方式</w:t>
            </w:r>
          </w:p>
        </w:tc>
        <w:tc>
          <w:tcPr>
            <w:tcW w:w="6986" w:type="dxa"/>
            <w:tcBorders>
              <w:right w:val="single" w:color="auto" w:sz="12" w:space="0"/>
            </w:tcBorders>
            <w:shd w:val="clear" w:color="auto" w:fill="auto"/>
            <w:vAlign w:val="top"/>
          </w:tcPr>
          <w:p w14:paraId="4F31F050">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第1期（首笔款）：支付比例</w:t>
            </w:r>
            <w:r>
              <w:rPr>
                <w:rFonts w:hint="eastAsia" w:ascii="仿宋_GB2312" w:hAnsi="仿宋" w:eastAsia="仿宋_GB2312" w:cs="Times New Roman"/>
                <w:color w:val="auto"/>
                <w:sz w:val="21"/>
                <w:szCs w:val="21"/>
                <w:highlight w:val="none"/>
                <w:lang w:val="en-US" w:eastAsia="zh-CN"/>
              </w:rPr>
              <w:t>60</w:t>
            </w:r>
            <w:r>
              <w:rPr>
                <w:rFonts w:hint="eastAsia" w:ascii="仿宋_GB2312" w:hAnsi="仿宋" w:eastAsia="仿宋_GB2312" w:cs="Times New Roman"/>
                <w:color w:val="auto"/>
                <w:sz w:val="21"/>
                <w:szCs w:val="21"/>
                <w:highlight w:val="none"/>
              </w:rPr>
              <w:t>%，中标人将完成本项目所需的公路交通情况调查</w:t>
            </w:r>
            <w:r>
              <w:rPr>
                <w:rFonts w:hint="eastAsia" w:ascii="仿宋_GB2312" w:hAnsi="仿宋" w:eastAsia="仿宋_GB2312" w:cs="Times New Roman"/>
                <w:color w:val="auto"/>
                <w:sz w:val="21"/>
                <w:szCs w:val="21"/>
                <w:highlight w:val="none"/>
                <w:lang w:val="en-US" w:eastAsia="zh-CN"/>
              </w:rPr>
              <w:t>设备</w:t>
            </w:r>
            <w:r>
              <w:rPr>
                <w:rFonts w:hint="eastAsia" w:ascii="仿宋_GB2312" w:hAnsi="仿宋" w:eastAsia="仿宋_GB2312" w:cs="Times New Roman"/>
                <w:color w:val="auto"/>
                <w:sz w:val="21"/>
                <w:szCs w:val="21"/>
                <w:highlight w:val="none"/>
              </w:rPr>
              <w:t>、终端管理设施</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数据模块（工业级）、气象传感器、卡口抓拍摄像机、一体化补光灯、监控球型摄像机、后备电源</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智能中控电箱等设备提供到</w:t>
            </w:r>
            <w:r>
              <w:rPr>
                <w:rFonts w:hint="eastAsia" w:ascii="仿宋_GB2312" w:hAnsi="仿宋" w:eastAsia="仿宋_GB2312" w:cs="Times New Roman"/>
                <w:color w:val="auto"/>
                <w:sz w:val="21"/>
                <w:szCs w:val="21"/>
                <w:highlight w:val="none"/>
                <w:lang w:val="en-US" w:eastAsia="zh-CN"/>
              </w:rPr>
              <w:t>位</w:t>
            </w:r>
            <w:r>
              <w:rPr>
                <w:rFonts w:hint="eastAsia" w:ascii="仿宋_GB2312" w:hAnsi="仿宋" w:eastAsia="仿宋_GB2312" w:cs="Times New Roman"/>
                <w:color w:val="auto"/>
                <w:sz w:val="21"/>
                <w:szCs w:val="21"/>
                <w:highlight w:val="none"/>
              </w:rPr>
              <w:t>，经验收合格后，采购人向中标人支付</w:t>
            </w:r>
            <w:r>
              <w:rPr>
                <w:rFonts w:hint="eastAsia" w:ascii="仿宋_GB2312" w:hAnsi="仿宋" w:eastAsia="仿宋_GB2312" w:cs="Times New Roman"/>
                <w:color w:val="auto"/>
                <w:sz w:val="21"/>
                <w:szCs w:val="21"/>
                <w:highlight w:val="none"/>
                <w:lang w:val="en-US" w:eastAsia="zh-CN"/>
              </w:rPr>
              <w:t>本</w:t>
            </w:r>
            <w:r>
              <w:rPr>
                <w:rFonts w:hint="eastAsia" w:ascii="仿宋_GB2312" w:hAnsi="仿宋" w:eastAsia="仿宋_GB2312" w:cs="Times New Roman"/>
                <w:color w:val="auto"/>
                <w:sz w:val="21"/>
                <w:szCs w:val="21"/>
                <w:highlight w:val="none"/>
              </w:rPr>
              <w:t>首笔款。</w:t>
            </w:r>
          </w:p>
          <w:p w14:paraId="25160523">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第2期（进度款）：支付比例</w:t>
            </w:r>
            <w:r>
              <w:rPr>
                <w:rFonts w:hint="eastAsia" w:ascii="仿宋_GB2312" w:hAnsi="仿宋" w:eastAsia="仿宋_GB2312" w:cs="Times New Roman"/>
                <w:color w:val="auto"/>
                <w:sz w:val="21"/>
                <w:szCs w:val="21"/>
                <w:highlight w:val="none"/>
                <w:lang w:val="en-US" w:eastAsia="zh-CN"/>
              </w:rPr>
              <w:t>28</w:t>
            </w:r>
            <w:r>
              <w:rPr>
                <w:rFonts w:hint="eastAsia" w:ascii="仿宋_GB2312" w:hAnsi="仿宋" w:eastAsia="仿宋_GB2312" w:cs="Times New Roman"/>
                <w:color w:val="auto"/>
                <w:sz w:val="21"/>
                <w:szCs w:val="21"/>
                <w:highlight w:val="none"/>
              </w:rPr>
              <w:t>%，中标人完成本项目设备安装、接入和调试，经试运行</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个月，并获得站点数据接入合格证明（包括设备运行报告、精度核查报告、数据质量报告）后，采购人向中标人支付</w:t>
            </w:r>
            <w:r>
              <w:rPr>
                <w:rFonts w:hint="eastAsia" w:ascii="仿宋_GB2312" w:hAnsi="仿宋" w:eastAsia="仿宋_GB2312" w:cs="Times New Roman"/>
                <w:color w:val="auto"/>
                <w:sz w:val="21"/>
                <w:szCs w:val="21"/>
                <w:highlight w:val="none"/>
                <w:lang w:val="en-US" w:eastAsia="zh-CN"/>
              </w:rPr>
              <w:t>本进度</w:t>
            </w:r>
            <w:r>
              <w:rPr>
                <w:rFonts w:hint="eastAsia" w:ascii="仿宋_GB2312" w:hAnsi="仿宋" w:eastAsia="仿宋_GB2312" w:cs="Times New Roman"/>
                <w:color w:val="auto"/>
                <w:sz w:val="21"/>
                <w:szCs w:val="21"/>
                <w:highlight w:val="none"/>
              </w:rPr>
              <w:t>款。</w:t>
            </w:r>
          </w:p>
          <w:p w14:paraId="6AAC1C01">
            <w:pPr>
              <w:adjustRightInd/>
              <w:snapToGrid/>
              <w:spacing w:line="340" w:lineRule="exact"/>
              <w:ind w:firstLine="0" w:firstLineChars="0"/>
              <w:rPr>
                <w:rFonts w:hint="eastAsia" w:ascii="仿宋_GB2312" w:hAnsi="仿宋" w:eastAsia="仿宋_GB2312" w:cs="Times New Roman"/>
                <w:color w:val="auto"/>
                <w:kern w:val="2"/>
                <w:sz w:val="21"/>
                <w:szCs w:val="21"/>
                <w:highlight w:val="none"/>
                <w:lang w:val="en-US" w:eastAsia="zh-CN" w:bidi="ar-SA"/>
              </w:rPr>
            </w:pPr>
            <w:r>
              <w:rPr>
                <w:rFonts w:hint="eastAsia" w:ascii="仿宋_GB2312" w:hAnsi="仿宋" w:eastAsia="仿宋_GB2312" w:cs="Times New Roman"/>
                <w:color w:val="auto"/>
                <w:sz w:val="21"/>
                <w:szCs w:val="21"/>
                <w:highlight w:val="none"/>
              </w:rPr>
              <w:t>第3期（尾款）：支付比例1</w:t>
            </w: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%，维护期</w:t>
            </w: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年</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维护期内应每年执行</w:t>
            </w: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次以上的设备巡检，数据精度达到部</w:t>
            </w:r>
            <w:r>
              <w:rPr>
                <w:rFonts w:hint="eastAsia" w:ascii="仿宋_GB2312" w:hAnsi="仿宋" w:eastAsia="仿宋_GB2312" w:cs="Times New Roman"/>
                <w:color w:val="auto"/>
                <w:sz w:val="21"/>
                <w:szCs w:val="21"/>
                <w:highlight w:val="none"/>
                <w:lang w:val="en-US" w:eastAsia="zh-CN"/>
              </w:rPr>
              <w:t>颁</w:t>
            </w:r>
            <w:r>
              <w:rPr>
                <w:rFonts w:hint="eastAsia" w:ascii="仿宋_GB2312" w:hAnsi="仿宋" w:eastAsia="仿宋_GB2312" w:cs="Times New Roman"/>
                <w:color w:val="auto"/>
                <w:sz w:val="21"/>
                <w:szCs w:val="21"/>
                <w:highlight w:val="none"/>
              </w:rPr>
              <w:t>标</w:t>
            </w:r>
            <w:r>
              <w:rPr>
                <w:rFonts w:hint="eastAsia" w:ascii="仿宋_GB2312" w:hAnsi="仿宋" w:eastAsia="仿宋_GB2312" w:cs="Times New Roman"/>
                <w:color w:val="auto"/>
                <w:sz w:val="21"/>
                <w:szCs w:val="21"/>
                <w:highlight w:val="none"/>
                <w:lang w:val="en-US" w:eastAsia="zh-CN"/>
              </w:rPr>
              <w:t>准</w:t>
            </w:r>
            <w:r>
              <w:rPr>
                <w:rFonts w:hint="eastAsia" w:ascii="仿宋_GB2312" w:hAnsi="仿宋" w:eastAsia="仿宋_GB2312" w:cs="Times New Roman"/>
                <w:color w:val="auto"/>
                <w:sz w:val="21"/>
                <w:szCs w:val="21"/>
                <w:highlight w:val="none"/>
              </w:rPr>
              <w:t>，经采购人审核数据精度合格，采购人每年向中标人支付合同总价的</w:t>
            </w:r>
            <w:r>
              <w:rPr>
                <w:rFonts w:hint="eastAsia" w:ascii="仿宋_GB2312" w:hAnsi="仿宋" w:eastAsia="仿宋_GB2312" w:cs="Times New Roman"/>
                <w:color w:val="auto"/>
                <w:sz w:val="21"/>
                <w:szCs w:val="21"/>
                <w:highlight w:val="none"/>
                <w:lang w:val="en-US" w:eastAsia="zh-CN"/>
              </w:rPr>
              <w:t>4</w:t>
            </w:r>
            <w:r>
              <w:rPr>
                <w:rFonts w:hint="eastAsia" w:ascii="仿宋_GB2312" w:hAnsi="仿宋" w:eastAsia="仿宋_GB2312" w:cs="Times New Roman"/>
                <w:color w:val="auto"/>
                <w:sz w:val="21"/>
                <w:szCs w:val="21"/>
                <w:highlight w:val="none"/>
              </w:rPr>
              <w:t>%。</w:t>
            </w:r>
          </w:p>
        </w:tc>
      </w:tr>
      <w:tr w14:paraId="04A5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3" w:type="dxa"/>
            <w:tcBorders>
              <w:left w:val="single" w:color="auto" w:sz="12" w:space="0"/>
            </w:tcBorders>
            <w:vAlign w:val="center"/>
          </w:tcPr>
          <w:p w14:paraId="497603AA">
            <w:pPr>
              <w:adjustRightInd/>
              <w:snapToGrid/>
              <w:spacing w:line="340" w:lineRule="exact"/>
              <w:ind w:firstLine="0" w:firstLineChars="0"/>
              <w:jc w:val="center"/>
              <w:rPr>
                <w:color w:val="auto"/>
                <w:sz w:val="21"/>
                <w:highlight w:val="none"/>
              </w:rPr>
            </w:pPr>
            <w:r>
              <w:rPr>
                <w:rFonts w:hint="eastAsia" w:ascii="仿宋_GB2312" w:hAnsi="仿宋" w:eastAsia="仿宋_GB2312" w:cs="Times New Roman"/>
                <w:color w:val="auto"/>
                <w:sz w:val="21"/>
                <w:szCs w:val="21"/>
                <w:highlight w:val="none"/>
              </w:rPr>
              <w:t>其他</w:t>
            </w:r>
          </w:p>
        </w:tc>
        <w:tc>
          <w:tcPr>
            <w:tcW w:w="6986" w:type="dxa"/>
            <w:tcBorders>
              <w:right w:val="single" w:color="auto" w:sz="12" w:space="0"/>
            </w:tcBorders>
          </w:tcPr>
          <w:p w14:paraId="618F5787">
            <w:pPr>
              <w:adjustRightInd/>
              <w:snapToGrid/>
              <w:spacing w:line="340" w:lineRule="exact"/>
              <w:ind w:firstLine="0" w:firstLineChars="0"/>
              <w:rPr>
                <w:rFonts w:hint="default"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1.国家和省财政资金下达后，采购人在</w:t>
            </w:r>
            <w:r>
              <w:rPr>
                <w:rFonts w:hint="eastAsia" w:ascii="仿宋_GB2312" w:hAnsi="仿宋" w:eastAsia="仿宋_GB2312" w:cs="Times New Roman"/>
                <w:color w:val="auto"/>
                <w:sz w:val="21"/>
                <w:szCs w:val="21"/>
                <w:highlight w:val="none"/>
                <w:lang w:val="en-US" w:eastAsia="zh-CN"/>
              </w:rPr>
              <w:t>约</w:t>
            </w:r>
            <w:r>
              <w:rPr>
                <w:rFonts w:hint="eastAsia" w:ascii="仿宋_GB2312" w:hAnsi="仿宋" w:eastAsia="仿宋_GB2312" w:cs="Times New Roman"/>
                <w:color w:val="auto"/>
                <w:sz w:val="21"/>
                <w:szCs w:val="21"/>
                <w:highlight w:val="none"/>
              </w:rPr>
              <w:t>定</w:t>
            </w:r>
            <w:r>
              <w:rPr>
                <w:rFonts w:hint="eastAsia" w:ascii="仿宋_GB2312" w:hAnsi="仿宋" w:eastAsia="仿宋_GB2312" w:cs="Times New Roman"/>
                <w:color w:val="auto"/>
                <w:sz w:val="21"/>
                <w:szCs w:val="21"/>
                <w:highlight w:val="none"/>
                <w:lang w:val="en-US" w:eastAsia="zh-CN"/>
              </w:rPr>
              <w:t>期限</w:t>
            </w:r>
            <w:r>
              <w:rPr>
                <w:rFonts w:hint="eastAsia" w:ascii="仿宋_GB2312" w:hAnsi="仿宋" w:eastAsia="仿宋_GB2312" w:cs="Times New Roman"/>
                <w:color w:val="auto"/>
                <w:sz w:val="21"/>
                <w:szCs w:val="21"/>
                <w:highlight w:val="none"/>
              </w:rPr>
              <w:t>内向省政府采购支付部门申请办理支付手续（不含省政府财政支付部门审核的时间），即视为采购人已经按期支付</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如</w:t>
            </w:r>
            <w:r>
              <w:rPr>
                <w:rFonts w:hint="eastAsia" w:ascii="仿宋_GB2312" w:hAnsi="仿宋" w:eastAsia="仿宋_GB2312" w:cs="Times New Roman"/>
                <w:color w:val="auto"/>
                <w:sz w:val="21"/>
                <w:szCs w:val="21"/>
                <w:highlight w:val="none"/>
              </w:rPr>
              <w:t>省政府财政支付部门</w:t>
            </w:r>
            <w:r>
              <w:rPr>
                <w:rFonts w:hint="eastAsia" w:ascii="仿宋_GB2312" w:hAnsi="仿宋" w:eastAsia="仿宋_GB2312" w:cs="Times New Roman"/>
                <w:color w:val="auto"/>
                <w:sz w:val="21"/>
                <w:szCs w:val="21"/>
                <w:highlight w:val="none"/>
                <w:lang w:val="en-US" w:eastAsia="zh-CN"/>
              </w:rPr>
              <w:t>办理延后</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中标人不得以此为理由拒绝或延误履约。</w:t>
            </w:r>
          </w:p>
          <w:p w14:paraId="5DA11D10">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2.除不可抗力情况外，超过</w:t>
            </w:r>
            <w:r>
              <w:rPr>
                <w:rFonts w:hint="eastAsia" w:ascii="仿宋_GB2312" w:hAnsi="仿宋" w:eastAsia="仿宋_GB2312" w:cs="Times New Roman"/>
                <w:color w:val="auto"/>
                <w:sz w:val="21"/>
                <w:szCs w:val="21"/>
                <w:highlight w:val="none"/>
                <w:lang w:val="en-US" w:eastAsia="zh-CN"/>
              </w:rPr>
              <w:t>20</w:t>
            </w:r>
            <w:r>
              <w:rPr>
                <w:rFonts w:hint="eastAsia" w:ascii="仿宋_GB2312" w:hAnsi="仿宋" w:eastAsia="仿宋_GB2312" w:cs="Times New Roman"/>
                <w:color w:val="auto"/>
                <w:sz w:val="21"/>
                <w:szCs w:val="21"/>
                <w:highlight w:val="none"/>
              </w:rPr>
              <w:t>%的站点数据精度报告连续3次不合格，采购人有权不予交工验收，单方面终止合同</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并保留追究中标人相关责任的权利。</w:t>
            </w:r>
          </w:p>
          <w:p w14:paraId="4F55B6EF">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3.中标人应在采购人办理付款手续前</w:t>
            </w:r>
            <w:r>
              <w:rPr>
                <w:rFonts w:hint="eastAsia" w:ascii="仿宋_GB2312" w:hAnsi="仿宋" w:eastAsia="仿宋_GB2312" w:cs="Times New Roman"/>
                <w:color w:val="auto"/>
                <w:sz w:val="21"/>
                <w:szCs w:val="21"/>
                <w:highlight w:val="none"/>
                <w:lang w:val="en-US" w:eastAsia="zh-CN"/>
              </w:rPr>
              <w:t>7</w:t>
            </w:r>
            <w:r>
              <w:rPr>
                <w:rFonts w:hint="eastAsia" w:ascii="仿宋_GB2312" w:hAnsi="仿宋" w:eastAsia="仿宋_GB2312" w:cs="Times New Roman"/>
                <w:color w:val="auto"/>
                <w:sz w:val="21"/>
                <w:szCs w:val="21"/>
                <w:highlight w:val="none"/>
              </w:rPr>
              <w:t>个工作日内，</w:t>
            </w:r>
            <w:r>
              <w:rPr>
                <w:rFonts w:hint="eastAsia" w:ascii="仿宋_GB2312" w:hAnsi="仿宋" w:eastAsia="仿宋_GB2312" w:cs="Times New Roman"/>
                <w:color w:val="auto"/>
                <w:sz w:val="21"/>
                <w:szCs w:val="21"/>
                <w:highlight w:val="none"/>
                <w:lang w:val="en-US" w:eastAsia="zh-CN"/>
              </w:rPr>
              <w:t>出具</w:t>
            </w:r>
            <w:r>
              <w:rPr>
                <w:rFonts w:hint="eastAsia" w:ascii="仿宋_GB2312" w:hAnsi="仿宋" w:eastAsia="仿宋_GB2312" w:cs="Times New Roman"/>
                <w:color w:val="auto"/>
                <w:sz w:val="21"/>
                <w:szCs w:val="21"/>
                <w:highlight w:val="none"/>
              </w:rPr>
              <w:t>等额的有效发票给采购人。</w:t>
            </w:r>
          </w:p>
        </w:tc>
      </w:tr>
      <w:tr w14:paraId="4735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tcBorders>
              <w:left w:val="single" w:color="auto" w:sz="12" w:space="0"/>
            </w:tcBorders>
            <w:vAlign w:val="center"/>
          </w:tcPr>
          <w:p w14:paraId="31B1A32B">
            <w:pPr>
              <w:adjustRightInd/>
              <w:snapToGrid/>
              <w:spacing w:line="340" w:lineRule="exact"/>
              <w:ind w:firstLine="0" w:firstLineChars="0"/>
              <w:jc w:val="center"/>
              <w:rPr>
                <w:color w:val="auto"/>
                <w:sz w:val="21"/>
                <w:highlight w:val="none"/>
              </w:rPr>
            </w:pPr>
            <w:r>
              <w:rPr>
                <w:rFonts w:hint="eastAsia" w:ascii="仿宋_GB2312" w:hAnsi="仿宋" w:eastAsia="仿宋_GB2312" w:cs="Times New Roman"/>
                <w:color w:val="auto"/>
                <w:sz w:val="21"/>
                <w:szCs w:val="21"/>
                <w:highlight w:val="none"/>
              </w:rPr>
              <w:t>其他商务要求</w:t>
            </w:r>
          </w:p>
        </w:tc>
        <w:tc>
          <w:tcPr>
            <w:tcW w:w="6986" w:type="dxa"/>
            <w:tcBorders>
              <w:right w:val="single" w:color="auto" w:sz="12" w:space="0"/>
            </w:tcBorders>
          </w:tcPr>
          <w:p w14:paraId="2CDD3EBA">
            <w:pPr>
              <w:adjustRightInd/>
              <w:snapToGrid/>
              <w:spacing w:line="340" w:lineRule="exact"/>
              <w:ind w:firstLine="0" w:firstLineChars="0"/>
              <w:rPr>
                <w:rFonts w:hint="eastAsia" w:ascii="仿宋_GB2312" w:hAnsi="仿宋" w:eastAsia="仿宋_GB2312" w:cs="Times New Roman"/>
                <w:b/>
                <w:bCs/>
                <w:color w:val="auto"/>
                <w:sz w:val="21"/>
                <w:szCs w:val="21"/>
                <w:highlight w:val="none"/>
              </w:rPr>
            </w:pPr>
            <w:r>
              <w:rPr>
                <w:rFonts w:hint="eastAsia" w:ascii="楷体_GB2312" w:hAnsi="楷体_GB2312" w:eastAsia="楷体_GB2312" w:cs="楷体_GB2312"/>
                <w:b/>
                <w:bCs/>
                <w:color w:val="auto"/>
                <w:sz w:val="21"/>
                <w:szCs w:val="21"/>
                <w:highlight w:val="none"/>
                <w:lang w:eastAsia="zh-CN"/>
              </w:rPr>
              <w:t>（</w:t>
            </w:r>
            <w:r>
              <w:rPr>
                <w:rFonts w:hint="eastAsia" w:ascii="楷体_GB2312" w:hAnsi="楷体_GB2312" w:eastAsia="楷体_GB2312" w:cs="楷体_GB2312"/>
                <w:b/>
                <w:bCs/>
                <w:color w:val="auto"/>
                <w:sz w:val="21"/>
                <w:szCs w:val="21"/>
                <w:highlight w:val="none"/>
              </w:rPr>
              <w:t>一</w:t>
            </w:r>
            <w:r>
              <w:rPr>
                <w:rFonts w:hint="eastAsia" w:ascii="楷体_GB2312" w:hAnsi="楷体_GB2312" w:eastAsia="楷体_GB2312" w:cs="楷体_GB2312"/>
                <w:b/>
                <w:bCs/>
                <w:color w:val="auto"/>
                <w:sz w:val="21"/>
                <w:szCs w:val="21"/>
                <w:highlight w:val="none"/>
                <w:lang w:eastAsia="zh-CN"/>
              </w:rPr>
              <w:t>）</w:t>
            </w:r>
            <w:r>
              <w:rPr>
                <w:rFonts w:hint="eastAsia" w:ascii="楷体_GB2312" w:hAnsi="楷体_GB2312" w:eastAsia="楷体_GB2312" w:cs="楷体_GB2312"/>
                <w:b/>
                <w:bCs/>
                <w:color w:val="auto"/>
                <w:sz w:val="21"/>
                <w:szCs w:val="21"/>
                <w:highlight w:val="none"/>
              </w:rPr>
              <w:t>报价要求</w:t>
            </w:r>
          </w:p>
          <w:p w14:paraId="58B29C7A">
            <w:pPr>
              <w:adjustRightInd/>
              <w:snapToGrid/>
              <w:spacing w:line="340" w:lineRule="exact"/>
              <w:ind w:firstLine="420" w:firstLineChars="20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投标报价包括现场勘察、安装、设备</w:t>
            </w:r>
            <w:r>
              <w:rPr>
                <w:rFonts w:hint="eastAsia" w:ascii="仿宋_GB2312" w:hAnsi="仿宋" w:eastAsia="仿宋_GB2312" w:cs="Times New Roman"/>
                <w:color w:val="auto"/>
                <w:sz w:val="21"/>
                <w:szCs w:val="21"/>
                <w:highlight w:val="none"/>
                <w:lang w:val="en-US" w:eastAsia="zh-CN"/>
              </w:rPr>
              <w:t>采购</w:t>
            </w:r>
            <w:r>
              <w:rPr>
                <w:rFonts w:hint="eastAsia" w:ascii="仿宋_GB2312" w:hAnsi="仿宋" w:eastAsia="仿宋_GB2312" w:cs="Times New Roman"/>
                <w:color w:val="auto"/>
                <w:sz w:val="21"/>
                <w:szCs w:val="21"/>
                <w:highlight w:val="none"/>
              </w:rPr>
              <w:t>（含仓储运输）、调试、数据传输、验收、</w:t>
            </w:r>
            <w:r>
              <w:rPr>
                <w:rFonts w:hint="eastAsia" w:ascii="仿宋_GB2312" w:hAnsi="仿宋" w:eastAsia="仿宋_GB2312" w:cs="Times New Roman"/>
                <w:color w:val="auto"/>
                <w:sz w:val="21"/>
                <w:szCs w:val="21"/>
                <w:highlight w:val="none"/>
                <w:lang w:val="en-US" w:eastAsia="zh-CN"/>
              </w:rPr>
              <w:t>培训、</w:t>
            </w:r>
            <w:r>
              <w:rPr>
                <w:rFonts w:hint="eastAsia" w:ascii="仿宋_GB2312" w:hAnsi="仿宋" w:eastAsia="仿宋_GB2312" w:cs="Times New Roman"/>
                <w:color w:val="auto"/>
                <w:sz w:val="21"/>
                <w:szCs w:val="21"/>
                <w:highlight w:val="none"/>
              </w:rPr>
              <w:t>维护期内的设备维护保养</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巡检所需费用及各站点运行所需电费</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数据采集服务、物联网卡流量等</w:t>
            </w:r>
            <w:r>
              <w:rPr>
                <w:rFonts w:hint="eastAsia" w:ascii="仿宋_GB2312" w:hAnsi="仿宋" w:eastAsia="仿宋_GB2312" w:cs="Times New Roman"/>
                <w:color w:val="auto"/>
                <w:sz w:val="21"/>
                <w:szCs w:val="21"/>
                <w:highlight w:val="none"/>
                <w:lang w:val="en-US" w:eastAsia="zh-CN"/>
              </w:rPr>
              <w:t>所有</w:t>
            </w:r>
            <w:r>
              <w:rPr>
                <w:rFonts w:hint="eastAsia" w:ascii="仿宋_GB2312" w:hAnsi="仿宋" w:eastAsia="仿宋_GB2312" w:cs="Times New Roman"/>
                <w:color w:val="auto"/>
                <w:sz w:val="21"/>
                <w:szCs w:val="21"/>
                <w:highlight w:val="none"/>
              </w:rPr>
              <w:t>费用</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设备送至采购人认可的地点后，在设备验收合格至安装完成前的仓储费用</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已包含在本项目报价中，采购人不再另行支付任何费用。</w:t>
            </w:r>
          </w:p>
          <w:p w14:paraId="3D423B19">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lang w:eastAsia="zh-CN"/>
              </w:rPr>
              <w:t>（</w:t>
            </w:r>
            <w:r>
              <w:rPr>
                <w:rFonts w:hint="eastAsia" w:ascii="楷体_GB2312" w:hAnsi="楷体_GB2312" w:eastAsia="楷体_GB2312" w:cs="楷体_GB2312"/>
                <w:b/>
                <w:bCs/>
                <w:color w:val="auto"/>
                <w:sz w:val="21"/>
                <w:szCs w:val="21"/>
                <w:highlight w:val="none"/>
              </w:rPr>
              <w:t>二</w:t>
            </w:r>
            <w:r>
              <w:rPr>
                <w:rFonts w:hint="eastAsia" w:ascii="楷体_GB2312" w:hAnsi="楷体_GB2312" w:eastAsia="楷体_GB2312" w:cs="楷体_GB2312"/>
                <w:b/>
                <w:bCs/>
                <w:color w:val="auto"/>
                <w:sz w:val="21"/>
                <w:szCs w:val="21"/>
                <w:highlight w:val="none"/>
                <w:lang w:eastAsia="zh-CN"/>
              </w:rPr>
              <w:t>）</w:t>
            </w:r>
            <w:r>
              <w:rPr>
                <w:rFonts w:hint="eastAsia" w:ascii="楷体_GB2312" w:hAnsi="楷体_GB2312" w:eastAsia="楷体_GB2312" w:cs="楷体_GB2312"/>
                <w:b/>
                <w:bCs/>
                <w:color w:val="auto"/>
                <w:sz w:val="21"/>
                <w:szCs w:val="21"/>
                <w:highlight w:val="none"/>
              </w:rPr>
              <w:t>安装、调试、培训要求</w:t>
            </w:r>
          </w:p>
          <w:p w14:paraId="7C601ADA">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1.设备安装调试</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检测和维护</w:t>
            </w:r>
            <w:r>
              <w:rPr>
                <w:rFonts w:hint="eastAsia" w:ascii="仿宋_GB2312" w:hAnsi="仿宋" w:eastAsia="仿宋_GB2312" w:cs="Times New Roman"/>
                <w:color w:val="auto"/>
                <w:sz w:val="21"/>
                <w:szCs w:val="21"/>
                <w:highlight w:val="none"/>
                <w:lang w:val="en-US" w:eastAsia="zh-CN"/>
              </w:rPr>
              <w:t>过程，</w:t>
            </w:r>
            <w:r>
              <w:rPr>
                <w:rFonts w:hint="eastAsia" w:ascii="仿宋_GB2312" w:hAnsi="仿宋" w:eastAsia="仿宋_GB2312" w:cs="Times New Roman"/>
                <w:color w:val="auto"/>
                <w:sz w:val="21"/>
                <w:szCs w:val="21"/>
                <w:highlight w:val="none"/>
              </w:rPr>
              <w:t>应保持周边路段通行通畅，不得破坏路面。</w:t>
            </w:r>
          </w:p>
          <w:p w14:paraId="705BADDF">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2.中标人应在合同</w:t>
            </w:r>
            <w:r>
              <w:rPr>
                <w:rFonts w:hint="eastAsia" w:ascii="仿宋_GB2312" w:hAnsi="仿宋" w:eastAsia="仿宋_GB2312" w:cs="Times New Roman"/>
                <w:color w:val="auto"/>
                <w:sz w:val="21"/>
                <w:szCs w:val="21"/>
                <w:highlight w:val="none"/>
                <w:lang w:val="en-US" w:eastAsia="zh-CN"/>
              </w:rPr>
              <w:t>约</w:t>
            </w:r>
            <w:r>
              <w:rPr>
                <w:rFonts w:hint="eastAsia" w:ascii="仿宋_GB2312" w:hAnsi="仿宋" w:eastAsia="仿宋_GB2312" w:cs="Times New Roman"/>
                <w:color w:val="auto"/>
                <w:sz w:val="21"/>
                <w:szCs w:val="21"/>
                <w:highlight w:val="none"/>
              </w:rPr>
              <w:t>定的安装调试期内完成本项任务。如因中标人原因而造成延期的，由此而产生的所有费用</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概</w:t>
            </w:r>
            <w:r>
              <w:rPr>
                <w:rFonts w:hint="eastAsia" w:ascii="仿宋_GB2312" w:hAnsi="仿宋" w:eastAsia="仿宋_GB2312" w:cs="Times New Roman"/>
                <w:color w:val="auto"/>
                <w:sz w:val="21"/>
                <w:szCs w:val="21"/>
                <w:highlight w:val="none"/>
              </w:rPr>
              <w:t>由中标人负担。</w:t>
            </w:r>
          </w:p>
          <w:p w14:paraId="156B96AF">
            <w:pPr>
              <w:adjustRightInd/>
              <w:snapToGrid/>
              <w:spacing w:line="340" w:lineRule="exact"/>
              <w:ind w:firstLine="0" w:firstLineChars="0"/>
              <w:rPr>
                <w:rFonts w:hint="default"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3.现场设备安装完成后，由中标人对采购人指定人员进行现场培训。培训内容主要包括设备系统的使用和操作、检查和设备的一般维护</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并向培训人员提供维护所需的特殊工具、口令、</w:t>
            </w:r>
            <w:r>
              <w:rPr>
                <w:rFonts w:hint="eastAsia" w:ascii="仿宋_GB2312" w:hAnsi="仿宋" w:eastAsia="仿宋_GB2312" w:cs="Times New Roman"/>
                <w:color w:val="auto"/>
                <w:sz w:val="21"/>
                <w:szCs w:val="21"/>
                <w:highlight w:val="none"/>
                <w:lang w:eastAsia="zh-CN"/>
              </w:rPr>
              <w:t>图件</w:t>
            </w:r>
            <w:r>
              <w:rPr>
                <w:rFonts w:hint="eastAsia" w:ascii="仿宋_GB2312" w:hAnsi="仿宋" w:eastAsia="仿宋_GB2312" w:cs="Times New Roman"/>
                <w:color w:val="auto"/>
                <w:sz w:val="21"/>
                <w:szCs w:val="21"/>
                <w:highlight w:val="none"/>
              </w:rPr>
              <w:t>、软件及维护手册，使其能对设备进行日常维护保养及处置一般故障。</w:t>
            </w:r>
            <w:r>
              <w:rPr>
                <w:rFonts w:hint="eastAsia" w:ascii="仿宋_GB2312" w:hAnsi="仿宋" w:eastAsia="仿宋_GB2312" w:cs="Times New Roman"/>
                <w:color w:val="auto"/>
                <w:sz w:val="21"/>
                <w:szCs w:val="21"/>
                <w:highlight w:val="none"/>
                <w:lang w:val="en-US" w:eastAsia="zh-CN"/>
              </w:rPr>
              <w:t>培训费用已包含在报价中，采购人不再另行支付。</w:t>
            </w:r>
          </w:p>
          <w:p w14:paraId="51D4763E">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4.培训地点：采购人指定。</w:t>
            </w:r>
          </w:p>
          <w:p w14:paraId="623BFCE7">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lang w:eastAsia="zh-CN"/>
              </w:rPr>
              <w:t>（</w:t>
            </w:r>
            <w:r>
              <w:rPr>
                <w:rFonts w:hint="eastAsia" w:ascii="楷体_GB2312" w:hAnsi="楷体_GB2312" w:eastAsia="楷体_GB2312" w:cs="楷体_GB2312"/>
                <w:b/>
                <w:bCs/>
                <w:color w:val="auto"/>
                <w:sz w:val="21"/>
                <w:szCs w:val="21"/>
                <w:highlight w:val="none"/>
              </w:rPr>
              <w:t>三</w:t>
            </w:r>
            <w:r>
              <w:rPr>
                <w:rFonts w:hint="eastAsia" w:ascii="楷体_GB2312" w:hAnsi="楷体_GB2312" w:eastAsia="楷体_GB2312" w:cs="楷体_GB2312"/>
                <w:b/>
                <w:bCs/>
                <w:color w:val="auto"/>
                <w:sz w:val="21"/>
                <w:szCs w:val="21"/>
                <w:highlight w:val="none"/>
                <w:lang w:eastAsia="zh-CN"/>
              </w:rPr>
              <w:t>）</w:t>
            </w:r>
            <w:r>
              <w:rPr>
                <w:rFonts w:hint="eastAsia" w:ascii="楷体_GB2312" w:hAnsi="楷体_GB2312" w:eastAsia="楷体_GB2312" w:cs="楷体_GB2312"/>
                <w:b/>
                <w:bCs/>
                <w:color w:val="auto"/>
                <w:sz w:val="21"/>
                <w:szCs w:val="21"/>
                <w:highlight w:val="none"/>
              </w:rPr>
              <w:t>知识产权</w:t>
            </w:r>
          </w:p>
          <w:p w14:paraId="0C975EB3">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1.中标人应保证采购人在使用</w:t>
            </w:r>
            <w:r>
              <w:rPr>
                <w:rFonts w:hint="eastAsia" w:ascii="仿宋_GB2312" w:hAnsi="仿宋" w:eastAsia="仿宋_GB2312" w:cs="Times New Roman"/>
                <w:color w:val="auto"/>
                <w:sz w:val="21"/>
                <w:szCs w:val="21"/>
                <w:highlight w:val="none"/>
                <w:lang w:val="en-US" w:eastAsia="zh-CN"/>
              </w:rPr>
              <w:t>本批</w:t>
            </w:r>
            <w:r>
              <w:rPr>
                <w:rFonts w:hint="eastAsia" w:ascii="仿宋_GB2312" w:hAnsi="仿宋" w:eastAsia="仿宋_GB2312" w:cs="Times New Roman"/>
                <w:color w:val="auto"/>
                <w:sz w:val="21"/>
                <w:szCs w:val="21"/>
                <w:highlight w:val="none"/>
              </w:rPr>
              <w:t>设备或其任何一部分时，如受第三方提出的侵犯专利权、著作权、商标权和工业设计权等而引发纠纷或诉讼的，由中标人承担一切责任、费用和经济赔偿。</w:t>
            </w:r>
          </w:p>
          <w:p w14:paraId="7DE23F76">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2.中标人为执行本</w:t>
            </w:r>
            <w:r>
              <w:rPr>
                <w:rFonts w:hint="eastAsia" w:ascii="仿宋_GB2312" w:hAnsi="仿宋" w:eastAsia="仿宋_GB2312" w:cs="Times New Roman"/>
                <w:color w:val="auto"/>
                <w:sz w:val="21"/>
                <w:szCs w:val="21"/>
                <w:highlight w:val="none"/>
                <w:lang w:val="en-US" w:eastAsia="zh-CN"/>
              </w:rPr>
              <w:t>项目任务</w:t>
            </w:r>
            <w:r>
              <w:rPr>
                <w:rFonts w:hint="eastAsia" w:ascii="仿宋_GB2312" w:hAnsi="仿宋" w:eastAsia="仿宋_GB2312" w:cs="Times New Roman"/>
                <w:color w:val="auto"/>
                <w:sz w:val="21"/>
                <w:szCs w:val="21"/>
                <w:highlight w:val="none"/>
              </w:rPr>
              <w:t>而提供给采购人的所有技术资料、软件的永久使用权，归采购人所有。</w:t>
            </w:r>
          </w:p>
          <w:p w14:paraId="2606AD41">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楷体_GB2312" w:hAnsi="楷体_GB2312" w:eastAsia="楷体_GB2312" w:cs="楷体_GB2312"/>
                <w:b/>
                <w:bCs/>
                <w:color w:val="auto"/>
                <w:sz w:val="21"/>
                <w:szCs w:val="21"/>
                <w:highlight w:val="none"/>
                <w:lang w:eastAsia="zh-CN"/>
              </w:rPr>
              <w:t>（</w:t>
            </w:r>
            <w:r>
              <w:rPr>
                <w:rFonts w:hint="eastAsia" w:ascii="楷体_GB2312" w:hAnsi="楷体_GB2312" w:eastAsia="楷体_GB2312" w:cs="楷体_GB2312"/>
                <w:b/>
                <w:bCs/>
                <w:color w:val="auto"/>
                <w:sz w:val="21"/>
                <w:szCs w:val="21"/>
                <w:highlight w:val="none"/>
              </w:rPr>
              <w:t>四</w:t>
            </w:r>
            <w:r>
              <w:rPr>
                <w:rFonts w:hint="eastAsia" w:ascii="楷体_GB2312" w:hAnsi="楷体_GB2312" w:eastAsia="楷体_GB2312" w:cs="楷体_GB2312"/>
                <w:b/>
                <w:bCs/>
                <w:color w:val="auto"/>
                <w:sz w:val="21"/>
                <w:szCs w:val="21"/>
                <w:highlight w:val="none"/>
                <w:lang w:eastAsia="zh-CN"/>
              </w:rPr>
              <w:t>）</w:t>
            </w:r>
            <w:r>
              <w:rPr>
                <w:rFonts w:hint="eastAsia" w:ascii="仿宋_GB2312" w:hAnsi="仿宋" w:eastAsia="仿宋_GB2312" w:cs="Times New Roman"/>
                <w:color w:val="auto"/>
                <w:sz w:val="21"/>
                <w:szCs w:val="21"/>
                <w:highlight w:val="none"/>
              </w:rPr>
              <w:t>质量保证</w:t>
            </w:r>
            <w:r>
              <w:rPr>
                <w:rFonts w:hint="eastAsia" w:ascii="仿宋_GB2312" w:hAnsi="仿宋" w:eastAsia="仿宋_GB2312" w:cs="Times New Roman"/>
                <w:color w:val="auto"/>
                <w:sz w:val="21"/>
                <w:szCs w:val="21"/>
                <w:highlight w:val="none"/>
                <w:lang w:val="en-US" w:eastAsia="zh-CN"/>
              </w:rPr>
              <w:t>期</w:t>
            </w:r>
            <w:r>
              <w:rPr>
                <w:rFonts w:hint="eastAsia" w:ascii="仿宋_GB2312" w:hAnsi="仿宋" w:eastAsia="仿宋_GB2312" w:cs="Times New Roman"/>
                <w:color w:val="auto"/>
                <w:sz w:val="21"/>
                <w:szCs w:val="21"/>
                <w:highlight w:val="none"/>
              </w:rPr>
              <w:t>（简称“质保期”）不低于5年。中标人需在质保期内保障设备</w:t>
            </w:r>
            <w:r>
              <w:rPr>
                <w:rFonts w:hint="eastAsia" w:ascii="仿宋_GB2312" w:hAnsi="仿宋" w:eastAsia="仿宋_GB2312" w:cs="Times New Roman"/>
                <w:color w:val="auto"/>
                <w:sz w:val="21"/>
                <w:szCs w:val="21"/>
                <w:highlight w:val="none"/>
                <w:lang w:val="en-US" w:eastAsia="zh-CN"/>
              </w:rPr>
              <w:t>正常运行和</w:t>
            </w:r>
            <w:r>
              <w:rPr>
                <w:rFonts w:hint="eastAsia" w:ascii="仿宋_GB2312" w:hAnsi="仿宋" w:eastAsia="仿宋_GB2312" w:cs="Times New Roman"/>
                <w:color w:val="auto"/>
                <w:sz w:val="21"/>
                <w:szCs w:val="21"/>
                <w:highlight w:val="none"/>
              </w:rPr>
              <w:t>数据精度</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若数据精度达不到部</w:t>
            </w:r>
            <w:r>
              <w:rPr>
                <w:rFonts w:hint="eastAsia" w:ascii="仿宋_GB2312" w:hAnsi="仿宋" w:eastAsia="仿宋_GB2312" w:cs="Times New Roman"/>
                <w:color w:val="auto"/>
                <w:sz w:val="21"/>
                <w:szCs w:val="21"/>
                <w:highlight w:val="none"/>
                <w:lang w:val="en-US" w:eastAsia="zh-CN"/>
              </w:rPr>
              <w:t>颁</w:t>
            </w:r>
            <w:r>
              <w:rPr>
                <w:rFonts w:hint="eastAsia" w:ascii="仿宋_GB2312" w:hAnsi="仿宋" w:eastAsia="仿宋_GB2312" w:cs="Times New Roman"/>
                <w:color w:val="auto"/>
                <w:sz w:val="21"/>
                <w:szCs w:val="21"/>
                <w:highlight w:val="none"/>
              </w:rPr>
              <w:t>标</w:t>
            </w:r>
            <w:r>
              <w:rPr>
                <w:rFonts w:hint="eastAsia" w:ascii="仿宋_GB2312" w:hAnsi="仿宋" w:eastAsia="仿宋_GB2312" w:cs="Times New Roman"/>
                <w:color w:val="auto"/>
                <w:sz w:val="21"/>
                <w:szCs w:val="21"/>
                <w:highlight w:val="none"/>
                <w:lang w:val="en-US" w:eastAsia="zh-CN"/>
              </w:rPr>
              <w:t>准</w:t>
            </w:r>
            <w:r>
              <w:rPr>
                <w:rFonts w:hint="eastAsia" w:ascii="仿宋_GB2312" w:hAnsi="仿宋" w:eastAsia="仿宋_GB2312" w:cs="Times New Roman"/>
                <w:color w:val="auto"/>
                <w:sz w:val="21"/>
                <w:szCs w:val="21"/>
                <w:highlight w:val="none"/>
              </w:rPr>
              <w:t>，采购人有权追究中标人违约责任。</w:t>
            </w:r>
          </w:p>
          <w:p w14:paraId="2320B6E6">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楷体_GB2312" w:hAnsi="楷体_GB2312" w:eastAsia="楷体_GB2312" w:cs="楷体_GB2312"/>
                <w:b/>
                <w:bCs/>
                <w:color w:val="auto"/>
                <w:sz w:val="21"/>
                <w:szCs w:val="21"/>
                <w:highlight w:val="none"/>
                <w:lang w:eastAsia="zh-CN"/>
              </w:rPr>
              <w:t>（</w:t>
            </w:r>
            <w:r>
              <w:rPr>
                <w:rFonts w:hint="eastAsia" w:ascii="楷体_GB2312" w:hAnsi="楷体_GB2312" w:eastAsia="楷体_GB2312" w:cs="楷体_GB2312"/>
                <w:b/>
                <w:bCs/>
                <w:color w:val="auto"/>
                <w:sz w:val="21"/>
                <w:szCs w:val="21"/>
                <w:highlight w:val="none"/>
              </w:rPr>
              <w:t>五</w:t>
            </w:r>
            <w:r>
              <w:rPr>
                <w:rFonts w:hint="eastAsia" w:ascii="楷体_GB2312" w:hAnsi="楷体_GB2312" w:eastAsia="楷体_GB2312" w:cs="楷体_GB2312"/>
                <w:b/>
                <w:bCs/>
                <w:color w:val="auto"/>
                <w:sz w:val="21"/>
                <w:szCs w:val="21"/>
                <w:highlight w:val="none"/>
                <w:lang w:eastAsia="zh-CN"/>
              </w:rPr>
              <w:t>）</w:t>
            </w:r>
            <w:r>
              <w:rPr>
                <w:rFonts w:hint="eastAsia" w:ascii="仿宋_GB2312" w:hAnsi="仿宋" w:eastAsia="仿宋_GB2312" w:cs="Times New Roman"/>
                <w:color w:val="auto"/>
                <w:sz w:val="21"/>
                <w:szCs w:val="21"/>
                <w:highlight w:val="none"/>
              </w:rPr>
              <w:t>质保期内，如电话响应无法解决，中标人应在8小时内赶到现场</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以保</w:t>
            </w:r>
            <w:r>
              <w:rPr>
                <w:rFonts w:hint="eastAsia" w:ascii="仿宋_GB2312" w:hAnsi="仿宋" w:eastAsia="仿宋_GB2312" w:cs="Times New Roman"/>
                <w:color w:val="auto"/>
                <w:sz w:val="21"/>
                <w:szCs w:val="21"/>
                <w:highlight w:val="none"/>
                <w:lang w:val="en-US" w:eastAsia="zh-CN"/>
              </w:rPr>
              <w:t>障</w:t>
            </w:r>
            <w:r>
              <w:rPr>
                <w:rFonts w:hint="eastAsia" w:ascii="仿宋_GB2312" w:hAnsi="仿宋" w:eastAsia="仿宋_GB2312" w:cs="Times New Roman"/>
                <w:color w:val="auto"/>
                <w:sz w:val="21"/>
                <w:szCs w:val="21"/>
                <w:highlight w:val="none"/>
              </w:rPr>
              <w:t>设备正常运行。在维护期内，应保证48小时内维修完毕</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特殊情况下，中标人可以备用设备满足相应交通调查站点正常需求。</w:t>
            </w:r>
          </w:p>
          <w:p w14:paraId="48900298">
            <w:pPr>
              <w:adjustRightInd/>
              <w:snapToGrid/>
              <w:spacing w:line="340" w:lineRule="exact"/>
              <w:ind w:firstLine="0" w:firstLineChars="0"/>
              <w:rPr>
                <w:rFonts w:hint="eastAsia" w:ascii="仿宋_GB2312" w:hAnsi="仿宋" w:eastAsia="仿宋_GB2312" w:cs="Times New Roman"/>
                <w:b/>
                <w:bCs/>
                <w:color w:val="auto"/>
                <w:sz w:val="21"/>
                <w:szCs w:val="21"/>
                <w:highlight w:val="none"/>
              </w:rPr>
            </w:pPr>
            <w:r>
              <w:rPr>
                <w:rFonts w:hint="eastAsia" w:ascii="楷体_GB2312" w:hAnsi="楷体_GB2312" w:eastAsia="楷体_GB2312" w:cs="楷体_GB2312"/>
                <w:b/>
                <w:bCs/>
                <w:color w:val="auto"/>
                <w:sz w:val="21"/>
                <w:szCs w:val="21"/>
                <w:highlight w:val="none"/>
                <w:lang w:eastAsia="zh-CN"/>
              </w:rPr>
              <w:t>（</w:t>
            </w:r>
            <w:r>
              <w:rPr>
                <w:rFonts w:hint="eastAsia" w:ascii="楷体_GB2312" w:hAnsi="楷体_GB2312" w:eastAsia="楷体_GB2312" w:cs="楷体_GB2312"/>
                <w:b/>
                <w:bCs/>
                <w:color w:val="auto"/>
                <w:sz w:val="21"/>
                <w:szCs w:val="21"/>
                <w:highlight w:val="none"/>
              </w:rPr>
              <w:t>六</w:t>
            </w:r>
            <w:r>
              <w:rPr>
                <w:rFonts w:hint="eastAsia" w:ascii="楷体_GB2312" w:hAnsi="楷体_GB2312" w:eastAsia="楷体_GB2312" w:cs="楷体_GB2312"/>
                <w:b/>
                <w:bCs/>
                <w:color w:val="auto"/>
                <w:sz w:val="21"/>
                <w:szCs w:val="21"/>
                <w:highlight w:val="none"/>
                <w:lang w:eastAsia="zh-CN"/>
              </w:rPr>
              <w:t>）</w:t>
            </w:r>
            <w:r>
              <w:rPr>
                <w:rFonts w:hint="eastAsia" w:ascii="仿宋_GB2312" w:hAnsi="仿宋" w:eastAsia="仿宋_GB2312" w:cs="Times New Roman"/>
                <w:b/>
                <w:bCs/>
                <w:color w:val="auto"/>
                <w:sz w:val="21"/>
                <w:szCs w:val="21"/>
                <w:highlight w:val="none"/>
              </w:rPr>
              <w:t>★中标人须承诺在合同签订后30</w:t>
            </w:r>
            <w:r>
              <w:rPr>
                <w:rFonts w:hint="eastAsia" w:ascii="仿宋_GB2312" w:hAnsi="仿宋" w:eastAsia="仿宋_GB2312" w:cs="Times New Roman"/>
                <w:b/>
                <w:bCs/>
                <w:color w:val="auto"/>
                <w:sz w:val="21"/>
                <w:szCs w:val="21"/>
                <w:highlight w:val="none"/>
                <w:lang w:val="en-US" w:eastAsia="zh-CN"/>
              </w:rPr>
              <w:t>日历日</w:t>
            </w:r>
            <w:r>
              <w:rPr>
                <w:rFonts w:hint="eastAsia" w:ascii="仿宋_GB2312" w:hAnsi="仿宋" w:eastAsia="仿宋_GB2312" w:cs="Times New Roman"/>
                <w:b/>
                <w:bCs/>
                <w:color w:val="auto"/>
                <w:sz w:val="21"/>
                <w:szCs w:val="21"/>
                <w:highlight w:val="none"/>
              </w:rPr>
              <w:t>内，联系所有站点属地</w:t>
            </w:r>
            <w:r>
              <w:rPr>
                <w:rFonts w:hint="eastAsia" w:ascii="仿宋_GB2312" w:hAnsi="仿宋" w:eastAsia="仿宋_GB2312" w:cs="Times New Roman"/>
                <w:b/>
                <w:bCs/>
                <w:color w:val="auto"/>
                <w:sz w:val="21"/>
                <w:szCs w:val="21"/>
                <w:highlight w:val="none"/>
                <w:lang w:eastAsia="zh-CN"/>
              </w:rPr>
              <w:t>的</w:t>
            </w:r>
            <w:r>
              <w:rPr>
                <w:rFonts w:hint="eastAsia" w:ascii="仿宋_GB2312" w:hAnsi="仿宋" w:eastAsia="仿宋_GB2312" w:cs="Times New Roman"/>
                <w:b/>
                <w:bCs/>
                <w:color w:val="auto"/>
                <w:sz w:val="21"/>
                <w:szCs w:val="21"/>
                <w:highlight w:val="none"/>
                <w:lang w:val="en-US" w:eastAsia="zh-CN"/>
              </w:rPr>
              <w:t>交通运输、</w:t>
            </w:r>
            <w:r>
              <w:rPr>
                <w:rFonts w:hint="eastAsia" w:ascii="仿宋_GB2312" w:hAnsi="仿宋" w:eastAsia="仿宋_GB2312" w:cs="Times New Roman"/>
                <w:b/>
                <w:bCs/>
                <w:color w:val="auto"/>
                <w:sz w:val="21"/>
                <w:szCs w:val="21"/>
                <w:highlight w:val="none"/>
              </w:rPr>
              <w:t>公路部门并确定建设位置</w:t>
            </w: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rPr>
              <w:t>然后据现场</w:t>
            </w:r>
            <w:r>
              <w:rPr>
                <w:rFonts w:hint="eastAsia" w:ascii="仿宋_GB2312" w:hAnsi="仿宋" w:eastAsia="仿宋_GB2312" w:cs="Times New Roman"/>
                <w:b/>
                <w:bCs/>
                <w:color w:val="auto"/>
                <w:sz w:val="21"/>
                <w:szCs w:val="21"/>
                <w:highlight w:val="none"/>
                <w:lang w:val="en-US" w:eastAsia="zh-CN"/>
              </w:rPr>
              <w:t>实际</w:t>
            </w: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lang w:val="en-US" w:eastAsia="zh-CN"/>
              </w:rPr>
              <w:t>30日历日</w:t>
            </w:r>
            <w:r>
              <w:rPr>
                <w:rFonts w:hint="eastAsia" w:ascii="仿宋_GB2312" w:hAnsi="仿宋" w:eastAsia="仿宋_GB2312" w:cs="Times New Roman"/>
                <w:b/>
                <w:bCs/>
                <w:color w:val="auto"/>
                <w:sz w:val="21"/>
                <w:szCs w:val="21"/>
                <w:highlight w:val="none"/>
              </w:rPr>
              <w:t>内编制完成安装施工图设计文件，报采购人同意后方可开展安装工作。（出具承诺函，格式自拟）</w:t>
            </w:r>
          </w:p>
          <w:p w14:paraId="5F24FEEF">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lang w:eastAsia="zh-CN"/>
              </w:rPr>
              <w:t>（</w:t>
            </w:r>
            <w:r>
              <w:rPr>
                <w:rFonts w:hint="eastAsia" w:ascii="楷体_GB2312" w:hAnsi="楷体_GB2312" w:eastAsia="楷体_GB2312" w:cs="楷体_GB2312"/>
                <w:b/>
                <w:bCs/>
                <w:color w:val="auto"/>
                <w:sz w:val="21"/>
                <w:szCs w:val="21"/>
                <w:highlight w:val="none"/>
              </w:rPr>
              <w:t>七</w:t>
            </w:r>
            <w:r>
              <w:rPr>
                <w:rFonts w:hint="eastAsia" w:ascii="楷体_GB2312" w:hAnsi="楷体_GB2312" w:eastAsia="楷体_GB2312" w:cs="楷体_GB2312"/>
                <w:b/>
                <w:bCs/>
                <w:color w:val="auto"/>
                <w:sz w:val="21"/>
                <w:szCs w:val="21"/>
                <w:highlight w:val="none"/>
                <w:lang w:eastAsia="zh-CN"/>
              </w:rPr>
              <w:t>）</w:t>
            </w:r>
            <w:r>
              <w:rPr>
                <w:rFonts w:hint="eastAsia" w:ascii="楷体_GB2312" w:hAnsi="楷体_GB2312" w:eastAsia="楷体_GB2312" w:cs="楷体_GB2312"/>
                <w:b/>
                <w:bCs/>
                <w:color w:val="auto"/>
                <w:sz w:val="21"/>
                <w:szCs w:val="21"/>
                <w:highlight w:val="none"/>
              </w:rPr>
              <w:t>人员要求</w:t>
            </w:r>
          </w:p>
          <w:p w14:paraId="302AADDA">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b/>
                <w:bCs/>
                <w:color w:val="auto"/>
                <w:sz w:val="21"/>
                <w:szCs w:val="21"/>
                <w:highlight w:val="none"/>
                <w:lang w:val="en-US" w:eastAsia="zh-CN"/>
              </w:rPr>
              <w:t>1.</w:t>
            </w:r>
            <w:r>
              <w:rPr>
                <w:rFonts w:hint="eastAsia" w:ascii="仿宋_GB2312" w:hAnsi="仿宋" w:eastAsia="仿宋_GB2312" w:cs="Times New Roman"/>
                <w:b/>
                <w:bCs/>
                <w:color w:val="auto"/>
                <w:sz w:val="21"/>
                <w:szCs w:val="21"/>
                <w:highlight w:val="none"/>
              </w:rPr>
              <w:t>项目经理</w:t>
            </w:r>
          </w:p>
          <w:p w14:paraId="613A6752">
            <w:pPr>
              <w:adjustRightInd/>
              <w:snapToGrid/>
              <w:spacing w:line="340" w:lineRule="exact"/>
              <w:ind w:firstLine="420" w:firstLineChars="20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中标人投入至本项</w:t>
            </w:r>
            <w:r>
              <w:rPr>
                <w:rFonts w:hint="eastAsia" w:ascii="仿宋_GB2312" w:hAnsi="仿宋" w:eastAsia="仿宋_GB2312" w:cs="Times New Roman"/>
                <w:color w:val="auto"/>
                <w:sz w:val="21"/>
                <w:szCs w:val="21"/>
                <w:highlight w:val="none"/>
                <w:lang w:val="en-US" w:eastAsia="zh-CN"/>
              </w:rPr>
              <w:t>任务</w:t>
            </w:r>
            <w:r>
              <w:rPr>
                <w:rFonts w:hint="eastAsia" w:ascii="仿宋_GB2312" w:hAnsi="仿宋" w:eastAsia="仿宋_GB2312" w:cs="Times New Roman"/>
                <w:color w:val="auto"/>
                <w:sz w:val="21"/>
                <w:szCs w:val="21"/>
                <w:highlight w:val="none"/>
              </w:rPr>
              <w:t>的项目经理</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应至少符合下列要求：</w:t>
            </w:r>
          </w:p>
          <w:p w14:paraId="0C3BD3A1">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本科</w:t>
            </w:r>
            <w:r>
              <w:rPr>
                <w:rFonts w:hint="eastAsia" w:ascii="仿宋_GB2312" w:hAnsi="仿宋" w:eastAsia="仿宋_GB2312" w:cs="Times New Roman"/>
                <w:color w:val="auto"/>
                <w:sz w:val="21"/>
                <w:szCs w:val="21"/>
                <w:highlight w:val="none"/>
              </w:rPr>
              <w:t>或以上学历；</w:t>
            </w:r>
          </w:p>
          <w:p w14:paraId="6F27C096">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2</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具备人力资源和社会保障部（或工业和信息化部）颁发的中级或以上计算机技术与软件专业技术资格证书；具备公路交通情况调查</w:t>
            </w:r>
            <w:r>
              <w:rPr>
                <w:rFonts w:hint="eastAsia" w:ascii="仿宋_GB2312" w:hAnsi="仿宋" w:eastAsia="仿宋_GB2312" w:cs="Times New Roman"/>
                <w:color w:val="auto"/>
                <w:sz w:val="21"/>
                <w:szCs w:val="21"/>
                <w:highlight w:val="none"/>
                <w:lang w:val="en-US" w:eastAsia="zh-CN"/>
              </w:rPr>
              <w:t>或</w:t>
            </w:r>
            <w:r>
              <w:rPr>
                <w:rFonts w:hint="eastAsia" w:ascii="仿宋_GB2312" w:hAnsi="仿宋" w:eastAsia="仿宋_GB2312" w:cs="Times New Roman"/>
                <w:color w:val="auto"/>
                <w:sz w:val="21"/>
                <w:szCs w:val="21"/>
                <w:highlight w:val="none"/>
              </w:rPr>
              <w:t>公路网运行监测管理系统</w:t>
            </w:r>
            <w:r>
              <w:rPr>
                <w:rFonts w:hint="eastAsia" w:ascii="仿宋_GB2312" w:hAnsi="仿宋" w:eastAsia="仿宋_GB2312" w:cs="Times New Roman"/>
                <w:color w:val="auto"/>
                <w:sz w:val="21"/>
                <w:szCs w:val="21"/>
                <w:highlight w:val="none"/>
                <w:lang w:val="en-US" w:eastAsia="zh-CN"/>
              </w:rPr>
              <w:t>或</w:t>
            </w:r>
            <w:r>
              <w:rPr>
                <w:rFonts w:hint="eastAsia" w:ascii="仿宋_GB2312" w:hAnsi="仿宋" w:eastAsia="仿宋_GB2312" w:cs="Times New Roman"/>
                <w:color w:val="auto"/>
                <w:sz w:val="21"/>
                <w:szCs w:val="21"/>
                <w:highlight w:val="none"/>
              </w:rPr>
              <w:t>公路非现场执法等同类建设</w:t>
            </w:r>
            <w:r>
              <w:rPr>
                <w:rFonts w:hint="eastAsia" w:ascii="仿宋_GB2312" w:hAnsi="仿宋" w:eastAsia="仿宋_GB2312" w:cs="Times New Roman"/>
                <w:color w:val="auto"/>
                <w:sz w:val="21"/>
                <w:szCs w:val="21"/>
                <w:highlight w:val="none"/>
                <w:lang w:val="en-US" w:eastAsia="zh-CN"/>
              </w:rPr>
              <w:t>或</w:t>
            </w:r>
            <w:r>
              <w:rPr>
                <w:rFonts w:hint="eastAsia" w:ascii="仿宋_GB2312" w:hAnsi="仿宋" w:eastAsia="仿宋_GB2312" w:cs="Times New Roman"/>
                <w:color w:val="auto"/>
                <w:sz w:val="21"/>
                <w:szCs w:val="21"/>
                <w:highlight w:val="none"/>
              </w:rPr>
              <w:t>维护项目从业经验</w:t>
            </w:r>
            <w:r>
              <w:rPr>
                <w:rFonts w:hint="eastAsia" w:ascii="仿宋_GB2312" w:hAnsi="仿宋" w:eastAsia="仿宋_GB2312" w:cs="Times New Roman"/>
                <w:color w:val="auto"/>
                <w:sz w:val="21"/>
                <w:szCs w:val="21"/>
                <w:highlight w:val="none"/>
                <w:lang w:val="en-US" w:eastAsia="zh-CN"/>
              </w:rPr>
              <w:t>5</w:t>
            </w:r>
            <w:r>
              <w:rPr>
                <w:rFonts w:hint="eastAsia" w:ascii="仿宋_GB2312" w:hAnsi="仿宋" w:eastAsia="仿宋_GB2312" w:cs="Times New Roman"/>
                <w:color w:val="auto"/>
                <w:sz w:val="21"/>
                <w:szCs w:val="21"/>
                <w:highlight w:val="none"/>
              </w:rPr>
              <w:t>年或以上</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即在202</w:t>
            </w:r>
            <w:r>
              <w:rPr>
                <w:rFonts w:hint="eastAsia" w:ascii="仿宋_GB2312" w:hAnsi="仿宋" w:eastAsia="仿宋_GB2312" w:cs="Times New Roman"/>
                <w:color w:val="auto"/>
                <w:sz w:val="21"/>
                <w:szCs w:val="21"/>
                <w:highlight w:val="none"/>
                <w:lang w:val="en-US" w:eastAsia="zh-CN"/>
              </w:rPr>
              <w:t>0</w:t>
            </w:r>
            <w:r>
              <w:rPr>
                <w:rFonts w:hint="eastAsia" w:ascii="仿宋_GB2312" w:hAnsi="仿宋" w:eastAsia="仿宋_GB2312" w:cs="Times New Roman"/>
                <w:color w:val="auto"/>
                <w:sz w:val="21"/>
                <w:szCs w:val="21"/>
                <w:highlight w:val="none"/>
              </w:rPr>
              <w:t>年1</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月</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1日前具备同类型项目</w:t>
            </w:r>
            <w:r>
              <w:rPr>
                <w:rFonts w:hint="eastAsia" w:ascii="仿宋_GB2312" w:hAnsi="仿宋" w:eastAsia="仿宋_GB2312" w:cs="Times New Roman"/>
                <w:color w:val="auto"/>
                <w:sz w:val="21"/>
                <w:szCs w:val="21"/>
                <w:highlight w:val="none"/>
                <w:lang w:val="en-US" w:eastAsia="zh-CN"/>
              </w:rPr>
              <w:t>业绩</w:t>
            </w:r>
            <w:r>
              <w:rPr>
                <w:rFonts w:hint="eastAsia" w:ascii="仿宋_GB2312" w:hAnsi="仿宋" w:eastAsia="仿宋_GB2312" w:cs="Times New Roman"/>
                <w:color w:val="auto"/>
                <w:sz w:val="21"/>
                <w:szCs w:val="21"/>
                <w:highlight w:val="none"/>
              </w:rPr>
              <w:t>。</w:t>
            </w:r>
          </w:p>
          <w:p w14:paraId="2323CEBA">
            <w:pPr>
              <w:adjustRightInd/>
              <w:snapToGrid/>
              <w:spacing w:line="340" w:lineRule="exact"/>
              <w:ind w:firstLine="0" w:firstLineChars="0"/>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lang w:val="en-US" w:eastAsia="zh-CN"/>
              </w:rPr>
              <w:t>2.</w:t>
            </w:r>
            <w:r>
              <w:rPr>
                <w:rFonts w:hint="eastAsia" w:ascii="仿宋_GB2312" w:hAnsi="仿宋" w:eastAsia="仿宋_GB2312" w:cs="Times New Roman"/>
                <w:b/>
                <w:bCs/>
                <w:color w:val="auto"/>
                <w:sz w:val="21"/>
                <w:szCs w:val="21"/>
                <w:highlight w:val="none"/>
              </w:rPr>
              <w:t>技术负责人</w:t>
            </w:r>
          </w:p>
          <w:p w14:paraId="62B97220">
            <w:pPr>
              <w:adjustRightInd/>
              <w:snapToGrid/>
              <w:spacing w:line="340" w:lineRule="exact"/>
              <w:ind w:firstLine="420" w:firstLineChars="20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中标人投入至本项</w:t>
            </w:r>
            <w:r>
              <w:rPr>
                <w:rFonts w:hint="eastAsia" w:ascii="仿宋_GB2312" w:hAnsi="仿宋" w:eastAsia="仿宋_GB2312" w:cs="Times New Roman"/>
                <w:color w:val="auto"/>
                <w:sz w:val="21"/>
                <w:szCs w:val="21"/>
                <w:highlight w:val="none"/>
                <w:lang w:val="en-US" w:eastAsia="zh-CN"/>
              </w:rPr>
              <w:t>任务</w:t>
            </w:r>
            <w:r>
              <w:rPr>
                <w:rFonts w:hint="eastAsia" w:ascii="仿宋_GB2312" w:hAnsi="仿宋" w:eastAsia="仿宋_GB2312" w:cs="Times New Roman"/>
                <w:color w:val="auto"/>
                <w:sz w:val="21"/>
                <w:szCs w:val="21"/>
                <w:highlight w:val="none"/>
              </w:rPr>
              <w:t>的技术负责人</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应至少符合下列要求：</w:t>
            </w:r>
          </w:p>
          <w:p w14:paraId="639335E6">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本科</w:t>
            </w:r>
            <w:r>
              <w:rPr>
                <w:rFonts w:hint="eastAsia" w:ascii="仿宋_GB2312" w:hAnsi="仿宋" w:eastAsia="仿宋_GB2312" w:cs="Times New Roman"/>
                <w:color w:val="auto"/>
                <w:sz w:val="21"/>
                <w:szCs w:val="21"/>
                <w:highlight w:val="none"/>
              </w:rPr>
              <w:t>或以上学历；</w:t>
            </w:r>
          </w:p>
          <w:p w14:paraId="3D42E1A9">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具备人力资源和社会保障部（或工业和信息化部）颁发的中级或以上计算机技术与软件专业技术资格证书；具备公路交通情况调查</w:t>
            </w:r>
            <w:r>
              <w:rPr>
                <w:rFonts w:hint="eastAsia" w:ascii="仿宋_GB2312" w:hAnsi="仿宋" w:eastAsia="仿宋_GB2312" w:cs="Times New Roman"/>
                <w:color w:val="auto"/>
                <w:sz w:val="21"/>
                <w:szCs w:val="21"/>
                <w:highlight w:val="none"/>
                <w:lang w:val="en-US" w:eastAsia="zh-CN"/>
              </w:rPr>
              <w:t>或</w:t>
            </w:r>
            <w:r>
              <w:rPr>
                <w:rFonts w:hint="eastAsia" w:ascii="仿宋_GB2312" w:hAnsi="仿宋" w:eastAsia="仿宋_GB2312" w:cs="Times New Roman"/>
                <w:color w:val="auto"/>
                <w:sz w:val="21"/>
                <w:szCs w:val="21"/>
                <w:highlight w:val="none"/>
              </w:rPr>
              <w:t>公路网运行监测管理系统</w:t>
            </w:r>
            <w:r>
              <w:rPr>
                <w:rFonts w:hint="eastAsia" w:ascii="仿宋_GB2312" w:hAnsi="仿宋" w:eastAsia="仿宋_GB2312" w:cs="Times New Roman"/>
                <w:color w:val="auto"/>
                <w:sz w:val="21"/>
                <w:szCs w:val="21"/>
                <w:highlight w:val="none"/>
                <w:lang w:val="en-US" w:eastAsia="zh-CN"/>
              </w:rPr>
              <w:t>或</w:t>
            </w:r>
            <w:r>
              <w:rPr>
                <w:rFonts w:hint="eastAsia" w:ascii="仿宋_GB2312" w:hAnsi="仿宋" w:eastAsia="仿宋_GB2312" w:cs="Times New Roman"/>
                <w:color w:val="auto"/>
                <w:sz w:val="21"/>
                <w:szCs w:val="21"/>
                <w:highlight w:val="none"/>
              </w:rPr>
              <w:t>公路非现场执法等同类建设</w:t>
            </w:r>
            <w:r>
              <w:rPr>
                <w:rFonts w:hint="eastAsia" w:ascii="仿宋_GB2312" w:hAnsi="仿宋" w:eastAsia="仿宋_GB2312" w:cs="Times New Roman"/>
                <w:color w:val="auto"/>
                <w:sz w:val="21"/>
                <w:szCs w:val="21"/>
                <w:highlight w:val="none"/>
                <w:lang w:val="en-US" w:eastAsia="zh-CN"/>
              </w:rPr>
              <w:t>或</w:t>
            </w:r>
            <w:r>
              <w:rPr>
                <w:rFonts w:hint="eastAsia" w:ascii="仿宋_GB2312" w:hAnsi="仿宋" w:eastAsia="仿宋_GB2312" w:cs="Times New Roman"/>
                <w:color w:val="auto"/>
                <w:sz w:val="21"/>
                <w:szCs w:val="21"/>
                <w:highlight w:val="none"/>
              </w:rPr>
              <w:t>维护项目从业经验</w:t>
            </w:r>
            <w:r>
              <w:rPr>
                <w:rFonts w:hint="eastAsia" w:ascii="仿宋_GB2312" w:hAnsi="仿宋" w:eastAsia="仿宋_GB2312" w:cs="Times New Roman"/>
                <w:color w:val="auto"/>
                <w:sz w:val="21"/>
                <w:szCs w:val="21"/>
                <w:highlight w:val="none"/>
                <w:lang w:val="en-US" w:eastAsia="zh-CN"/>
              </w:rPr>
              <w:t>5</w:t>
            </w:r>
            <w:r>
              <w:rPr>
                <w:rFonts w:hint="eastAsia" w:ascii="仿宋_GB2312" w:hAnsi="仿宋" w:eastAsia="仿宋_GB2312" w:cs="Times New Roman"/>
                <w:color w:val="auto"/>
                <w:sz w:val="21"/>
                <w:szCs w:val="21"/>
                <w:highlight w:val="none"/>
              </w:rPr>
              <w:t>年或以上</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即在202</w:t>
            </w:r>
            <w:r>
              <w:rPr>
                <w:rFonts w:hint="eastAsia" w:ascii="仿宋_GB2312" w:hAnsi="仿宋" w:eastAsia="仿宋_GB2312" w:cs="Times New Roman"/>
                <w:color w:val="auto"/>
                <w:sz w:val="21"/>
                <w:szCs w:val="21"/>
                <w:highlight w:val="none"/>
                <w:lang w:val="en-US" w:eastAsia="zh-CN"/>
              </w:rPr>
              <w:t>0</w:t>
            </w:r>
            <w:r>
              <w:rPr>
                <w:rFonts w:hint="eastAsia" w:ascii="仿宋_GB2312" w:hAnsi="仿宋" w:eastAsia="仿宋_GB2312" w:cs="Times New Roman"/>
                <w:color w:val="auto"/>
                <w:sz w:val="21"/>
                <w:szCs w:val="21"/>
                <w:highlight w:val="none"/>
              </w:rPr>
              <w:t>年1</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月</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1日前具备同类型项目</w:t>
            </w:r>
            <w:r>
              <w:rPr>
                <w:rFonts w:hint="eastAsia" w:ascii="仿宋_GB2312" w:hAnsi="仿宋" w:eastAsia="仿宋_GB2312" w:cs="Times New Roman"/>
                <w:color w:val="auto"/>
                <w:sz w:val="21"/>
                <w:szCs w:val="21"/>
                <w:highlight w:val="none"/>
                <w:lang w:val="en-US" w:eastAsia="zh-CN"/>
              </w:rPr>
              <w:t>业绩</w:t>
            </w:r>
            <w:r>
              <w:rPr>
                <w:rFonts w:hint="eastAsia" w:ascii="仿宋_GB2312" w:hAnsi="仿宋" w:eastAsia="仿宋_GB2312" w:cs="Times New Roman"/>
                <w:color w:val="auto"/>
                <w:sz w:val="21"/>
                <w:szCs w:val="21"/>
                <w:highlight w:val="none"/>
              </w:rPr>
              <w:t>。</w:t>
            </w:r>
          </w:p>
          <w:p w14:paraId="4261ED44">
            <w:pPr>
              <w:adjustRightInd/>
              <w:snapToGrid/>
              <w:spacing w:line="340" w:lineRule="exact"/>
              <w:ind w:firstLine="0" w:firstLineChars="0"/>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lang w:val="en-US" w:eastAsia="zh-CN"/>
              </w:rPr>
              <w:t>3.</w:t>
            </w:r>
            <w:r>
              <w:rPr>
                <w:rFonts w:hint="eastAsia" w:ascii="仿宋_GB2312" w:hAnsi="仿宋" w:eastAsia="仿宋_GB2312" w:cs="Times New Roman"/>
                <w:b/>
                <w:bCs/>
                <w:color w:val="auto"/>
                <w:sz w:val="21"/>
                <w:szCs w:val="21"/>
                <w:highlight w:val="none"/>
              </w:rPr>
              <w:t>客户服务（简称“客服”）人员</w:t>
            </w:r>
          </w:p>
          <w:p w14:paraId="4C46A5E6">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rPr>
              <w:t>1</w:t>
            </w: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rPr>
              <w:t>★中标人需提供至少2名专业客服人员，大学专科</w:t>
            </w:r>
            <w:r>
              <w:rPr>
                <w:rFonts w:hint="eastAsia" w:ascii="仿宋_GB2312" w:hAnsi="仿宋" w:eastAsia="仿宋_GB2312" w:cs="Times New Roman"/>
                <w:b/>
                <w:bCs/>
                <w:color w:val="auto"/>
                <w:sz w:val="21"/>
                <w:szCs w:val="21"/>
                <w:highlight w:val="none"/>
                <w:lang w:val="en-US" w:eastAsia="zh-CN"/>
              </w:rPr>
              <w:t>或</w:t>
            </w:r>
            <w:r>
              <w:rPr>
                <w:rFonts w:hint="eastAsia" w:ascii="仿宋_GB2312" w:hAnsi="仿宋" w:eastAsia="仿宋_GB2312" w:cs="Times New Roman"/>
                <w:b/>
                <w:bCs/>
                <w:color w:val="auto"/>
                <w:sz w:val="21"/>
                <w:szCs w:val="21"/>
                <w:highlight w:val="none"/>
              </w:rPr>
              <w:t>以上学历，4年</w:t>
            </w:r>
            <w:r>
              <w:rPr>
                <w:rFonts w:hint="eastAsia" w:ascii="仿宋_GB2312" w:hAnsi="仿宋" w:eastAsia="仿宋_GB2312" w:cs="Times New Roman"/>
                <w:b/>
                <w:bCs/>
                <w:color w:val="auto"/>
                <w:sz w:val="21"/>
                <w:szCs w:val="21"/>
                <w:highlight w:val="none"/>
                <w:lang w:val="en-US" w:eastAsia="zh-CN"/>
              </w:rPr>
              <w:t>或</w:t>
            </w:r>
            <w:r>
              <w:rPr>
                <w:rFonts w:hint="eastAsia" w:ascii="仿宋_GB2312" w:hAnsi="仿宋" w:eastAsia="仿宋_GB2312" w:cs="Times New Roman"/>
                <w:b/>
                <w:bCs/>
                <w:color w:val="auto"/>
                <w:sz w:val="21"/>
                <w:szCs w:val="21"/>
                <w:highlight w:val="none"/>
              </w:rPr>
              <w:t>以上相关从业经验，应具有良好的客户服务意识和沟通能力。（出具承诺函）</w:t>
            </w:r>
          </w:p>
          <w:p w14:paraId="05D93543">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2</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7*24小时负责项目设备日常运行状态监控，提供7*12（8:00</w:t>
            </w:r>
            <w:r>
              <w:rPr>
                <w:rFonts w:hint="eastAsia" w:ascii="仿宋_GB2312" w:hAnsi="仿宋" w:eastAsia="仿宋_GB2312" w:cs="Times New Roman"/>
                <w:color w:val="auto"/>
                <w:sz w:val="21"/>
                <w:szCs w:val="21"/>
                <w:highlight w:val="none"/>
                <w:lang w:val="en-US" w:eastAsia="zh-CN"/>
              </w:rPr>
              <w:t>-</w:t>
            </w:r>
            <w:r>
              <w:rPr>
                <w:rFonts w:hint="eastAsia" w:ascii="仿宋_GB2312" w:hAnsi="仿宋" w:eastAsia="仿宋_GB2312" w:cs="Times New Roman"/>
                <w:color w:val="auto"/>
                <w:sz w:val="21"/>
                <w:szCs w:val="21"/>
                <w:highlight w:val="none"/>
              </w:rPr>
              <w:t>20:00）</w:t>
            </w:r>
            <w:r>
              <w:rPr>
                <w:rFonts w:hint="eastAsia" w:ascii="仿宋_GB2312" w:hAnsi="仿宋" w:eastAsia="仿宋_GB2312" w:cs="Times New Roman"/>
                <w:color w:val="auto"/>
                <w:sz w:val="21"/>
                <w:szCs w:val="21"/>
                <w:highlight w:val="none"/>
                <w:lang w:val="en-US" w:eastAsia="zh-CN"/>
              </w:rPr>
              <w:t>小时</w:t>
            </w:r>
            <w:r>
              <w:rPr>
                <w:rFonts w:hint="eastAsia" w:ascii="仿宋_GB2312" w:hAnsi="仿宋" w:eastAsia="仿宋_GB2312" w:cs="Times New Roman"/>
                <w:color w:val="auto"/>
                <w:sz w:val="21"/>
                <w:szCs w:val="21"/>
                <w:highlight w:val="none"/>
              </w:rPr>
              <w:t>在线和远程技术支持服务，维护日志实时跟踪、记录，实时反馈设备运行期间出现的问题</w:t>
            </w:r>
            <w:r>
              <w:rPr>
                <w:rFonts w:hint="eastAsia" w:ascii="仿宋_GB2312" w:hAnsi="仿宋" w:eastAsia="仿宋_GB2312" w:cs="Times New Roman"/>
                <w:color w:val="auto"/>
                <w:sz w:val="21"/>
                <w:szCs w:val="21"/>
                <w:highlight w:val="none"/>
                <w:lang w:val="en-US" w:eastAsia="zh-CN"/>
              </w:rPr>
              <w:t>处理进展</w:t>
            </w:r>
            <w:r>
              <w:rPr>
                <w:rFonts w:hint="eastAsia" w:ascii="仿宋_GB2312" w:hAnsi="仿宋" w:eastAsia="仿宋_GB2312" w:cs="Times New Roman"/>
                <w:color w:val="auto"/>
                <w:sz w:val="21"/>
                <w:szCs w:val="21"/>
                <w:highlight w:val="none"/>
              </w:rPr>
              <w:t>。</w:t>
            </w:r>
          </w:p>
          <w:p w14:paraId="1C8ACC74">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3</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负责处理系统功能咨询和投诉建议等</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确保在线咨询和投诉得到即时响应，30分钟内初次答复，24小时内完整答复。</w:t>
            </w:r>
          </w:p>
          <w:p w14:paraId="787DFF1F">
            <w:pPr>
              <w:adjustRightInd/>
              <w:snapToGrid/>
              <w:spacing w:line="340" w:lineRule="exact"/>
              <w:ind w:firstLine="0" w:firstLineChars="0"/>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lang w:val="en-US" w:eastAsia="zh-CN"/>
              </w:rPr>
              <w:t>4.</w:t>
            </w:r>
            <w:r>
              <w:rPr>
                <w:rFonts w:hint="eastAsia" w:ascii="仿宋_GB2312" w:hAnsi="仿宋" w:eastAsia="仿宋_GB2312" w:cs="Times New Roman"/>
                <w:b/>
                <w:bCs/>
                <w:color w:val="auto"/>
                <w:sz w:val="21"/>
                <w:szCs w:val="21"/>
                <w:highlight w:val="none"/>
              </w:rPr>
              <w:t>运营维护技术（简称“运维”）人员</w:t>
            </w:r>
          </w:p>
          <w:p w14:paraId="517AA9C1">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中标人需提供至少</w:t>
            </w:r>
            <w:r>
              <w:rPr>
                <w:rFonts w:hint="eastAsia" w:ascii="仿宋_GB2312" w:hAnsi="仿宋" w:eastAsia="仿宋_GB2312" w:cs="Times New Roman"/>
                <w:color w:val="auto"/>
                <w:sz w:val="21"/>
                <w:szCs w:val="21"/>
                <w:highlight w:val="none"/>
                <w:lang w:val="en-US" w:eastAsia="zh-CN"/>
              </w:rPr>
              <w:t>6</w:t>
            </w:r>
            <w:r>
              <w:rPr>
                <w:rFonts w:hint="eastAsia" w:ascii="仿宋_GB2312" w:hAnsi="仿宋" w:eastAsia="仿宋_GB2312" w:cs="Times New Roman"/>
                <w:color w:val="auto"/>
                <w:sz w:val="21"/>
                <w:szCs w:val="21"/>
                <w:highlight w:val="none"/>
              </w:rPr>
              <w:t>名专业运维人员，具备人力资源和社会保障部（或工业和信息化部）颁发的中级或以上计算机技术与软件专业技术资格证书，4年</w:t>
            </w:r>
            <w:r>
              <w:rPr>
                <w:rFonts w:hint="eastAsia" w:ascii="仿宋_GB2312" w:hAnsi="仿宋" w:eastAsia="仿宋_GB2312" w:cs="Times New Roman"/>
                <w:color w:val="auto"/>
                <w:sz w:val="21"/>
                <w:szCs w:val="21"/>
                <w:highlight w:val="none"/>
                <w:lang w:val="en-US" w:eastAsia="zh-CN"/>
              </w:rPr>
              <w:t>或</w:t>
            </w:r>
            <w:r>
              <w:rPr>
                <w:rFonts w:hint="eastAsia" w:ascii="仿宋_GB2312" w:hAnsi="仿宋" w:eastAsia="仿宋_GB2312" w:cs="Times New Roman"/>
                <w:color w:val="auto"/>
                <w:sz w:val="21"/>
                <w:szCs w:val="21"/>
                <w:highlight w:val="none"/>
              </w:rPr>
              <w:t>以上信息技术服务从业经验</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应具有较强软件硬件系统技术调试能力</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需</w:t>
            </w:r>
            <w:r>
              <w:rPr>
                <w:rFonts w:hint="eastAsia" w:ascii="仿宋_GB2312" w:hAnsi="仿宋" w:eastAsia="仿宋_GB2312" w:cs="Times New Roman"/>
                <w:color w:val="auto"/>
                <w:sz w:val="21"/>
                <w:szCs w:val="21"/>
                <w:highlight w:val="none"/>
              </w:rPr>
              <w:t>提供7*12（8:00</w:t>
            </w:r>
            <w:r>
              <w:rPr>
                <w:rFonts w:hint="eastAsia" w:ascii="仿宋_GB2312" w:hAnsi="仿宋" w:eastAsia="仿宋_GB2312" w:cs="Times New Roman"/>
                <w:color w:val="auto"/>
                <w:sz w:val="21"/>
                <w:szCs w:val="21"/>
                <w:highlight w:val="none"/>
                <w:lang w:val="en-US" w:eastAsia="zh-CN"/>
              </w:rPr>
              <w:t>-</w:t>
            </w:r>
            <w:r>
              <w:rPr>
                <w:rFonts w:hint="eastAsia" w:ascii="仿宋_GB2312" w:hAnsi="仿宋" w:eastAsia="仿宋_GB2312" w:cs="Times New Roman"/>
                <w:color w:val="auto"/>
                <w:sz w:val="21"/>
                <w:szCs w:val="21"/>
                <w:highlight w:val="none"/>
              </w:rPr>
              <w:t>20:00）小时相关设备日常运行维护服务，为软硬件系统提供及时有效的专业运维保障</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实时处理设备运行期间出现的技术问题。</w:t>
            </w:r>
          </w:p>
          <w:p w14:paraId="4D9782A2">
            <w:pPr>
              <w:adjustRightInd/>
              <w:snapToGrid/>
              <w:spacing w:line="340" w:lineRule="exact"/>
              <w:ind w:firstLine="0" w:firstLineChars="0"/>
              <w:rPr>
                <w:rFonts w:hint="default"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b/>
                <w:bCs/>
                <w:color w:val="auto"/>
                <w:sz w:val="21"/>
                <w:szCs w:val="21"/>
                <w:highlight w:val="none"/>
                <w:lang w:val="en-US" w:eastAsia="zh-CN"/>
              </w:rPr>
              <w:t>（2）</w:t>
            </w:r>
            <w:r>
              <w:rPr>
                <w:rFonts w:hint="eastAsia" w:ascii="仿宋_GB2312" w:hAnsi="仿宋" w:eastAsia="仿宋_GB2312" w:cs="Times New Roman"/>
                <w:b/>
                <w:bCs/>
                <w:color w:val="auto"/>
                <w:sz w:val="21"/>
                <w:szCs w:val="21"/>
                <w:highlight w:val="none"/>
              </w:rPr>
              <w:t>★</w:t>
            </w:r>
            <w:r>
              <w:rPr>
                <w:rFonts w:hint="eastAsia" w:ascii="仿宋_GB2312" w:hAnsi="仿宋" w:eastAsia="仿宋_GB2312" w:cs="Times New Roman"/>
                <w:b/>
                <w:bCs/>
                <w:color w:val="auto"/>
                <w:sz w:val="21"/>
                <w:szCs w:val="21"/>
                <w:highlight w:val="none"/>
                <w:lang w:val="en-US" w:eastAsia="zh-CN"/>
              </w:rPr>
              <w:t>其中</w:t>
            </w:r>
            <w:r>
              <w:rPr>
                <w:rFonts w:hint="eastAsia" w:ascii="仿宋_GB2312" w:hAnsi="仿宋" w:eastAsia="仿宋_GB2312" w:cs="Times New Roman"/>
                <w:b/>
                <w:bCs/>
                <w:color w:val="auto"/>
                <w:sz w:val="21"/>
                <w:szCs w:val="21"/>
                <w:highlight w:val="none"/>
              </w:rPr>
              <w:t>2名</w:t>
            </w:r>
            <w:r>
              <w:rPr>
                <w:rFonts w:hint="eastAsia" w:ascii="仿宋_GB2312" w:hAnsi="仿宋" w:eastAsia="仿宋_GB2312" w:cs="Times New Roman"/>
                <w:b/>
                <w:bCs/>
                <w:color w:val="auto"/>
                <w:sz w:val="21"/>
                <w:szCs w:val="21"/>
                <w:highlight w:val="none"/>
                <w:lang w:val="en-US" w:eastAsia="zh-CN"/>
              </w:rPr>
              <w:t>或以上运维</w:t>
            </w:r>
            <w:r>
              <w:rPr>
                <w:rFonts w:hint="eastAsia" w:ascii="仿宋_GB2312" w:hAnsi="仿宋" w:eastAsia="仿宋_GB2312" w:cs="Times New Roman"/>
                <w:b/>
                <w:bCs/>
                <w:color w:val="auto"/>
                <w:sz w:val="21"/>
                <w:szCs w:val="21"/>
                <w:highlight w:val="none"/>
              </w:rPr>
              <w:t>人员</w:t>
            </w:r>
            <w:r>
              <w:rPr>
                <w:rFonts w:hint="eastAsia" w:ascii="仿宋_GB2312" w:hAnsi="仿宋" w:eastAsia="仿宋_GB2312" w:cs="Times New Roman"/>
                <w:b/>
                <w:bCs/>
                <w:color w:val="auto"/>
                <w:sz w:val="21"/>
                <w:szCs w:val="21"/>
                <w:highlight w:val="none"/>
                <w:lang w:val="en-US" w:eastAsia="zh-CN"/>
              </w:rPr>
              <w:t>担任巡检任务。每次巡检同一站点，必须2名或以上运维</w:t>
            </w:r>
            <w:r>
              <w:rPr>
                <w:rFonts w:hint="eastAsia" w:ascii="仿宋_GB2312" w:hAnsi="仿宋" w:eastAsia="仿宋_GB2312" w:cs="Times New Roman"/>
                <w:b/>
                <w:bCs/>
                <w:color w:val="auto"/>
                <w:sz w:val="21"/>
                <w:szCs w:val="21"/>
                <w:highlight w:val="none"/>
              </w:rPr>
              <w:t>人员</w:t>
            </w:r>
            <w:r>
              <w:rPr>
                <w:rFonts w:hint="eastAsia" w:ascii="仿宋_GB2312" w:hAnsi="仿宋" w:eastAsia="仿宋_GB2312" w:cs="Times New Roman"/>
                <w:b/>
                <w:bCs/>
                <w:color w:val="auto"/>
                <w:sz w:val="21"/>
                <w:szCs w:val="21"/>
                <w:highlight w:val="none"/>
                <w:lang w:val="en-US" w:eastAsia="zh-CN"/>
              </w:rPr>
              <w:t>同时到场。</w:t>
            </w:r>
            <w:r>
              <w:rPr>
                <w:rFonts w:hint="eastAsia" w:ascii="仿宋_GB2312" w:hAnsi="仿宋" w:eastAsia="仿宋_GB2312" w:cs="Times New Roman"/>
                <w:b/>
                <w:bCs/>
                <w:color w:val="auto"/>
                <w:sz w:val="21"/>
                <w:szCs w:val="21"/>
                <w:highlight w:val="none"/>
              </w:rPr>
              <w:t>（出具承诺函）</w:t>
            </w:r>
          </w:p>
          <w:p w14:paraId="751D39C9">
            <w:pPr>
              <w:adjustRightInd/>
              <w:snapToGrid/>
              <w:spacing w:line="340" w:lineRule="exact"/>
              <w:ind w:firstLine="0" w:firstLineChars="0"/>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lang w:val="en-US" w:eastAsia="zh-CN"/>
              </w:rPr>
              <w:t>5.</w:t>
            </w:r>
            <w:r>
              <w:rPr>
                <w:rFonts w:hint="eastAsia" w:ascii="仿宋_GB2312" w:hAnsi="仿宋" w:eastAsia="仿宋_GB2312" w:cs="Times New Roman"/>
                <w:b/>
                <w:bCs/>
                <w:color w:val="auto"/>
                <w:sz w:val="21"/>
                <w:szCs w:val="21"/>
                <w:highlight w:val="none"/>
              </w:rPr>
              <w:t>交调数据复核人员</w:t>
            </w:r>
          </w:p>
          <w:p w14:paraId="590940BB">
            <w:pPr>
              <w:adjustRightInd/>
              <w:snapToGrid/>
              <w:spacing w:line="340" w:lineRule="exact"/>
              <w:ind w:firstLine="420" w:firstLineChars="20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每个站点每次数据复核，中标人提供至少2名专业数据校验人员。需具备大学</w:t>
            </w:r>
            <w:r>
              <w:rPr>
                <w:rFonts w:hint="eastAsia" w:ascii="仿宋_GB2312" w:hAnsi="仿宋" w:eastAsia="仿宋_GB2312" w:cs="Times New Roman"/>
                <w:color w:val="auto"/>
                <w:sz w:val="21"/>
                <w:szCs w:val="21"/>
                <w:highlight w:val="none"/>
                <w:lang w:val="en-US" w:eastAsia="zh-CN"/>
              </w:rPr>
              <w:t>本科或</w:t>
            </w:r>
            <w:r>
              <w:rPr>
                <w:rFonts w:hint="eastAsia" w:ascii="仿宋_GB2312" w:hAnsi="仿宋" w:eastAsia="仿宋_GB2312" w:cs="Times New Roman"/>
                <w:color w:val="auto"/>
                <w:sz w:val="21"/>
                <w:szCs w:val="21"/>
                <w:highlight w:val="none"/>
              </w:rPr>
              <w:t>以上学历，</w:t>
            </w: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年</w:t>
            </w:r>
            <w:r>
              <w:rPr>
                <w:rFonts w:hint="eastAsia" w:ascii="仿宋_GB2312" w:hAnsi="仿宋" w:eastAsia="仿宋_GB2312" w:cs="Times New Roman"/>
                <w:color w:val="auto"/>
                <w:sz w:val="21"/>
                <w:szCs w:val="21"/>
                <w:highlight w:val="none"/>
                <w:lang w:val="en-US" w:eastAsia="zh-CN"/>
              </w:rPr>
              <w:t>或</w:t>
            </w:r>
            <w:r>
              <w:rPr>
                <w:rFonts w:hint="eastAsia" w:ascii="仿宋_GB2312" w:hAnsi="仿宋" w:eastAsia="仿宋_GB2312" w:cs="Times New Roman"/>
                <w:color w:val="auto"/>
                <w:sz w:val="21"/>
                <w:szCs w:val="21"/>
                <w:highlight w:val="none"/>
              </w:rPr>
              <w:t>以上相关从业经验，熟悉校验方法及流程</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每个站点采用视频数据与机器数据比对方式，对不满足精度要求的设备进行调试校准，并提交最终“数据质量报告”。</w:t>
            </w:r>
          </w:p>
          <w:p w14:paraId="4F8CCEA8">
            <w:pPr>
              <w:adjustRightInd/>
              <w:snapToGrid/>
              <w:spacing w:line="340" w:lineRule="exact"/>
              <w:ind w:firstLine="0" w:firstLineChars="0"/>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lang w:val="en-US" w:eastAsia="zh-CN"/>
              </w:rPr>
              <w:t>6.</w:t>
            </w:r>
            <w:r>
              <w:rPr>
                <w:rFonts w:hint="eastAsia" w:ascii="仿宋_GB2312" w:hAnsi="仿宋" w:eastAsia="仿宋_GB2312" w:cs="Times New Roman"/>
                <w:b/>
                <w:bCs/>
                <w:color w:val="auto"/>
                <w:sz w:val="21"/>
                <w:szCs w:val="21"/>
                <w:highlight w:val="none"/>
              </w:rPr>
              <w:t>其他人员要求</w:t>
            </w:r>
          </w:p>
          <w:p w14:paraId="6F168AE5">
            <w:pPr>
              <w:adjustRightInd/>
              <w:snapToGrid/>
              <w:spacing w:line="340" w:lineRule="exact"/>
              <w:ind w:firstLine="0" w:firstLineChars="0"/>
              <w:rPr>
                <w:rFonts w:hint="eastAsia" w:ascii="仿宋_GB2312" w:hAnsi="仿宋" w:eastAsia="仿宋_GB2312" w:cs="Times New Roman"/>
                <w:b/>
                <w:bCs/>
                <w:color w:val="auto"/>
                <w:sz w:val="21"/>
                <w:szCs w:val="21"/>
                <w:highlight w:val="none"/>
                <w:lang w:eastAsia="zh-CN"/>
              </w:rPr>
            </w:pP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lang w:val="en-US" w:eastAsia="zh-CN"/>
              </w:rPr>
              <w:t>1</w:t>
            </w: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rPr>
              <w:t>★投标人须承诺安装、维护人员中电工具备应急管理部门颁发</w:t>
            </w:r>
            <w:r>
              <w:rPr>
                <w:rFonts w:hint="eastAsia" w:ascii="仿宋_GB2312" w:hAnsi="仿宋" w:eastAsia="仿宋_GB2312" w:cs="Times New Roman"/>
                <w:b/>
                <w:bCs/>
                <w:color w:val="auto"/>
                <w:sz w:val="21"/>
                <w:szCs w:val="21"/>
                <w:highlight w:val="none"/>
                <w:lang w:val="en-US" w:eastAsia="zh-CN"/>
              </w:rPr>
              <w:t>的</w:t>
            </w:r>
            <w:r>
              <w:rPr>
                <w:rFonts w:hint="eastAsia" w:ascii="仿宋_GB2312" w:hAnsi="仿宋" w:eastAsia="仿宋_GB2312" w:cs="Times New Roman"/>
                <w:b/>
                <w:bCs/>
                <w:color w:val="auto"/>
                <w:sz w:val="21"/>
                <w:szCs w:val="21"/>
                <w:highlight w:val="none"/>
              </w:rPr>
              <w:t>有效期内特种作业操作证</w:t>
            </w: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rPr>
              <w:t>（类别为“电工作业”，出具承诺函）</w:t>
            </w:r>
          </w:p>
          <w:p w14:paraId="242B6D72">
            <w:pPr>
              <w:adjustRightInd/>
              <w:snapToGrid/>
              <w:spacing w:line="340" w:lineRule="exact"/>
              <w:ind w:firstLine="0" w:firstLineChars="0"/>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lang w:val="en-US" w:eastAsia="zh-CN"/>
              </w:rPr>
              <w:t>2</w:t>
            </w: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rPr>
              <w:t>★投标人须承诺安装、维护人员中高空作业人员具备应急管理部门颁发的有效期内特种作业操作证</w:t>
            </w: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rPr>
              <w:t>（类别为“高处作业”，出具承诺函）</w:t>
            </w:r>
          </w:p>
          <w:p w14:paraId="66E96B31">
            <w:pPr>
              <w:adjustRightInd/>
              <w:snapToGrid/>
              <w:spacing w:line="340" w:lineRule="exact"/>
              <w:ind w:firstLine="0" w:firstLineChars="0"/>
              <w:rPr>
                <w:rFonts w:hint="default" w:ascii="仿宋_GB2312" w:hAnsi="仿宋" w:eastAsia="仿宋_GB2312" w:cs="Times New Roman"/>
                <w:b/>
                <w:bCs/>
                <w:color w:val="auto"/>
                <w:sz w:val="21"/>
                <w:szCs w:val="21"/>
                <w:highlight w:val="none"/>
                <w:lang w:val="en-US" w:eastAsia="zh-CN"/>
              </w:rPr>
            </w:pP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lang w:val="en-US" w:eastAsia="zh-CN"/>
              </w:rPr>
              <w:t>八）</w:t>
            </w:r>
            <w:r>
              <w:rPr>
                <w:rFonts w:hint="eastAsia" w:ascii="仿宋_GB2312" w:hAnsi="仿宋" w:eastAsia="仿宋_GB2312" w:cs="Times New Roman"/>
                <w:b/>
                <w:bCs/>
                <w:color w:val="auto"/>
                <w:sz w:val="21"/>
                <w:szCs w:val="21"/>
                <w:highlight w:val="none"/>
              </w:rPr>
              <w:t>★</w:t>
            </w:r>
            <w:r>
              <w:rPr>
                <w:rFonts w:hint="eastAsia" w:ascii="仿宋_GB2312" w:hAnsi="仿宋" w:eastAsia="仿宋_GB2312" w:cs="Times New Roman"/>
                <w:b/>
                <w:bCs/>
                <w:color w:val="auto"/>
                <w:sz w:val="21"/>
                <w:szCs w:val="21"/>
                <w:highlight w:val="none"/>
                <w:lang w:val="en-US" w:eastAsia="zh-CN"/>
              </w:rPr>
              <w:t>中标人须在中标通知书发出之日起7个工作日之内与采购人签订采购合同。（出具承诺函）</w:t>
            </w:r>
          </w:p>
        </w:tc>
      </w:tr>
    </w:tbl>
    <w:p w14:paraId="7C97AC5C">
      <w:pPr>
        <w:pStyle w:val="3"/>
        <w:spacing w:line="340" w:lineRule="exact"/>
        <w:rPr>
          <w:color w:val="auto"/>
          <w:highlight w:val="none"/>
        </w:rPr>
      </w:pPr>
      <w:r>
        <w:rPr>
          <w:rFonts w:hint="eastAsia"/>
          <w:color w:val="auto"/>
          <w:highlight w:val="none"/>
        </w:rPr>
        <w:t>四、技术要求（适用包组1、包组2、包组3）</w:t>
      </w:r>
    </w:p>
    <w:p w14:paraId="0DF2454C">
      <w:pPr>
        <w:pStyle w:val="5"/>
        <w:widowControl/>
        <w:spacing w:line="340" w:lineRule="exact"/>
        <w:ind w:firstLine="422"/>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包括8方面。</w:t>
      </w:r>
    </w:p>
    <w:p w14:paraId="1AB05475">
      <w:pPr>
        <w:pStyle w:val="5"/>
        <w:widowControl/>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（一）</w:t>
      </w:r>
      <w:r>
        <w:rPr>
          <w:rFonts w:hint="eastAsia" w:ascii="楷体_GB2312" w:eastAsia="楷体_GB2312"/>
          <w:color w:val="auto"/>
          <w:sz w:val="21"/>
          <w:szCs w:val="21"/>
          <w:highlight w:val="none"/>
          <w:lang w:val="en-US" w:eastAsia="zh-CN"/>
        </w:rPr>
        <w:t>交调系统</w:t>
      </w:r>
      <w:r>
        <w:rPr>
          <w:rFonts w:hint="eastAsia" w:ascii="楷体_GB2312" w:eastAsia="楷体_GB2312"/>
          <w:color w:val="auto"/>
          <w:sz w:val="21"/>
          <w:szCs w:val="21"/>
          <w:highlight w:val="none"/>
        </w:rPr>
        <w:t>数据采集所需设备及要求</w:t>
      </w:r>
    </w:p>
    <w:tbl>
      <w:tblPr>
        <w:tblStyle w:val="11"/>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887"/>
        <w:gridCol w:w="6518"/>
      </w:tblGrid>
      <w:tr w14:paraId="698B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97" w:type="dxa"/>
            <w:vMerge w:val="restart"/>
            <w:tcBorders>
              <w:top w:val="single" w:color="auto" w:sz="12" w:space="0"/>
              <w:left w:val="single" w:color="auto" w:sz="12" w:space="0"/>
              <w:bottom w:val="double" w:color="auto" w:sz="4" w:space="0"/>
            </w:tcBorders>
            <w:vAlign w:val="center"/>
          </w:tcPr>
          <w:p w14:paraId="1B5E41C2">
            <w:pPr>
              <w:adjustRightInd/>
              <w:snapToGrid/>
              <w:spacing w:line="34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序号</w:t>
            </w:r>
          </w:p>
        </w:tc>
        <w:tc>
          <w:tcPr>
            <w:tcW w:w="887" w:type="dxa"/>
            <w:vMerge w:val="restart"/>
            <w:tcBorders>
              <w:top w:val="single" w:color="auto" w:sz="12" w:space="0"/>
              <w:bottom w:val="double" w:color="auto" w:sz="4" w:space="0"/>
            </w:tcBorders>
            <w:vAlign w:val="center"/>
          </w:tcPr>
          <w:p w14:paraId="672D824C">
            <w:pPr>
              <w:adjustRightInd/>
              <w:snapToGrid/>
              <w:spacing w:line="34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名称</w:t>
            </w:r>
          </w:p>
        </w:tc>
        <w:tc>
          <w:tcPr>
            <w:tcW w:w="6518" w:type="dxa"/>
            <w:vMerge w:val="restart"/>
            <w:tcBorders>
              <w:top w:val="single" w:color="auto" w:sz="12" w:space="0"/>
              <w:bottom w:val="double" w:color="auto" w:sz="4" w:space="0"/>
              <w:right w:val="single" w:color="auto" w:sz="12" w:space="0"/>
            </w:tcBorders>
            <w:vAlign w:val="center"/>
          </w:tcPr>
          <w:p w14:paraId="672B7038">
            <w:pPr>
              <w:adjustRightInd/>
              <w:snapToGrid/>
              <w:spacing w:line="34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技术要求</w:t>
            </w:r>
          </w:p>
        </w:tc>
      </w:tr>
      <w:tr w14:paraId="3361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97" w:type="dxa"/>
            <w:vMerge w:val="continue"/>
            <w:tcBorders>
              <w:top w:val="double" w:color="auto" w:sz="4" w:space="0"/>
              <w:left w:val="single" w:color="auto" w:sz="12" w:space="0"/>
              <w:bottom w:val="double" w:color="auto" w:sz="4" w:space="0"/>
            </w:tcBorders>
            <w:vAlign w:val="center"/>
          </w:tcPr>
          <w:p w14:paraId="2C5A2112">
            <w:pPr>
              <w:adjustRightInd/>
              <w:snapToGrid/>
              <w:spacing w:line="340" w:lineRule="exact"/>
              <w:ind w:firstLine="0" w:firstLineChars="0"/>
              <w:rPr>
                <w:rFonts w:cs="宋体"/>
                <w:b/>
                <w:bCs/>
                <w:color w:val="auto"/>
                <w:sz w:val="21"/>
                <w:highlight w:val="none"/>
              </w:rPr>
            </w:pPr>
          </w:p>
        </w:tc>
        <w:tc>
          <w:tcPr>
            <w:tcW w:w="887" w:type="dxa"/>
            <w:vMerge w:val="continue"/>
            <w:tcBorders>
              <w:top w:val="double" w:color="auto" w:sz="4" w:space="0"/>
              <w:bottom w:val="double" w:color="auto" w:sz="4" w:space="0"/>
            </w:tcBorders>
            <w:vAlign w:val="center"/>
          </w:tcPr>
          <w:p w14:paraId="2F67CBA8">
            <w:pPr>
              <w:adjustRightInd/>
              <w:snapToGrid/>
              <w:spacing w:line="340" w:lineRule="exact"/>
              <w:ind w:firstLine="0" w:firstLineChars="0"/>
              <w:rPr>
                <w:rFonts w:cs="宋体"/>
                <w:b/>
                <w:bCs/>
                <w:color w:val="auto"/>
                <w:sz w:val="21"/>
                <w:highlight w:val="none"/>
              </w:rPr>
            </w:pPr>
          </w:p>
        </w:tc>
        <w:tc>
          <w:tcPr>
            <w:tcW w:w="6518" w:type="dxa"/>
            <w:vMerge w:val="continue"/>
            <w:tcBorders>
              <w:top w:val="double" w:color="auto" w:sz="4" w:space="0"/>
              <w:bottom w:val="double" w:color="auto" w:sz="4" w:space="0"/>
              <w:right w:val="single" w:color="auto" w:sz="12" w:space="0"/>
            </w:tcBorders>
            <w:vAlign w:val="center"/>
          </w:tcPr>
          <w:p w14:paraId="3C1FF178">
            <w:pPr>
              <w:adjustRightInd/>
              <w:snapToGrid/>
              <w:spacing w:line="340" w:lineRule="exact"/>
              <w:ind w:firstLine="0" w:firstLineChars="0"/>
              <w:rPr>
                <w:rFonts w:cs="宋体"/>
                <w:b/>
                <w:bCs/>
                <w:color w:val="auto"/>
                <w:sz w:val="21"/>
                <w:highlight w:val="none"/>
              </w:rPr>
            </w:pPr>
          </w:p>
        </w:tc>
      </w:tr>
      <w:tr w14:paraId="41D0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tcBorders>
              <w:top w:val="double" w:color="auto" w:sz="4" w:space="0"/>
              <w:left w:val="single" w:color="auto" w:sz="12" w:space="0"/>
            </w:tcBorders>
            <w:vAlign w:val="center"/>
          </w:tcPr>
          <w:p w14:paraId="0BD575A1">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w:t>
            </w:r>
          </w:p>
        </w:tc>
        <w:tc>
          <w:tcPr>
            <w:tcW w:w="887" w:type="dxa"/>
            <w:tcBorders>
              <w:top w:val="double" w:color="auto" w:sz="4" w:space="0"/>
            </w:tcBorders>
            <w:vAlign w:val="center"/>
          </w:tcPr>
          <w:p w14:paraId="4B2A6F12">
            <w:pPr>
              <w:adjustRightInd/>
              <w:snapToGrid/>
              <w:spacing w:line="340" w:lineRule="exact"/>
              <w:ind w:firstLine="0" w:firstLineChars="0"/>
              <w:rPr>
                <w:rFonts w:cs="宋体"/>
                <w:color w:val="auto"/>
                <w:sz w:val="21"/>
                <w:highlight w:val="none"/>
              </w:rPr>
            </w:pPr>
            <w:r>
              <w:rPr>
                <w:rFonts w:hint="eastAsia" w:ascii="仿宋_GB2312" w:hAnsi="仿宋" w:eastAsia="仿宋_GB2312" w:cs="Times New Roman"/>
                <w:color w:val="auto"/>
                <w:sz w:val="21"/>
                <w:szCs w:val="21"/>
                <w:highlight w:val="none"/>
              </w:rPr>
              <w:t>公路交通情况调查设备（核心设备）</w:t>
            </w:r>
          </w:p>
        </w:tc>
        <w:tc>
          <w:tcPr>
            <w:tcW w:w="6518" w:type="dxa"/>
            <w:tcBorders>
              <w:top w:val="double" w:color="auto" w:sz="4" w:space="0"/>
              <w:right w:val="single" w:color="auto" w:sz="12" w:space="0"/>
            </w:tcBorders>
            <w:vAlign w:val="center"/>
          </w:tcPr>
          <w:p w14:paraId="6EEF81EC">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b/>
                <w:bCs/>
                <w:color w:val="auto"/>
                <w:sz w:val="21"/>
                <w:szCs w:val="21"/>
                <w:highlight w:val="none"/>
              </w:rPr>
              <w:t>1.通用技术要求</w:t>
            </w:r>
          </w:p>
          <w:p w14:paraId="42FA70DB">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（1）▲设备功能等级：I级；部颁《公路交通情况调查设备第1部分：技术条件（JT/T 1008.1-2015）》</w:t>
            </w:r>
            <w:r>
              <w:rPr>
                <w:rFonts w:hint="eastAsia" w:ascii="仿宋_GB2312" w:hAnsi="仿宋" w:eastAsia="仿宋_GB2312" w:cs="Times New Roman"/>
                <w:color w:val="auto"/>
                <w:sz w:val="21"/>
                <w:szCs w:val="21"/>
                <w:highlight w:val="none"/>
                <w:lang w:eastAsia="zh-CN"/>
              </w:rPr>
              <w:t>。</w:t>
            </w:r>
          </w:p>
          <w:p w14:paraId="65471100">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（2）固定点、非接触式安装</w:t>
            </w:r>
            <w:r>
              <w:rPr>
                <w:rFonts w:hint="eastAsia" w:ascii="仿宋_GB2312" w:hAnsi="仿宋" w:eastAsia="仿宋_GB2312" w:cs="Times New Roman"/>
                <w:color w:val="auto"/>
                <w:sz w:val="21"/>
                <w:szCs w:val="21"/>
                <w:highlight w:val="none"/>
                <w:lang w:eastAsia="zh-CN"/>
              </w:rPr>
              <w:t>。</w:t>
            </w:r>
          </w:p>
          <w:p w14:paraId="7AAFF893">
            <w:pPr>
              <w:adjustRightInd/>
              <w:snapToGrid/>
              <w:spacing w:line="340" w:lineRule="exact"/>
              <w:ind w:firstLine="0" w:firstLineChars="0"/>
              <w:rPr>
                <w:rFonts w:hint="eastAsia" w:ascii="仿宋_GB2312" w:hAnsi="仿宋" w:eastAsia="仿宋_GB2312" w:cs="Times New Roman"/>
                <w:b/>
                <w:bCs/>
                <w:color w:val="auto"/>
                <w:sz w:val="21"/>
                <w:szCs w:val="21"/>
                <w:highlight w:val="none"/>
                <w:lang w:eastAsia="zh-CN"/>
              </w:rPr>
            </w:pPr>
            <w:r>
              <w:rPr>
                <w:rFonts w:hint="eastAsia" w:ascii="仿宋_GB2312" w:hAnsi="仿宋" w:eastAsia="仿宋_GB2312" w:cs="Times New Roman"/>
                <w:b/>
                <w:bCs/>
                <w:color w:val="auto"/>
                <w:sz w:val="21"/>
                <w:szCs w:val="21"/>
                <w:highlight w:val="none"/>
              </w:rPr>
              <w:t>（3）★采用双激光类、双激光组合类设备</w:t>
            </w: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rPr>
              <w:t>投标人所投公路交通情况调查设备</w:t>
            </w: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rPr>
              <w:t>须在中标通知书发出后1个月内通过国家法定质量监督机构的型式检验并获得检验合格证明，投标产品的检验参数结果不得负偏离于投标承诺（出具承诺函，已检验合格的产品可提供有效期内的检验合格证明）</w:t>
            </w:r>
            <w:r>
              <w:rPr>
                <w:rFonts w:hint="eastAsia" w:ascii="仿宋_GB2312" w:hAnsi="仿宋" w:eastAsia="仿宋_GB2312" w:cs="Times New Roman"/>
                <w:b/>
                <w:bCs/>
                <w:color w:val="auto"/>
                <w:sz w:val="21"/>
                <w:szCs w:val="21"/>
                <w:highlight w:val="none"/>
                <w:lang w:eastAsia="zh-CN"/>
              </w:rPr>
              <w:t>。</w:t>
            </w:r>
          </w:p>
          <w:p w14:paraId="3D688C3B">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（4）自动检测车流量自然数、车型、地点车速等</w:t>
            </w:r>
            <w:r>
              <w:rPr>
                <w:rFonts w:hint="eastAsia" w:ascii="仿宋_GB2312" w:hAnsi="仿宋" w:eastAsia="仿宋_GB2312" w:cs="Times New Roman"/>
                <w:color w:val="auto"/>
                <w:sz w:val="21"/>
                <w:szCs w:val="21"/>
                <w:highlight w:val="none"/>
                <w:lang w:eastAsia="zh-CN"/>
              </w:rPr>
              <w:t>。</w:t>
            </w:r>
          </w:p>
          <w:p w14:paraId="2096FDD3">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（5）测量范围：支持双向8车道及以下，双向10车道</w:t>
            </w:r>
            <w:r>
              <w:rPr>
                <w:rFonts w:hint="eastAsia" w:ascii="仿宋_GB2312" w:hAnsi="仿宋" w:eastAsia="仿宋_GB2312" w:cs="Times New Roman"/>
                <w:color w:val="auto"/>
                <w:sz w:val="21"/>
                <w:szCs w:val="21"/>
                <w:highlight w:val="none"/>
                <w:lang w:val="en-US" w:eastAsia="zh-CN"/>
              </w:rPr>
              <w:t>及</w:t>
            </w:r>
            <w:r>
              <w:rPr>
                <w:rFonts w:hint="eastAsia" w:ascii="仿宋_GB2312" w:hAnsi="仿宋" w:eastAsia="仿宋_GB2312" w:cs="Times New Roman"/>
                <w:color w:val="auto"/>
                <w:sz w:val="21"/>
                <w:szCs w:val="21"/>
                <w:highlight w:val="none"/>
              </w:rPr>
              <w:t>以上采用2套设备</w:t>
            </w:r>
            <w:r>
              <w:rPr>
                <w:rFonts w:hint="eastAsia" w:ascii="仿宋_GB2312" w:hAnsi="仿宋" w:eastAsia="仿宋_GB2312" w:cs="Times New Roman"/>
                <w:color w:val="auto"/>
                <w:sz w:val="21"/>
                <w:szCs w:val="21"/>
                <w:highlight w:val="none"/>
                <w:lang w:eastAsia="zh-CN"/>
              </w:rPr>
              <w:t>。</w:t>
            </w:r>
          </w:p>
          <w:p w14:paraId="590FA2FE">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（6）适合使用温度：J类；部颁《公路交通情况调查设备第1部分：技术条件（JT/T 1008.1-2015）</w:t>
            </w:r>
            <w:r>
              <w:rPr>
                <w:rFonts w:hint="eastAsia" w:ascii="仿宋_GB2312" w:hAnsi="仿宋" w:eastAsia="仿宋_GB2312" w:cs="Times New Roman"/>
                <w:color w:val="auto"/>
                <w:sz w:val="21"/>
                <w:szCs w:val="21"/>
                <w:highlight w:val="none"/>
                <w:lang w:eastAsia="zh-CN"/>
              </w:rPr>
              <w:t>》。</w:t>
            </w:r>
          </w:p>
          <w:p w14:paraId="0F8849E3">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eastAsia="zh-CN"/>
              </w:rPr>
              <w:t>7</w:t>
            </w:r>
            <w:r>
              <w:rPr>
                <w:rFonts w:hint="eastAsia" w:ascii="仿宋_GB2312" w:hAnsi="仿宋" w:eastAsia="仿宋_GB2312" w:cs="Times New Roman"/>
                <w:color w:val="auto"/>
                <w:sz w:val="21"/>
                <w:szCs w:val="21"/>
                <w:highlight w:val="none"/>
              </w:rPr>
              <w:t>）车流量统计精度：≥95%</w:t>
            </w:r>
            <w:r>
              <w:rPr>
                <w:rFonts w:hint="eastAsia" w:ascii="仿宋_GB2312" w:hAnsi="仿宋" w:eastAsia="仿宋_GB2312" w:cs="Times New Roman"/>
                <w:color w:val="auto"/>
                <w:sz w:val="21"/>
                <w:szCs w:val="21"/>
                <w:highlight w:val="none"/>
                <w:lang w:eastAsia="zh-CN"/>
              </w:rPr>
              <w:t>。</w:t>
            </w:r>
          </w:p>
          <w:p w14:paraId="0FF5BEC9">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eastAsia="zh-CN"/>
              </w:rPr>
              <w:t>8</w:t>
            </w:r>
            <w:r>
              <w:rPr>
                <w:rFonts w:hint="eastAsia" w:ascii="仿宋_GB2312" w:hAnsi="仿宋" w:eastAsia="仿宋_GB2312" w:cs="Times New Roman"/>
                <w:color w:val="auto"/>
                <w:sz w:val="21"/>
                <w:szCs w:val="21"/>
                <w:highlight w:val="none"/>
              </w:rPr>
              <w:t>）车型识别精度：≥90%</w:t>
            </w:r>
            <w:r>
              <w:rPr>
                <w:rFonts w:hint="eastAsia" w:ascii="仿宋_GB2312" w:hAnsi="仿宋" w:eastAsia="仿宋_GB2312" w:cs="Times New Roman"/>
                <w:color w:val="auto"/>
                <w:sz w:val="21"/>
                <w:szCs w:val="21"/>
                <w:highlight w:val="none"/>
                <w:lang w:eastAsia="zh-CN"/>
              </w:rPr>
              <w:t>。</w:t>
            </w:r>
          </w:p>
          <w:p w14:paraId="6E0F690B">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9</w:t>
            </w:r>
            <w:r>
              <w:rPr>
                <w:rFonts w:hint="eastAsia" w:ascii="仿宋_GB2312" w:hAnsi="仿宋" w:eastAsia="仿宋_GB2312" w:cs="Times New Roman"/>
                <w:color w:val="auto"/>
                <w:sz w:val="21"/>
                <w:szCs w:val="21"/>
                <w:highlight w:val="none"/>
              </w:rPr>
              <w:t>）地点车速精度：≥92%</w:t>
            </w:r>
            <w:r>
              <w:rPr>
                <w:rFonts w:hint="eastAsia" w:ascii="仿宋_GB2312" w:hAnsi="仿宋" w:eastAsia="仿宋_GB2312" w:cs="Times New Roman"/>
                <w:color w:val="auto"/>
                <w:sz w:val="21"/>
                <w:szCs w:val="21"/>
                <w:highlight w:val="none"/>
                <w:lang w:eastAsia="zh-CN"/>
              </w:rPr>
              <w:t>。</w:t>
            </w:r>
          </w:p>
          <w:p w14:paraId="1C13CE9C">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b/>
                <w:bCs/>
                <w:color w:val="auto"/>
                <w:sz w:val="21"/>
                <w:szCs w:val="21"/>
                <w:highlight w:val="none"/>
              </w:rPr>
              <w:t>2.激光传感器参数</w:t>
            </w:r>
          </w:p>
          <w:p w14:paraId="3E45D244">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（1）▲测量范围：包含0.5-60m</w:t>
            </w:r>
            <w:r>
              <w:rPr>
                <w:rFonts w:hint="eastAsia" w:ascii="仿宋_GB2312" w:hAnsi="仿宋" w:eastAsia="仿宋_GB2312" w:cs="Times New Roman"/>
                <w:color w:val="auto"/>
                <w:sz w:val="21"/>
                <w:szCs w:val="21"/>
                <w:highlight w:val="none"/>
                <w:lang w:eastAsia="zh-CN"/>
              </w:rPr>
              <w:t>。</w:t>
            </w:r>
          </w:p>
          <w:p w14:paraId="2A40FE8F">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（2）测距误差：≤±30mm</w:t>
            </w:r>
            <w:r>
              <w:rPr>
                <w:rFonts w:hint="eastAsia" w:ascii="仿宋_GB2312" w:hAnsi="仿宋" w:eastAsia="仿宋_GB2312" w:cs="Times New Roman"/>
                <w:color w:val="auto"/>
                <w:sz w:val="21"/>
                <w:szCs w:val="21"/>
                <w:highlight w:val="none"/>
                <w:lang w:eastAsia="zh-CN"/>
              </w:rPr>
              <w:t>。</w:t>
            </w:r>
          </w:p>
          <w:p w14:paraId="610959AE">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（3）▲扫描频率：≥100Hz</w:t>
            </w:r>
            <w:r>
              <w:rPr>
                <w:rFonts w:hint="eastAsia" w:ascii="仿宋_GB2312" w:hAnsi="仿宋" w:eastAsia="仿宋_GB2312" w:cs="Times New Roman"/>
                <w:color w:val="auto"/>
                <w:sz w:val="21"/>
                <w:szCs w:val="21"/>
                <w:highlight w:val="none"/>
                <w:lang w:eastAsia="zh-CN"/>
              </w:rPr>
              <w:t>。</w:t>
            </w:r>
          </w:p>
          <w:p w14:paraId="2769EF06">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（4）▲探测角度范围：≥180°</w:t>
            </w:r>
            <w:r>
              <w:rPr>
                <w:rFonts w:hint="eastAsia" w:ascii="仿宋_GB2312" w:hAnsi="仿宋" w:eastAsia="仿宋_GB2312" w:cs="Times New Roman"/>
                <w:color w:val="auto"/>
                <w:sz w:val="21"/>
                <w:szCs w:val="21"/>
                <w:highlight w:val="none"/>
                <w:lang w:eastAsia="zh-CN"/>
              </w:rPr>
              <w:t>。</w:t>
            </w:r>
          </w:p>
          <w:p w14:paraId="45F70F4F">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（5）激光防护等级：1级（人眼安全）</w:t>
            </w:r>
            <w:r>
              <w:rPr>
                <w:rFonts w:hint="eastAsia" w:ascii="仿宋_GB2312" w:hAnsi="仿宋" w:eastAsia="仿宋_GB2312" w:cs="Times New Roman"/>
                <w:color w:val="auto"/>
                <w:sz w:val="21"/>
                <w:szCs w:val="21"/>
                <w:highlight w:val="none"/>
                <w:lang w:eastAsia="zh-CN"/>
              </w:rPr>
              <w:t>。</w:t>
            </w:r>
          </w:p>
          <w:p w14:paraId="4AFD2AD0">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（6）激光波长：905nm</w:t>
            </w:r>
            <w:r>
              <w:rPr>
                <w:rFonts w:hint="eastAsia" w:ascii="仿宋_GB2312" w:hAnsi="仿宋" w:eastAsia="仿宋_GB2312" w:cs="Times New Roman"/>
                <w:color w:val="auto"/>
                <w:sz w:val="21"/>
                <w:szCs w:val="21"/>
                <w:highlight w:val="none"/>
                <w:lang w:eastAsia="zh-CN"/>
              </w:rPr>
              <w:t>。</w:t>
            </w:r>
          </w:p>
          <w:p w14:paraId="7FA94B7A">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（7）外壳防护等级：不低于IP67</w:t>
            </w:r>
            <w:r>
              <w:rPr>
                <w:rFonts w:hint="eastAsia" w:ascii="仿宋_GB2312" w:hAnsi="仿宋" w:eastAsia="仿宋_GB2312" w:cs="Times New Roman"/>
                <w:color w:val="auto"/>
                <w:sz w:val="21"/>
                <w:szCs w:val="21"/>
                <w:highlight w:val="none"/>
                <w:lang w:eastAsia="zh-CN"/>
              </w:rPr>
              <w:t>。</w:t>
            </w:r>
          </w:p>
          <w:p w14:paraId="60DC22D7">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（8）▲功耗：＜10W，且支持宽电压供电，电压范围：DC10V-DC30V</w:t>
            </w:r>
            <w:r>
              <w:rPr>
                <w:rFonts w:hint="eastAsia" w:ascii="仿宋_GB2312" w:hAnsi="仿宋" w:eastAsia="仿宋_GB2312" w:cs="Times New Roman"/>
                <w:color w:val="auto"/>
                <w:sz w:val="21"/>
                <w:szCs w:val="21"/>
                <w:highlight w:val="none"/>
                <w:lang w:eastAsia="zh-CN"/>
              </w:rPr>
              <w:t>。</w:t>
            </w:r>
          </w:p>
          <w:p w14:paraId="557E8DAB">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b/>
                <w:bCs/>
                <w:color w:val="auto"/>
                <w:sz w:val="21"/>
                <w:szCs w:val="21"/>
                <w:highlight w:val="none"/>
              </w:rPr>
              <w:t>3.视频设备参数</w:t>
            </w:r>
          </w:p>
          <w:p w14:paraId="68A88B2D">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使用枪型视频设备，不少于400万像素，具备红外夜视功能</w:t>
            </w:r>
            <w:r>
              <w:rPr>
                <w:rFonts w:hint="eastAsia" w:ascii="仿宋_GB2312" w:hAnsi="仿宋" w:eastAsia="仿宋_GB2312" w:cs="Times New Roman"/>
                <w:color w:val="auto"/>
                <w:sz w:val="21"/>
                <w:szCs w:val="21"/>
                <w:highlight w:val="none"/>
                <w:lang w:eastAsia="zh-CN"/>
              </w:rPr>
              <w:t>。</w:t>
            </w:r>
          </w:p>
          <w:p w14:paraId="56DF202B">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视频OSD信息须</w:t>
            </w:r>
            <w:r>
              <w:rPr>
                <w:rFonts w:hint="eastAsia" w:ascii="仿宋_GB2312" w:hAnsi="仿宋" w:eastAsia="仿宋_GB2312" w:cs="Times New Roman"/>
                <w:color w:val="auto"/>
                <w:sz w:val="21"/>
                <w:szCs w:val="21"/>
                <w:highlight w:val="none"/>
                <w:lang w:val="en-US" w:eastAsia="zh-CN"/>
              </w:rPr>
              <w:t>包括</w:t>
            </w:r>
            <w:r>
              <w:rPr>
                <w:rFonts w:hint="eastAsia" w:ascii="仿宋_GB2312" w:hAnsi="仿宋" w:eastAsia="仿宋_GB2312" w:cs="Times New Roman"/>
                <w:color w:val="auto"/>
                <w:sz w:val="21"/>
                <w:szCs w:val="21"/>
                <w:highlight w:val="none"/>
              </w:rPr>
              <w:t>站点名称、时间</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行驶方向地名</w:t>
            </w:r>
            <w:r>
              <w:rPr>
                <w:rFonts w:hint="eastAsia" w:ascii="仿宋_GB2312" w:hAnsi="仿宋" w:eastAsia="仿宋_GB2312" w:cs="Times New Roman"/>
                <w:color w:val="auto"/>
                <w:sz w:val="21"/>
                <w:szCs w:val="21"/>
                <w:highlight w:val="none"/>
              </w:rPr>
              <w:t>等</w:t>
            </w:r>
            <w:r>
              <w:rPr>
                <w:rFonts w:hint="eastAsia" w:ascii="仿宋_GB2312" w:hAnsi="仿宋" w:eastAsia="仿宋_GB2312" w:cs="Times New Roman"/>
                <w:color w:val="auto"/>
                <w:sz w:val="21"/>
                <w:szCs w:val="21"/>
                <w:highlight w:val="none"/>
                <w:lang w:eastAsia="zh-CN"/>
              </w:rPr>
              <w:t>。</w:t>
            </w:r>
          </w:p>
          <w:p w14:paraId="51C47D80">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支持宽动态范围达120dB，支持3D数字降噪功能</w:t>
            </w:r>
            <w:r>
              <w:rPr>
                <w:rFonts w:hint="eastAsia" w:ascii="仿宋_GB2312" w:hAnsi="仿宋" w:eastAsia="仿宋_GB2312" w:cs="Times New Roman"/>
                <w:color w:val="auto"/>
                <w:sz w:val="21"/>
                <w:szCs w:val="21"/>
                <w:highlight w:val="none"/>
                <w:lang w:eastAsia="zh-CN"/>
              </w:rPr>
              <w:t>。</w:t>
            </w:r>
          </w:p>
          <w:p w14:paraId="3CC8FCAA">
            <w:pPr>
              <w:adjustRightInd/>
              <w:snapToGrid/>
              <w:spacing w:line="340" w:lineRule="exact"/>
              <w:ind w:firstLine="0" w:firstLineChars="0"/>
              <w:rPr>
                <w:rFonts w:hint="eastAsia" w:ascii="仿宋_GB2312" w:hAnsi="仿宋" w:eastAsia="仿宋_GB2312" w:cs="Times New Roman"/>
                <w:b w:val="0"/>
                <w:bCs w:val="0"/>
                <w:strike/>
                <w:color w:val="auto"/>
                <w:sz w:val="21"/>
                <w:szCs w:val="21"/>
                <w:highlight w:val="none"/>
              </w:rPr>
            </w:pP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4</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▲采用H.265编码，支持GB28181/GB28059协议接入。</w:t>
            </w:r>
          </w:p>
          <w:p w14:paraId="7DF243B0">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b/>
                <w:bCs/>
                <w:color w:val="auto"/>
                <w:sz w:val="21"/>
                <w:szCs w:val="21"/>
                <w:highlight w:val="none"/>
              </w:rPr>
              <w:t>（带“▲”号的技术参数，需提供具有CMA或CNAS认证的第三方检测机构在认可能力范围内出具的符合相应要求的检测报告</w:t>
            </w:r>
            <w:r>
              <w:rPr>
                <w:rFonts w:hint="eastAsia" w:ascii="仿宋_GB2312" w:hAnsi="仿宋" w:eastAsia="仿宋_GB2312" w:cs="Times New Roman"/>
                <w:b/>
                <w:bCs/>
                <w:color w:val="auto"/>
                <w:sz w:val="21"/>
                <w:szCs w:val="21"/>
                <w:highlight w:val="none"/>
                <w:lang w:val="en-US" w:eastAsia="zh-CN"/>
              </w:rPr>
              <w:t>扫描</w:t>
            </w:r>
            <w:r>
              <w:rPr>
                <w:rFonts w:hint="eastAsia" w:ascii="仿宋_GB2312" w:hAnsi="仿宋" w:eastAsia="仿宋_GB2312" w:cs="Times New Roman"/>
                <w:b/>
                <w:bCs/>
                <w:color w:val="auto"/>
                <w:sz w:val="21"/>
                <w:szCs w:val="21"/>
                <w:highlight w:val="none"/>
              </w:rPr>
              <w:t>件予以佐证，并加盖供应商公章。）</w:t>
            </w:r>
          </w:p>
        </w:tc>
      </w:tr>
      <w:tr w14:paraId="4635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797" w:type="dxa"/>
            <w:tcBorders>
              <w:left w:val="single" w:color="auto" w:sz="12" w:space="0"/>
            </w:tcBorders>
            <w:vAlign w:val="center"/>
          </w:tcPr>
          <w:p w14:paraId="08A9DAFA">
            <w:pPr>
              <w:adjustRightInd/>
              <w:snapToGrid/>
              <w:spacing w:line="340" w:lineRule="exact"/>
              <w:ind w:firstLine="0" w:firstLineChars="0"/>
              <w:jc w:val="center"/>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2</w:t>
            </w:r>
          </w:p>
        </w:tc>
        <w:tc>
          <w:tcPr>
            <w:tcW w:w="887" w:type="dxa"/>
            <w:vAlign w:val="center"/>
          </w:tcPr>
          <w:p w14:paraId="3C0E1E82">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终端管理设施</w:t>
            </w:r>
          </w:p>
        </w:tc>
        <w:tc>
          <w:tcPr>
            <w:tcW w:w="6518" w:type="dxa"/>
            <w:tcBorders>
              <w:right w:val="single" w:color="auto" w:sz="12" w:space="0"/>
            </w:tcBorders>
            <w:vAlign w:val="center"/>
          </w:tcPr>
          <w:p w14:paraId="1ED9921D">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1.提供站点数据实时查询功能</w:t>
            </w:r>
            <w:r>
              <w:rPr>
                <w:rFonts w:hint="eastAsia" w:ascii="仿宋_GB2312" w:hAnsi="仿宋" w:eastAsia="仿宋_GB2312" w:cs="Times New Roman"/>
                <w:color w:val="auto"/>
                <w:sz w:val="21"/>
                <w:szCs w:val="21"/>
                <w:highlight w:val="none"/>
                <w:lang w:eastAsia="zh-CN"/>
              </w:rPr>
              <w:t>。</w:t>
            </w:r>
          </w:p>
          <w:p w14:paraId="112C24F5">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2.提供报表配置信息功能，用户可自行修改报表导出信息配置</w:t>
            </w:r>
            <w:r>
              <w:rPr>
                <w:rFonts w:hint="eastAsia" w:ascii="仿宋_GB2312" w:hAnsi="仿宋" w:eastAsia="仿宋_GB2312" w:cs="Times New Roman"/>
                <w:color w:val="auto"/>
                <w:sz w:val="21"/>
                <w:szCs w:val="21"/>
                <w:highlight w:val="none"/>
                <w:lang w:eastAsia="zh-CN"/>
              </w:rPr>
              <w:t>。</w:t>
            </w:r>
          </w:p>
          <w:p w14:paraId="19F3F397">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3.提供统计报表功能，用户查看小时、日、月、年统计报表数据</w:t>
            </w:r>
            <w:r>
              <w:rPr>
                <w:rFonts w:hint="eastAsia" w:ascii="仿宋_GB2312" w:hAnsi="仿宋" w:eastAsia="仿宋_GB2312" w:cs="Times New Roman"/>
                <w:color w:val="auto"/>
                <w:sz w:val="21"/>
                <w:szCs w:val="21"/>
                <w:highlight w:val="none"/>
                <w:lang w:eastAsia="zh-CN"/>
              </w:rPr>
              <w:t>。</w:t>
            </w:r>
          </w:p>
          <w:p w14:paraId="018F423B">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4.提供不小于30天视频数据存储和历史视频点播的功能</w:t>
            </w:r>
            <w:r>
              <w:rPr>
                <w:rFonts w:hint="eastAsia" w:ascii="仿宋_GB2312" w:hAnsi="仿宋" w:eastAsia="仿宋_GB2312" w:cs="Times New Roman"/>
                <w:color w:val="auto"/>
                <w:sz w:val="21"/>
                <w:szCs w:val="21"/>
                <w:highlight w:val="none"/>
                <w:lang w:eastAsia="zh-CN"/>
              </w:rPr>
              <w:t>。</w:t>
            </w:r>
          </w:p>
          <w:p w14:paraId="461D4EB1">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5.提供每5/10/15/20/30分钟等可配制的视频录像文件（TS/MP4格式）</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且具备远程下载的功能</w:t>
            </w:r>
            <w:r>
              <w:rPr>
                <w:rFonts w:hint="eastAsia" w:ascii="仿宋_GB2312" w:hAnsi="仿宋" w:eastAsia="仿宋_GB2312" w:cs="Times New Roman"/>
                <w:color w:val="auto"/>
                <w:sz w:val="21"/>
                <w:szCs w:val="21"/>
                <w:highlight w:val="none"/>
                <w:lang w:eastAsia="zh-CN"/>
              </w:rPr>
              <w:t>。</w:t>
            </w:r>
          </w:p>
          <w:p w14:paraId="1104E03D">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6.需具备平台视频监测功能</w:t>
            </w:r>
            <w:r>
              <w:rPr>
                <w:rFonts w:hint="eastAsia" w:ascii="仿宋_GB2312" w:hAnsi="仿宋" w:eastAsia="仿宋_GB2312" w:cs="Times New Roman"/>
                <w:color w:val="auto"/>
                <w:sz w:val="21"/>
                <w:szCs w:val="21"/>
                <w:highlight w:val="none"/>
                <w:lang w:eastAsia="zh-CN"/>
              </w:rPr>
              <w:t>。</w:t>
            </w:r>
          </w:p>
          <w:p w14:paraId="1B216E8E">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7.配置</w:t>
            </w:r>
            <w:r>
              <w:rPr>
                <w:rFonts w:hint="eastAsia" w:ascii="仿宋_GB2312" w:hAnsi="仿宋" w:eastAsia="仿宋_GB2312" w:cs="Times New Roman"/>
                <w:color w:val="auto"/>
                <w:sz w:val="21"/>
                <w:szCs w:val="21"/>
                <w:highlight w:val="none"/>
                <w:lang w:val="en-US" w:eastAsia="zh-CN"/>
              </w:rPr>
              <w:t>不少于</w:t>
            </w:r>
            <w:r>
              <w:rPr>
                <w:rFonts w:hint="eastAsia" w:ascii="仿宋_GB2312" w:hAnsi="仿宋" w:eastAsia="仿宋_GB2312" w:cs="Times New Roman"/>
                <w:color w:val="auto"/>
                <w:sz w:val="21"/>
                <w:szCs w:val="21"/>
                <w:highlight w:val="none"/>
              </w:rPr>
              <w:t>6T的</w:t>
            </w:r>
            <w:r>
              <w:rPr>
                <w:rFonts w:hint="eastAsia" w:ascii="仿宋_GB2312" w:hAnsi="仿宋" w:eastAsia="仿宋_GB2312" w:cs="Times New Roman"/>
                <w:color w:val="auto"/>
                <w:sz w:val="21"/>
                <w:szCs w:val="21"/>
                <w:highlight w:val="none"/>
                <w:lang w:val="en-US" w:eastAsia="zh-CN"/>
              </w:rPr>
              <w:t>监控级</w:t>
            </w:r>
            <w:r>
              <w:rPr>
                <w:rFonts w:hint="eastAsia" w:ascii="仿宋_GB2312" w:hAnsi="仿宋" w:eastAsia="仿宋_GB2312" w:cs="Times New Roman"/>
                <w:color w:val="auto"/>
                <w:sz w:val="21"/>
                <w:szCs w:val="21"/>
                <w:highlight w:val="none"/>
              </w:rPr>
              <w:t>磁盘，满足交调数据、车牌识别数据和视频录像存储不小于30天的空间</w:t>
            </w:r>
            <w:r>
              <w:rPr>
                <w:rFonts w:hint="eastAsia" w:ascii="仿宋_GB2312" w:hAnsi="仿宋" w:eastAsia="仿宋_GB2312" w:cs="Times New Roman"/>
                <w:color w:val="auto"/>
                <w:sz w:val="21"/>
                <w:szCs w:val="21"/>
                <w:highlight w:val="none"/>
                <w:lang w:eastAsia="zh-CN"/>
              </w:rPr>
              <w:t>。</w:t>
            </w:r>
          </w:p>
        </w:tc>
      </w:tr>
      <w:tr w14:paraId="1D77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797" w:type="dxa"/>
            <w:tcBorders>
              <w:left w:val="single" w:color="auto" w:sz="12" w:space="0"/>
            </w:tcBorders>
            <w:vAlign w:val="center"/>
          </w:tcPr>
          <w:p w14:paraId="48EC5072">
            <w:pPr>
              <w:adjustRightInd/>
              <w:snapToGrid/>
              <w:spacing w:line="340" w:lineRule="exact"/>
              <w:ind w:firstLine="0" w:firstLineChars="0"/>
              <w:jc w:val="center"/>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3</w:t>
            </w:r>
          </w:p>
        </w:tc>
        <w:tc>
          <w:tcPr>
            <w:tcW w:w="887" w:type="dxa"/>
            <w:vAlign w:val="center"/>
          </w:tcPr>
          <w:p w14:paraId="5D1D4FD1">
            <w:pPr>
              <w:adjustRightInd/>
              <w:snapToGrid/>
              <w:spacing w:line="340" w:lineRule="exact"/>
              <w:ind w:firstLine="0" w:firstLineChars="0"/>
              <w:rPr>
                <w:rFonts w:cs="宋体"/>
                <w:color w:val="auto"/>
                <w:sz w:val="21"/>
                <w:highlight w:val="none"/>
              </w:rPr>
            </w:pPr>
            <w:r>
              <w:rPr>
                <w:rFonts w:hint="eastAsia" w:ascii="仿宋_GB2312" w:hAnsi="仿宋" w:eastAsia="仿宋_GB2312" w:cs="Times New Roman"/>
                <w:color w:val="auto"/>
                <w:sz w:val="21"/>
                <w:szCs w:val="21"/>
                <w:highlight w:val="none"/>
              </w:rPr>
              <w:t>数据模块（工业级）</w:t>
            </w:r>
          </w:p>
        </w:tc>
        <w:tc>
          <w:tcPr>
            <w:tcW w:w="6518" w:type="dxa"/>
            <w:tcBorders>
              <w:right w:val="single" w:color="auto" w:sz="12" w:space="0"/>
            </w:tcBorders>
            <w:vAlign w:val="center"/>
          </w:tcPr>
          <w:p w14:paraId="087EE6DE">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1.全网通，支持4G/5G</w:t>
            </w:r>
            <w:r>
              <w:rPr>
                <w:rFonts w:hint="eastAsia" w:ascii="仿宋_GB2312" w:hAnsi="仿宋" w:eastAsia="仿宋_GB2312" w:cs="Times New Roman"/>
                <w:color w:val="auto"/>
                <w:sz w:val="21"/>
                <w:szCs w:val="21"/>
                <w:highlight w:val="none"/>
                <w:lang w:eastAsia="zh-CN"/>
              </w:rPr>
              <w:t>。</w:t>
            </w:r>
          </w:p>
          <w:p w14:paraId="564DBBB7">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2.采用</w:t>
            </w:r>
            <w:r>
              <w:rPr>
                <w:rFonts w:hint="eastAsia" w:ascii="仿宋_GB2312" w:hAnsi="仿宋" w:eastAsia="仿宋_GB2312" w:cs="Times New Roman"/>
                <w:color w:val="auto"/>
                <w:sz w:val="21"/>
                <w:szCs w:val="21"/>
                <w:highlight w:val="none"/>
                <w:lang w:eastAsia="zh-CN"/>
              </w:rPr>
              <w:t>6</w:t>
            </w:r>
            <w:r>
              <w:rPr>
                <w:rFonts w:hint="eastAsia" w:ascii="仿宋_GB2312" w:hAnsi="仿宋" w:eastAsia="仿宋_GB2312" w:cs="Times New Roman"/>
                <w:color w:val="auto"/>
                <w:sz w:val="21"/>
                <w:szCs w:val="21"/>
                <w:highlight w:val="none"/>
                <w:lang w:val="en-US" w:eastAsia="zh-CN"/>
              </w:rPr>
              <w:t>4</w:t>
            </w:r>
            <w:r>
              <w:rPr>
                <w:rFonts w:hint="eastAsia" w:ascii="仿宋_GB2312" w:hAnsi="仿宋" w:eastAsia="仿宋_GB2312" w:cs="Times New Roman"/>
                <w:color w:val="auto"/>
                <w:sz w:val="21"/>
                <w:szCs w:val="21"/>
                <w:highlight w:val="none"/>
              </w:rPr>
              <w:t>位工业级芯片设计，搭载工业级无线模组</w:t>
            </w:r>
            <w:r>
              <w:rPr>
                <w:rFonts w:hint="eastAsia" w:ascii="仿宋_GB2312" w:hAnsi="仿宋" w:eastAsia="仿宋_GB2312" w:cs="Times New Roman"/>
                <w:color w:val="auto"/>
                <w:sz w:val="21"/>
                <w:szCs w:val="21"/>
                <w:highlight w:val="none"/>
                <w:lang w:eastAsia="zh-CN"/>
              </w:rPr>
              <w:t>。</w:t>
            </w:r>
          </w:p>
          <w:p w14:paraId="7E6ACB29">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3.具备4*LAN,1*WAN，WiFi接口或以上</w:t>
            </w:r>
            <w:r>
              <w:rPr>
                <w:rFonts w:hint="eastAsia" w:ascii="仿宋_GB2312" w:hAnsi="仿宋" w:eastAsia="仿宋_GB2312" w:cs="Times New Roman"/>
                <w:color w:val="auto"/>
                <w:sz w:val="21"/>
                <w:szCs w:val="21"/>
                <w:highlight w:val="none"/>
                <w:lang w:eastAsia="zh-CN"/>
              </w:rPr>
              <w:t>。</w:t>
            </w:r>
          </w:p>
          <w:p w14:paraId="346531EF">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4.具备SIM卡设计，支持有线无线备份</w:t>
            </w:r>
            <w:r>
              <w:rPr>
                <w:rFonts w:hint="eastAsia" w:ascii="仿宋_GB2312" w:hAnsi="仿宋" w:eastAsia="仿宋_GB2312" w:cs="Times New Roman"/>
                <w:color w:val="auto"/>
                <w:sz w:val="21"/>
                <w:szCs w:val="21"/>
                <w:highlight w:val="none"/>
                <w:lang w:eastAsia="zh-CN"/>
              </w:rPr>
              <w:t>。</w:t>
            </w:r>
          </w:p>
          <w:p w14:paraId="523FF1FB">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5.支持APN/VPDN（专网）接入</w:t>
            </w:r>
            <w:r>
              <w:rPr>
                <w:rFonts w:hint="eastAsia" w:ascii="仿宋_GB2312" w:hAnsi="仿宋" w:eastAsia="仿宋_GB2312" w:cs="Times New Roman"/>
                <w:color w:val="auto"/>
                <w:sz w:val="21"/>
                <w:szCs w:val="21"/>
                <w:highlight w:val="none"/>
                <w:lang w:eastAsia="zh-CN"/>
              </w:rPr>
              <w:t>。</w:t>
            </w:r>
          </w:p>
          <w:p w14:paraId="2FDFDEC3">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6.支持IPSecVPN/L2TP/PPTP/OPENVPN</w:t>
            </w:r>
            <w:r>
              <w:rPr>
                <w:rFonts w:hint="eastAsia" w:ascii="仿宋_GB2312" w:hAnsi="仿宋" w:eastAsia="仿宋_GB2312" w:cs="Times New Roman"/>
                <w:color w:val="auto"/>
                <w:sz w:val="21"/>
                <w:szCs w:val="21"/>
                <w:highlight w:val="none"/>
                <w:lang w:eastAsia="zh-CN"/>
              </w:rPr>
              <w:t>。</w:t>
            </w:r>
          </w:p>
          <w:p w14:paraId="1553C144">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7.支持NAT、DMZ、端口映射、虚拟服务器</w:t>
            </w:r>
            <w:r>
              <w:rPr>
                <w:rFonts w:hint="eastAsia" w:ascii="仿宋_GB2312" w:hAnsi="仿宋" w:eastAsia="仿宋_GB2312" w:cs="Times New Roman"/>
                <w:color w:val="auto"/>
                <w:sz w:val="21"/>
                <w:szCs w:val="21"/>
                <w:highlight w:val="none"/>
                <w:lang w:eastAsia="zh-CN"/>
              </w:rPr>
              <w:t>。</w:t>
            </w:r>
          </w:p>
          <w:p w14:paraId="535F7BD5">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8.支持云平台远程维护管理</w:t>
            </w:r>
            <w:r>
              <w:rPr>
                <w:rFonts w:hint="eastAsia" w:ascii="仿宋_GB2312" w:hAnsi="仿宋" w:eastAsia="仿宋_GB2312" w:cs="Times New Roman"/>
                <w:color w:val="auto"/>
                <w:sz w:val="21"/>
                <w:szCs w:val="21"/>
                <w:highlight w:val="none"/>
                <w:lang w:eastAsia="zh-CN"/>
              </w:rPr>
              <w:t>。</w:t>
            </w:r>
          </w:p>
          <w:p w14:paraId="102A3C3C">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9.内置WDT保护电路，故障自检恢复功能</w:t>
            </w:r>
            <w:r>
              <w:rPr>
                <w:rFonts w:hint="eastAsia" w:ascii="仿宋_GB2312" w:hAnsi="仿宋" w:eastAsia="仿宋_GB2312" w:cs="Times New Roman"/>
                <w:color w:val="auto"/>
                <w:sz w:val="21"/>
                <w:szCs w:val="21"/>
                <w:highlight w:val="none"/>
                <w:lang w:eastAsia="zh-CN"/>
              </w:rPr>
              <w:t>。</w:t>
            </w:r>
          </w:p>
        </w:tc>
      </w:tr>
      <w:tr w14:paraId="2A66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797" w:type="dxa"/>
            <w:tcBorders>
              <w:left w:val="single" w:color="auto" w:sz="12" w:space="0"/>
            </w:tcBorders>
            <w:vAlign w:val="center"/>
          </w:tcPr>
          <w:p w14:paraId="6E5F2621">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4</w:t>
            </w:r>
          </w:p>
        </w:tc>
        <w:tc>
          <w:tcPr>
            <w:tcW w:w="887" w:type="dxa"/>
            <w:vAlign w:val="center"/>
          </w:tcPr>
          <w:p w14:paraId="3C590297">
            <w:pPr>
              <w:adjustRightInd/>
              <w:snapToGrid/>
              <w:spacing w:line="340" w:lineRule="exact"/>
              <w:ind w:firstLine="0" w:firstLineChars="0"/>
              <w:rPr>
                <w:rFonts w:cs="宋体"/>
                <w:color w:val="auto"/>
                <w:sz w:val="21"/>
                <w:highlight w:val="none"/>
              </w:rPr>
            </w:pPr>
            <w:r>
              <w:rPr>
                <w:rFonts w:hint="eastAsia" w:ascii="仿宋_GB2312" w:hAnsi="仿宋" w:eastAsia="仿宋_GB2312" w:cs="Times New Roman"/>
                <w:color w:val="auto"/>
                <w:sz w:val="21"/>
                <w:szCs w:val="21"/>
                <w:highlight w:val="none"/>
              </w:rPr>
              <w:t>气象传感器</w:t>
            </w:r>
          </w:p>
        </w:tc>
        <w:tc>
          <w:tcPr>
            <w:tcW w:w="6518" w:type="dxa"/>
            <w:tcBorders>
              <w:right w:val="single" w:color="auto" w:sz="12" w:space="0"/>
            </w:tcBorders>
            <w:vAlign w:val="center"/>
          </w:tcPr>
          <w:p w14:paraId="2E2AF56D">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实现站点的温度、湿度、气压、风速、风向和降雨量等数据采集。</w:t>
            </w:r>
          </w:p>
        </w:tc>
      </w:tr>
      <w:tr w14:paraId="3A2B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97" w:type="dxa"/>
            <w:tcBorders>
              <w:left w:val="single" w:color="auto" w:sz="12" w:space="0"/>
            </w:tcBorders>
            <w:vAlign w:val="center"/>
          </w:tcPr>
          <w:p w14:paraId="439B6648">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5</w:t>
            </w:r>
          </w:p>
        </w:tc>
        <w:tc>
          <w:tcPr>
            <w:tcW w:w="887" w:type="dxa"/>
            <w:vAlign w:val="center"/>
          </w:tcPr>
          <w:p w14:paraId="0A46D91A">
            <w:pPr>
              <w:adjustRightInd/>
              <w:snapToGrid/>
              <w:spacing w:line="340" w:lineRule="exact"/>
              <w:ind w:firstLine="0" w:firstLineChars="0"/>
              <w:rPr>
                <w:rFonts w:cs="宋体"/>
                <w:color w:val="auto"/>
                <w:sz w:val="21"/>
                <w:highlight w:val="none"/>
              </w:rPr>
            </w:pPr>
            <w:r>
              <w:rPr>
                <w:rFonts w:hint="eastAsia" w:ascii="仿宋_GB2312" w:hAnsi="仿宋" w:eastAsia="仿宋_GB2312" w:cs="Times New Roman"/>
                <w:color w:val="auto"/>
                <w:sz w:val="21"/>
                <w:szCs w:val="21"/>
                <w:highlight w:val="none"/>
              </w:rPr>
              <w:t>卡口抓拍摄像机</w:t>
            </w:r>
          </w:p>
        </w:tc>
        <w:tc>
          <w:tcPr>
            <w:tcW w:w="6518" w:type="dxa"/>
            <w:tcBorders>
              <w:right w:val="single" w:color="auto" w:sz="12" w:space="0"/>
            </w:tcBorders>
            <w:vAlign w:val="center"/>
          </w:tcPr>
          <w:p w14:paraId="540C8962">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1.采用不低于900万像素高帧率彩色高清智能摄像机，搭载专用GS-CMOS图像传感器和高性能AI处理器，最大分辨率可达4096×2160，最大帧率可达25fps</w:t>
            </w:r>
            <w:r>
              <w:rPr>
                <w:rFonts w:hint="eastAsia" w:ascii="仿宋_GB2312" w:hAnsi="仿宋" w:eastAsia="仿宋_GB2312" w:cs="Times New Roman"/>
                <w:color w:val="auto"/>
                <w:sz w:val="21"/>
                <w:szCs w:val="21"/>
                <w:highlight w:val="none"/>
                <w:lang w:eastAsia="zh-CN"/>
              </w:rPr>
              <w:t>。</w:t>
            </w:r>
          </w:p>
          <w:p w14:paraId="71C5138F">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2.镜头规格：25mm</w:t>
            </w:r>
            <w:r>
              <w:rPr>
                <w:rFonts w:hint="eastAsia" w:ascii="仿宋_GB2312" w:hAnsi="仿宋" w:eastAsia="仿宋_GB2312" w:cs="Times New Roman"/>
                <w:color w:val="auto"/>
                <w:sz w:val="21"/>
                <w:szCs w:val="21"/>
                <w:highlight w:val="none"/>
                <w:lang w:eastAsia="zh-CN"/>
              </w:rPr>
              <w:t>。</w:t>
            </w:r>
          </w:p>
          <w:p w14:paraId="2DABC4D9">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3.通讯接口：不少于2个RS-485接口</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1个RS-232接口</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2个RJ-45</w:t>
            </w:r>
            <w:r>
              <w:rPr>
                <w:rFonts w:hint="eastAsia" w:ascii="仿宋_GB2312" w:hAnsi="仿宋" w:eastAsia="仿宋_GB2312" w:cs="Times New Roman"/>
                <w:color w:val="auto"/>
                <w:sz w:val="21"/>
                <w:szCs w:val="21"/>
                <w:highlight w:val="none"/>
                <w:lang w:val="en-US" w:eastAsia="zh-CN"/>
              </w:rPr>
              <w:t>的</w:t>
            </w:r>
            <w:r>
              <w:rPr>
                <w:rFonts w:hint="eastAsia" w:ascii="仿宋_GB2312" w:hAnsi="仿宋" w:eastAsia="仿宋_GB2312" w:cs="Times New Roman"/>
                <w:color w:val="auto"/>
                <w:sz w:val="21"/>
                <w:szCs w:val="21"/>
                <w:highlight w:val="none"/>
              </w:rPr>
              <w:t>10M/100M/1000M自适应以太网口</w:t>
            </w:r>
            <w:r>
              <w:rPr>
                <w:rFonts w:hint="eastAsia" w:ascii="仿宋_GB2312" w:hAnsi="仿宋" w:eastAsia="仿宋_GB2312" w:cs="Times New Roman"/>
                <w:color w:val="auto"/>
                <w:sz w:val="21"/>
                <w:szCs w:val="21"/>
                <w:highlight w:val="none"/>
                <w:lang w:eastAsia="zh-CN"/>
              </w:rPr>
              <w:t>。</w:t>
            </w:r>
          </w:p>
          <w:p w14:paraId="6DB94B81">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4.图片分辨率：不小于4096×2160</w:t>
            </w:r>
            <w:r>
              <w:rPr>
                <w:rFonts w:hint="eastAsia" w:ascii="仿宋_GB2312" w:hAnsi="仿宋" w:eastAsia="仿宋_GB2312" w:cs="Times New Roman"/>
                <w:color w:val="auto"/>
                <w:sz w:val="21"/>
                <w:szCs w:val="21"/>
                <w:highlight w:val="none"/>
                <w:lang w:eastAsia="zh-CN"/>
              </w:rPr>
              <w:t>。</w:t>
            </w:r>
          </w:p>
          <w:p w14:paraId="3307D523">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5.图片格式：JPEG</w:t>
            </w:r>
            <w:r>
              <w:rPr>
                <w:rFonts w:hint="eastAsia" w:ascii="仿宋_GB2312" w:hAnsi="仿宋" w:eastAsia="仿宋_GB2312" w:cs="Times New Roman"/>
                <w:color w:val="auto"/>
                <w:sz w:val="21"/>
                <w:szCs w:val="21"/>
                <w:highlight w:val="none"/>
                <w:lang w:eastAsia="zh-CN"/>
              </w:rPr>
              <w:t>。</w:t>
            </w:r>
          </w:p>
          <w:p w14:paraId="7D3BA190">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6.网络协议：IPv4；IPv6；HTTP；HTTPS；TCP；UDP；ARP；RTP；RTSP；RTCP；FTP；SFTP；DHCP；NTP；Multicast；ICMP；IGMP；802.1x等</w:t>
            </w:r>
            <w:r>
              <w:rPr>
                <w:rFonts w:hint="eastAsia" w:ascii="仿宋_GB2312" w:hAnsi="仿宋" w:eastAsia="仿宋_GB2312" w:cs="Times New Roman"/>
                <w:color w:val="auto"/>
                <w:sz w:val="21"/>
                <w:szCs w:val="21"/>
                <w:highlight w:val="none"/>
                <w:lang w:eastAsia="zh-CN"/>
              </w:rPr>
              <w:t>。</w:t>
            </w:r>
          </w:p>
          <w:p w14:paraId="106950C1">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7.防护等级：不小于IP66</w:t>
            </w:r>
            <w:r>
              <w:rPr>
                <w:rFonts w:hint="eastAsia" w:ascii="仿宋_GB2312" w:hAnsi="仿宋" w:eastAsia="仿宋_GB2312" w:cs="Times New Roman"/>
                <w:color w:val="auto"/>
                <w:sz w:val="21"/>
                <w:szCs w:val="21"/>
                <w:highlight w:val="none"/>
                <w:lang w:eastAsia="zh-CN"/>
              </w:rPr>
              <w:t>。</w:t>
            </w:r>
          </w:p>
          <w:p w14:paraId="4CA3BC92">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8.▲支持自动识别不同焦段的电动聚焦/变焦镜头，在更换镜头时可自动实现聚焦清晰</w:t>
            </w:r>
            <w:r>
              <w:rPr>
                <w:rFonts w:hint="eastAsia" w:ascii="仿宋_GB2312" w:hAnsi="仿宋" w:eastAsia="仿宋_GB2312" w:cs="Times New Roman"/>
                <w:color w:val="auto"/>
                <w:sz w:val="21"/>
                <w:szCs w:val="21"/>
                <w:highlight w:val="none"/>
                <w:lang w:eastAsia="zh-CN"/>
              </w:rPr>
              <w:t>。</w:t>
            </w:r>
          </w:p>
          <w:p w14:paraId="5F9BA528">
            <w:pPr>
              <w:adjustRightInd/>
              <w:snapToGrid/>
              <w:spacing w:line="340" w:lineRule="exact"/>
              <w:ind w:firstLine="0" w:firstLineChars="0"/>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lang w:eastAsia="zh-CN"/>
              </w:rPr>
              <w:t>9</w:t>
            </w:r>
            <w:r>
              <w:rPr>
                <w:rFonts w:hint="eastAsia" w:ascii="仿宋_GB2312" w:hAnsi="仿宋" w:eastAsia="仿宋_GB2312" w:cs="Times New Roman"/>
                <w:b/>
                <w:bCs/>
                <w:color w:val="auto"/>
                <w:sz w:val="21"/>
                <w:szCs w:val="21"/>
                <w:highlight w:val="none"/>
              </w:rPr>
              <w:t>.★识别号牌的种类应包括</w:t>
            </w:r>
            <w:r>
              <w:rPr>
                <w:rFonts w:hint="eastAsia" w:ascii="仿宋_GB2312" w:hAnsi="仿宋" w:eastAsia="仿宋_GB2312" w:cs="Times New Roman"/>
                <w:b/>
                <w:bCs/>
                <w:color w:val="auto"/>
                <w:sz w:val="21"/>
                <w:szCs w:val="21"/>
                <w:highlight w:val="none"/>
                <w:lang w:val="en-US" w:eastAsia="zh-CN"/>
              </w:rPr>
              <w:t>公安部颁</w:t>
            </w: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lang w:val="en-US" w:eastAsia="zh-CN"/>
              </w:rPr>
              <w:t>中华人民共和国机动车号牌（</w:t>
            </w:r>
            <w:r>
              <w:rPr>
                <w:rFonts w:hint="eastAsia" w:ascii="仿宋_GB2312" w:hAnsi="仿宋" w:eastAsia="仿宋_GB2312" w:cs="Times New Roman"/>
                <w:b/>
                <w:bCs/>
                <w:color w:val="auto"/>
                <w:sz w:val="21"/>
                <w:szCs w:val="21"/>
                <w:highlight w:val="none"/>
              </w:rPr>
              <w:t>GA 36</w:t>
            </w:r>
            <w:r>
              <w:rPr>
                <w:rFonts w:hint="eastAsia" w:ascii="仿宋_GB2312" w:hAnsi="仿宋" w:eastAsia="仿宋_GB2312" w:cs="Times New Roman"/>
                <w:b/>
                <w:bCs/>
                <w:color w:val="auto"/>
                <w:sz w:val="21"/>
                <w:szCs w:val="21"/>
                <w:highlight w:val="none"/>
                <w:lang w:val="en-US" w:eastAsia="zh-CN"/>
              </w:rPr>
              <w:t>-2018）》</w:t>
            </w:r>
            <w:r>
              <w:rPr>
                <w:rFonts w:hint="eastAsia" w:ascii="仿宋_GB2312" w:hAnsi="仿宋" w:eastAsia="仿宋_GB2312" w:cs="Times New Roman"/>
                <w:b/>
                <w:bCs/>
                <w:color w:val="auto"/>
                <w:sz w:val="21"/>
                <w:szCs w:val="21"/>
                <w:highlight w:val="none"/>
              </w:rPr>
              <w:t>规定的号牌（摩托车号牌、低速车号牌、临时号牌、拖拉机号牌除外）；日间号牌号码识别准确率应不小于95%，夜间号牌号码识别准确率应不小于90%；</w:t>
            </w:r>
          </w:p>
          <w:p w14:paraId="5CE5954C">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eastAsia="zh-CN"/>
              </w:rPr>
              <w:t>0</w:t>
            </w:r>
            <w:r>
              <w:rPr>
                <w:rFonts w:hint="eastAsia" w:ascii="仿宋_GB2312" w:hAnsi="仿宋" w:eastAsia="仿宋_GB2312" w:cs="Times New Roman"/>
                <w:color w:val="auto"/>
                <w:sz w:val="21"/>
                <w:szCs w:val="21"/>
                <w:highlight w:val="none"/>
              </w:rPr>
              <w:t>.支持</w:t>
            </w:r>
            <w:r>
              <w:rPr>
                <w:rFonts w:hint="eastAsia" w:ascii="仿宋_GB2312" w:hAnsi="仿宋" w:eastAsia="仿宋_GB2312" w:cs="Times New Roman"/>
                <w:color w:val="auto"/>
                <w:sz w:val="21"/>
                <w:szCs w:val="21"/>
                <w:highlight w:val="none"/>
                <w:lang w:val="en-US" w:eastAsia="zh-CN"/>
              </w:rPr>
              <w:t>国家质量监督检验检疫总局和国家标准化管理委员会颁</w:t>
            </w:r>
            <w:r>
              <w:rPr>
                <w:rFonts w:hint="eastAsia" w:ascii="仿宋_GB2312" w:hAnsi="仿宋" w:eastAsia="仿宋_GB2312" w:cs="Times New Roman"/>
                <w:color w:val="auto"/>
                <w:sz w:val="21"/>
                <w:szCs w:val="21"/>
                <w:highlight w:val="none"/>
              </w:rPr>
              <w:t>《公共安全视频监控联网系统信息传输、交换、控制技术要求</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GB/T28181-20</w:t>
            </w:r>
            <w:r>
              <w:rPr>
                <w:rFonts w:hint="eastAsia" w:ascii="仿宋_GB2312" w:hAnsi="仿宋" w:eastAsia="仿宋_GB2312" w:cs="Times New Roman"/>
                <w:color w:val="auto"/>
                <w:sz w:val="21"/>
                <w:szCs w:val="21"/>
                <w:highlight w:val="none"/>
                <w:lang w:val="en-US" w:eastAsia="zh-CN"/>
              </w:rPr>
              <w:t>22）</w:t>
            </w:r>
            <w:r>
              <w:rPr>
                <w:rFonts w:hint="eastAsia" w:ascii="仿宋_GB2312" w:hAnsi="仿宋" w:eastAsia="仿宋_GB2312" w:cs="Times New Roman"/>
                <w:color w:val="auto"/>
                <w:sz w:val="21"/>
                <w:szCs w:val="21"/>
                <w:highlight w:val="none"/>
              </w:rPr>
              <w:t>》视频联网标准，SDK协议等</w:t>
            </w:r>
            <w:r>
              <w:rPr>
                <w:rFonts w:hint="eastAsia" w:ascii="仿宋_GB2312" w:hAnsi="仿宋" w:eastAsia="仿宋_GB2312" w:cs="Times New Roman"/>
                <w:color w:val="auto"/>
                <w:sz w:val="21"/>
                <w:szCs w:val="21"/>
                <w:highlight w:val="none"/>
                <w:lang w:eastAsia="zh-CN"/>
              </w:rPr>
              <w:t>。</w:t>
            </w:r>
          </w:p>
          <w:p w14:paraId="44E283EB">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eastAsia="zh-CN"/>
              </w:rPr>
              <w:t>1</w:t>
            </w:r>
            <w:r>
              <w:rPr>
                <w:rFonts w:hint="eastAsia" w:ascii="仿宋_GB2312" w:hAnsi="仿宋" w:eastAsia="仿宋_GB2312" w:cs="Times New Roman"/>
                <w:color w:val="auto"/>
                <w:sz w:val="21"/>
                <w:szCs w:val="21"/>
                <w:highlight w:val="none"/>
              </w:rPr>
              <w:t>.支持国家质量监督检验检疫总局和国家标准化管理委员会</w:t>
            </w:r>
            <w:r>
              <w:rPr>
                <w:rFonts w:hint="eastAsia" w:ascii="仿宋_GB2312" w:hAnsi="仿宋" w:eastAsia="仿宋_GB2312" w:cs="Times New Roman"/>
                <w:color w:val="auto"/>
                <w:sz w:val="21"/>
                <w:szCs w:val="21"/>
                <w:highlight w:val="none"/>
                <w:lang w:val="en-US" w:eastAsia="zh-CN"/>
              </w:rPr>
              <w:t>颁</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公共安全视频监控联网信息安全技术要求</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GB 35114</w:t>
            </w:r>
            <w:r>
              <w:rPr>
                <w:rFonts w:hint="eastAsia" w:ascii="仿宋_GB2312" w:hAnsi="仿宋" w:eastAsia="仿宋_GB2312" w:cs="Times New Roman"/>
                <w:color w:val="auto"/>
                <w:sz w:val="21"/>
                <w:szCs w:val="21"/>
                <w:highlight w:val="none"/>
                <w:lang w:val="en-US" w:eastAsia="zh-CN"/>
              </w:rPr>
              <w:t>-2017</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-A级功能</w:t>
            </w:r>
            <w:r>
              <w:rPr>
                <w:rFonts w:hint="eastAsia" w:ascii="仿宋_GB2312" w:hAnsi="仿宋" w:eastAsia="仿宋_GB2312" w:cs="Times New Roman"/>
                <w:color w:val="auto"/>
                <w:sz w:val="21"/>
                <w:szCs w:val="21"/>
                <w:highlight w:val="none"/>
                <w:lang w:eastAsia="zh-CN"/>
              </w:rPr>
              <w:t>。</w:t>
            </w:r>
          </w:p>
          <w:p w14:paraId="751B4FE6">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eastAsia="zh-CN"/>
              </w:rPr>
              <w:t>2</w:t>
            </w:r>
            <w:r>
              <w:rPr>
                <w:rFonts w:hint="eastAsia" w:ascii="仿宋_GB2312" w:hAnsi="仿宋" w:eastAsia="仿宋_GB2312" w:cs="Times New Roman"/>
                <w:color w:val="auto"/>
                <w:sz w:val="21"/>
                <w:szCs w:val="21"/>
                <w:highlight w:val="none"/>
              </w:rPr>
              <w:t>.支持通过视频触发进行车辆抓拍，支持机动车品牌、车身颜色及车型识别，通行车辆信息捕获和违章检测功能</w:t>
            </w:r>
            <w:r>
              <w:rPr>
                <w:rFonts w:hint="eastAsia" w:ascii="仿宋_GB2312" w:hAnsi="仿宋" w:eastAsia="仿宋_GB2312" w:cs="Times New Roman"/>
                <w:color w:val="auto"/>
                <w:sz w:val="21"/>
                <w:szCs w:val="21"/>
                <w:highlight w:val="none"/>
                <w:lang w:eastAsia="zh-CN"/>
              </w:rPr>
              <w:t>。</w:t>
            </w:r>
          </w:p>
          <w:p w14:paraId="3897339C">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eastAsia="zh-CN"/>
              </w:rPr>
              <w:t>3</w:t>
            </w:r>
            <w:r>
              <w:rPr>
                <w:rFonts w:hint="eastAsia" w:ascii="仿宋_GB2312" w:hAnsi="仿宋" w:eastAsia="仿宋_GB2312" w:cs="Times New Roman"/>
                <w:color w:val="auto"/>
                <w:sz w:val="21"/>
                <w:szCs w:val="21"/>
                <w:highlight w:val="none"/>
              </w:rPr>
              <w:t>.▲支持透雾模式的开启和关闭。</w:t>
            </w:r>
          </w:p>
          <w:p w14:paraId="15A9AE07">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b/>
                <w:bCs/>
                <w:color w:val="auto"/>
                <w:sz w:val="21"/>
                <w:szCs w:val="21"/>
                <w:highlight w:val="none"/>
              </w:rPr>
              <w:t>带“▲”号的技术参数，需提供具有CMA或CNAS认证的第三方检测机构在认可能力范围内出具的符合相应要求的检测报告</w:t>
            </w:r>
            <w:r>
              <w:rPr>
                <w:rFonts w:hint="eastAsia" w:ascii="仿宋_GB2312" w:hAnsi="仿宋" w:eastAsia="仿宋_GB2312" w:cs="Times New Roman"/>
                <w:b/>
                <w:bCs/>
                <w:color w:val="auto"/>
                <w:sz w:val="21"/>
                <w:szCs w:val="21"/>
                <w:highlight w:val="none"/>
                <w:lang w:val="en-US" w:eastAsia="zh-CN"/>
              </w:rPr>
              <w:t>扫描</w:t>
            </w:r>
            <w:r>
              <w:rPr>
                <w:rFonts w:hint="eastAsia" w:ascii="仿宋_GB2312" w:hAnsi="仿宋" w:eastAsia="仿宋_GB2312" w:cs="Times New Roman"/>
                <w:b/>
                <w:bCs/>
                <w:color w:val="auto"/>
                <w:sz w:val="21"/>
                <w:szCs w:val="21"/>
                <w:highlight w:val="none"/>
              </w:rPr>
              <w:t>件予以佐证，并加盖供应商公章。</w:t>
            </w:r>
            <w:r>
              <w:rPr>
                <w:rFonts w:hint="eastAsia" w:ascii="仿宋_GB2312" w:hAnsi="仿宋" w:eastAsia="仿宋_GB2312" w:cs="Times New Roman"/>
                <w:color w:val="auto"/>
                <w:sz w:val="21"/>
                <w:szCs w:val="21"/>
                <w:highlight w:val="none"/>
              </w:rPr>
              <w:t>）</w:t>
            </w:r>
          </w:p>
        </w:tc>
      </w:tr>
      <w:tr w14:paraId="1E86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97" w:type="dxa"/>
            <w:tcBorders>
              <w:left w:val="single" w:color="auto" w:sz="12" w:space="0"/>
            </w:tcBorders>
            <w:vAlign w:val="center"/>
          </w:tcPr>
          <w:p w14:paraId="2F1B1A06">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6</w:t>
            </w:r>
          </w:p>
        </w:tc>
        <w:tc>
          <w:tcPr>
            <w:tcW w:w="887" w:type="dxa"/>
            <w:vAlign w:val="center"/>
          </w:tcPr>
          <w:p w14:paraId="2FEC91D0">
            <w:pPr>
              <w:adjustRightInd/>
              <w:snapToGrid/>
              <w:spacing w:line="340" w:lineRule="exact"/>
              <w:ind w:firstLine="0" w:firstLineChars="0"/>
              <w:rPr>
                <w:rFonts w:cs="宋体"/>
                <w:color w:val="auto"/>
                <w:sz w:val="21"/>
                <w:highlight w:val="none"/>
              </w:rPr>
            </w:pPr>
            <w:r>
              <w:rPr>
                <w:rFonts w:hint="eastAsia" w:ascii="仿宋_GB2312" w:hAnsi="仿宋" w:eastAsia="仿宋_GB2312" w:cs="Times New Roman"/>
                <w:color w:val="auto"/>
                <w:sz w:val="21"/>
                <w:szCs w:val="21"/>
                <w:highlight w:val="none"/>
              </w:rPr>
              <w:t>一体化补光灯</w:t>
            </w:r>
          </w:p>
        </w:tc>
        <w:tc>
          <w:tcPr>
            <w:tcW w:w="6518" w:type="dxa"/>
            <w:tcBorders>
              <w:right w:val="single" w:color="auto" w:sz="12" w:space="0"/>
            </w:tcBorders>
            <w:vAlign w:val="center"/>
          </w:tcPr>
          <w:p w14:paraId="76E2BF53">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1.灯型：多功能一体型</w:t>
            </w:r>
            <w:r>
              <w:rPr>
                <w:rFonts w:hint="eastAsia" w:ascii="仿宋_GB2312" w:hAnsi="仿宋" w:eastAsia="仿宋_GB2312" w:cs="Times New Roman"/>
                <w:color w:val="auto"/>
                <w:sz w:val="21"/>
                <w:szCs w:val="21"/>
                <w:highlight w:val="none"/>
                <w:lang w:eastAsia="zh-CN"/>
              </w:rPr>
              <w:t>。</w:t>
            </w:r>
          </w:p>
          <w:p w14:paraId="502E0566">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2.补光模式：支持暖光LED频闪、暖光LED爆闪、白光氙气爆闪、红外氙气爆闪四种模式</w:t>
            </w:r>
            <w:r>
              <w:rPr>
                <w:rFonts w:hint="eastAsia" w:ascii="仿宋_GB2312" w:hAnsi="仿宋" w:eastAsia="仿宋_GB2312" w:cs="Times New Roman"/>
                <w:color w:val="auto"/>
                <w:sz w:val="21"/>
                <w:szCs w:val="21"/>
                <w:highlight w:val="none"/>
                <w:lang w:eastAsia="zh-CN"/>
              </w:rPr>
              <w:t>。</w:t>
            </w:r>
          </w:p>
          <w:p w14:paraId="36753004">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3.可见光源光谱特性：氙气：≤7000K，LED光源：2800</w:t>
            </w:r>
            <w:r>
              <w:rPr>
                <w:rFonts w:hint="eastAsia" w:ascii="Times New Roman" w:hAnsi="Times New Roman"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5500K</w:t>
            </w:r>
            <w:r>
              <w:rPr>
                <w:rFonts w:hint="eastAsia" w:ascii="仿宋_GB2312" w:hAnsi="仿宋" w:eastAsia="仿宋_GB2312" w:cs="Times New Roman"/>
                <w:color w:val="auto"/>
                <w:sz w:val="21"/>
                <w:szCs w:val="21"/>
                <w:highlight w:val="none"/>
                <w:lang w:eastAsia="zh-CN"/>
              </w:rPr>
              <w:t>。</w:t>
            </w:r>
          </w:p>
          <w:p w14:paraId="7294E294">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4.红外光源光谱特性：波长680nm</w:t>
            </w:r>
            <w:r>
              <w:rPr>
                <w:rFonts w:hint="eastAsia" w:ascii="Times New Roman" w:hAnsi="Times New Roman"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2500nm；</w:t>
            </w:r>
          </w:p>
          <w:p w14:paraId="42030E38">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5.中心光照度：LED：≤5lx（20m平均光照度），≤20lx（20m有效光照度），≤80lx（20m频爆光照度）；氙气：≤40001x</w:t>
            </w:r>
            <w:r>
              <w:rPr>
                <w:rFonts w:hint="eastAsia" w:ascii="仿宋_GB2312" w:hAnsi="仿宋" w:eastAsia="仿宋_GB2312" w:cs="Times New Roman"/>
                <w:color w:val="auto"/>
                <w:sz w:val="21"/>
                <w:szCs w:val="21"/>
                <w:highlight w:val="none"/>
                <w:lang w:eastAsia="zh-CN"/>
              </w:rPr>
              <w:t>。</w:t>
            </w:r>
          </w:p>
          <w:p w14:paraId="00CB36D2">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6.光斑覆盖范围：1车道</w:t>
            </w:r>
            <w:r>
              <w:rPr>
                <w:rFonts w:hint="eastAsia" w:ascii="仿宋_GB2312" w:hAnsi="仿宋" w:eastAsia="仿宋_GB2312" w:cs="Times New Roman"/>
                <w:color w:val="auto"/>
                <w:sz w:val="21"/>
                <w:szCs w:val="21"/>
                <w:highlight w:val="none"/>
                <w:lang w:eastAsia="zh-CN"/>
              </w:rPr>
              <w:t>。</w:t>
            </w:r>
          </w:p>
          <w:p w14:paraId="5122C689">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7.补光距离：16m-26m</w:t>
            </w:r>
            <w:r>
              <w:rPr>
                <w:rFonts w:hint="eastAsia" w:ascii="仿宋_GB2312" w:hAnsi="仿宋" w:eastAsia="仿宋_GB2312" w:cs="Times New Roman"/>
                <w:color w:val="auto"/>
                <w:sz w:val="21"/>
                <w:szCs w:val="21"/>
                <w:highlight w:val="none"/>
                <w:lang w:eastAsia="zh-CN"/>
              </w:rPr>
              <w:t>。</w:t>
            </w:r>
          </w:p>
          <w:p w14:paraId="3F026ED5">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8.闪光灯寿命：≥1000万次</w:t>
            </w:r>
            <w:r>
              <w:rPr>
                <w:rFonts w:hint="eastAsia" w:ascii="仿宋_GB2312" w:hAnsi="仿宋" w:eastAsia="仿宋_GB2312" w:cs="Times New Roman"/>
                <w:color w:val="auto"/>
                <w:sz w:val="21"/>
                <w:szCs w:val="21"/>
                <w:highlight w:val="none"/>
                <w:lang w:eastAsia="zh-CN"/>
              </w:rPr>
              <w:t>。</w:t>
            </w:r>
          </w:p>
          <w:p w14:paraId="38709BD8">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9.频闪时间统计：支持统计频闪持续时间</w:t>
            </w:r>
            <w:r>
              <w:rPr>
                <w:rFonts w:hint="eastAsia" w:ascii="仿宋_GB2312" w:hAnsi="仿宋" w:eastAsia="仿宋_GB2312" w:cs="Times New Roman"/>
                <w:color w:val="auto"/>
                <w:sz w:val="21"/>
                <w:szCs w:val="21"/>
                <w:highlight w:val="none"/>
                <w:lang w:eastAsia="zh-CN"/>
              </w:rPr>
              <w:t>。</w:t>
            </w:r>
          </w:p>
          <w:p w14:paraId="1B7DA9DD">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10.支持红外白光切换</w:t>
            </w:r>
            <w:r>
              <w:rPr>
                <w:rFonts w:hint="eastAsia" w:ascii="仿宋_GB2312" w:hAnsi="仿宋" w:eastAsia="仿宋_GB2312" w:cs="Times New Roman"/>
                <w:color w:val="auto"/>
                <w:sz w:val="21"/>
                <w:szCs w:val="21"/>
                <w:highlight w:val="none"/>
                <w:lang w:eastAsia="zh-CN"/>
              </w:rPr>
              <w:t>。</w:t>
            </w:r>
          </w:p>
          <w:p w14:paraId="7B5723E6">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eastAsia="zh-CN"/>
              </w:rPr>
              <w:t>1</w:t>
            </w:r>
            <w:r>
              <w:rPr>
                <w:rFonts w:hint="eastAsia" w:ascii="仿宋_GB2312" w:hAnsi="仿宋" w:eastAsia="仿宋_GB2312" w:cs="Times New Roman"/>
                <w:color w:val="auto"/>
                <w:sz w:val="21"/>
                <w:szCs w:val="21"/>
                <w:highlight w:val="none"/>
              </w:rPr>
              <w:t>.支持亮度调节功能</w:t>
            </w:r>
            <w:r>
              <w:rPr>
                <w:rFonts w:hint="eastAsia" w:ascii="仿宋_GB2312" w:hAnsi="仿宋" w:eastAsia="仿宋_GB2312" w:cs="Times New Roman"/>
                <w:color w:val="auto"/>
                <w:sz w:val="21"/>
                <w:szCs w:val="21"/>
                <w:highlight w:val="none"/>
                <w:lang w:eastAsia="zh-CN"/>
              </w:rPr>
              <w:t>。</w:t>
            </w:r>
          </w:p>
          <w:p w14:paraId="2417FC62">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eastAsia="zh-CN"/>
              </w:rPr>
              <w:t>2</w:t>
            </w:r>
            <w:r>
              <w:rPr>
                <w:rFonts w:hint="eastAsia" w:ascii="仿宋_GB2312" w:hAnsi="仿宋" w:eastAsia="仿宋_GB2312" w:cs="Times New Roman"/>
                <w:color w:val="auto"/>
                <w:sz w:val="21"/>
                <w:szCs w:val="21"/>
                <w:highlight w:val="none"/>
              </w:rPr>
              <w:t>.▲符合</w:t>
            </w:r>
            <w:r>
              <w:rPr>
                <w:rFonts w:hint="eastAsia" w:ascii="仿宋_GB2312" w:hAnsi="仿宋" w:eastAsia="仿宋_GB2312" w:cs="Times New Roman"/>
                <w:color w:val="auto"/>
                <w:sz w:val="21"/>
                <w:szCs w:val="21"/>
                <w:highlight w:val="none"/>
                <w:lang w:val="en-US" w:eastAsia="zh-CN"/>
              </w:rPr>
              <w:t>公安部颁</w:t>
            </w:r>
            <w:r>
              <w:rPr>
                <w:rFonts w:hint="eastAsia" w:ascii="仿宋_GB2312" w:hAnsi="仿宋" w:eastAsia="仿宋_GB2312" w:cs="Times New Roman"/>
                <w:color w:val="auto"/>
                <w:sz w:val="21"/>
                <w:szCs w:val="21"/>
                <w:highlight w:val="none"/>
              </w:rPr>
              <w:t>《交通技术监控成像补光装置通用技术条件</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GA/T1202-2022</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w:t>
            </w:r>
          </w:p>
          <w:p w14:paraId="7A941E7D">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b/>
                <w:bCs/>
                <w:color w:val="auto"/>
                <w:sz w:val="21"/>
                <w:szCs w:val="21"/>
                <w:highlight w:val="none"/>
              </w:rPr>
              <w:t>带“▲”号的技术参数，需提供具有CMA或CNAS认证的第三方检测机构在认可能力范围内出具的符合相应要求的检测报告</w:t>
            </w:r>
            <w:r>
              <w:rPr>
                <w:rFonts w:hint="eastAsia" w:ascii="仿宋_GB2312" w:hAnsi="仿宋" w:eastAsia="仿宋_GB2312" w:cs="Times New Roman"/>
                <w:b/>
                <w:bCs/>
                <w:color w:val="auto"/>
                <w:sz w:val="21"/>
                <w:szCs w:val="21"/>
                <w:highlight w:val="none"/>
                <w:lang w:val="en-US" w:eastAsia="zh-CN"/>
              </w:rPr>
              <w:t>扫描</w:t>
            </w:r>
            <w:r>
              <w:rPr>
                <w:rFonts w:hint="eastAsia" w:ascii="仿宋_GB2312" w:hAnsi="仿宋" w:eastAsia="仿宋_GB2312" w:cs="Times New Roman"/>
                <w:b/>
                <w:bCs/>
                <w:color w:val="auto"/>
                <w:sz w:val="21"/>
                <w:szCs w:val="21"/>
                <w:highlight w:val="none"/>
              </w:rPr>
              <w:t>件予以佐证，并加盖供应商公章。</w:t>
            </w:r>
            <w:r>
              <w:rPr>
                <w:rFonts w:hint="eastAsia" w:ascii="仿宋_GB2312" w:hAnsi="仿宋" w:eastAsia="仿宋_GB2312" w:cs="Times New Roman"/>
                <w:color w:val="auto"/>
                <w:sz w:val="21"/>
                <w:szCs w:val="21"/>
                <w:highlight w:val="none"/>
              </w:rPr>
              <w:t>）</w:t>
            </w:r>
          </w:p>
        </w:tc>
      </w:tr>
      <w:tr w14:paraId="334D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97" w:type="dxa"/>
            <w:tcBorders>
              <w:left w:val="single" w:color="auto" w:sz="12" w:space="0"/>
            </w:tcBorders>
            <w:vAlign w:val="center"/>
          </w:tcPr>
          <w:p w14:paraId="1F318C67">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7</w:t>
            </w:r>
          </w:p>
        </w:tc>
        <w:tc>
          <w:tcPr>
            <w:tcW w:w="887" w:type="dxa"/>
            <w:vAlign w:val="center"/>
          </w:tcPr>
          <w:p w14:paraId="440A3D67">
            <w:pPr>
              <w:adjustRightInd/>
              <w:snapToGrid/>
              <w:spacing w:line="340" w:lineRule="exact"/>
              <w:ind w:firstLine="0" w:firstLineChars="0"/>
              <w:rPr>
                <w:rFonts w:cs="宋体"/>
                <w:color w:val="auto"/>
                <w:sz w:val="21"/>
                <w:highlight w:val="none"/>
              </w:rPr>
            </w:pPr>
            <w:r>
              <w:rPr>
                <w:rFonts w:hint="eastAsia" w:ascii="仿宋_GB2312" w:hAnsi="仿宋" w:eastAsia="仿宋_GB2312" w:cs="Times New Roman"/>
                <w:color w:val="auto"/>
                <w:sz w:val="21"/>
                <w:szCs w:val="21"/>
                <w:highlight w:val="none"/>
              </w:rPr>
              <w:t>监控球型摄像机</w:t>
            </w:r>
          </w:p>
        </w:tc>
        <w:tc>
          <w:tcPr>
            <w:tcW w:w="6518" w:type="dxa"/>
            <w:tcBorders>
              <w:right w:val="single" w:color="auto" w:sz="12" w:space="0"/>
            </w:tcBorders>
            <w:vAlign w:val="center"/>
          </w:tcPr>
          <w:p w14:paraId="33115087">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1.采用不小于400万像素1/1.8英寸CMOS传感器</w:t>
            </w:r>
            <w:r>
              <w:rPr>
                <w:rFonts w:hint="eastAsia" w:ascii="仿宋_GB2312" w:hAnsi="仿宋" w:eastAsia="仿宋_GB2312" w:cs="Times New Roman"/>
                <w:color w:val="auto"/>
                <w:sz w:val="21"/>
                <w:szCs w:val="21"/>
                <w:highlight w:val="none"/>
                <w:lang w:eastAsia="zh-CN"/>
              </w:rPr>
              <w:t>。</w:t>
            </w:r>
          </w:p>
          <w:p w14:paraId="54ECFFFA">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2.内置GPU芯片，支持深度学习算法，有效提升检测准确率</w:t>
            </w:r>
            <w:r>
              <w:rPr>
                <w:rFonts w:hint="eastAsia" w:ascii="仿宋_GB2312" w:hAnsi="仿宋" w:eastAsia="仿宋_GB2312" w:cs="Times New Roman"/>
                <w:color w:val="auto"/>
                <w:sz w:val="21"/>
                <w:szCs w:val="21"/>
                <w:highlight w:val="none"/>
                <w:lang w:eastAsia="zh-CN"/>
              </w:rPr>
              <w:t>。</w:t>
            </w:r>
          </w:p>
          <w:p w14:paraId="2F1BDDA7">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3.支持不小于40倍光学变倍</w:t>
            </w:r>
            <w:r>
              <w:rPr>
                <w:rFonts w:hint="eastAsia" w:ascii="仿宋_GB2312" w:hAnsi="仿宋" w:eastAsia="仿宋_GB2312" w:cs="Times New Roman"/>
                <w:color w:val="auto"/>
                <w:sz w:val="21"/>
                <w:szCs w:val="21"/>
                <w:highlight w:val="none"/>
                <w:lang w:eastAsia="zh-CN"/>
              </w:rPr>
              <w:t>。</w:t>
            </w:r>
          </w:p>
          <w:p w14:paraId="0D0BE3BE">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4.支持不小于250米红外灯补光</w:t>
            </w:r>
            <w:r>
              <w:rPr>
                <w:rFonts w:hint="eastAsia" w:ascii="仿宋_GB2312" w:hAnsi="仿宋" w:eastAsia="仿宋_GB2312" w:cs="Times New Roman"/>
                <w:color w:val="auto"/>
                <w:sz w:val="21"/>
                <w:szCs w:val="21"/>
                <w:highlight w:val="none"/>
                <w:lang w:eastAsia="zh-CN"/>
              </w:rPr>
              <w:t>。</w:t>
            </w:r>
          </w:p>
          <w:p w14:paraId="42C1AA8D">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5.水平方向360°连续旋转,垂直方向-20°至90°</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自动翻转180°后连续监视,</w:t>
            </w:r>
            <w:r>
              <w:rPr>
                <w:rFonts w:hint="eastAsia" w:ascii="仿宋_GB2312" w:hAnsi="仿宋" w:eastAsia="仿宋_GB2312" w:cs="Times New Roman"/>
                <w:color w:val="auto"/>
                <w:sz w:val="21"/>
                <w:szCs w:val="21"/>
                <w:highlight w:val="none"/>
                <w:lang w:val="en-US" w:eastAsia="zh-CN"/>
              </w:rPr>
              <w:t>整个路面</w:t>
            </w:r>
            <w:r>
              <w:rPr>
                <w:rFonts w:hint="eastAsia" w:ascii="仿宋_GB2312" w:hAnsi="仿宋" w:eastAsia="仿宋_GB2312" w:cs="Times New Roman"/>
                <w:color w:val="auto"/>
                <w:sz w:val="21"/>
                <w:szCs w:val="21"/>
                <w:highlight w:val="none"/>
              </w:rPr>
              <w:t>无监视盲区</w:t>
            </w:r>
            <w:r>
              <w:rPr>
                <w:rFonts w:hint="eastAsia" w:ascii="仿宋_GB2312" w:hAnsi="仿宋" w:eastAsia="仿宋_GB2312" w:cs="Times New Roman"/>
                <w:color w:val="auto"/>
                <w:sz w:val="21"/>
                <w:szCs w:val="21"/>
                <w:highlight w:val="none"/>
                <w:lang w:eastAsia="zh-CN"/>
              </w:rPr>
              <w:t>。</w:t>
            </w:r>
          </w:p>
          <w:p w14:paraId="496DA9E3">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6.支持对车灯进行强光抑制，可看清车辆轮廓；当监控画面中无车辆经过时，支持整体画面亮度提高，可看清监控画面中</w:t>
            </w:r>
            <w:r>
              <w:rPr>
                <w:rFonts w:hint="eastAsia" w:ascii="仿宋_GB2312" w:hAnsi="仿宋" w:eastAsia="仿宋_GB2312" w:cs="Times New Roman"/>
                <w:color w:val="auto"/>
                <w:sz w:val="21"/>
                <w:szCs w:val="21"/>
                <w:highlight w:val="none"/>
                <w:lang w:eastAsia="zh-CN"/>
              </w:rPr>
              <w:t>路段</w:t>
            </w:r>
            <w:r>
              <w:rPr>
                <w:rFonts w:hint="eastAsia" w:ascii="仿宋_GB2312" w:hAnsi="仿宋" w:eastAsia="仿宋_GB2312" w:cs="Times New Roman"/>
                <w:color w:val="auto"/>
                <w:sz w:val="21"/>
                <w:szCs w:val="21"/>
                <w:highlight w:val="none"/>
              </w:rPr>
              <w:t>场景、标志、标线</w:t>
            </w:r>
            <w:r>
              <w:rPr>
                <w:rFonts w:hint="eastAsia" w:ascii="仿宋_GB2312" w:hAnsi="仿宋" w:eastAsia="仿宋_GB2312" w:cs="Times New Roman"/>
                <w:color w:val="auto"/>
                <w:sz w:val="21"/>
                <w:szCs w:val="21"/>
                <w:highlight w:val="none"/>
                <w:lang w:eastAsia="zh-CN"/>
              </w:rPr>
              <w:t>。</w:t>
            </w:r>
          </w:p>
          <w:p w14:paraId="2BE6981C">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7.支持施工、路障、事故等事件</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状况</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检测</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当检测到相关事件</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状况</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后，可联动报警输出</w:t>
            </w:r>
            <w:r>
              <w:rPr>
                <w:rFonts w:hint="eastAsia" w:ascii="仿宋_GB2312" w:hAnsi="仿宋" w:eastAsia="仿宋_GB2312" w:cs="Times New Roman"/>
                <w:color w:val="auto"/>
                <w:sz w:val="21"/>
                <w:szCs w:val="21"/>
                <w:highlight w:val="none"/>
                <w:lang w:eastAsia="zh-CN"/>
              </w:rPr>
              <w:t>。</w:t>
            </w:r>
          </w:p>
          <w:p w14:paraId="2E0DE6DC">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8.支持陀螺仪防抖功能</w:t>
            </w:r>
            <w:r>
              <w:rPr>
                <w:rFonts w:hint="eastAsia" w:ascii="仿宋_GB2312" w:hAnsi="仿宋" w:eastAsia="仿宋_GB2312" w:cs="Times New Roman"/>
                <w:color w:val="auto"/>
                <w:sz w:val="21"/>
                <w:szCs w:val="21"/>
                <w:highlight w:val="none"/>
                <w:lang w:eastAsia="zh-CN"/>
              </w:rPr>
              <w:t>。</w:t>
            </w:r>
          </w:p>
          <w:p w14:paraId="7662A0F9">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9</w:t>
            </w:r>
            <w:r>
              <w:rPr>
                <w:rFonts w:hint="eastAsia" w:ascii="仿宋_GB2312" w:hAnsi="仿宋" w:eastAsia="仿宋_GB2312" w:cs="Times New Roman"/>
                <w:color w:val="auto"/>
                <w:sz w:val="21"/>
                <w:szCs w:val="21"/>
                <w:highlight w:val="none"/>
              </w:rPr>
              <w:t>.工作温度为-40℃至＋70℃</w:t>
            </w:r>
            <w:r>
              <w:rPr>
                <w:rFonts w:hint="eastAsia" w:ascii="仿宋_GB2312" w:hAnsi="仿宋" w:eastAsia="仿宋_GB2312" w:cs="Times New Roman"/>
                <w:color w:val="auto"/>
                <w:sz w:val="21"/>
                <w:szCs w:val="21"/>
                <w:highlight w:val="none"/>
                <w:lang w:eastAsia="zh-CN"/>
              </w:rPr>
              <w:t>。</w:t>
            </w:r>
          </w:p>
          <w:p w14:paraId="79EFF4DC">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val="en-US" w:eastAsia="zh-CN"/>
              </w:rPr>
              <w:t>0</w:t>
            </w:r>
            <w:r>
              <w:rPr>
                <w:rFonts w:hint="eastAsia" w:ascii="仿宋_GB2312" w:hAnsi="仿宋" w:eastAsia="仿宋_GB2312" w:cs="Times New Roman"/>
                <w:color w:val="auto"/>
                <w:sz w:val="21"/>
                <w:szCs w:val="21"/>
                <w:highlight w:val="none"/>
              </w:rPr>
              <w:t>.支持IP66防护等级</w:t>
            </w:r>
            <w:r>
              <w:rPr>
                <w:rFonts w:hint="eastAsia" w:ascii="仿宋_GB2312" w:hAnsi="仿宋" w:eastAsia="仿宋_GB2312" w:cs="Times New Roman"/>
                <w:color w:val="auto"/>
                <w:sz w:val="21"/>
                <w:szCs w:val="21"/>
                <w:highlight w:val="none"/>
                <w:lang w:eastAsia="zh-CN"/>
              </w:rPr>
              <w:t>。</w:t>
            </w:r>
          </w:p>
          <w:p w14:paraId="75D7B0A3">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.支持雨刷功能。</w:t>
            </w:r>
          </w:p>
        </w:tc>
      </w:tr>
      <w:tr w14:paraId="3276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97" w:type="dxa"/>
            <w:tcBorders>
              <w:left w:val="single" w:color="auto" w:sz="12" w:space="0"/>
            </w:tcBorders>
            <w:vAlign w:val="center"/>
          </w:tcPr>
          <w:p w14:paraId="463B4563">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8</w:t>
            </w:r>
          </w:p>
        </w:tc>
        <w:tc>
          <w:tcPr>
            <w:tcW w:w="887" w:type="dxa"/>
            <w:vAlign w:val="center"/>
          </w:tcPr>
          <w:p w14:paraId="1A4EE442">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后备</w:t>
            </w:r>
          </w:p>
          <w:p w14:paraId="7363ED78">
            <w:pPr>
              <w:adjustRightInd/>
              <w:snapToGrid/>
              <w:spacing w:line="340" w:lineRule="exact"/>
              <w:ind w:firstLine="0" w:firstLineChars="0"/>
              <w:rPr>
                <w:rFonts w:cs="宋体"/>
                <w:color w:val="auto"/>
                <w:sz w:val="21"/>
                <w:highlight w:val="none"/>
              </w:rPr>
            </w:pPr>
            <w:r>
              <w:rPr>
                <w:rFonts w:hint="eastAsia" w:ascii="仿宋_GB2312" w:hAnsi="仿宋" w:eastAsia="仿宋_GB2312" w:cs="Times New Roman"/>
                <w:color w:val="auto"/>
                <w:sz w:val="21"/>
                <w:szCs w:val="21"/>
                <w:highlight w:val="none"/>
              </w:rPr>
              <w:t>电源</w:t>
            </w:r>
          </w:p>
        </w:tc>
        <w:tc>
          <w:tcPr>
            <w:tcW w:w="6518" w:type="dxa"/>
            <w:tcBorders>
              <w:right w:val="single" w:color="auto" w:sz="12" w:space="0"/>
            </w:tcBorders>
            <w:vAlign w:val="center"/>
          </w:tcPr>
          <w:p w14:paraId="42B87AE7">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满载情况下可持续供电≥120分钟，保障公路交通情况调查设备、卡口抓拍摄像机、网络设备等持续运行。</w:t>
            </w:r>
          </w:p>
        </w:tc>
      </w:tr>
      <w:tr w14:paraId="47C6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97" w:type="dxa"/>
            <w:tcBorders>
              <w:left w:val="single" w:color="auto" w:sz="12" w:space="0"/>
            </w:tcBorders>
            <w:vAlign w:val="center"/>
          </w:tcPr>
          <w:p w14:paraId="2B2D1B37">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9</w:t>
            </w:r>
          </w:p>
        </w:tc>
        <w:tc>
          <w:tcPr>
            <w:tcW w:w="887" w:type="dxa"/>
            <w:vAlign w:val="center"/>
          </w:tcPr>
          <w:p w14:paraId="6520D8CA">
            <w:pPr>
              <w:adjustRightInd/>
              <w:snapToGrid/>
              <w:spacing w:line="340" w:lineRule="exact"/>
              <w:ind w:firstLine="0" w:firstLineChars="0"/>
              <w:rPr>
                <w:rFonts w:cs="宋体"/>
                <w:color w:val="auto"/>
                <w:sz w:val="21"/>
                <w:highlight w:val="none"/>
              </w:rPr>
            </w:pPr>
            <w:r>
              <w:rPr>
                <w:rFonts w:hint="eastAsia" w:ascii="仿宋_GB2312" w:hAnsi="仿宋" w:eastAsia="仿宋_GB2312" w:cs="Times New Roman"/>
                <w:color w:val="auto"/>
                <w:sz w:val="21"/>
                <w:szCs w:val="21"/>
                <w:highlight w:val="none"/>
              </w:rPr>
              <w:t>智能中控机箱</w:t>
            </w:r>
          </w:p>
        </w:tc>
        <w:tc>
          <w:tcPr>
            <w:tcW w:w="6518" w:type="dxa"/>
            <w:tcBorders>
              <w:right w:val="single" w:color="auto" w:sz="12" w:space="0"/>
            </w:tcBorders>
            <w:vAlign w:val="center"/>
          </w:tcPr>
          <w:p w14:paraId="76E29601">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1.采用优质冷</w:t>
            </w:r>
            <w:r>
              <w:rPr>
                <w:rFonts w:hint="eastAsia" w:ascii="仿宋_GB2312" w:hAnsi="仿宋" w:eastAsia="仿宋_GB2312" w:cs="Times New Roman"/>
                <w:color w:val="auto"/>
                <w:sz w:val="21"/>
                <w:szCs w:val="21"/>
                <w:highlight w:val="none"/>
                <w:lang w:val="en-US" w:eastAsia="zh-CN"/>
              </w:rPr>
              <w:t>轧</w:t>
            </w:r>
            <w:r>
              <w:rPr>
                <w:rFonts w:hint="eastAsia" w:ascii="仿宋_GB2312" w:hAnsi="仿宋" w:eastAsia="仿宋_GB2312" w:cs="Times New Roman"/>
                <w:color w:val="auto"/>
                <w:sz w:val="21"/>
                <w:szCs w:val="21"/>
                <w:highlight w:val="none"/>
              </w:rPr>
              <w:t>钢板，厚度≥1.0mm</w:t>
            </w:r>
            <w:r>
              <w:rPr>
                <w:rFonts w:hint="eastAsia" w:ascii="仿宋_GB2312" w:hAnsi="仿宋" w:eastAsia="仿宋_GB2312" w:cs="Times New Roman"/>
                <w:color w:val="auto"/>
                <w:sz w:val="21"/>
                <w:szCs w:val="21"/>
                <w:highlight w:val="none"/>
                <w:lang w:eastAsia="zh-CN"/>
              </w:rPr>
              <w:t>；</w:t>
            </w:r>
          </w:p>
          <w:p w14:paraId="22AA2019">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采用Q</w:t>
            </w:r>
            <w:r>
              <w:rPr>
                <w:rFonts w:hint="eastAsia" w:ascii="仿宋_GB2312" w:hAnsi="仿宋" w:eastAsia="仿宋_GB2312" w:cs="Times New Roman"/>
                <w:color w:val="auto"/>
                <w:sz w:val="21"/>
                <w:szCs w:val="21"/>
                <w:highlight w:val="none"/>
                <w:lang w:val="en-US" w:eastAsia="zh-CN"/>
              </w:rPr>
              <w:t>201</w:t>
            </w:r>
            <w:r>
              <w:rPr>
                <w:rFonts w:hint="eastAsia" w:ascii="仿宋_GB2312" w:hAnsi="仿宋" w:eastAsia="仿宋_GB2312" w:cs="Times New Roman"/>
                <w:color w:val="auto"/>
                <w:sz w:val="21"/>
                <w:szCs w:val="21"/>
                <w:highlight w:val="none"/>
              </w:rPr>
              <w:t>钢材焊接</w:t>
            </w:r>
            <w:r>
              <w:rPr>
                <w:rFonts w:hint="eastAsia" w:ascii="仿宋_GB2312" w:hAnsi="仿宋" w:eastAsia="仿宋_GB2312" w:cs="Times New Roman"/>
                <w:color w:val="auto"/>
                <w:sz w:val="21"/>
                <w:szCs w:val="21"/>
                <w:highlight w:val="none"/>
                <w:lang w:eastAsia="zh-CN"/>
              </w:rPr>
              <w:t>。</w:t>
            </w:r>
          </w:p>
          <w:p w14:paraId="2CAFCFF9">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.机箱含工业级交换机、自动重合开关、浪涌保护器、供电插座、网络防雷、二合一电源防雷等配件，预留电源模块、数据处理单元、存储单元的安装空间</w:t>
            </w:r>
            <w:r>
              <w:rPr>
                <w:rFonts w:hint="eastAsia" w:ascii="仿宋_GB2312" w:hAnsi="仿宋" w:eastAsia="仿宋_GB2312" w:cs="Times New Roman"/>
                <w:color w:val="auto"/>
                <w:sz w:val="21"/>
                <w:szCs w:val="21"/>
                <w:highlight w:val="none"/>
                <w:lang w:eastAsia="zh-CN"/>
              </w:rPr>
              <w:t>。</w:t>
            </w:r>
          </w:p>
          <w:p w14:paraId="7F1443C4">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4</w:t>
            </w:r>
            <w:r>
              <w:rPr>
                <w:rFonts w:hint="eastAsia" w:ascii="仿宋_GB2312" w:hAnsi="仿宋" w:eastAsia="仿宋_GB2312" w:cs="Times New Roman"/>
                <w:color w:val="auto"/>
                <w:sz w:val="21"/>
                <w:szCs w:val="21"/>
                <w:highlight w:val="none"/>
              </w:rPr>
              <w:t>.焊接不得有影响强度的裂纹、夹渣、焊瘤、烧穿、弧坑和针状气孔，并且无折皱和中断等缺陷，所有焊接缝平整、均匀</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无漏焊、缺焊等现象</w:t>
            </w:r>
            <w:r>
              <w:rPr>
                <w:rFonts w:hint="eastAsia" w:ascii="仿宋_GB2312" w:hAnsi="仿宋" w:eastAsia="仿宋_GB2312" w:cs="Times New Roman"/>
                <w:color w:val="auto"/>
                <w:sz w:val="21"/>
                <w:szCs w:val="21"/>
                <w:highlight w:val="none"/>
                <w:lang w:eastAsia="zh-CN"/>
              </w:rPr>
              <w:t>。</w:t>
            </w:r>
          </w:p>
          <w:p w14:paraId="3CF3C2CB">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5</w:t>
            </w:r>
            <w:r>
              <w:rPr>
                <w:rFonts w:hint="eastAsia" w:ascii="仿宋_GB2312" w:hAnsi="仿宋" w:eastAsia="仿宋_GB2312" w:cs="Times New Roman"/>
                <w:color w:val="auto"/>
                <w:sz w:val="21"/>
                <w:szCs w:val="21"/>
                <w:highlight w:val="none"/>
              </w:rPr>
              <w:t>.机箱正面统一采用丝印，尺寸约280*300mm“广东交调”标志</w:t>
            </w:r>
            <w:r>
              <w:rPr>
                <w:rFonts w:hint="eastAsia" w:ascii="仿宋_GB2312" w:hAnsi="仿宋" w:eastAsia="仿宋_GB2312" w:cs="Times New Roman"/>
                <w:color w:val="auto"/>
                <w:sz w:val="21"/>
                <w:szCs w:val="21"/>
                <w:highlight w:val="none"/>
                <w:lang w:eastAsia="zh-CN"/>
              </w:rPr>
              <w:t>。</w:t>
            </w:r>
          </w:p>
          <w:p w14:paraId="5CC3CB52">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6</w:t>
            </w:r>
            <w:r>
              <w:rPr>
                <w:rFonts w:hint="eastAsia" w:ascii="仿宋_GB2312" w:hAnsi="仿宋" w:eastAsia="仿宋_GB2312" w:cs="Times New Roman"/>
                <w:color w:val="auto"/>
                <w:sz w:val="21"/>
                <w:szCs w:val="21"/>
                <w:highlight w:val="none"/>
              </w:rPr>
              <w:t>.机箱抗风力：≥</w:t>
            </w: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5m/s</w:t>
            </w:r>
            <w:r>
              <w:rPr>
                <w:rFonts w:hint="eastAsia" w:ascii="仿宋_GB2312" w:hAnsi="仿宋" w:eastAsia="仿宋_GB2312" w:cs="Times New Roman"/>
                <w:color w:val="auto"/>
                <w:sz w:val="21"/>
                <w:szCs w:val="21"/>
                <w:highlight w:val="none"/>
                <w:lang w:eastAsia="zh-CN"/>
              </w:rPr>
              <w:t>。</w:t>
            </w:r>
          </w:p>
          <w:p w14:paraId="637BABCE">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7</w:t>
            </w:r>
            <w:r>
              <w:rPr>
                <w:rFonts w:hint="eastAsia" w:ascii="仿宋_GB2312" w:hAnsi="仿宋" w:eastAsia="仿宋_GB2312" w:cs="Times New Roman"/>
                <w:color w:val="auto"/>
                <w:sz w:val="21"/>
                <w:szCs w:val="21"/>
                <w:highlight w:val="none"/>
              </w:rPr>
              <w:t>.控制功能：支持非法取电告警功能，当电流超过预设值时，发出告警提示</w:t>
            </w:r>
            <w:r>
              <w:rPr>
                <w:rFonts w:hint="eastAsia" w:ascii="仿宋_GB2312" w:hAnsi="仿宋" w:eastAsia="仿宋_GB2312" w:cs="Times New Roman"/>
                <w:color w:val="auto"/>
                <w:sz w:val="21"/>
                <w:szCs w:val="21"/>
                <w:highlight w:val="none"/>
                <w:lang w:eastAsia="zh-CN"/>
              </w:rPr>
              <w:t>。</w:t>
            </w:r>
          </w:p>
          <w:p w14:paraId="417AE44A">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8</w:t>
            </w:r>
            <w:r>
              <w:rPr>
                <w:rFonts w:hint="eastAsia" w:ascii="仿宋_GB2312" w:hAnsi="仿宋" w:eastAsia="仿宋_GB2312" w:cs="Times New Roman"/>
                <w:color w:val="auto"/>
                <w:sz w:val="21"/>
                <w:szCs w:val="21"/>
                <w:highlight w:val="none"/>
              </w:rPr>
              <w:t>.监测告警功能：支持在不使用外部蓄电池情况下，通过客户端实时监测设备AC220V输入供电电源，并在客户端提示设备供电电源掉电告警</w:t>
            </w:r>
            <w:r>
              <w:rPr>
                <w:rFonts w:hint="eastAsia" w:ascii="仿宋_GB2312" w:hAnsi="仿宋" w:eastAsia="仿宋_GB2312" w:cs="Times New Roman"/>
                <w:color w:val="auto"/>
                <w:sz w:val="21"/>
                <w:szCs w:val="21"/>
                <w:highlight w:val="none"/>
                <w:lang w:eastAsia="zh-CN"/>
              </w:rPr>
              <w:t>。</w:t>
            </w:r>
          </w:p>
          <w:p w14:paraId="5AB6DF52">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9</w:t>
            </w:r>
            <w:r>
              <w:rPr>
                <w:rFonts w:hint="eastAsia" w:ascii="仿宋_GB2312" w:hAnsi="仿宋" w:eastAsia="仿宋_GB2312" w:cs="Times New Roman"/>
                <w:color w:val="auto"/>
                <w:sz w:val="21"/>
                <w:szCs w:val="21"/>
                <w:highlight w:val="none"/>
              </w:rPr>
              <w:t>.震动倾斜检测：实时显示当前设备姿态倾斜角度；当设备受到震动或撞击时，平台端提示震动或撞击告警，支持配置震动告警等级；当智能设备箱倾斜时，平台软件提示倾斜告警，并显示倾斜角度，支持默认角度校正，支持配置倾斜角度上限</w:t>
            </w:r>
            <w:r>
              <w:rPr>
                <w:rFonts w:hint="eastAsia" w:ascii="仿宋_GB2312" w:hAnsi="仿宋" w:eastAsia="仿宋_GB2312" w:cs="Times New Roman"/>
                <w:color w:val="auto"/>
                <w:sz w:val="21"/>
                <w:szCs w:val="21"/>
                <w:highlight w:val="none"/>
                <w:lang w:eastAsia="zh-CN"/>
              </w:rPr>
              <w:t>。</w:t>
            </w:r>
          </w:p>
          <w:p w14:paraId="52B565EB">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10</w:t>
            </w:r>
            <w:r>
              <w:rPr>
                <w:rFonts w:hint="eastAsia" w:ascii="仿宋_GB2312" w:hAnsi="仿宋" w:eastAsia="仿宋_GB2312" w:cs="Times New Roman"/>
                <w:color w:val="auto"/>
                <w:sz w:val="21"/>
                <w:szCs w:val="21"/>
                <w:highlight w:val="none"/>
              </w:rPr>
              <w:t>.具</w:t>
            </w:r>
            <w:r>
              <w:rPr>
                <w:rFonts w:hint="eastAsia" w:ascii="仿宋_GB2312" w:hAnsi="仿宋" w:eastAsia="仿宋_GB2312" w:cs="Times New Roman"/>
                <w:color w:val="auto"/>
                <w:sz w:val="21"/>
                <w:szCs w:val="21"/>
                <w:highlight w:val="none"/>
                <w:lang w:val="en-US" w:eastAsia="zh-CN"/>
              </w:rPr>
              <w:t>备</w:t>
            </w:r>
            <w:r>
              <w:rPr>
                <w:rFonts w:hint="eastAsia" w:ascii="仿宋_GB2312" w:hAnsi="仿宋" w:eastAsia="仿宋_GB2312" w:cs="Times New Roman"/>
                <w:color w:val="auto"/>
                <w:sz w:val="21"/>
                <w:szCs w:val="21"/>
                <w:highlight w:val="none"/>
              </w:rPr>
              <w:t>门禁报警功能</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断电检测功能</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断网检测功能</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防雷失效检测功能</w:t>
            </w:r>
            <w:r>
              <w:rPr>
                <w:rFonts w:hint="eastAsia" w:ascii="仿宋_GB2312" w:hAnsi="仿宋" w:eastAsia="仿宋_GB2312" w:cs="Times New Roman"/>
                <w:color w:val="auto"/>
                <w:sz w:val="21"/>
                <w:szCs w:val="21"/>
                <w:highlight w:val="none"/>
                <w:lang w:eastAsia="zh-CN"/>
              </w:rPr>
              <w:t>。</w:t>
            </w:r>
          </w:p>
          <w:p w14:paraId="54E269F6">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.智能设备箱具有门禁装置，可实现开门报警功能，可通过运维平台查看柜门开关状态</w:t>
            </w:r>
            <w:r>
              <w:rPr>
                <w:rFonts w:hint="eastAsia" w:ascii="仿宋_GB2312" w:hAnsi="仿宋" w:eastAsia="仿宋_GB2312" w:cs="Times New Roman"/>
                <w:color w:val="auto"/>
                <w:sz w:val="21"/>
                <w:szCs w:val="21"/>
                <w:highlight w:val="none"/>
                <w:lang w:eastAsia="zh-CN"/>
              </w:rPr>
              <w:t>。</w:t>
            </w:r>
          </w:p>
          <w:p w14:paraId="44071B9B">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.智能设备箱可检测箱体内部温度</w:t>
            </w:r>
            <w:r>
              <w:rPr>
                <w:rFonts w:hint="eastAsia" w:ascii="仿宋_GB2312" w:hAnsi="仿宋" w:eastAsia="仿宋_GB2312" w:cs="Times New Roman"/>
                <w:color w:val="auto"/>
                <w:sz w:val="21"/>
                <w:szCs w:val="21"/>
                <w:highlight w:val="none"/>
                <w:lang w:eastAsia="zh-CN"/>
              </w:rPr>
              <w:t>和</w:t>
            </w:r>
            <w:r>
              <w:rPr>
                <w:rFonts w:hint="eastAsia" w:ascii="仿宋_GB2312" w:hAnsi="仿宋" w:eastAsia="仿宋_GB2312" w:cs="Times New Roman"/>
                <w:color w:val="auto"/>
                <w:sz w:val="21"/>
                <w:szCs w:val="21"/>
                <w:highlight w:val="none"/>
              </w:rPr>
              <w:t>湿度，并根据温度自动调节风扇工作</w:t>
            </w:r>
            <w:r>
              <w:rPr>
                <w:rFonts w:hint="eastAsia" w:ascii="仿宋_GB2312" w:hAnsi="仿宋" w:eastAsia="仿宋_GB2312" w:cs="Times New Roman"/>
                <w:color w:val="auto"/>
                <w:sz w:val="21"/>
                <w:szCs w:val="21"/>
                <w:highlight w:val="none"/>
                <w:lang w:eastAsia="zh-CN"/>
              </w:rPr>
              <w:t>。</w:t>
            </w:r>
          </w:p>
          <w:p w14:paraId="7CD119A0">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.内置北斗/GPS模块定位，实现自动校时功能，24小时累计时钟误差不超过3秒</w:t>
            </w:r>
            <w:r>
              <w:rPr>
                <w:rFonts w:hint="eastAsia" w:ascii="仿宋_GB2312" w:hAnsi="仿宋" w:eastAsia="仿宋_GB2312" w:cs="Times New Roman"/>
                <w:color w:val="auto"/>
                <w:sz w:val="21"/>
                <w:szCs w:val="21"/>
                <w:highlight w:val="none"/>
                <w:lang w:eastAsia="zh-CN"/>
              </w:rPr>
              <w:t>。</w:t>
            </w:r>
          </w:p>
          <w:p w14:paraId="534E6774">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val="en-US" w:eastAsia="zh-CN"/>
              </w:rPr>
              <w:t>4</w:t>
            </w:r>
            <w:r>
              <w:rPr>
                <w:rFonts w:hint="eastAsia" w:ascii="仿宋_GB2312" w:hAnsi="仿宋" w:eastAsia="仿宋_GB2312" w:cs="Times New Roman"/>
                <w:color w:val="auto"/>
                <w:sz w:val="21"/>
                <w:szCs w:val="21"/>
                <w:highlight w:val="none"/>
              </w:rPr>
              <w:t>.智能控制：支持用电检测与统计</w:t>
            </w:r>
            <w:r>
              <w:rPr>
                <w:rFonts w:hint="eastAsia" w:ascii="仿宋_GB2312" w:hAnsi="仿宋" w:eastAsia="仿宋_GB2312" w:cs="Times New Roman"/>
                <w:color w:val="auto"/>
                <w:sz w:val="21"/>
                <w:szCs w:val="21"/>
                <w:highlight w:val="none"/>
                <w:lang w:eastAsia="zh-CN"/>
              </w:rPr>
              <w:t>。</w:t>
            </w:r>
          </w:p>
          <w:p w14:paraId="182FE543">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val="en-US" w:eastAsia="zh-CN"/>
              </w:rPr>
              <w:t>5</w:t>
            </w:r>
            <w:r>
              <w:rPr>
                <w:rFonts w:hint="eastAsia" w:ascii="仿宋_GB2312" w:hAnsi="仿宋" w:eastAsia="仿宋_GB2312" w:cs="Times New Roman"/>
                <w:color w:val="auto"/>
                <w:sz w:val="21"/>
                <w:szCs w:val="21"/>
                <w:highlight w:val="none"/>
              </w:rPr>
              <w:t>.端口自定义功能：支持输出端口自定义，支持配置不同控制策略</w:t>
            </w:r>
            <w:r>
              <w:rPr>
                <w:rFonts w:hint="eastAsia" w:ascii="仿宋_GB2312" w:hAnsi="仿宋" w:eastAsia="仿宋_GB2312" w:cs="Times New Roman"/>
                <w:color w:val="auto"/>
                <w:sz w:val="21"/>
                <w:szCs w:val="21"/>
                <w:highlight w:val="none"/>
                <w:lang w:eastAsia="zh-CN"/>
              </w:rPr>
              <w:t>。</w:t>
            </w:r>
          </w:p>
          <w:p w14:paraId="4888371C">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val="en-US" w:eastAsia="zh-CN"/>
              </w:rPr>
              <w:t>6</w:t>
            </w:r>
            <w:r>
              <w:rPr>
                <w:rFonts w:hint="eastAsia" w:ascii="仿宋_GB2312" w:hAnsi="仿宋" w:eastAsia="仿宋_GB2312" w:cs="Times New Roman"/>
                <w:color w:val="auto"/>
                <w:sz w:val="21"/>
                <w:szCs w:val="21"/>
                <w:highlight w:val="none"/>
              </w:rPr>
              <w:t>.监测告警功能：内置交换机故障、水浸、设备掉线等状态时，告警指示灯红灯闪烁提示告警，并在客户端提示告警信息。</w:t>
            </w:r>
          </w:p>
        </w:tc>
      </w:tr>
    </w:tbl>
    <w:p w14:paraId="44BE188D">
      <w:pPr>
        <w:pStyle w:val="5"/>
        <w:widowControl/>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（二）交调系统数据采集所需软件及安装调试、配套服务要求</w:t>
      </w:r>
    </w:p>
    <w:tbl>
      <w:tblPr>
        <w:tblStyle w:val="11"/>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804"/>
        <w:gridCol w:w="6601"/>
      </w:tblGrid>
      <w:tr w14:paraId="3015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97" w:type="dxa"/>
            <w:tcBorders>
              <w:top w:val="single" w:color="auto" w:sz="12" w:space="0"/>
              <w:left w:val="single" w:color="auto" w:sz="12" w:space="0"/>
              <w:bottom w:val="double" w:color="auto" w:sz="4" w:space="0"/>
            </w:tcBorders>
            <w:vAlign w:val="center"/>
          </w:tcPr>
          <w:p w14:paraId="4B4B477B">
            <w:pPr>
              <w:adjustRightInd/>
              <w:snapToGrid/>
              <w:spacing w:line="34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序号</w:t>
            </w:r>
          </w:p>
        </w:tc>
        <w:tc>
          <w:tcPr>
            <w:tcW w:w="804" w:type="dxa"/>
            <w:tcBorders>
              <w:top w:val="single" w:color="auto" w:sz="12" w:space="0"/>
              <w:bottom w:val="double" w:color="auto" w:sz="4" w:space="0"/>
            </w:tcBorders>
            <w:vAlign w:val="center"/>
          </w:tcPr>
          <w:p w14:paraId="696FF305">
            <w:pPr>
              <w:adjustRightInd/>
              <w:snapToGrid/>
              <w:spacing w:line="34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名称</w:t>
            </w:r>
          </w:p>
        </w:tc>
        <w:tc>
          <w:tcPr>
            <w:tcW w:w="6601" w:type="dxa"/>
            <w:tcBorders>
              <w:top w:val="single" w:color="auto" w:sz="12" w:space="0"/>
              <w:bottom w:val="double" w:color="auto" w:sz="4" w:space="0"/>
              <w:right w:val="single" w:color="auto" w:sz="12" w:space="0"/>
            </w:tcBorders>
            <w:vAlign w:val="center"/>
          </w:tcPr>
          <w:p w14:paraId="49F4589C">
            <w:pPr>
              <w:adjustRightInd/>
              <w:snapToGrid/>
              <w:spacing w:line="34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技术要求</w:t>
            </w:r>
          </w:p>
        </w:tc>
      </w:tr>
      <w:tr w14:paraId="26EA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97" w:type="dxa"/>
            <w:tcBorders>
              <w:top w:val="double" w:color="auto" w:sz="4" w:space="0"/>
              <w:left w:val="single" w:color="auto" w:sz="12" w:space="0"/>
            </w:tcBorders>
            <w:vAlign w:val="center"/>
          </w:tcPr>
          <w:p w14:paraId="7BF1157C">
            <w:pPr>
              <w:adjustRightInd/>
              <w:snapToGrid/>
              <w:spacing w:line="34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1</w:t>
            </w:r>
          </w:p>
        </w:tc>
        <w:tc>
          <w:tcPr>
            <w:tcW w:w="804" w:type="dxa"/>
            <w:tcBorders>
              <w:top w:val="double" w:color="auto" w:sz="4" w:space="0"/>
            </w:tcBorders>
            <w:vAlign w:val="center"/>
          </w:tcPr>
          <w:p w14:paraId="00B6B646">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多功能交调软件</w:t>
            </w:r>
          </w:p>
        </w:tc>
        <w:tc>
          <w:tcPr>
            <w:tcW w:w="6601" w:type="dxa"/>
            <w:tcBorders>
              <w:top w:val="double" w:color="auto" w:sz="4" w:space="0"/>
              <w:right w:val="single" w:color="auto" w:sz="12" w:space="0"/>
            </w:tcBorders>
            <w:vAlign w:val="center"/>
          </w:tcPr>
          <w:p w14:paraId="1422561B">
            <w:pPr>
              <w:adjustRightInd/>
              <w:snapToGrid/>
              <w:spacing w:line="340" w:lineRule="exact"/>
              <w:ind w:firstLine="0" w:firstLineChars="0"/>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1.支持按照行驶方向、分车道采集单个机动车车牌数据。按5分钟周期，自动汇总途经交通量数据，包括采集时间、车道号、车型、车速机动车车牌及颜色等</w:t>
            </w:r>
            <w:r>
              <w:rPr>
                <w:rFonts w:hint="eastAsia" w:ascii="仿宋_GB2312" w:hAnsi="仿宋" w:eastAsia="仿宋_GB2312" w:cs="Times New Roman"/>
                <w:b/>
                <w:bCs/>
                <w:color w:val="auto"/>
                <w:sz w:val="21"/>
                <w:szCs w:val="21"/>
                <w:highlight w:val="none"/>
                <w:lang w:val="en-US" w:eastAsia="zh-CN"/>
              </w:rPr>
              <w:t>信息。</w:t>
            </w:r>
          </w:p>
          <w:p w14:paraId="28564126">
            <w:pPr>
              <w:adjustRightInd/>
              <w:snapToGrid/>
              <w:spacing w:line="340" w:lineRule="exact"/>
              <w:ind w:firstLine="0" w:firstLineChars="0"/>
              <w:rPr>
                <w:rFonts w:hint="eastAsia" w:ascii="仿宋_GB2312" w:hAnsi="仿宋" w:eastAsia="仿宋_GB2312" w:cs="Times New Roman"/>
                <w:b/>
                <w:bCs/>
                <w:color w:val="auto"/>
                <w:sz w:val="21"/>
                <w:szCs w:val="21"/>
                <w:highlight w:val="none"/>
                <w:lang w:eastAsia="zh-CN"/>
              </w:rPr>
            </w:pPr>
            <w:r>
              <w:rPr>
                <w:rFonts w:hint="eastAsia" w:ascii="仿宋_GB2312" w:hAnsi="仿宋" w:eastAsia="仿宋_GB2312" w:cs="Times New Roman"/>
                <w:b/>
                <w:bCs/>
                <w:color w:val="auto"/>
                <w:sz w:val="21"/>
                <w:szCs w:val="21"/>
                <w:highlight w:val="none"/>
              </w:rPr>
              <w:t>2.支持采集气象信息，包括温度、湿度、气压、风速、风向和降雨量等</w:t>
            </w:r>
            <w:r>
              <w:rPr>
                <w:rFonts w:hint="eastAsia" w:ascii="仿宋_GB2312" w:hAnsi="仿宋" w:eastAsia="仿宋_GB2312" w:cs="Times New Roman"/>
                <w:b/>
                <w:bCs/>
                <w:color w:val="auto"/>
                <w:sz w:val="21"/>
                <w:szCs w:val="21"/>
                <w:highlight w:val="none"/>
                <w:lang w:val="en-US" w:eastAsia="zh-CN"/>
              </w:rPr>
              <w:t>数据。</w:t>
            </w:r>
          </w:p>
          <w:p w14:paraId="00F24575">
            <w:pPr>
              <w:adjustRightInd/>
              <w:snapToGrid/>
              <w:spacing w:line="340" w:lineRule="exact"/>
              <w:ind w:firstLine="0" w:firstLineChars="0"/>
              <w:rPr>
                <w:rFonts w:hint="eastAsia" w:ascii="仿宋_GB2312" w:hAnsi="仿宋" w:eastAsia="仿宋_GB2312" w:cs="Times New Roman"/>
                <w:b/>
                <w:bCs/>
                <w:color w:val="auto"/>
                <w:sz w:val="21"/>
                <w:szCs w:val="21"/>
                <w:highlight w:val="none"/>
                <w:lang w:eastAsia="zh-CN"/>
              </w:rPr>
            </w:pPr>
            <w:r>
              <w:rPr>
                <w:rFonts w:hint="eastAsia" w:ascii="仿宋_GB2312" w:hAnsi="仿宋" w:eastAsia="仿宋_GB2312" w:cs="Times New Roman"/>
                <w:b/>
                <w:bCs/>
                <w:color w:val="auto"/>
                <w:sz w:val="21"/>
                <w:szCs w:val="21"/>
                <w:highlight w:val="none"/>
              </w:rPr>
              <w:t>3.支持设备电箱箱门开关状态告警，并保存不小于10秒的视频录像</w:t>
            </w:r>
            <w:r>
              <w:rPr>
                <w:rFonts w:hint="eastAsia" w:ascii="仿宋_GB2312" w:hAnsi="仿宋" w:eastAsia="仿宋_GB2312" w:cs="Times New Roman"/>
                <w:b/>
                <w:bCs/>
                <w:color w:val="auto"/>
                <w:sz w:val="21"/>
                <w:szCs w:val="21"/>
                <w:highlight w:val="none"/>
                <w:lang w:eastAsia="zh-CN"/>
              </w:rPr>
              <w:t>。</w:t>
            </w:r>
          </w:p>
          <w:p w14:paraId="27D37337">
            <w:pPr>
              <w:adjustRightInd/>
              <w:snapToGrid/>
              <w:spacing w:line="340" w:lineRule="exact"/>
              <w:ind w:firstLine="0" w:firstLineChars="0"/>
              <w:rPr>
                <w:rFonts w:hint="eastAsia" w:ascii="仿宋_GB2312" w:hAnsi="仿宋" w:eastAsia="仿宋_GB2312" w:cs="Times New Roman"/>
                <w:b/>
                <w:bCs/>
                <w:color w:val="auto"/>
                <w:sz w:val="21"/>
                <w:szCs w:val="21"/>
                <w:highlight w:val="none"/>
                <w:lang w:eastAsia="zh-CN"/>
              </w:rPr>
            </w:pPr>
            <w:r>
              <w:rPr>
                <w:rFonts w:hint="eastAsia" w:ascii="仿宋_GB2312" w:hAnsi="仿宋" w:eastAsia="仿宋_GB2312" w:cs="Times New Roman"/>
                <w:b/>
                <w:bCs/>
                <w:color w:val="auto"/>
                <w:sz w:val="21"/>
                <w:szCs w:val="21"/>
                <w:highlight w:val="none"/>
              </w:rPr>
              <w:t>4.具备通信异常、断电、电流电压异常、超温等故障自检与推送功能</w:t>
            </w:r>
            <w:r>
              <w:rPr>
                <w:rFonts w:hint="eastAsia" w:ascii="仿宋_GB2312" w:hAnsi="仿宋" w:eastAsia="仿宋_GB2312" w:cs="Times New Roman"/>
                <w:b/>
                <w:bCs/>
                <w:color w:val="auto"/>
                <w:sz w:val="21"/>
                <w:szCs w:val="21"/>
                <w:highlight w:val="none"/>
                <w:lang w:eastAsia="zh-CN"/>
              </w:rPr>
              <w:t>。</w:t>
            </w:r>
          </w:p>
          <w:p w14:paraId="077B465B">
            <w:pPr>
              <w:adjustRightInd/>
              <w:snapToGrid/>
              <w:spacing w:line="340" w:lineRule="exact"/>
              <w:ind w:firstLine="0" w:firstLineChars="0"/>
              <w:rPr>
                <w:rFonts w:hint="eastAsia" w:ascii="仿宋_GB2312" w:hAnsi="仿宋" w:eastAsia="仿宋_GB2312" w:cs="Times New Roman"/>
                <w:b/>
                <w:bCs/>
                <w:color w:val="auto"/>
                <w:sz w:val="21"/>
                <w:szCs w:val="21"/>
                <w:highlight w:val="none"/>
                <w:lang w:eastAsia="zh-CN"/>
              </w:rPr>
            </w:pPr>
            <w:r>
              <w:rPr>
                <w:rFonts w:hint="eastAsia" w:ascii="仿宋_GB2312" w:hAnsi="仿宋" w:eastAsia="仿宋_GB2312" w:cs="Times New Roman"/>
                <w:b/>
                <w:bCs/>
                <w:color w:val="auto"/>
                <w:sz w:val="21"/>
                <w:szCs w:val="21"/>
                <w:highlight w:val="none"/>
              </w:rPr>
              <w:t>5.具备自动校时功能，24小时累计时钟误差&lt;3s</w:t>
            </w:r>
            <w:r>
              <w:rPr>
                <w:rFonts w:hint="eastAsia" w:ascii="仿宋_GB2312" w:hAnsi="仿宋" w:eastAsia="仿宋_GB2312" w:cs="Times New Roman"/>
                <w:b/>
                <w:bCs/>
                <w:color w:val="auto"/>
                <w:sz w:val="21"/>
                <w:szCs w:val="21"/>
                <w:highlight w:val="none"/>
                <w:lang w:eastAsia="zh-CN"/>
              </w:rPr>
              <w:t>。</w:t>
            </w:r>
          </w:p>
          <w:p w14:paraId="06DDCDFC">
            <w:pPr>
              <w:adjustRightInd/>
              <w:snapToGrid/>
              <w:spacing w:line="340" w:lineRule="exact"/>
              <w:ind w:firstLine="0" w:firstLineChars="0"/>
              <w:rPr>
                <w:rFonts w:hint="eastAsia" w:ascii="仿宋_GB2312" w:hAnsi="仿宋" w:eastAsia="仿宋_GB2312" w:cs="Times New Roman"/>
                <w:b/>
                <w:bCs/>
                <w:color w:val="auto"/>
                <w:sz w:val="21"/>
                <w:szCs w:val="21"/>
                <w:highlight w:val="none"/>
                <w:lang w:eastAsia="zh-CN"/>
              </w:rPr>
            </w:pPr>
            <w:r>
              <w:rPr>
                <w:rFonts w:hint="eastAsia" w:ascii="仿宋_GB2312" w:hAnsi="仿宋" w:eastAsia="仿宋_GB2312" w:cs="Times New Roman"/>
                <w:b/>
                <w:bCs/>
                <w:color w:val="auto"/>
                <w:sz w:val="21"/>
                <w:szCs w:val="21"/>
                <w:highlight w:val="none"/>
              </w:rPr>
              <w:t>6.具备远程控制功能</w:t>
            </w: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rPr>
              <w:t>单路智能监控支持不少于8路摄像机检测及异常处理</w:t>
            </w: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rPr>
              <w:t>支持不少于8路常亮灯、频闪灯、环保卡口灯接入与管理</w:t>
            </w: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rPr>
              <w:t>支持补光灯白天灯亮告警、夜晚灯熄告警</w:t>
            </w:r>
            <w:r>
              <w:rPr>
                <w:rFonts w:hint="eastAsia" w:ascii="仿宋_GB2312" w:hAnsi="仿宋" w:eastAsia="仿宋_GB2312" w:cs="Times New Roman"/>
                <w:b/>
                <w:bCs/>
                <w:color w:val="auto"/>
                <w:sz w:val="21"/>
                <w:szCs w:val="21"/>
                <w:highlight w:val="none"/>
                <w:lang w:eastAsia="zh-CN"/>
              </w:rPr>
              <w:t>。</w:t>
            </w:r>
          </w:p>
          <w:p w14:paraId="13F945D6">
            <w:pPr>
              <w:adjustRightInd/>
              <w:snapToGrid/>
              <w:spacing w:line="340" w:lineRule="exact"/>
              <w:ind w:firstLine="0" w:firstLineChars="0"/>
              <w:rPr>
                <w:rFonts w:hint="eastAsia" w:ascii="仿宋_GB2312" w:hAnsi="仿宋" w:eastAsia="仿宋_GB2312" w:cs="Times New Roman"/>
                <w:b/>
                <w:bCs/>
                <w:color w:val="auto"/>
                <w:sz w:val="21"/>
                <w:szCs w:val="21"/>
                <w:highlight w:val="none"/>
              </w:rPr>
            </w:pPr>
            <w:r>
              <w:rPr>
                <w:rFonts w:hint="eastAsia" w:ascii="仿宋_GB2312" w:hAnsi="仿宋" w:eastAsia="仿宋_GB2312" w:cs="Times New Roman"/>
                <w:b/>
                <w:bCs/>
                <w:color w:val="auto"/>
                <w:sz w:val="21"/>
                <w:szCs w:val="21"/>
                <w:highlight w:val="none"/>
              </w:rPr>
              <w:t>备注：投标人需在开标前提供交调软件视频或PPT</w:t>
            </w:r>
            <w:r>
              <w:rPr>
                <w:rFonts w:hint="eastAsia" w:ascii="仿宋_GB2312" w:hAnsi="仿宋" w:eastAsia="仿宋_GB2312" w:cs="Times New Roman"/>
                <w:b/>
                <w:bCs/>
                <w:color w:val="auto"/>
                <w:sz w:val="21"/>
                <w:szCs w:val="21"/>
                <w:highlight w:val="none"/>
                <w:lang w:val="en-US" w:eastAsia="zh-CN"/>
              </w:rPr>
              <w:t>类型的</w:t>
            </w:r>
            <w:r>
              <w:rPr>
                <w:rFonts w:hint="eastAsia" w:ascii="仿宋_GB2312" w:hAnsi="仿宋" w:eastAsia="仿宋_GB2312" w:cs="Times New Roman"/>
                <w:b/>
                <w:bCs/>
                <w:color w:val="auto"/>
                <w:sz w:val="21"/>
                <w:szCs w:val="21"/>
                <w:highlight w:val="none"/>
              </w:rPr>
              <w:t>演示文件，并派相关</w:t>
            </w:r>
            <w:r>
              <w:rPr>
                <w:rFonts w:hint="eastAsia" w:ascii="仿宋_GB2312" w:hAnsi="仿宋" w:eastAsia="仿宋_GB2312" w:cs="Times New Roman"/>
                <w:b/>
                <w:bCs/>
                <w:color w:val="auto"/>
                <w:sz w:val="21"/>
                <w:szCs w:val="21"/>
                <w:highlight w:val="none"/>
                <w:lang w:val="en-US" w:eastAsia="zh-CN"/>
              </w:rPr>
              <w:t>专业</w:t>
            </w:r>
            <w:r>
              <w:rPr>
                <w:rFonts w:hint="eastAsia" w:ascii="仿宋_GB2312" w:hAnsi="仿宋" w:eastAsia="仿宋_GB2312" w:cs="Times New Roman"/>
                <w:b/>
                <w:bCs/>
                <w:color w:val="auto"/>
                <w:sz w:val="21"/>
                <w:szCs w:val="21"/>
                <w:highlight w:val="none"/>
              </w:rPr>
              <w:t>技术人员现场述标，对投标人为本项目投入的交通调查软件进行技术说明，介绍软件</w:t>
            </w:r>
            <w:r>
              <w:rPr>
                <w:rFonts w:hint="eastAsia" w:ascii="仿宋_GB2312" w:hAnsi="仿宋" w:eastAsia="仿宋_GB2312" w:cs="Times New Roman"/>
                <w:b/>
                <w:bCs/>
                <w:color w:val="auto"/>
                <w:sz w:val="21"/>
                <w:szCs w:val="21"/>
                <w:highlight w:val="none"/>
                <w:lang w:eastAsia="zh-CN"/>
              </w:rPr>
              <w:t>为</w:t>
            </w:r>
            <w:r>
              <w:rPr>
                <w:rFonts w:hint="eastAsia" w:ascii="仿宋_GB2312" w:hAnsi="仿宋" w:eastAsia="仿宋_GB2312" w:cs="Times New Roman"/>
                <w:b/>
                <w:bCs/>
                <w:color w:val="auto"/>
                <w:sz w:val="21"/>
                <w:szCs w:val="21"/>
                <w:highlight w:val="none"/>
              </w:rPr>
              <w:t>交通调查系统各个模块的操控</w:t>
            </w:r>
            <w:r>
              <w:rPr>
                <w:rFonts w:hint="eastAsia" w:ascii="仿宋_GB2312" w:hAnsi="仿宋" w:eastAsia="仿宋_GB2312" w:cs="Times New Roman"/>
                <w:b/>
                <w:bCs/>
                <w:color w:val="auto"/>
                <w:sz w:val="21"/>
                <w:szCs w:val="21"/>
                <w:highlight w:val="none"/>
                <w:lang w:val="en-US" w:eastAsia="zh-CN"/>
              </w:rPr>
              <w:t>功能</w:t>
            </w: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rPr>
              <w:t>并阐述投标人软件对公路交通基础设施数字化转型的后续技术开发方向、升级方案及对采购人后续采购可提供的技术支持。</w:t>
            </w:r>
          </w:p>
          <w:p w14:paraId="0299172C">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b/>
                <w:bCs/>
                <w:color w:val="auto"/>
                <w:sz w:val="21"/>
                <w:szCs w:val="21"/>
                <w:highlight w:val="none"/>
              </w:rPr>
              <w:t>现场演示及述标时间控制在5分钟内</w:t>
            </w:r>
            <w:r>
              <w:rPr>
                <w:rFonts w:hint="eastAsia" w:ascii="仿宋_GB2312" w:hAnsi="仿宋"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lang w:val="en-US" w:eastAsia="zh-CN"/>
              </w:rPr>
              <w:t>如</w:t>
            </w:r>
            <w:r>
              <w:rPr>
                <w:rFonts w:hint="eastAsia" w:ascii="仿宋_GB2312" w:hAnsi="仿宋" w:eastAsia="仿宋_GB2312" w:cs="Times New Roman"/>
                <w:b/>
                <w:bCs/>
                <w:color w:val="auto"/>
                <w:sz w:val="21"/>
                <w:szCs w:val="21"/>
                <w:highlight w:val="none"/>
              </w:rPr>
              <w:t>超出时</w:t>
            </w:r>
            <w:r>
              <w:rPr>
                <w:rFonts w:hint="eastAsia" w:ascii="仿宋_GB2312" w:hAnsi="仿宋" w:eastAsia="仿宋_GB2312" w:cs="Times New Roman"/>
                <w:b/>
                <w:bCs/>
                <w:color w:val="auto"/>
                <w:sz w:val="21"/>
                <w:szCs w:val="21"/>
                <w:highlight w:val="none"/>
                <w:lang w:val="en-US" w:eastAsia="zh-CN"/>
              </w:rPr>
              <w:t>限</w:t>
            </w:r>
            <w:r>
              <w:rPr>
                <w:rFonts w:hint="eastAsia" w:ascii="仿宋_GB2312" w:hAnsi="仿宋" w:eastAsia="仿宋_GB2312" w:cs="Times New Roman"/>
                <w:b/>
                <w:bCs/>
                <w:color w:val="auto"/>
                <w:sz w:val="21"/>
                <w:szCs w:val="21"/>
                <w:highlight w:val="none"/>
              </w:rPr>
              <w:t>，评标委员会</w:t>
            </w:r>
            <w:r>
              <w:rPr>
                <w:rFonts w:hint="eastAsia" w:ascii="仿宋_GB2312" w:hAnsi="仿宋" w:eastAsia="仿宋_GB2312" w:cs="Times New Roman"/>
                <w:b/>
                <w:bCs/>
                <w:color w:val="auto"/>
                <w:sz w:val="21"/>
                <w:szCs w:val="21"/>
                <w:highlight w:val="none"/>
                <w:lang w:val="en-US" w:eastAsia="zh-CN"/>
              </w:rPr>
              <w:t>即</w:t>
            </w:r>
            <w:r>
              <w:rPr>
                <w:rFonts w:hint="eastAsia" w:ascii="仿宋_GB2312" w:hAnsi="仿宋" w:eastAsia="仿宋_GB2312" w:cs="Times New Roman"/>
                <w:b/>
                <w:bCs/>
                <w:color w:val="auto"/>
                <w:sz w:val="21"/>
                <w:szCs w:val="21"/>
                <w:highlight w:val="none"/>
              </w:rPr>
              <w:t>终止述标。投标人兼投多个包组的，只需进行一次述标，后续包组评审同一投标人述标分值不作调整。</w:t>
            </w:r>
          </w:p>
        </w:tc>
      </w:tr>
      <w:tr w14:paraId="71FD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97" w:type="dxa"/>
            <w:tcBorders>
              <w:left w:val="single" w:color="auto" w:sz="12" w:space="0"/>
            </w:tcBorders>
            <w:vAlign w:val="center"/>
          </w:tcPr>
          <w:p w14:paraId="0F2FEE5A">
            <w:pPr>
              <w:adjustRightInd/>
              <w:snapToGrid/>
              <w:spacing w:line="340" w:lineRule="exact"/>
              <w:ind w:firstLine="0" w:firstLineChars="0"/>
              <w:jc w:val="center"/>
              <w:rPr>
                <w:rFonts w:hint="eastAsia" w:ascii="楷体_GB2312" w:hAnsi="楷体_GB2312" w:eastAsia="楷体_GB2312" w:cs="楷体_GB2312"/>
                <w:b/>
                <w:bCs/>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2</w:t>
            </w:r>
          </w:p>
        </w:tc>
        <w:tc>
          <w:tcPr>
            <w:tcW w:w="804" w:type="dxa"/>
            <w:vAlign w:val="center"/>
          </w:tcPr>
          <w:p w14:paraId="019C61E1">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杆件</w:t>
            </w:r>
          </w:p>
        </w:tc>
        <w:tc>
          <w:tcPr>
            <w:tcW w:w="6601" w:type="dxa"/>
            <w:tcBorders>
              <w:right w:val="single" w:color="auto" w:sz="12" w:space="0"/>
            </w:tcBorders>
            <w:vAlign w:val="center"/>
          </w:tcPr>
          <w:p w14:paraId="7B16D021">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1.杆体</w:t>
            </w:r>
            <w:r>
              <w:rPr>
                <w:rFonts w:hint="eastAsia" w:ascii="仿宋_GB2312" w:hAnsi="仿宋" w:eastAsia="仿宋_GB2312" w:cs="Times New Roman"/>
                <w:color w:val="auto"/>
                <w:sz w:val="21"/>
                <w:szCs w:val="21"/>
                <w:highlight w:val="none"/>
                <w:lang w:val="en-US" w:eastAsia="zh-CN"/>
              </w:rPr>
              <w:t>采用</w:t>
            </w:r>
            <w:r>
              <w:rPr>
                <w:rFonts w:hint="eastAsia" w:ascii="仿宋_GB2312" w:hAnsi="仿宋" w:eastAsia="仿宋_GB2312" w:cs="Times New Roman"/>
                <w:color w:val="auto"/>
                <w:sz w:val="21"/>
                <w:szCs w:val="21"/>
                <w:highlight w:val="none"/>
              </w:rPr>
              <w:t>热镀锌钢杆，镀锌层表面应光滑、无流挂滴瘤或多余结块</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镀锌表面应无漏镀缺陷，采用国家质量监督检验检疫总局和国家标准化管理委员会</w:t>
            </w:r>
            <w:r>
              <w:rPr>
                <w:rFonts w:hint="eastAsia" w:ascii="仿宋_GB2312" w:hAnsi="仿宋" w:eastAsia="仿宋_GB2312" w:cs="Times New Roman"/>
                <w:color w:val="auto"/>
                <w:sz w:val="21"/>
                <w:szCs w:val="21"/>
                <w:highlight w:val="none"/>
                <w:lang w:val="en-US" w:eastAsia="zh-CN"/>
              </w:rPr>
              <w:t>颁</w:t>
            </w:r>
            <w:r>
              <w:rPr>
                <w:rFonts w:hint="eastAsia" w:ascii="仿宋_GB2312" w:hAnsi="仿宋" w:eastAsia="仿宋_GB2312" w:cs="Times New Roman"/>
                <w:color w:val="auto"/>
                <w:sz w:val="21"/>
                <w:szCs w:val="21"/>
                <w:highlight w:val="none"/>
                <w:lang w:eastAsia="zh-CN"/>
              </w:rPr>
              <w:t>《锌锭（GB/T 470-2008）》</w:t>
            </w:r>
            <w:r>
              <w:rPr>
                <w:rFonts w:hint="eastAsia" w:ascii="仿宋_GB2312" w:hAnsi="仿宋" w:eastAsia="仿宋_GB2312" w:cs="Times New Roman"/>
                <w:color w:val="auto"/>
                <w:sz w:val="21"/>
                <w:szCs w:val="21"/>
                <w:highlight w:val="none"/>
              </w:rPr>
              <w:t>规定的特一级、一级锌锭，镀锌量≥600g/m</w:t>
            </w:r>
            <w:r>
              <w:rPr>
                <w:rFonts w:hint="eastAsia" w:ascii="仿宋_GB2312" w:hAnsi="仿宋" w:eastAsia="仿宋_GB2312" w:cs="Times New Roman"/>
                <w:color w:val="auto"/>
                <w:sz w:val="21"/>
                <w:szCs w:val="21"/>
                <w:highlight w:val="none"/>
                <w:vertAlign w:val="superscript"/>
              </w:rPr>
              <w:t>2</w:t>
            </w:r>
            <w:r>
              <w:rPr>
                <w:rFonts w:hint="eastAsia" w:ascii="仿宋_GB2312" w:hAnsi="仿宋" w:eastAsia="仿宋_GB2312" w:cs="Times New Roman"/>
                <w:color w:val="auto"/>
                <w:sz w:val="21"/>
                <w:szCs w:val="21"/>
                <w:highlight w:val="none"/>
                <w:lang w:eastAsia="zh-CN"/>
              </w:rPr>
              <w:t>。</w:t>
            </w:r>
          </w:p>
          <w:p w14:paraId="73744CFB">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2.杆件能抵抗35m/s的风速（12级台风），使用寿命不低于30年</w:t>
            </w:r>
            <w:r>
              <w:rPr>
                <w:rFonts w:hint="eastAsia" w:ascii="仿宋_GB2312" w:hAnsi="仿宋" w:eastAsia="仿宋_GB2312" w:cs="Times New Roman"/>
                <w:color w:val="auto"/>
                <w:sz w:val="21"/>
                <w:szCs w:val="21"/>
                <w:highlight w:val="none"/>
                <w:lang w:eastAsia="zh-CN"/>
              </w:rPr>
              <w:t>。</w:t>
            </w:r>
          </w:p>
          <w:p w14:paraId="4A07A6C3">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3.采用高能见度反光膜，宽度≥1000mm的黄、黑相间彩色反光热贴膜；材料为交通设施专用的逆反射材料彩色反光热贴膜，逆反射情况应符合国家质量监督检验检疫总局和国家标准化管理委员会</w:t>
            </w:r>
            <w:r>
              <w:rPr>
                <w:rFonts w:hint="eastAsia" w:ascii="仿宋_GB2312" w:hAnsi="仿宋" w:eastAsia="仿宋_GB2312" w:cs="Times New Roman"/>
                <w:color w:val="auto"/>
                <w:sz w:val="21"/>
                <w:szCs w:val="21"/>
                <w:highlight w:val="none"/>
                <w:lang w:val="en-US" w:eastAsia="zh-CN"/>
              </w:rPr>
              <w:t>颁</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道路交通反光膜</w:t>
            </w:r>
            <w:r>
              <w:rPr>
                <w:rFonts w:hint="eastAsia" w:ascii="仿宋_GB2312" w:hAnsi="仿宋" w:eastAsia="仿宋_GB2312" w:cs="Times New Roman"/>
                <w:color w:val="auto"/>
                <w:sz w:val="21"/>
                <w:szCs w:val="21"/>
                <w:highlight w:val="none"/>
                <w:lang w:eastAsia="zh-CN"/>
              </w:rPr>
              <w:t>（GB/T 18833-2012）》</w:t>
            </w:r>
            <w:r>
              <w:rPr>
                <w:rFonts w:hint="eastAsia" w:ascii="仿宋_GB2312" w:hAnsi="仿宋" w:eastAsia="仿宋_GB2312" w:cs="Times New Roman"/>
                <w:color w:val="auto"/>
                <w:sz w:val="21"/>
                <w:szCs w:val="21"/>
                <w:highlight w:val="none"/>
              </w:rPr>
              <w:t>规定。张贴于杆件接线门盖以上离地1米位置，贴膜高度1米</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反光膜应全包围张贴，要求平整、无气泡。</w:t>
            </w:r>
          </w:p>
        </w:tc>
      </w:tr>
      <w:tr w14:paraId="5B3C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97" w:type="dxa"/>
            <w:tcBorders>
              <w:left w:val="single" w:color="auto" w:sz="12" w:space="0"/>
            </w:tcBorders>
            <w:vAlign w:val="center"/>
          </w:tcPr>
          <w:p w14:paraId="1A48B724">
            <w:pPr>
              <w:adjustRightInd/>
              <w:snapToGrid/>
              <w:spacing w:line="340" w:lineRule="exact"/>
              <w:ind w:firstLine="0" w:firstLineChars="0"/>
              <w:jc w:val="center"/>
              <w:rPr>
                <w:rFonts w:hint="eastAsia" w:ascii="楷体_GB2312" w:hAnsi="楷体_GB2312" w:eastAsia="楷体_GB2312" w:cs="楷体_GB2312"/>
                <w:b/>
                <w:bCs/>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3</w:t>
            </w:r>
          </w:p>
        </w:tc>
        <w:tc>
          <w:tcPr>
            <w:tcW w:w="804" w:type="dxa"/>
            <w:vAlign w:val="center"/>
          </w:tcPr>
          <w:p w14:paraId="3E833A95">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线路敷设</w:t>
            </w:r>
          </w:p>
        </w:tc>
        <w:tc>
          <w:tcPr>
            <w:tcW w:w="6601" w:type="dxa"/>
            <w:tcBorders>
              <w:right w:val="single" w:color="auto" w:sz="12" w:space="0"/>
            </w:tcBorders>
            <w:vAlign w:val="center"/>
          </w:tcPr>
          <w:p w14:paraId="5BB17925">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按实际要求完成，供电线路应采用地下敷设的方式。</w:t>
            </w:r>
          </w:p>
        </w:tc>
      </w:tr>
      <w:tr w14:paraId="28A8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97" w:type="dxa"/>
            <w:tcBorders>
              <w:left w:val="single" w:color="auto" w:sz="12" w:space="0"/>
            </w:tcBorders>
            <w:vAlign w:val="center"/>
          </w:tcPr>
          <w:p w14:paraId="7D8EC615">
            <w:pPr>
              <w:adjustRightInd/>
              <w:snapToGrid/>
              <w:spacing w:line="340" w:lineRule="exact"/>
              <w:ind w:firstLine="0" w:firstLineChars="0"/>
              <w:jc w:val="center"/>
              <w:rPr>
                <w:rFonts w:hint="eastAsia" w:ascii="楷体_GB2312" w:hAnsi="楷体_GB2312" w:eastAsia="楷体_GB2312" w:cs="楷体_GB2312"/>
                <w:b/>
                <w:bCs/>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4</w:t>
            </w:r>
          </w:p>
        </w:tc>
        <w:tc>
          <w:tcPr>
            <w:tcW w:w="804" w:type="dxa"/>
            <w:vAlign w:val="center"/>
          </w:tcPr>
          <w:p w14:paraId="79A9BCBC">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安装辅材</w:t>
            </w:r>
          </w:p>
        </w:tc>
        <w:tc>
          <w:tcPr>
            <w:tcW w:w="6601" w:type="dxa"/>
            <w:tcBorders>
              <w:right w:val="single" w:color="auto" w:sz="12" w:space="0"/>
            </w:tcBorders>
            <w:vAlign w:val="center"/>
          </w:tcPr>
          <w:p w14:paraId="6D74853F">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工程实施所需的辅材。</w:t>
            </w:r>
          </w:p>
        </w:tc>
      </w:tr>
      <w:tr w14:paraId="2E00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97" w:type="dxa"/>
            <w:tcBorders>
              <w:left w:val="single" w:color="auto" w:sz="12" w:space="0"/>
            </w:tcBorders>
            <w:vAlign w:val="center"/>
          </w:tcPr>
          <w:p w14:paraId="6B927FEF">
            <w:pPr>
              <w:adjustRightInd/>
              <w:snapToGrid/>
              <w:spacing w:line="340" w:lineRule="exact"/>
              <w:ind w:firstLine="0" w:firstLineChars="0"/>
              <w:jc w:val="center"/>
              <w:rPr>
                <w:rFonts w:hint="eastAsia" w:ascii="楷体_GB2312" w:hAnsi="楷体_GB2312" w:eastAsia="楷体_GB2312" w:cs="楷体_GB2312"/>
                <w:b/>
                <w:bCs/>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5</w:t>
            </w:r>
          </w:p>
        </w:tc>
        <w:tc>
          <w:tcPr>
            <w:tcW w:w="804" w:type="dxa"/>
            <w:vAlign w:val="center"/>
          </w:tcPr>
          <w:p w14:paraId="224FB880">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安装调试</w:t>
            </w:r>
          </w:p>
        </w:tc>
        <w:tc>
          <w:tcPr>
            <w:tcW w:w="6601" w:type="dxa"/>
            <w:tcBorders>
              <w:right w:val="single" w:color="auto" w:sz="12" w:space="0"/>
            </w:tcBorders>
            <w:vAlign w:val="center"/>
          </w:tcPr>
          <w:p w14:paraId="7798F834">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含所有设备安装、调试。</w:t>
            </w:r>
          </w:p>
        </w:tc>
      </w:tr>
      <w:tr w14:paraId="1C6E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97" w:type="dxa"/>
            <w:tcBorders>
              <w:left w:val="single" w:color="auto" w:sz="12" w:space="0"/>
            </w:tcBorders>
            <w:vAlign w:val="center"/>
          </w:tcPr>
          <w:p w14:paraId="72DEA642">
            <w:pPr>
              <w:adjustRightInd/>
              <w:snapToGrid/>
              <w:spacing w:line="340" w:lineRule="exact"/>
              <w:ind w:firstLine="0" w:firstLineChars="0"/>
              <w:jc w:val="center"/>
              <w:rPr>
                <w:rFonts w:hint="eastAsia" w:ascii="楷体_GB2312" w:hAnsi="楷体_GB2312" w:eastAsia="楷体_GB2312" w:cs="楷体_GB2312"/>
                <w:b/>
                <w:bCs/>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6</w:t>
            </w:r>
          </w:p>
        </w:tc>
        <w:tc>
          <w:tcPr>
            <w:tcW w:w="804" w:type="dxa"/>
            <w:vAlign w:val="center"/>
          </w:tcPr>
          <w:p w14:paraId="34B4DC44">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设备安装及附属设施基础</w:t>
            </w:r>
          </w:p>
        </w:tc>
        <w:tc>
          <w:tcPr>
            <w:tcW w:w="6601" w:type="dxa"/>
            <w:tcBorders>
              <w:right w:val="single" w:color="auto" w:sz="12" w:space="0"/>
            </w:tcBorders>
            <w:vAlign w:val="center"/>
          </w:tcPr>
          <w:p w14:paraId="5A5E992D">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1.地脚螺栓采用45号钢制作，连接螺栓、螺母、垫圈等采用8.8级高强度部件并进行热镀锌防腐及螺纹进行离心处理，镀锌≥350g/m</w:t>
            </w:r>
            <w:r>
              <w:rPr>
                <w:rFonts w:hint="eastAsia" w:ascii="仿宋_GB2312" w:hAnsi="仿宋" w:eastAsia="仿宋_GB2312" w:cs="Times New Roman"/>
                <w:color w:val="auto"/>
                <w:sz w:val="21"/>
                <w:szCs w:val="21"/>
                <w:highlight w:val="none"/>
                <w:vertAlign w:val="superscript"/>
              </w:rPr>
              <w:t>2</w:t>
            </w:r>
            <w:r>
              <w:rPr>
                <w:rFonts w:hint="eastAsia" w:ascii="仿宋_GB2312" w:hAnsi="仿宋" w:eastAsia="仿宋_GB2312" w:cs="Times New Roman"/>
                <w:color w:val="auto"/>
                <w:sz w:val="21"/>
                <w:szCs w:val="21"/>
                <w:highlight w:val="none"/>
                <w:lang w:eastAsia="zh-CN"/>
              </w:rPr>
              <w:t>。</w:t>
            </w:r>
          </w:p>
          <w:p w14:paraId="35391315">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2.基础采用明挖法施工，基底应先整平、夯实。浇筑</w:t>
            </w:r>
            <w:r>
              <w:rPr>
                <w:rFonts w:hint="eastAsia" w:ascii="仿宋_GB2312" w:hAnsi="仿宋" w:eastAsia="仿宋_GB2312" w:cs="Times New Roman"/>
                <w:color w:val="auto"/>
                <w:sz w:val="21"/>
                <w:szCs w:val="21"/>
                <w:highlight w:val="none"/>
                <w:lang w:eastAsia="zh-CN"/>
              </w:rPr>
              <w:t>混凝土</w:t>
            </w:r>
            <w:r>
              <w:rPr>
                <w:rFonts w:hint="eastAsia" w:ascii="仿宋_GB2312" w:hAnsi="仿宋" w:eastAsia="仿宋_GB2312" w:cs="Times New Roman"/>
                <w:color w:val="auto"/>
                <w:sz w:val="21"/>
                <w:szCs w:val="21"/>
                <w:highlight w:val="none"/>
              </w:rPr>
              <w:t>时，应注意使定位法兰盘与基础对中，使预埋件水平，基础采用C25商品</w:t>
            </w:r>
            <w:r>
              <w:rPr>
                <w:rFonts w:hint="eastAsia" w:ascii="仿宋_GB2312" w:hAnsi="仿宋" w:eastAsia="仿宋_GB2312" w:cs="Times New Roman"/>
                <w:color w:val="auto"/>
                <w:sz w:val="21"/>
                <w:szCs w:val="21"/>
                <w:highlight w:val="none"/>
                <w:lang w:eastAsia="zh-CN"/>
              </w:rPr>
              <w:t>混凝土</w:t>
            </w:r>
            <w:r>
              <w:rPr>
                <w:rFonts w:hint="eastAsia" w:ascii="仿宋_GB2312" w:hAnsi="仿宋" w:eastAsia="仿宋_GB2312" w:cs="Times New Roman"/>
                <w:color w:val="auto"/>
                <w:sz w:val="21"/>
                <w:szCs w:val="21"/>
                <w:highlight w:val="none"/>
              </w:rPr>
              <w:t>灌筑，地脚螺栓外露部分须加以保护</w:t>
            </w:r>
            <w:r>
              <w:rPr>
                <w:rFonts w:hint="eastAsia" w:ascii="仿宋_GB2312" w:hAnsi="仿宋" w:eastAsia="仿宋_GB2312" w:cs="Times New Roman"/>
                <w:color w:val="auto"/>
                <w:sz w:val="21"/>
                <w:szCs w:val="21"/>
                <w:highlight w:val="none"/>
                <w:lang w:eastAsia="zh-CN"/>
              </w:rPr>
              <w:t>。</w:t>
            </w:r>
          </w:p>
          <w:p w14:paraId="7086E125">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3.预埋1根φ32PVC管，深度不小于600mm，所有穿线管预埋前应预留铁丝或麻绳</w:t>
            </w:r>
            <w:r>
              <w:rPr>
                <w:rFonts w:hint="eastAsia" w:ascii="仿宋_GB2312" w:hAnsi="仿宋" w:eastAsia="仿宋_GB2312" w:cs="Times New Roman"/>
                <w:color w:val="auto"/>
                <w:sz w:val="21"/>
                <w:szCs w:val="21"/>
                <w:highlight w:val="none"/>
                <w:lang w:eastAsia="zh-CN"/>
              </w:rPr>
              <w:t>。</w:t>
            </w:r>
          </w:p>
          <w:p w14:paraId="352797DF">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4.地桩采用L40*4*2000镀锌角钢，地桩与基础预埋板之间用4*50扁铁联接；地桩与扁铁均需镀锌处理，数量以接地电阻值满足杆体接地电阻不大于10Ω。基础大小方量能抵抗35m/s的风速（12级台风）。</w:t>
            </w:r>
          </w:p>
        </w:tc>
      </w:tr>
      <w:tr w14:paraId="5875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97" w:type="dxa"/>
            <w:tcBorders>
              <w:left w:val="single" w:color="auto" w:sz="12" w:space="0"/>
            </w:tcBorders>
            <w:vAlign w:val="center"/>
          </w:tcPr>
          <w:p w14:paraId="3C2E10F0">
            <w:pPr>
              <w:adjustRightInd/>
              <w:snapToGrid/>
              <w:spacing w:line="340" w:lineRule="exact"/>
              <w:ind w:firstLine="0" w:firstLineChars="0"/>
              <w:jc w:val="center"/>
              <w:rPr>
                <w:rFonts w:hint="eastAsia" w:ascii="楷体_GB2312" w:hAnsi="楷体_GB2312" w:eastAsia="楷体_GB2312" w:cs="楷体_GB2312"/>
                <w:b/>
                <w:bCs/>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7</w:t>
            </w:r>
          </w:p>
        </w:tc>
        <w:tc>
          <w:tcPr>
            <w:tcW w:w="804" w:type="dxa"/>
            <w:vAlign w:val="center"/>
          </w:tcPr>
          <w:p w14:paraId="5AC3DF36">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公路交调标志</w:t>
            </w:r>
          </w:p>
        </w:tc>
        <w:tc>
          <w:tcPr>
            <w:tcW w:w="6601" w:type="dxa"/>
            <w:tcBorders>
              <w:right w:val="single" w:color="auto" w:sz="12" w:space="0"/>
            </w:tcBorders>
            <w:vAlign w:val="center"/>
          </w:tcPr>
          <w:p w14:paraId="1E652106">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1.“广东交调”标志尺寸约280*300mm，符合国家市场监督管理总局</w:t>
            </w:r>
            <w:r>
              <w:rPr>
                <w:rFonts w:hint="eastAsia" w:ascii="仿宋_GB2312" w:hAnsi="仿宋" w:eastAsia="仿宋_GB2312" w:cs="Times New Roman"/>
                <w:color w:val="auto"/>
                <w:sz w:val="21"/>
                <w:szCs w:val="21"/>
                <w:highlight w:val="none"/>
                <w:lang w:val="en-US" w:eastAsia="zh-CN"/>
              </w:rPr>
              <w:t>颁</w:t>
            </w:r>
            <w:r>
              <w:rPr>
                <w:rFonts w:hint="eastAsia" w:ascii="仿宋_GB2312" w:hAnsi="仿宋" w:eastAsia="仿宋_GB2312" w:cs="Times New Roman"/>
                <w:color w:val="auto"/>
                <w:sz w:val="21"/>
                <w:szCs w:val="21"/>
                <w:highlight w:val="none"/>
                <w:lang w:eastAsia="zh-CN"/>
              </w:rPr>
              <w:t>《道路交通标志和标线 第2部分：道路交通标志（</w:t>
            </w:r>
            <w:r>
              <w:rPr>
                <w:rFonts w:hint="eastAsia" w:ascii="仿宋_GB2312" w:hAnsi="仿宋" w:eastAsia="仿宋_GB2312" w:cs="Times New Roman"/>
                <w:color w:val="auto"/>
                <w:sz w:val="21"/>
                <w:szCs w:val="21"/>
                <w:highlight w:val="none"/>
              </w:rPr>
              <w:t>GB 5768.2-2022</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和</w:t>
            </w:r>
            <w:r>
              <w:rPr>
                <w:rFonts w:hint="eastAsia" w:ascii="仿宋_GB2312" w:hAnsi="仿宋" w:eastAsia="仿宋_GB2312" w:cs="Times New Roman"/>
                <w:color w:val="auto"/>
                <w:sz w:val="21"/>
                <w:szCs w:val="21"/>
                <w:highlight w:val="none"/>
                <w:lang w:val="en-US" w:eastAsia="zh-CN"/>
              </w:rPr>
              <w:t>部颁</w:t>
            </w:r>
            <w:r>
              <w:rPr>
                <w:rFonts w:hint="eastAsia" w:ascii="仿宋_GB2312" w:hAnsi="仿宋" w:eastAsia="仿宋_GB2312" w:cs="Times New Roman"/>
                <w:color w:val="auto"/>
                <w:sz w:val="21"/>
                <w:szCs w:val="21"/>
                <w:highlight w:val="none"/>
                <w:lang w:eastAsia="zh-CN"/>
              </w:rPr>
              <w:t>《公路交通标志和标线设置规范（</w:t>
            </w:r>
            <w:r>
              <w:rPr>
                <w:rFonts w:hint="eastAsia" w:ascii="仿宋_GB2312" w:hAnsi="仿宋" w:eastAsia="仿宋_GB2312" w:cs="Times New Roman"/>
                <w:color w:val="auto"/>
                <w:sz w:val="21"/>
                <w:szCs w:val="21"/>
                <w:highlight w:val="none"/>
              </w:rPr>
              <w:t>JTGD82-2009</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规定，字条应规范、正确、工整，站名一般不写成两行</w:t>
            </w:r>
            <w:r>
              <w:rPr>
                <w:rFonts w:hint="eastAsia" w:ascii="仿宋_GB2312" w:hAnsi="仿宋" w:eastAsia="仿宋_GB2312" w:cs="Times New Roman"/>
                <w:color w:val="auto"/>
                <w:sz w:val="21"/>
                <w:szCs w:val="21"/>
                <w:highlight w:val="none"/>
                <w:lang w:eastAsia="zh-CN"/>
              </w:rPr>
              <w:t>。</w:t>
            </w:r>
          </w:p>
          <w:p w14:paraId="3EADC3FA">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2.交调站点编号与站名相对应，为公路交调系统中唯一编码。汉字字宽和字高相等，拉丁字母与数字的高度与汉字相等</w:t>
            </w:r>
            <w:r>
              <w:rPr>
                <w:rFonts w:hint="eastAsia" w:ascii="仿宋_GB2312" w:hAnsi="仿宋" w:eastAsia="仿宋_GB2312" w:cs="Times New Roman"/>
                <w:color w:val="auto"/>
                <w:sz w:val="21"/>
                <w:szCs w:val="21"/>
                <w:highlight w:val="none"/>
                <w:lang w:eastAsia="zh-CN"/>
              </w:rPr>
              <w:t>。</w:t>
            </w:r>
          </w:p>
          <w:p w14:paraId="04D74C83">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3.交调标志配色：配色使用CMYK颜色模式，符号中间椭圆形颜色为CMYK：C100，M10,Y0,K0,符号J变形图案颜色为CMYK：C100,M50,Y0,K0,标志中汉字、拉丁字母、数字均为黑色（CMYK：C0,M0,Y0,K100）</w:t>
            </w:r>
            <w:r>
              <w:rPr>
                <w:rFonts w:hint="eastAsia" w:ascii="仿宋_GB2312" w:hAnsi="仿宋" w:eastAsia="仿宋_GB2312" w:cs="Times New Roman"/>
                <w:color w:val="auto"/>
                <w:sz w:val="21"/>
                <w:szCs w:val="21"/>
                <w:highlight w:val="none"/>
                <w:lang w:eastAsia="zh-CN"/>
              </w:rPr>
              <w:t>。</w:t>
            </w:r>
          </w:p>
          <w:p w14:paraId="67EC37A2">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4.采用丝印方式，</w:t>
            </w:r>
            <w:r>
              <w:rPr>
                <w:rFonts w:hint="eastAsia" w:ascii="仿宋_GB2312" w:hAnsi="仿宋" w:eastAsia="仿宋_GB2312" w:cs="Times New Roman"/>
                <w:color w:val="auto"/>
                <w:sz w:val="21"/>
                <w:szCs w:val="21"/>
                <w:highlight w:val="none"/>
                <w:lang w:val="en-US" w:eastAsia="zh-CN"/>
              </w:rPr>
              <w:t>定位</w:t>
            </w:r>
            <w:r>
              <w:rPr>
                <w:rFonts w:hint="eastAsia" w:ascii="仿宋_GB2312" w:hAnsi="仿宋" w:eastAsia="仿宋_GB2312" w:cs="Times New Roman"/>
                <w:color w:val="auto"/>
                <w:sz w:val="21"/>
                <w:szCs w:val="21"/>
                <w:highlight w:val="none"/>
              </w:rPr>
              <w:t>在机箱正面</w:t>
            </w:r>
            <w:r>
              <w:rPr>
                <w:rFonts w:hint="eastAsia" w:ascii="仿宋_GB2312" w:hAnsi="仿宋" w:eastAsia="仿宋_GB2312" w:cs="Times New Roman"/>
                <w:color w:val="auto"/>
                <w:sz w:val="21"/>
                <w:szCs w:val="21"/>
                <w:highlight w:val="none"/>
                <w:lang w:val="en-US" w:eastAsia="zh-CN"/>
              </w:rPr>
              <w:t>居</w:t>
            </w:r>
            <w:r>
              <w:rPr>
                <w:rFonts w:hint="eastAsia" w:ascii="仿宋_GB2312" w:hAnsi="仿宋" w:eastAsia="仿宋_GB2312" w:cs="Times New Roman"/>
                <w:color w:val="auto"/>
                <w:sz w:val="21"/>
                <w:szCs w:val="21"/>
                <w:highlight w:val="none"/>
              </w:rPr>
              <w:t>中</w:t>
            </w:r>
            <w:r>
              <w:rPr>
                <w:rFonts w:hint="eastAsia" w:ascii="仿宋_GB2312" w:hAnsi="仿宋" w:eastAsia="仿宋_GB2312" w:cs="Times New Roman"/>
                <w:color w:val="auto"/>
                <w:sz w:val="21"/>
                <w:szCs w:val="21"/>
                <w:highlight w:val="none"/>
                <w:lang w:val="en-US" w:eastAsia="zh-CN"/>
              </w:rPr>
              <w:t>处</w:t>
            </w:r>
            <w:r>
              <w:rPr>
                <w:rFonts w:hint="eastAsia" w:ascii="仿宋_GB2312" w:hAnsi="仿宋" w:eastAsia="仿宋_GB2312" w:cs="Times New Roman"/>
                <w:color w:val="auto"/>
                <w:sz w:val="21"/>
                <w:szCs w:val="21"/>
                <w:highlight w:val="none"/>
              </w:rPr>
              <w:t>。</w:t>
            </w:r>
          </w:p>
        </w:tc>
      </w:tr>
      <w:tr w14:paraId="0F36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97" w:type="dxa"/>
            <w:tcBorders>
              <w:left w:val="single" w:color="auto" w:sz="12" w:space="0"/>
            </w:tcBorders>
            <w:vAlign w:val="center"/>
          </w:tcPr>
          <w:p w14:paraId="0B5C285C">
            <w:pPr>
              <w:adjustRightInd/>
              <w:snapToGrid/>
              <w:spacing w:line="340" w:lineRule="exact"/>
              <w:ind w:firstLine="0" w:firstLineChars="0"/>
              <w:jc w:val="center"/>
              <w:rPr>
                <w:rFonts w:hint="eastAsia" w:ascii="楷体_GB2312" w:hAnsi="楷体_GB2312" w:eastAsia="楷体_GB2312" w:cs="楷体_GB2312"/>
                <w:b/>
                <w:bCs/>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8</w:t>
            </w:r>
          </w:p>
        </w:tc>
        <w:tc>
          <w:tcPr>
            <w:tcW w:w="804" w:type="dxa"/>
            <w:vAlign w:val="center"/>
          </w:tcPr>
          <w:p w14:paraId="7F545E02">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挂杆铭牌</w:t>
            </w:r>
          </w:p>
        </w:tc>
        <w:tc>
          <w:tcPr>
            <w:tcW w:w="6601" w:type="dxa"/>
            <w:tcBorders>
              <w:right w:val="single" w:color="auto" w:sz="12" w:space="0"/>
            </w:tcBorders>
            <w:vAlign w:val="center"/>
          </w:tcPr>
          <w:p w14:paraId="24857278">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设备应</w:t>
            </w:r>
            <w:r>
              <w:rPr>
                <w:rFonts w:hint="eastAsia" w:ascii="仿宋_GB2312" w:hAnsi="仿宋" w:eastAsia="仿宋_GB2312" w:cs="Times New Roman"/>
                <w:color w:val="auto"/>
                <w:sz w:val="21"/>
                <w:szCs w:val="21"/>
                <w:highlight w:val="none"/>
                <w:lang w:val="en-US" w:eastAsia="zh-CN"/>
              </w:rPr>
              <w:t>配备</w:t>
            </w:r>
            <w:r>
              <w:rPr>
                <w:rFonts w:hint="eastAsia" w:ascii="仿宋_GB2312" w:hAnsi="仿宋" w:eastAsia="仿宋_GB2312" w:cs="Times New Roman"/>
                <w:color w:val="auto"/>
                <w:sz w:val="21"/>
                <w:szCs w:val="21"/>
                <w:highlight w:val="none"/>
              </w:rPr>
              <w:t>挂杆铭牌，铭牌</w:t>
            </w:r>
            <w:r>
              <w:rPr>
                <w:rFonts w:hint="eastAsia" w:ascii="仿宋_GB2312" w:hAnsi="仿宋" w:eastAsia="仿宋_GB2312" w:cs="Times New Roman"/>
                <w:color w:val="auto"/>
                <w:sz w:val="21"/>
                <w:szCs w:val="21"/>
                <w:highlight w:val="none"/>
                <w:lang w:val="en-US" w:eastAsia="zh-CN"/>
              </w:rPr>
              <w:t>采用</w:t>
            </w:r>
            <w:r>
              <w:rPr>
                <w:rFonts w:hint="eastAsia" w:ascii="仿宋_GB2312" w:hAnsi="仿宋" w:eastAsia="仿宋_GB2312" w:cs="Times New Roman"/>
                <w:color w:val="auto"/>
                <w:sz w:val="21"/>
                <w:szCs w:val="21"/>
                <w:highlight w:val="none"/>
              </w:rPr>
              <w:t>不锈钢或铝板材质</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内容包括建设单位名称及联系方式、承建公司名称、服务热线</w:t>
            </w:r>
            <w:r>
              <w:rPr>
                <w:rFonts w:hint="eastAsia" w:ascii="仿宋_GB2312" w:hAnsi="仿宋" w:eastAsia="仿宋_GB2312" w:cs="Times New Roman"/>
                <w:color w:val="auto"/>
                <w:sz w:val="21"/>
                <w:szCs w:val="21"/>
                <w:highlight w:val="none"/>
                <w:lang w:eastAsia="zh-CN"/>
              </w:rPr>
              <w:t>等</w:t>
            </w:r>
            <w:r>
              <w:rPr>
                <w:rFonts w:hint="eastAsia" w:ascii="仿宋_GB2312" w:hAnsi="仿宋" w:eastAsia="仿宋_GB2312" w:cs="Times New Roman"/>
                <w:color w:val="auto"/>
                <w:sz w:val="21"/>
                <w:szCs w:val="21"/>
                <w:highlight w:val="none"/>
              </w:rPr>
              <w:t>信息。</w:t>
            </w:r>
          </w:p>
        </w:tc>
      </w:tr>
      <w:tr w14:paraId="56A1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97" w:type="dxa"/>
            <w:tcBorders>
              <w:left w:val="single" w:color="auto" w:sz="12" w:space="0"/>
            </w:tcBorders>
            <w:vAlign w:val="center"/>
          </w:tcPr>
          <w:p w14:paraId="19003226">
            <w:pPr>
              <w:adjustRightInd/>
              <w:snapToGrid/>
              <w:spacing w:line="340" w:lineRule="exact"/>
              <w:ind w:firstLine="0" w:firstLineChars="0"/>
              <w:jc w:val="center"/>
              <w:rPr>
                <w:rFonts w:hint="default" w:ascii="楷体_GB2312" w:hAnsi="楷体_GB2312" w:eastAsia="仿宋_GB2312" w:cs="楷体_GB2312"/>
                <w:b/>
                <w:bCs/>
                <w:color w:val="auto"/>
                <w:sz w:val="21"/>
                <w:szCs w:val="21"/>
                <w:highlight w:val="none"/>
                <w:lang w:val="en-US" w:eastAsia="zh-CN"/>
              </w:rPr>
            </w:pPr>
            <w:r>
              <w:rPr>
                <w:rFonts w:hint="eastAsia" w:ascii="仿宋_GB2312" w:hAnsi="仿宋" w:eastAsia="仿宋_GB2312" w:cs="Times New Roman"/>
                <w:b w:val="0"/>
                <w:bCs w:val="0"/>
                <w:color w:val="auto"/>
                <w:sz w:val="21"/>
                <w:szCs w:val="21"/>
                <w:highlight w:val="none"/>
                <w:lang w:val="en-US" w:eastAsia="zh-CN"/>
              </w:rPr>
              <w:t>9</w:t>
            </w:r>
          </w:p>
        </w:tc>
        <w:tc>
          <w:tcPr>
            <w:tcW w:w="804" w:type="dxa"/>
            <w:vAlign w:val="center"/>
          </w:tcPr>
          <w:p w14:paraId="571B6C3D">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软硬件设备设施维修、更换服务</w:t>
            </w:r>
          </w:p>
        </w:tc>
        <w:tc>
          <w:tcPr>
            <w:tcW w:w="6601" w:type="dxa"/>
            <w:tcBorders>
              <w:right w:val="single" w:color="auto" w:sz="12" w:space="0"/>
            </w:tcBorders>
            <w:vAlign w:val="center"/>
          </w:tcPr>
          <w:p w14:paraId="7BDD68C1">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当硬件设施损坏或检测性能已不能满足工作要求时，</w:t>
            </w:r>
            <w:r>
              <w:rPr>
                <w:rFonts w:hint="eastAsia" w:ascii="仿宋_GB2312" w:hAnsi="仿宋" w:eastAsia="仿宋_GB2312" w:cs="Times New Roman"/>
                <w:color w:val="auto"/>
                <w:sz w:val="21"/>
                <w:szCs w:val="21"/>
                <w:highlight w:val="none"/>
                <w:lang w:val="en-US" w:eastAsia="zh-CN"/>
              </w:rPr>
              <w:t>结合</w:t>
            </w:r>
            <w:r>
              <w:rPr>
                <w:rFonts w:hint="eastAsia" w:ascii="仿宋_GB2312" w:hAnsi="仿宋" w:eastAsia="仿宋_GB2312" w:cs="Times New Roman"/>
                <w:color w:val="auto"/>
                <w:sz w:val="21"/>
                <w:szCs w:val="21"/>
                <w:highlight w:val="none"/>
              </w:rPr>
              <w:t>实际按需维修或更换供电系统、数据传输系统、防雷系统等</w:t>
            </w:r>
            <w:r>
              <w:rPr>
                <w:rFonts w:hint="eastAsia" w:ascii="仿宋_GB2312" w:hAnsi="仿宋" w:eastAsia="仿宋_GB2312" w:cs="Times New Roman"/>
                <w:color w:val="auto"/>
                <w:sz w:val="21"/>
                <w:szCs w:val="21"/>
                <w:highlight w:val="none"/>
                <w:lang w:val="en-US" w:eastAsia="zh-CN"/>
              </w:rPr>
              <w:t>相关</w:t>
            </w:r>
            <w:r>
              <w:rPr>
                <w:rFonts w:hint="eastAsia" w:ascii="仿宋_GB2312" w:hAnsi="仿宋" w:eastAsia="仿宋_GB2312" w:cs="Times New Roman"/>
                <w:color w:val="auto"/>
                <w:sz w:val="21"/>
                <w:szCs w:val="21"/>
                <w:highlight w:val="none"/>
              </w:rPr>
              <w:t>设施，确保数据传输的完整性、及时性。</w:t>
            </w:r>
          </w:p>
        </w:tc>
      </w:tr>
      <w:tr w14:paraId="3C1D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97" w:type="dxa"/>
            <w:tcBorders>
              <w:left w:val="single" w:color="auto" w:sz="12" w:space="0"/>
            </w:tcBorders>
            <w:vAlign w:val="center"/>
          </w:tcPr>
          <w:p w14:paraId="289FE0C7">
            <w:pPr>
              <w:adjustRightInd/>
              <w:snapToGrid/>
              <w:spacing w:line="340" w:lineRule="exact"/>
              <w:ind w:firstLine="0" w:firstLineChars="0"/>
              <w:jc w:val="center"/>
              <w:rPr>
                <w:rFonts w:hint="default" w:ascii="楷体_GB2312" w:hAnsi="楷体_GB2312" w:eastAsia="楷体_GB2312" w:cs="楷体_GB2312"/>
                <w:b/>
                <w:bCs/>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10</w:t>
            </w:r>
          </w:p>
        </w:tc>
        <w:tc>
          <w:tcPr>
            <w:tcW w:w="804" w:type="dxa"/>
            <w:vAlign w:val="center"/>
          </w:tcPr>
          <w:p w14:paraId="73D8EE90">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设备状态日常监控维护</w:t>
            </w:r>
          </w:p>
        </w:tc>
        <w:tc>
          <w:tcPr>
            <w:tcW w:w="6601" w:type="dxa"/>
            <w:tcBorders>
              <w:right w:val="single" w:color="auto" w:sz="12" w:space="0"/>
            </w:tcBorders>
            <w:vAlign w:val="center"/>
          </w:tcPr>
          <w:p w14:paraId="7E0129D8">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至少</w:t>
            </w:r>
            <w:r>
              <w:rPr>
                <w:rFonts w:hint="eastAsia" w:ascii="仿宋_GB2312" w:hAnsi="仿宋" w:eastAsia="仿宋_GB2312" w:cs="Times New Roman"/>
                <w:color w:val="auto"/>
                <w:sz w:val="21"/>
                <w:szCs w:val="21"/>
                <w:highlight w:val="none"/>
                <w:lang w:val="en-US" w:eastAsia="zh-CN"/>
              </w:rPr>
              <w:t>配备</w:t>
            </w:r>
            <w:r>
              <w:rPr>
                <w:rFonts w:hint="eastAsia" w:ascii="仿宋_GB2312" w:hAnsi="仿宋" w:eastAsia="仿宋_GB2312" w:cs="Times New Roman"/>
                <w:color w:val="auto"/>
                <w:sz w:val="21"/>
                <w:szCs w:val="21"/>
                <w:highlight w:val="none"/>
              </w:rPr>
              <w:t>2名专职人员，负责项目设备日常运行状态监控，实时跟踪、记录维护日志。</w:t>
            </w:r>
          </w:p>
        </w:tc>
      </w:tr>
      <w:tr w14:paraId="1D49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97" w:type="dxa"/>
            <w:tcBorders>
              <w:left w:val="single" w:color="auto" w:sz="12" w:space="0"/>
            </w:tcBorders>
            <w:vAlign w:val="center"/>
          </w:tcPr>
          <w:p w14:paraId="1FBE50BF">
            <w:pPr>
              <w:adjustRightInd/>
              <w:snapToGrid/>
              <w:spacing w:line="340" w:lineRule="exact"/>
              <w:ind w:firstLine="0" w:firstLineChars="0"/>
              <w:jc w:val="center"/>
              <w:rPr>
                <w:rFonts w:hint="default" w:ascii="楷体_GB2312" w:hAnsi="楷体_GB2312" w:eastAsia="楷体_GB2312" w:cs="楷体_GB2312"/>
                <w:b/>
                <w:bCs/>
                <w:color w:val="auto"/>
                <w:sz w:val="21"/>
                <w:szCs w:val="21"/>
                <w:highlight w:val="none"/>
                <w:lang w:val="en-US" w:eastAsia="zh-CN"/>
              </w:rPr>
            </w:pPr>
            <w:r>
              <w:rPr>
                <w:rFonts w:hint="eastAsia" w:ascii="仿宋_GB2312" w:hAnsi="仿宋" w:eastAsia="仿宋_GB2312" w:cs="Times New Roman"/>
                <w:color w:val="auto"/>
                <w:sz w:val="21"/>
                <w:szCs w:val="21"/>
                <w:highlight w:val="none"/>
                <w:lang w:val="en-US" w:eastAsia="zh-CN"/>
              </w:rPr>
              <w:t>11</w:t>
            </w:r>
          </w:p>
        </w:tc>
        <w:tc>
          <w:tcPr>
            <w:tcW w:w="804" w:type="dxa"/>
            <w:vAlign w:val="center"/>
          </w:tcPr>
          <w:p w14:paraId="6A570ED9">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交调数据复核</w:t>
            </w:r>
          </w:p>
        </w:tc>
        <w:tc>
          <w:tcPr>
            <w:tcW w:w="6601" w:type="dxa"/>
            <w:tcBorders>
              <w:right w:val="single" w:color="auto" w:sz="12" w:space="0"/>
            </w:tcBorders>
            <w:vAlign w:val="center"/>
          </w:tcPr>
          <w:p w14:paraId="5060B24F">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每年定期进行2次视频与采集数据精度校验，提交“数据质量报告”。</w:t>
            </w:r>
          </w:p>
        </w:tc>
      </w:tr>
      <w:tr w14:paraId="72C4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97" w:type="dxa"/>
            <w:tcBorders>
              <w:left w:val="single" w:color="auto" w:sz="12" w:space="0"/>
            </w:tcBorders>
            <w:vAlign w:val="center"/>
          </w:tcPr>
          <w:p w14:paraId="53F19833">
            <w:pPr>
              <w:adjustRightInd/>
              <w:snapToGrid/>
              <w:spacing w:line="340" w:lineRule="exact"/>
              <w:ind w:firstLine="0" w:firstLineChars="0"/>
              <w:jc w:val="center"/>
              <w:rPr>
                <w:rFonts w:hint="eastAsia" w:ascii="楷体_GB2312" w:hAnsi="楷体_GB2312" w:eastAsia="仿宋_GB2312" w:cs="楷体_GB2312"/>
                <w:b/>
                <w:bCs/>
                <w:color w:val="auto"/>
                <w:sz w:val="21"/>
                <w:szCs w:val="21"/>
                <w:highlight w:val="none"/>
                <w:lang w:eastAsia="zh-CN"/>
              </w:rPr>
            </w:pP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val="en-US" w:eastAsia="zh-CN"/>
              </w:rPr>
              <w:t>2</w:t>
            </w:r>
          </w:p>
        </w:tc>
        <w:tc>
          <w:tcPr>
            <w:tcW w:w="804" w:type="dxa"/>
            <w:vAlign w:val="center"/>
          </w:tcPr>
          <w:p w14:paraId="73A0CB83">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设备巡检</w:t>
            </w:r>
          </w:p>
        </w:tc>
        <w:tc>
          <w:tcPr>
            <w:tcW w:w="6601" w:type="dxa"/>
            <w:tcBorders>
              <w:right w:val="single" w:color="auto" w:sz="12" w:space="0"/>
            </w:tcBorders>
            <w:vAlign w:val="center"/>
          </w:tcPr>
          <w:p w14:paraId="7F9F0561">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每年定期巡检</w:t>
            </w: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次或以上</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每次</w:t>
            </w:r>
            <w:r>
              <w:rPr>
                <w:rFonts w:hint="eastAsia" w:ascii="仿宋_GB2312" w:hAnsi="仿宋" w:eastAsia="仿宋_GB2312" w:cs="Times New Roman"/>
                <w:color w:val="auto"/>
                <w:sz w:val="21"/>
                <w:szCs w:val="21"/>
                <w:highlight w:val="none"/>
                <w:lang w:val="en-US" w:eastAsia="zh-CN"/>
              </w:rPr>
              <w:t>单个站点巡检</w:t>
            </w:r>
            <w:r>
              <w:rPr>
                <w:rFonts w:hint="eastAsia" w:ascii="仿宋_GB2312" w:hAnsi="仿宋" w:eastAsia="仿宋_GB2312" w:cs="Times New Roman"/>
                <w:color w:val="auto"/>
                <w:sz w:val="21"/>
                <w:szCs w:val="21"/>
                <w:highlight w:val="none"/>
              </w:rPr>
              <w:t>至少安排2人</w:t>
            </w:r>
            <w:r>
              <w:rPr>
                <w:rFonts w:hint="eastAsia" w:ascii="仿宋_GB2312" w:hAnsi="仿宋" w:eastAsia="仿宋_GB2312" w:cs="Times New Roman"/>
                <w:color w:val="auto"/>
                <w:sz w:val="21"/>
                <w:szCs w:val="21"/>
                <w:highlight w:val="none"/>
                <w:lang w:val="en-US" w:eastAsia="zh-CN"/>
              </w:rPr>
              <w:t>同时到场，巡检成果</w:t>
            </w:r>
            <w:r>
              <w:rPr>
                <w:rFonts w:hint="eastAsia" w:ascii="仿宋_GB2312" w:hAnsi="仿宋" w:eastAsia="仿宋_GB2312" w:cs="Times New Roman"/>
                <w:color w:val="auto"/>
                <w:sz w:val="21"/>
                <w:szCs w:val="21"/>
                <w:highlight w:val="none"/>
              </w:rPr>
              <w:t>形成“设备运行报告”</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完成巡检所需的</w:t>
            </w:r>
            <w:r>
              <w:rPr>
                <w:rFonts w:hint="eastAsia" w:ascii="仿宋_GB2312" w:hAnsi="仿宋" w:eastAsia="仿宋_GB2312" w:cs="Times New Roman"/>
                <w:color w:val="auto"/>
                <w:sz w:val="21"/>
                <w:szCs w:val="21"/>
                <w:highlight w:val="none"/>
              </w:rPr>
              <w:t>交通、住宿、机械租用、工具器具及公路围蔽安全设施等</w:t>
            </w:r>
            <w:r>
              <w:rPr>
                <w:rFonts w:hint="eastAsia" w:ascii="仿宋_GB2312" w:hAnsi="仿宋" w:eastAsia="仿宋_GB2312" w:cs="Times New Roman"/>
                <w:color w:val="auto"/>
                <w:sz w:val="21"/>
                <w:szCs w:val="21"/>
                <w:highlight w:val="none"/>
                <w:lang w:val="en-US" w:eastAsia="zh-CN"/>
              </w:rPr>
              <w:t>所有</w:t>
            </w:r>
            <w:r>
              <w:rPr>
                <w:rFonts w:hint="eastAsia" w:ascii="仿宋_GB2312" w:hAnsi="仿宋" w:eastAsia="仿宋_GB2312" w:cs="Times New Roman"/>
                <w:color w:val="auto"/>
                <w:sz w:val="21"/>
                <w:szCs w:val="21"/>
                <w:highlight w:val="none"/>
              </w:rPr>
              <w:t>费用</w:t>
            </w:r>
            <w:r>
              <w:rPr>
                <w:rFonts w:hint="eastAsia" w:ascii="仿宋_GB2312" w:hAnsi="仿宋" w:eastAsia="仿宋_GB2312" w:cs="Times New Roman"/>
                <w:color w:val="auto"/>
                <w:sz w:val="21"/>
                <w:szCs w:val="21"/>
                <w:highlight w:val="none"/>
                <w:lang w:val="en-US" w:eastAsia="zh-CN"/>
              </w:rPr>
              <w:t>已包含在报价中</w:t>
            </w: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采购人不再另行支付</w:t>
            </w:r>
            <w:r>
              <w:rPr>
                <w:rFonts w:hint="eastAsia" w:ascii="仿宋_GB2312" w:hAnsi="仿宋" w:eastAsia="仿宋_GB2312" w:cs="Times New Roman"/>
                <w:color w:val="auto"/>
                <w:sz w:val="21"/>
                <w:szCs w:val="21"/>
                <w:highlight w:val="none"/>
              </w:rPr>
              <w:t>。</w:t>
            </w:r>
          </w:p>
        </w:tc>
      </w:tr>
      <w:tr w14:paraId="57BA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97" w:type="dxa"/>
            <w:tcBorders>
              <w:left w:val="single" w:color="auto" w:sz="12" w:space="0"/>
              <w:bottom w:val="single" w:color="auto" w:sz="12" w:space="0"/>
            </w:tcBorders>
            <w:vAlign w:val="center"/>
          </w:tcPr>
          <w:p w14:paraId="5BFC3175">
            <w:pPr>
              <w:adjustRightInd/>
              <w:snapToGrid/>
              <w:spacing w:line="340" w:lineRule="exact"/>
              <w:ind w:firstLine="0" w:firstLineChars="0"/>
              <w:jc w:val="center"/>
              <w:rPr>
                <w:rFonts w:hint="eastAsia" w:ascii="楷体_GB2312" w:hAnsi="楷体_GB2312" w:eastAsia="仿宋_GB2312" w:cs="楷体_GB2312"/>
                <w:b/>
                <w:bCs/>
                <w:color w:val="auto"/>
                <w:sz w:val="21"/>
                <w:szCs w:val="21"/>
                <w:highlight w:val="none"/>
                <w:lang w:eastAsia="zh-CN"/>
              </w:rPr>
            </w:pPr>
            <w:r>
              <w:rPr>
                <w:rFonts w:hint="eastAsia" w:ascii="仿宋_GB2312" w:hAnsi="仿宋" w:eastAsia="仿宋_GB2312" w:cs="Times New Roman"/>
                <w:color w:val="auto"/>
                <w:sz w:val="21"/>
                <w:szCs w:val="21"/>
                <w:highlight w:val="none"/>
              </w:rPr>
              <w:t>1</w:t>
            </w:r>
            <w:r>
              <w:rPr>
                <w:rFonts w:hint="eastAsia" w:ascii="仿宋_GB2312" w:hAnsi="仿宋" w:eastAsia="仿宋_GB2312" w:cs="Times New Roman"/>
                <w:color w:val="auto"/>
                <w:sz w:val="21"/>
                <w:szCs w:val="21"/>
                <w:highlight w:val="none"/>
                <w:lang w:val="en-US" w:eastAsia="zh-CN"/>
              </w:rPr>
              <w:t>3</w:t>
            </w:r>
          </w:p>
        </w:tc>
        <w:tc>
          <w:tcPr>
            <w:tcW w:w="804" w:type="dxa"/>
            <w:tcBorders>
              <w:bottom w:val="single" w:color="auto" w:sz="12" w:space="0"/>
            </w:tcBorders>
            <w:vAlign w:val="center"/>
          </w:tcPr>
          <w:p w14:paraId="2985F162">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电源报装及电力租用费</w:t>
            </w:r>
          </w:p>
        </w:tc>
        <w:tc>
          <w:tcPr>
            <w:tcW w:w="6601" w:type="dxa"/>
            <w:tcBorders>
              <w:bottom w:val="single" w:color="auto" w:sz="12" w:space="0"/>
              <w:right w:val="single" w:color="auto" w:sz="12" w:space="0"/>
            </w:tcBorders>
            <w:vAlign w:val="center"/>
          </w:tcPr>
          <w:p w14:paraId="1D0CA5C2">
            <w:pPr>
              <w:adjustRightInd/>
              <w:snapToGrid/>
              <w:spacing w:line="340" w:lineRule="exact"/>
              <w:ind w:firstLine="0" w:firstLineChars="0"/>
              <w:rPr>
                <w:rFonts w:hint="eastAsia" w:ascii="楷体_GB2312" w:hAnsi="楷体_GB2312" w:eastAsia="楷体_GB2312" w:cs="楷体_GB2312"/>
                <w:b/>
                <w:bCs/>
                <w:color w:val="auto"/>
                <w:sz w:val="21"/>
                <w:szCs w:val="21"/>
                <w:highlight w:val="none"/>
              </w:rPr>
            </w:pPr>
            <w:r>
              <w:rPr>
                <w:rFonts w:hint="eastAsia" w:ascii="仿宋_GB2312" w:hAnsi="仿宋" w:eastAsia="仿宋_GB2312" w:cs="Times New Roman"/>
                <w:color w:val="auto"/>
                <w:sz w:val="21"/>
                <w:szCs w:val="21"/>
                <w:highlight w:val="none"/>
              </w:rPr>
              <w:t>站点设备用电报装及设备正常运行所需的电力租用服务。</w:t>
            </w:r>
          </w:p>
        </w:tc>
      </w:tr>
    </w:tbl>
    <w:p w14:paraId="38EF8B22">
      <w:pPr>
        <w:pStyle w:val="5"/>
        <w:widowControl/>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（三）交调</w:t>
      </w:r>
      <w:r>
        <w:rPr>
          <w:rFonts w:hint="eastAsia" w:ascii="楷体_GB2312" w:eastAsia="楷体_GB2312"/>
          <w:color w:val="auto"/>
          <w:sz w:val="21"/>
          <w:szCs w:val="21"/>
          <w:highlight w:val="none"/>
          <w:lang w:val="en-US" w:eastAsia="zh-CN"/>
        </w:rPr>
        <w:t>站</w:t>
      </w:r>
      <w:r>
        <w:rPr>
          <w:rFonts w:hint="eastAsia" w:ascii="楷体_GB2312" w:eastAsia="楷体_GB2312"/>
          <w:color w:val="auto"/>
          <w:sz w:val="21"/>
          <w:szCs w:val="21"/>
          <w:highlight w:val="none"/>
        </w:rPr>
        <w:t>点布局方案</w:t>
      </w:r>
      <w:r>
        <w:rPr>
          <w:rFonts w:hint="eastAsia" w:ascii="楷体_GB2312" w:eastAsia="楷体_GB2312"/>
          <w:color w:val="auto"/>
          <w:sz w:val="21"/>
          <w:szCs w:val="21"/>
          <w:highlight w:val="none"/>
          <w:lang w:eastAsia="zh-CN"/>
        </w:rPr>
        <w:t>和</w:t>
      </w:r>
      <w:r>
        <w:rPr>
          <w:rFonts w:hint="eastAsia" w:ascii="楷体_GB2312" w:eastAsia="楷体_GB2312"/>
          <w:color w:val="auto"/>
          <w:sz w:val="21"/>
          <w:szCs w:val="21"/>
          <w:highlight w:val="none"/>
        </w:rPr>
        <w:t>选址原则</w:t>
      </w:r>
    </w:p>
    <w:p w14:paraId="31DF7C85">
      <w:pPr>
        <w:spacing w:line="340" w:lineRule="exact"/>
        <w:ind w:firstLine="420"/>
        <w:rPr>
          <w:rFonts w:hint="eastAsia" w:ascii="仿宋_GB2312" w:hAnsi="Times New Roman" w:eastAsia="仿宋_GB2312" w:cs="Times New Roman"/>
          <w:color w:val="auto"/>
          <w:sz w:val="21"/>
          <w:szCs w:val="21"/>
          <w:highlight w:val="none"/>
          <w:lang w:val="en-US" w:eastAsia="zh-CN"/>
        </w:rPr>
      </w:pPr>
      <w:r>
        <w:rPr>
          <w:rFonts w:hint="eastAsia" w:ascii="仿宋_GB2312" w:hAnsi="Times New Roman" w:eastAsia="仿宋_GB2312" w:cs="Times New Roman"/>
          <w:color w:val="auto"/>
          <w:sz w:val="21"/>
          <w:szCs w:val="21"/>
          <w:highlight w:val="none"/>
        </w:rPr>
        <w:t>采购人拟在全省20个地级以上市普通国道沿线布设368处多功能交调站，提升全省公路交调信息总体质量与采集能力。详见</w:t>
      </w:r>
      <w:r>
        <w:rPr>
          <w:rFonts w:hint="eastAsia" w:ascii="仿宋_GB2312" w:hAnsi="Times New Roman" w:eastAsia="仿宋_GB2312" w:cs="Times New Roman"/>
          <w:color w:val="auto"/>
          <w:sz w:val="21"/>
          <w:szCs w:val="21"/>
          <w:highlight w:val="none"/>
          <w:lang w:val="en-US" w:eastAsia="zh-CN"/>
        </w:rPr>
        <w:t>前述第二（四）</w:t>
      </w:r>
      <w:r>
        <w:rPr>
          <w:rFonts w:hint="eastAsia" w:ascii="仿宋_GB2312" w:hAnsi="Times New Roman" w:eastAsia="仿宋_GB2312" w:cs="Times New Roman"/>
          <w:color w:val="auto"/>
          <w:sz w:val="21"/>
          <w:szCs w:val="21"/>
          <w:highlight w:val="none"/>
        </w:rPr>
        <w:t>“各包组多功能交通调查站</w:t>
      </w:r>
      <w:r>
        <w:rPr>
          <w:rFonts w:hint="eastAsia" w:ascii="仿宋_GB2312" w:hAnsi="Times New Roman" w:eastAsia="仿宋_GB2312" w:cs="Times New Roman"/>
          <w:color w:val="auto"/>
          <w:sz w:val="21"/>
          <w:szCs w:val="21"/>
          <w:highlight w:val="none"/>
          <w:lang w:val="en-US" w:eastAsia="zh-CN"/>
        </w:rPr>
        <w:t>点</w:t>
      </w:r>
      <w:r>
        <w:rPr>
          <w:rFonts w:hint="eastAsia" w:ascii="仿宋_GB2312" w:hAnsi="Times New Roman" w:eastAsia="仿宋_GB2312" w:cs="Times New Roman"/>
          <w:color w:val="auto"/>
          <w:sz w:val="21"/>
          <w:szCs w:val="21"/>
          <w:highlight w:val="none"/>
        </w:rPr>
        <w:t>清单”。选址原则</w:t>
      </w:r>
      <w:r>
        <w:rPr>
          <w:rFonts w:hint="eastAsia" w:ascii="仿宋_GB2312" w:hAnsi="Times New Roman" w:eastAsia="仿宋_GB2312" w:cs="Times New Roman"/>
          <w:color w:val="auto"/>
          <w:sz w:val="21"/>
          <w:szCs w:val="21"/>
          <w:highlight w:val="none"/>
          <w:lang w:val="en-US" w:eastAsia="zh-CN"/>
        </w:rPr>
        <w:t>如下：</w:t>
      </w:r>
    </w:p>
    <w:p w14:paraId="4FD8EE03">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1．路段关键节点优先：选择</w:t>
      </w:r>
      <w:r>
        <w:rPr>
          <w:rFonts w:hint="eastAsia" w:ascii="仿宋_GB2312" w:hAnsi="Times New Roman" w:eastAsia="仿宋_GB2312" w:cs="Times New Roman"/>
          <w:color w:val="auto"/>
          <w:sz w:val="21"/>
          <w:szCs w:val="21"/>
          <w:highlight w:val="none"/>
          <w:lang w:val="en-US" w:eastAsia="zh-CN"/>
        </w:rPr>
        <w:t>沿线</w:t>
      </w:r>
      <w:r>
        <w:rPr>
          <w:rFonts w:hint="eastAsia" w:ascii="仿宋_GB2312" w:hAnsi="Times New Roman" w:eastAsia="仿宋_GB2312" w:cs="Times New Roman"/>
          <w:color w:val="auto"/>
          <w:sz w:val="21"/>
          <w:szCs w:val="21"/>
          <w:highlight w:val="none"/>
        </w:rPr>
        <w:t>互通立交、省界出入口、服务设施上下游1公里内、交通事故多发路段</w:t>
      </w:r>
      <w:r>
        <w:rPr>
          <w:rFonts w:hint="eastAsia" w:ascii="仿宋_GB2312" w:hAnsi="Times New Roman" w:eastAsia="仿宋_GB2312" w:cs="Times New Roman"/>
          <w:color w:val="auto"/>
          <w:sz w:val="21"/>
          <w:szCs w:val="21"/>
          <w:highlight w:val="none"/>
          <w:lang w:eastAsia="zh-CN"/>
        </w:rPr>
        <w:t>。</w:t>
      </w:r>
    </w:p>
    <w:p w14:paraId="788DFB23">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2．环境适配性：避开树木遮挡、高落差路段，杆件安装点需满足“视野覆盖所有车道”</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如双向八车道需选择跨度≥32米的T型杆</w:t>
      </w:r>
      <w:r>
        <w:rPr>
          <w:rFonts w:hint="eastAsia" w:ascii="仿宋_GB2312" w:hAnsi="Times New Roman" w:eastAsia="仿宋_GB2312" w:cs="Times New Roman"/>
          <w:color w:val="auto"/>
          <w:sz w:val="21"/>
          <w:szCs w:val="21"/>
          <w:highlight w:val="none"/>
          <w:lang w:eastAsia="zh-CN"/>
        </w:rPr>
        <w:t>。</w:t>
      </w:r>
    </w:p>
    <w:p w14:paraId="5D427ACA">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3．供电通信可达：优先靠近路灯箱、变（供）电站（供电距离≤500米），4G/5G信号强度≥-85dBm</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弱信号区域需增设信号放大器</w:t>
      </w:r>
      <w:r>
        <w:rPr>
          <w:rFonts w:hint="eastAsia" w:ascii="仿宋_GB2312" w:hAnsi="Times New Roman" w:eastAsia="仿宋_GB2312" w:cs="Times New Roman"/>
          <w:color w:val="auto"/>
          <w:sz w:val="21"/>
          <w:szCs w:val="21"/>
          <w:highlight w:val="none"/>
          <w:lang w:eastAsia="zh-CN"/>
        </w:rPr>
        <w:t>。</w:t>
      </w:r>
    </w:p>
    <w:p w14:paraId="49F43087">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4．实施可行性：避开路段桥梁伸缩缝、地下管线密集区，工程范围不占用应急车道（或需办理临时占道许可）</w:t>
      </w:r>
      <w:r>
        <w:rPr>
          <w:rFonts w:hint="eastAsia" w:ascii="仿宋_GB2312" w:hAnsi="Times New Roman" w:eastAsia="仿宋_GB2312" w:cs="Times New Roman"/>
          <w:color w:val="auto"/>
          <w:sz w:val="21"/>
          <w:szCs w:val="21"/>
          <w:highlight w:val="none"/>
          <w:lang w:eastAsia="zh-CN"/>
        </w:rPr>
        <w:t>。</w:t>
      </w:r>
    </w:p>
    <w:p w14:paraId="790BB241">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5．中标人应根据选址原则和“各包组多功能交通调查站清单”各站点起点里程桩号和终点里程桩号，签订合同后联系所有站点</w:t>
      </w:r>
      <w:r>
        <w:rPr>
          <w:rFonts w:hint="eastAsia" w:ascii="仿宋_GB2312" w:hAnsi="Times New Roman" w:eastAsia="仿宋_GB2312" w:cs="Times New Roman"/>
          <w:color w:val="auto"/>
          <w:sz w:val="21"/>
          <w:szCs w:val="21"/>
          <w:highlight w:val="none"/>
          <w:lang w:val="en-US" w:eastAsia="zh-CN"/>
        </w:rPr>
        <w:t>相应的</w:t>
      </w:r>
      <w:r>
        <w:rPr>
          <w:rFonts w:hint="eastAsia" w:ascii="仿宋_GB2312" w:hAnsi="Times New Roman" w:eastAsia="仿宋_GB2312" w:cs="Times New Roman"/>
          <w:color w:val="auto"/>
          <w:sz w:val="21"/>
          <w:szCs w:val="21"/>
          <w:highlight w:val="none"/>
        </w:rPr>
        <w:t>属地交通运输、公路部门，并确认建设位置。</w:t>
      </w:r>
    </w:p>
    <w:p w14:paraId="2D2D4610">
      <w:pPr>
        <w:pStyle w:val="5"/>
        <w:widowControl/>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（四）交通调查系统技术要求</w:t>
      </w:r>
    </w:p>
    <w:p w14:paraId="2033E6DA">
      <w:pPr>
        <w:pStyle w:val="5"/>
        <w:spacing w:line="340" w:lineRule="exact"/>
        <w:ind w:firstLine="422"/>
        <w:rPr>
          <w:color w:val="auto"/>
          <w:sz w:val="21"/>
          <w:szCs w:val="21"/>
          <w:highlight w:val="none"/>
        </w:rPr>
      </w:pPr>
      <w:r>
        <w:rPr>
          <w:rFonts w:hint="eastAsia"/>
          <w:color w:val="auto"/>
          <w:sz w:val="21"/>
          <w:szCs w:val="21"/>
          <w:highlight w:val="none"/>
        </w:rPr>
        <w:t>1.概述</w:t>
      </w:r>
    </w:p>
    <w:p w14:paraId="52151DA6">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公路多功能交通情况调查系统是一种集成了多种</w:t>
      </w:r>
      <w:r>
        <w:rPr>
          <w:rFonts w:hint="eastAsia" w:ascii="仿宋_GB2312" w:hAnsi="Times New Roman" w:eastAsia="仿宋_GB2312" w:cs="Times New Roman"/>
          <w:color w:val="auto"/>
          <w:sz w:val="21"/>
          <w:szCs w:val="21"/>
          <w:highlight w:val="none"/>
          <w:lang w:val="en-US" w:eastAsia="zh-CN"/>
        </w:rPr>
        <w:t>路段交通流</w:t>
      </w:r>
      <w:r>
        <w:rPr>
          <w:rFonts w:hint="eastAsia" w:ascii="仿宋_GB2312" w:hAnsi="Times New Roman" w:eastAsia="仿宋_GB2312" w:cs="Times New Roman"/>
          <w:color w:val="auto"/>
          <w:sz w:val="21"/>
          <w:szCs w:val="21"/>
          <w:highlight w:val="none"/>
        </w:rPr>
        <w:t>检测和</w:t>
      </w:r>
      <w:r>
        <w:rPr>
          <w:rFonts w:hint="eastAsia" w:ascii="仿宋_GB2312" w:hAnsi="Times New Roman" w:eastAsia="仿宋_GB2312" w:cs="Times New Roman"/>
          <w:color w:val="auto"/>
          <w:sz w:val="21"/>
          <w:szCs w:val="21"/>
          <w:highlight w:val="none"/>
          <w:lang w:val="en-US" w:eastAsia="zh-CN"/>
        </w:rPr>
        <w:t>车辆</w:t>
      </w:r>
      <w:r>
        <w:rPr>
          <w:rFonts w:hint="eastAsia" w:ascii="仿宋_GB2312" w:hAnsi="Times New Roman" w:eastAsia="仿宋_GB2312" w:cs="Times New Roman"/>
          <w:color w:val="auto"/>
          <w:sz w:val="21"/>
          <w:szCs w:val="21"/>
          <w:highlight w:val="none"/>
        </w:rPr>
        <w:t>数据处理技术的</w:t>
      </w:r>
      <w:r>
        <w:rPr>
          <w:rFonts w:hint="eastAsia" w:ascii="仿宋_GB2312" w:hAnsi="Times New Roman" w:eastAsia="仿宋_GB2312" w:cs="Times New Roman"/>
          <w:color w:val="auto"/>
          <w:sz w:val="21"/>
          <w:szCs w:val="21"/>
          <w:highlight w:val="none"/>
          <w:lang w:val="en-US" w:eastAsia="zh-CN"/>
        </w:rPr>
        <w:t>信息化</w:t>
      </w:r>
      <w:r>
        <w:rPr>
          <w:rFonts w:hint="eastAsia" w:ascii="仿宋_GB2312" w:hAnsi="Times New Roman" w:eastAsia="仿宋_GB2312" w:cs="Times New Roman"/>
          <w:color w:val="auto"/>
          <w:sz w:val="21"/>
          <w:szCs w:val="21"/>
          <w:highlight w:val="none"/>
        </w:rPr>
        <w:t>系统</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由扫描式激光传感器、高清摄像机、卡口相机、环境数据采集设备（如气象站）、事件检测设备、数据采集控制器等组成，能够全面监测分析</w:t>
      </w:r>
      <w:r>
        <w:rPr>
          <w:rFonts w:hint="eastAsia" w:ascii="仿宋_GB2312" w:hAnsi="Times New Roman" w:eastAsia="仿宋_GB2312" w:cs="Times New Roman"/>
          <w:color w:val="auto"/>
          <w:sz w:val="21"/>
          <w:szCs w:val="21"/>
          <w:highlight w:val="none"/>
          <w:lang w:eastAsia="zh-CN"/>
        </w:rPr>
        <w:t>路段</w:t>
      </w:r>
      <w:r>
        <w:rPr>
          <w:rFonts w:hint="eastAsia" w:ascii="仿宋_GB2312" w:hAnsi="Times New Roman" w:eastAsia="仿宋_GB2312" w:cs="Times New Roman"/>
          <w:color w:val="auto"/>
          <w:sz w:val="21"/>
          <w:szCs w:val="21"/>
          <w:highlight w:val="none"/>
          <w:lang w:val="en-US" w:eastAsia="zh-CN"/>
        </w:rPr>
        <w:t>段</w:t>
      </w:r>
      <w:r>
        <w:rPr>
          <w:rFonts w:hint="eastAsia" w:ascii="仿宋_GB2312" w:hAnsi="Times New Roman" w:eastAsia="仿宋_GB2312" w:cs="Times New Roman"/>
          <w:color w:val="auto"/>
          <w:sz w:val="21"/>
          <w:szCs w:val="21"/>
          <w:highlight w:val="none"/>
        </w:rPr>
        <w:t>交通状况，</w:t>
      </w:r>
      <w:r>
        <w:rPr>
          <w:rFonts w:hint="eastAsia" w:ascii="仿宋_GB2312" w:hAnsi="Times New Roman" w:eastAsia="仿宋_GB2312" w:cs="Times New Roman"/>
          <w:color w:val="auto"/>
          <w:sz w:val="21"/>
          <w:szCs w:val="21"/>
          <w:highlight w:val="none"/>
          <w:lang w:eastAsia="zh-CN"/>
        </w:rPr>
        <w:t>路段</w:t>
      </w:r>
      <w:r>
        <w:rPr>
          <w:rFonts w:hint="eastAsia" w:ascii="仿宋_GB2312" w:hAnsi="Times New Roman" w:eastAsia="仿宋_GB2312" w:cs="Times New Roman"/>
          <w:color w:val="auto"/>
          <w:sz w:val="21"/>
          <w:szCs w:val="21"/>
          <w:highlight w:val="none"/>
        </w:rPr>
        <w:t>精确统计</w:t>
      </w:r>
      <w:r>
        <w:rPr>
          <w:rFonts w:hint="eastAsia" w:ascii="仿宋_GB2312" w:hAnsi="Times New Roman" w:eastAsia="仿宋_GB2312" w:cs="Times New Roman"/>
          <w:color w:val="auto"/>
          <w:sz w:val="21"/>
          <w:szCs w:val="21"/>
          <w:highlight w:val="none"/>
          <w:lang w:val="en-US" w:eastAsia="zh-CN"/>
        </w:rPr>
        <w:t>途经</w:t>
      </w:r>
      <w:r>
        <w:rPr>
          <w:rFonts w:hint="eastAsia" w:ascii="仿宋_GB2312" w:hAnsi="Times New Roman" w:eastAsia="仿宋_GB2312" w:cs="Times New Roman"/>
          <w:color w:val="auto"/>
          <w:sz w:val="21"/>
          <w:szCs w:val="21"/>
          <w:highlight w:val="none"/>
        </w:rPr>
        <w:t>交通流量、测量车速、识别车辆类型和车牌号码，同时收集重要的气象条件</w:t>
      </w:r>
      <w:r>
        <w:rPr>
          <w:rFonts w:hint="eastAsia" w:ascii="仿宋_GB2312" w:hAnsi="Times New Roman" w:eastAsia="仿宋_GB2312" w:cs="Times New Roman"/>
          <w:color w:val="auto"/>
          <w:sz w:val="21"/>
          <w:szCs w:val="21"/>
          <w:highlight w:val="none"/>
          <w:lang w:eastAsia="zh-CN"/>
        </w:rPr>
        <w:t>等</w:t>
      </w:r>
      <w:r>
        <w:rPr>
          <w:rFonts w:hint="eastAsia" w:ascii="仿宋_GB2312" w:hAnsi="Times New Roman" w:eastAsia="仿宋_GB2312" w:cs="Times New Roman"/>
          <w:color w:val="auto"/>
          <w:sz w:val="21"/>
          <w:szCs w:val="21"/>
          <w:highlight w:val="none"/>
        </w:rPr>
        <w:t>环境参数。此外，系统能够实时检测和响应交通事故、拥堵和其他异常事件，提供及时的</w:t>
      </w:r>
      <w:r>
        <w:rPr>
          <w:rFonts w:hint="eastAsia" w:ascii="仿宋_GB2312" w:hAnsi="Times New Roman" w:eastAsia="仿宋_GB2312" w:cs="Times New Roman"/>
          <w:color w:val="auto"/>
          <w:sz w:val="21"/>
          <w:szCs w:val="21"/>
          <w:highlight w:val="none"/>
          <w:lang w:val="en-US" w:eastAsia="zh-CN"/>
        </w:rPr>
        <w:t>路段</w:t>
      </w:r>
      <w:r>
        <w:rPr>
          <w:rFonts w:hint="eastAsia" w:ascii="仿宋_GB2312" w:hAnsi="Times New Roman" w:eastAsia="仿宋_GB2312" w:cs="Times New Roman"/>
          <w:color w:val="auto"/>
          <w:sz w:val="21"/>
          <w:szCs w:val="21"/>
          <w:highlight w:val="none"/>
        </w:rPr>
        <w:t>交通情况预警。通过深入分析</w:t>
      </w:r>
      <w:r>
        <w:rPr>
          <w:rFonts w:hint="eastAsia" w:ascii="仿宋_GB2312" w:hAnsi="Times New Roman" w:eastAsia="仿宋_GB2312" w:cs="Times New Roman"/>
          <w:color w:val="auto"/>
          <w:sz w:val="21"/>
          <w:szCs w:val="21"/>
          <w:highlight w:val="none"/>
          <w:lang w:val="en-US" w:eastAsia="zh-CN"/>
        </w:rPr>
        <w:t>采</w:t>
      </w:r>
      <w:r>
        <w:rPr>
          <w:rFonts w:hint="eastAsia" w:ascii="仿宋_GB2312" w:hAnsi="Times New Roman" w:eastAsia="仿宋_GB2312" w:cs="Times New Roman"/>
          <w:color w:val="auto"/>
          <w:sz w:val="21"/>
          <w:szCs w:val="21"/>
          <w:highlight w:val="none"/>
        </w:rPr>
        <w:t>集的数据，能够生成</w:t>
      </w:r>
      <w:r>
        <w:rPr>
          <w:rFonts w:hint="eastAsia" w:ascii="仿宋_GB2312" w:hAnsi="Times New Roman" w:eastAsia="仿宋_GB2312" w:cs="Times New Roman"/>
          <w:color w:val="auto"/>
          <w:sz w:val="21"/>
          <w:szCs w:val="21"/>
          <w:highlight w:val="none"/>
          <w:lang w:val="en-US" w:eastAsia="zh-CN"/>
        </w:rPr>
        <w:t>路段</w:t>
      </w:r>
      <w:r>
        <w:rPr>
          <w:rFonts w:hint="eastAsia" w:ascii="仿宋_GB2312" w:hAnsi="Times New Roman" w:eastAsia="仿宋_GB2312" w:cs="Times New Roman"/>
          <w:color w:val="auto"/>
          <w:sz w:val="21"/>
          <w:szCs w:val="21"/>
          <w:highlight w:val="none"/>
        </w:rPr>
        <w:t>交通状况报告，并为优化</w:t>
      </w:r>
      <w:r>
        <w:rPr>
          <w:rFonts w:hint="eastAsia" w:ascii="仿宋_GB2312" w:hAnsi="Times New Roman" w:eastAsia="仿宋_GB2312" w:cs="Times New Roman"/>
          <w:color w:val="auto"/>
          <w:sz w:val="21"/>
          <w:szCs w:val="21"/>
          <w:highlight w:val="none"/>
          <w:lang w:val="en-US" w:eastAsia="zh-CN"/>
        </w:rPr>
        <w:t>完善公路网布局</w:t>
      </w:r>
      <w:r>
        <w:rPr>
          <w:rFonts w:hint="eastAsia" w:ascii="仿宋_GB2312" w:hAnsi="Times New Roman" w:eastAsia="仿宋_GB2312" w:cs="Times New Roman"/>
          <w:color w:val="auto"/>
          <w:sz w:val="21"/>
          <w:szCs w:val="21"/>
          <w:highlight w:val="none"/>
        </w:rPr>
        <w:t>规划提供决策支持</w:t>
      </w:r>
      <w:r>
        <w:rPr>
          <w:rFonts w:hint="eastAsia" w:ascii="仿宋_GB2312" w:hAnsi="Times New Roman" w:eastAsia="仿宋_GB2312" w:cs="Times New Roman"/>
          <w:color w:val="auto"/>
          <w:sz w:val="21"/>
          <w:szCs w:val="21"/>
          <w:highlight w:val="none"/>
          <w:lang w:eastAsia="zh-CN"/>
        </w:rPr>
        <w:t>路段</w:t>
      </w:r>
      <w:r>
        <w:rPr>
          <w:rFonts w:hint="eastAsia" w:ascii="仿宋_GB2312" w:hAnsi="Times New Roman" w:eastAsia="仿宋_GB2312" w:cs="Times New Roman"/>
          <w:color w:val="auto"/>
          <w:sz w:val="21"/>
          <w:szCs w:val="21"/>
          <w:highlight w:val="none"/>
        </w:rPr>
        <w:t>。</w:t>
      </w:r>
    </w:p>
    <w:p w14:paraId="3EA96BA8">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本需求书“交通调查系统技术要求”仅为实现本工程目标的初步设计，以及</w:t>
      </w:r>
      <w:r>
        <w:rPr>
          <w:rFonts w:hint="eastAsia" w:ascii="仿宋_GB2312" w:hAnsi="Times New Roman" w:eastAsia="仿宋_GB2312" w:cs="Times New Roman"/>
          <w:color w:val="auto"/>
          <w:sz w:val="21"/>
          <w:szCs w:val="21"/>
          <w:highlight w:val="none"/>
          <w:lang w:val="en-US" w:eastAsia="zh-CN"/>
        </w:rPr>
        <w:t>信息化</w:t>
      </w:r>
      <w:r>
        <w:rPr>
          <w:rFonts w:hint="eastAsia" w:ascii="仿宋_GB2312" w:hAnsi="Times New Roman" w:eastAsia="仿宋_GB2312" w:cs="Times New Roman"/>
          <w:color w:val="auto"/>
          <w:sz w:val="21"/>
          <w:szCs w:val="21"/>
          <w:highlight w:val="none"/>
        </w:rPr>
        <w:t>系统现状及接入条件的基本描述</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投标人应根据自身设备、软件及技术能力等实际</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在投标时编制实施方案及系统设计方案，</w:t>
      </w:r>
      <w:r>
        <w:rPr>
          <w:rFonts w:hint="eastAsia" w:ascii="仿宋_GB2312" w:hAnsi="Times New Roman" w:eastAsia="仿宋_GB2312" w:cs="Times New Roman"/>
          <w:color w:val="auto"/>
          <w:sz w:val="21"/>
          <w:szCs w:val="21"/>
          <w:highlight w:val="none"/>
          <w:lang w:eastAsia="zh-CN"/>
        </w:rPr>
        <w:t>为</w:t>
      </w:r>
      <w:r>
        <w:rPr>
          <w:rFonts w:hint="eastAsia" w:ascii="仿宋_GB2312" w:hAnsi="Times New Roman" w:eastAsia="仿宋_GB2312" w:cs="Times New Roman"/>
          <w:color w:val="auto"/>
          <w:sz w:val="21"/>
          <w:szCs w:val="21"/>
          <w:highlight w:val="none"/>
        </w:rPr>
        <w:t>实现本项目建设目标</w:t>
      </w:r>
      <w:r>
        <w:rPr>
          <w:rFonts w:hint="eastAsia" w:ascii="仿宋_GB2312" w:hAnsi="Times New Roman" w:eastAsia="仿宋_GB2312" w:cs="Times New Roman"/>
          <w:color w:val="auto"/>
          <w:sz w:val="21"/>
          <w:szCs w:val="21"/>
          <w:highlight w:val="none"/>
          <w:lang w:eastAsia="zh-CN"/>
        </w:rPr>
        <w:t>和</w:t>
      </w:r>
      <w:r>
        <w:rPr>
          <w:rFonts w:hint="eastAsia" w:ascii="仿宋_GB2312" w:hAnsi="Times New Roman" w:eastAsia="仿宋_GB2312" w:cs="Times New Roman"/>
          <w:color w:val="auto"/>
          <w:sz w:val="21"/>
          <w:szCs w:val="21"/>
          <w:highlight w:val="none"/>
        </w:rPr>
        <w:t>基本功能作出详细的技术说明，不得照抄需求书。中标后需根据最终选点及现场建设条件提供深化设计（施工图设计）</w:t>
      </w:r>
      <w:r>
        <w:rPr>
          <w:rFonts w:hint="eastAsia" w:ascii="仿宋_GB2312" w:hAnsi="Times New Roman" w:eastAsia="仿宋_GB2312" w:cs="Times New Roman"/>
          <w:color w:val="auto"/>
          <w:sz w:val="21"/>
          <w:szCs w:val="21"/>
          <w:highlight w:val="none"/>
          <w:lang w:val="en-US" w:eastAsia="zh-CN"/>
        </w:rPr>
        <w:t>文件</w:t>
      </w:r>
      <w:r>
        <w:rPr>
          <w:rFonts w:hint="eastAsia" w:ascii="仿宋_GB2312" w:hAnsi="Times New Roman" w:eastAsia="仿宋_GB2312" w:cs="Times New Roman"/>
          <w:color w:val="auto"/>
          <w:sz w:val="21"/>
          <w:szCs w:val="21"/>
          <w:highlight w:val="none"/>
        </w:rPr>
        <w:t>，经采购人审定后</w:t>
      </w:r>
      <w:r>
        <w:rPr>
          <w:rFonts w:hint="eastAsia" w:ascii="仿宋_GB2312" w:hAnsi="Times New Roman" w:eastAsia="仿宋_GB2312" w:cs="Times New Roman"/>
          <w:color w:val="auto"/>
          <w:sz w:val="21"/>
          <w:szCs w:val="21"/>
          <w:highlight w:val="none"/>
          <w:lang w:eastAsia="zh-CN"/>
        </w:rPr>
        <w:t>再</w:t>
      </w:r>
      <w:r>
        <w:rPr>
          <w:rFonts w:hint="eastAsia" w:ascii="仿宋_GB2312" w:hAnsi="Times New Roman" w:eastAsia="仿宋_GB2312" w:cs="Times New Roman"/>
          <w:color w:val="auto"/>
          <w:sz w:val="21"/>
          <w:szCs w:val="21"/>
          <w:highlight w:val="none"/>
        </w:rPr>
        <w:t>安装建设。</w:t>
      </w:r>
    </w:p>
    <w:p w14:paraId="6A5FBBA0">
      <w:pPr>
        <w:pStyle w:val="5"/>
        <w:spacing w:line="340" w:lineRule="exact"/>
        <w:ind w:firstLine="422"/>
        <w:rPr>
          <w:color w:val="auto"/>
          <w:sz w:val="21"/>
          <w:szCs w:val="21"/>
          <w:highlight w:val="none"/>
        </w:rPr>
      </w:pPr>
      <w:r>
        <w:rPr>
          <w:rFonts w:hint="eastAsia"/>
          <w:color w:val="auto"/>
          <w:sz w:val="21"/>
          <w:szCs w:val="21"/>
          <w:highlight w:val="none"/>
        </w:rPr>
        <w:t>2.系统工作流程</w:t>
      </w:r>
    </w:p>
    <w:p w14:paraId="6C8FC10C">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公路多功能交调系统采用激光检传感器＋抓拍单元+补光灯方式</w:t>
      </w:r>
      <w:r>
        <w:rPr>
          <w:rFonts w:hint="eastAsia" w:ascii="仿宋_GB2312" w:hAnsi="Times New Roman" w:eastAsia="仿宋_GB2312" w:cs="Times New Roman"/>
          <w:color w:val="auto"/>
          <w:sz w:val="21"/>
          <w:szCs w:val="21"/>
          <w:highlight w:val="none"/>
          <w:lang w:val="en-US" w:eastAsia="zh-CN"/>
        </w:rPr>
        <w:t>开展</w:t>
      </w:r>
      <w:r>
        <w:rPr>
          <w:rFonts w:hint="eastAsia" w:ascii="仿宋_GB2312" w:hAnsi="Times New Roman" w:eastAsia="仿宋_GB2312" w:cs="Times New Roman"/>
          <w:color w:val="auto"/>
          <w:sz w:val="21"/>
          <w:szCs w:val="21"/>
          <w:highlight w:val="none"/>
        </w:rPr>
        <w:t>交通流量调查，激光检测单元每个点位</w:t>
      </w:r>
      <w:r>
        <w:rPr>
          <w:rFonts w:hint="eastAsia" w:ascii="仿宋_GB2312" w:hAnsi="Times New Roman" w:eastAsia="仿宋_GB2312" w:cs="Times New Roman"/>
          <w:color w:val="auto"/>
          <w:sz w:val="21"/>
          <w:szCs w:val="21"/>
          <w:highlight w:val="none"/>
          <w:lang w:val="en-US" w:eastAsia="zh-CN"/>
        </w:rPr>
        <w:t>布</w:t>
      </w:r>
      <w:r>
        <w:rPr>
          <w:rFonts w:hint="eastAsia" w:ascii="仿宋_GB2312" w:hAnsi="Times New Roman" w:eastAsia="仿宋_GB2312" w:cs="Times New Roman"/>
          <w:color w:val="auto"/>
          <w:sz w:val="21"/>
          <w:szCs w:val="21"/>
          <w:highlight w:val="none"/>
        </w:rPr>
        <w:t>设1套，抓拍单元和补光灯根据车道数量和点位类型设置，站点交通量调查数据由交调数据采集单元通过现有运营商专线网络或4</w:t>
      </w:r>
      <w:r>
        <w:rPr>
          <w:rFonts w:hint="eastAsia" w:ascii="仿宋_GB2312" w:hAnsi="Times New Roman" w:eastAsia="仿宋_GB2312" w:cs="Times New Roman"/>
          <w:color w:val="auto"/>
          <w:sz w:val="21"/>
          <w:szCs w:val="21"/>
          <w:highlight w:val="none"/>
          <w:lang w:val="en-US" w:eastAsia="zh-CN"/>
        </w:rPr>
        <w:t>G</w:t>
      </w:r>
      <w:r>
        <w:rPr>
          <w:rFonts w:hint="eastAsia" w:ascii="仿宋_GB2312" w:hAnsi="Times New Roman" w:eastAsia="仿宋_GB2312" w:cs="Times New Roman"/>
          <w:color w:val="auto"/>
          <w:sz w:val="21"/>
          <w:szCs w:val="21"/>
          <w:highlight w:val="none"/>
        </w:rPr>
        <w:t>/5G无线传输网络实时统一上传省、</w:t>
      </w:r>
      <w:r>
        <w:rPr>
          <w:rFonts w:hint="eastAsia" w:ascii="仿宋_GB2312" w:hAnsi="Times New Roman" w:eastAsia="仿宋_GB2312" w:cs="Times New Roman"/>
          <w:color w:val="auto"/>
          <w:sz w:val="21"/>
          <w:szCs w:val="21"/>
          <w:highlight w:val="none"/>
          <w:lang w:val="en-US" w:eastAsia="zh-CN"/>
        </w:rPr>
        <w:t>地级以上</w:t>
      </w:r>
      <w:r>
        <w:rPr>
          <w:rFonts w:hint="eastAsia" w:ascii="仿宋_GB2312" w:hAnsi="Times New Roman" w:eastAsia="仿宋_GB2312" w:cs="Times New Roman"/>
          <w:color w:val="auto"/>
          <w:sz w:val="21"/>
          <w:szCs w:val="21"/>
          <w:highlight w:val="none"/>
        </w:rPr>
        <w:t>市数据监控中心，实现数据对接。参见下图1。</w:t>
      </w:r>
    </w:p>
    <w:p w14:paraId="360BCE91">
      <w:pPr>
        <w:spacing w:line="400" w:lineRule="exact"/>
        <w:ind w:firstLine="640"/>
        <w:rPr>
          <w:rFonts w:ascii="仿宋_GB2312" w:hAnsi="Times New Roman" w:eastAsia="仿宋_GB2312" w:cs="Times New Roman"/>
          <w:color w:val="auto"/>
          <w:szCs w:val="32"/>
          <w:highlight w:val="none"/>
        </w:rPr>
      </w:pPr>
    </w:p>
    <w:p w14:paraId="4F6D454D">
      <w:pPr>
        <w:spacing w:line="400" w:lineRule="exact"/>
        <w:ind w:firstLine="0" w:firstLineChars="0"/>
        <w:jc w:val="center"/>
        <w:rPr>
          <w:color w:val="auto"/>
          <w:sz w:val="21"/>
          <w:highlight w:val="none"/>
        </w:rPr>
      </w:pPr>
    </w:p>
    <w:p w14:paraId="608631A0">
      <w:pPr>
        <w:spacing w:line="400" w:lineRule="exact"/>
        <w:ind w:firstLine="0" w:firstLineChars="0"/>
        <w:jc w:val="center"/>
        <w:rPr>
          <w:color w:val="auto"/>
          <w:sz w:val="21"/>
          <w:highlight w:val="none"/>
        </w:rPr>
      </w:pPr>
    </w:p>
    <w:p w14:paraId="5599032D">
      <w:pPr>
        <w:spacing w:line="400" w:lineRule="exact"/>
        <w:ind w:firstLine="0" w:firstLineChars="0"/>
        <w:jc w:val="center"/>
        <w:rPr>
          <w:color w:val="auto"/>
          <w:sz w:val="21"/>
          <w:highlight w:val="none"/>
        </w:rPr>
      </w:pPr>
      <w:r>
        <w:rPr>
          <w:color w:val="auto"/>
          <w:sz w:val="21"/>
          <w:highlight w:val="none"/>
        </w:rPr>
        <w:drawing>
          <wp:anchor distT="0" distB="0" distL="0" distR="0" simplePos="0" relativeHeight="251663360" behindDoc="0" locked="0" layoutInCell="1" allowOverlap="1">
            <wp:simplePos x="0" y="0"/>
            <wp:positionH relativeFrom="column">
              <wp:posOffset>1208405</wp:posOffset>
            </wp:positionH>
            <wp:positionV relativeFrom="paragraph">
              <wp:posOffset>-415925</wp:posOffset>
            </wp:positionV>
            <wp:extent cx="2932430" cy="2386965"/>
            <wp:effectExtent l="0" t="0" r="1270" b="133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932430" cy="2386965"/>
                    </a:xfrm>
                    <a:prstGeom prst="rect">
                      <a:avLst/>
                    </a:prstGeom>
                    <a:noFill/>
                  </pic:spPr>
                </pic:pic>
              </a:graphicData>
            </a:graphic>
          </wp:anchor>
        </w:drawing>
      </w:r>
    </w:p>
    <w:p w14:paraId="5F62733A">
      <w:pPr>
        <w:spacing w:line="400" w:lineRule="exact"/>
        <w:ind w:firstLine="0" w:firstLineChars="0"/>
        <w:jc w:val="center"/>
        <w:rPr>
          <w:color w:val="auto"/>
          <w:sz w:val="21"/>
          <w:highlight w:val="none"/>
        </w:rPr>
      </w:pPr>
    </w:p>
    <w:p w14:paraId="0C7B5C4E">
      <w:pPr>
        <w:spacing w:line="400" w:lineRule="exact"/>
        <w:ind w:firstLine="0" w:firstLineChars="0"/>
        <w:jc w:val="center"/>
        <w:rPr>
          <w:color w:val="auto"/>
          <w:sz w:val="21"/>
          <w:highlight w:val="none"/>
        </w:rPr>
      </w:pPr>
    </w:p>
    <w:p w14:paraId="45E7AEED">
      <w:pPr>
        <w:spacing w:line="400" w:lineRule="exact"/>
        <w:ind w:firstLine="0" w:firstLineChars="0"/>
        <w:jc w:val="center"/>
        <w:rPr>
          <w:color w:val="auto"/>
          <w:sz w:val="21"/>
          <w:highlight w:val="none"/>
        </w:rPr>
      </w:pPr>
    </w:p>
    <w:p w14:paraId="46284BA5">
      <w:pPr>
        <w:spacing w:line="400" w:lineRule="exact"/>
        <w:ind w:firstLine="0" w:firstLineChars="0"/>
        <w:rPr>
          <w:color w:val="auto"/>
          <w:sz w:val="21"/>
          <w:highlight w:val="none"/>
        </w:rPr>
      </w:pPr>
    </w:p>
    <w:p w14:paraId="6AC36CFE">
      <w:pPr>
        <w:spacing w:line="400" w:lineRule="exact"/>
        <w:ind w:firstLine="0" w:firstLineChars="0"/>
        <w:rPr>
          <w:color w:val="auto"/>
          <w:sz w:val="21"/>
          <w:highlight w:val="none"/>
        </w:rPr>
      </w:pPr>
    </w:p>
    <w:p w14:paraId="65F3B222">
      <w:pPr>
        <w:spacing w:line="400" w:lineRule="exact"/>
        <w:ind w:firstLine="0" w:firstLineChars="0"/>
        <w:rPr>
          <w:color w:val="auto"/>
          <w:sz w:val="21"/>
          <w:highlight w:val="none"/>
        </w:rPr>
      </w:pPr>
    </w:p>
    <w:p w14:paraId="663C060A">
      <w:pPr>
        <w:spacing w:line="340" w:lineRule="exact"/>
        <w:ind w:firstLine="0" w:firstLineChars="0"/>
        <w:jc w:val="center"/>
        <w:rPr>
          <w:rFonts w:ascii="仿宋_GB2312" w:hAnsi="Times New Roman" w:eastAsia="仿宋_GB2312" w:cs="Times New Roman"/>
          <w:color w:val="auto"/>
          <w:sz w:val="21"/>
          <w:szCs w:val="21"/>
          <w:highlight w:val="none"/>
        </w:rPr>
      </w:pPr>
    </w:p>
    <w:p w14:paraId="164B0B4C">
      <w:pPr>
        <w:spacing w:line="340" w:lineRule="exact"/>
        <w:ind w:firstLine="0" w:firstLineChars="0"/>
        <w:jc w:val="center"/>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图</w:t>
      </w:r>
      <w:r>
        <w:rPr>
          <w:rFonts w:ascii="仿宋_GB2312" w:hAnsi="Times New Roman" w:eastAsia="仿宋_GB2312" w:cs="Times New Roman"/>
          <w:color w:val="auto"/>
          <w:sz w:val="21"/>
          <w:szCs w:val="21"/>
          <w:highlight w:val="none"/>
        </w:rPr>
        <w:t xml:space="preserve">1  </w:t>
      </w:r>
      <w:r>
        <w:rPr>
          <w:rFonts w:hint="eastAsia" w:ascii="仿宋_GB2312" w:hAnsi="Times New Roman" w:eastAsia="仿宋_GB2312" w:cs="Times New Roman"/>
          <w:color w:val="auto"/>
          <w:sz w:val="21"/>
          <w:szCs w:val="21"/>
          <w:highlight w:val="none"/>
        </w:rPr>
        <w:t>公路多功能交调数据传输拓扑图</w:t>
      </w:r>
    </w:p>
    <w:p w14:paraId="5E19A0FE">
      <w:pPr>
        <w:pStyle w:val="5"/>
        <w:spacing w:line="340" w:lineRule="exact"/>
        <w:ind w:firstLine="422"/>
        <w:rPr>
          <w:color w:val="auto"/>
          <w:sz w:val="21"/>
          <w:szCs w:val="21"/>
          <w:highlight w:val="none"/>
        </w:rPr>
      </w:pPr>
      <w:r>
        <w:rPr>
          <w:rFonts w:hint="eastAsia"/>
          <w:color w:val="auto"/>
          <w:sz w:val="21"/>
          <w:szCs w:val="21"/>
          <w:highlight w:val="none"/>
        </w:rPr>
        <w:t>3.常</w:t>
      </w:r>
      <w:r>
        <w:rPr>
          <w:rFonts w:hint="eastAsia"/>
          <w:color w:val="auto"/>
          <w:sz w:val="21"/>
          <w:szCs w:val="21"/>
          <w:highlight w:val="none"/>
          <w:lang w:val="en-US" w:eastAsia="zh-CN"/>
        </w:rPr>
        <w:t>规</w:t>
      </w:r>
      <w:r>
        <w:rPr>
          <w:rFonts w:hint="eastAsia"/>
          <w:color w:val="auto"/>
          <w:sz w:val="21"/>
          <w:szCs w:val="21"/>
          <w:highlight w:val="none"/>
        </w:rPr>
        <w:t>工作流程</w:t>
      </w:r>
    </w:p>
    <w:p w14:paraId="58D5F879">
      <w:pPr>
        <w:pStyle w:val="5"/>
        <w:spacing w:line="340" w:lineRule="exact"/>
        <w:ind w:firstLine="422"/>
        <w:rPr>
          <w:color w:val="auto"/>
          <w:sz w:val="21"/>
          <w:szCs w:val="21"/>
          <w:highlight w:val="none"/>
        </w:rPr>
      </w:pPr>
      <w:r>
        <w:rPr>
          <w:rFonts w:hint="eastAsia"/>
          <w:color w:val="auto"/>
          <w:sz w:val="21"/>
          <w:szCs w:val="21"/>
          <w:highlight w:val="none"/>
        </w:rPr>
        <w:t>（1）数据采集（周期5分钟）：</w:t>
      </w:r>
    </w:p>
    <w:p w14:paraId="6D8564D7">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激光传感器扫描车道断面，采集车长、车速、轴数（每</w:t>
      </w:r>
      <w:r>
        <w:rPr>
          <w:rFonts w:ascii="仿宋_GB2312" w:hAnsi="Times New Roman" w:eastAsia="仿宋_GB2312" w:cs="Times New Roman"/>
          <w:color w:val="auto"/>
          <w:sz w:val="21"/>
          <w:szCs w:val="21"/>
          <w:highlight w:val="none"/>
        </w:rPr>
        <w:t>100ms一次）</w:t>
      </w:r>
      <w:r>
        <w:rPr>
          <w:rFonts w:hint="eastAsia" w:ascii="仿宋_GB2312" w:hAnsi="Times New Roman" w:eastAsia="仿宋_GB2312" w:cs="Times New Roman"/>
          <w:color w:val="auto"/>
          <w:sz w:val="21"/>
          <w:szCs w:val="21"/>
          <w:highlight w:val="none"/>
          <w:lang w:eastAsia="zh-CN"/>
        </w:rPr>
        <w:t>。</w:t>
      </w:r>
    </w:p>
    <w:p w14:paraId="6BE37E30">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卡口相机抓拍车牌（触发方式：激光联动</w:t>
      </w:r>
      <w:r>
        <w:rPr>
          <w:rFonts w:ascii="仿宋_GB2312" w:hAnsi="Times New Roman" w:eastAsia="仿宋_GB2312" w:cs="Times New Roman"/>
          <w:color w:val="auto"/>
          <w:sz w:val="21"/>
          <w:szCs w:val="21"/>
          <w:highlight w:val="none"/>
        </w:rPr>
        <w:t>+视频移动侦测），补光灯根据环境光自动调节（亮度≤80lx，避免眩光）</w:t>
      </w:r>
      <w:r>
        <w:rPr>
          <w:rFonts w:hint="eastAsia" w:ascii="仿宋_GB2312" w:hAnsi="Times New Roman" w:eastAsia="仿宋_GB2312" w:cs="Times New Roman"/>
          <w:color w:val="auto"/>
          <w:sz w:val="21"/>
          <w:szCs w:val="21"/>
          <w:highlight w:val="none"/>
          <w:lang w:eastAsia="zh-CN"/>
        </w:rPr>
        <w:t>。</w:t>
      </w:r>
    </w:p>
    <w:p w14:paraId="09DFB2A3">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气象传感器采集温度、湿度、风速（每</w:t>
      </w:r>
      <w:r>
        <w:rPr>
          <w:rFonts w:ascii="仿宋_GB2312" w:hAnsi="Times New Roman" w:eastAsia="仿宋_GB2312" w:cs="Times New Roman"/>
          <w:color w:val="auto"/>
          <w:sz w:val="21"/>
          <w:szCs w:val="21"/>
          <w:highlight w:val="none"/>
        </w:rPr>
        <w:t>1分钟一次），球</w:t>
      </w:r>
      <w:r>
        <w:rPr>
          <w:rFonts w:hint="eastAsia" w:ascii="仿宋_GB2312" w:hAnsi="Times New Roman" w:eastAsia="仿宋_GB2312" w:cs="Times New Roman"/>
          <w:color w:val="auto"/>
          <w:sz w:val="21"/>
          <w:szCs w:val="21"/>
          <w:highlight w:val="none"/>
        </w:rPr>
        <w:t>型</w:t>
      </w:r>
      <w:r>
        <w:rPr>
          <w:rFonts w:ascii="仿宋_GB2312" w:hAnsi="Times New Roman" w:eastAsia="仿宋_GB2312" w:cs="Times New Roman"/>
          <w:color w:val="auto"/>
          <w:sz w:val="21"/>
          <w:szCs w:val="21"/>
          <w:highlight w:val="none"/>
        </w:rPr>
        <w:t>摄像机录制视频（H.265编码，码流4Mbps）。</w:t>
      </w:r>
    </w:p>
    <w:p w14:paraId="3C0F08A0">
      <w:pPr>
        <w:pStyle w:val="5"/>
        <w:spacing w:line="340" w:lineRule="exact"/>
        <w:ind w:firstLine="422"/>
        <w:rPr>
          <w:color w:val="auto"/>
          <w:sz w:val="21"/>
          <w:szCs w:val="21"/>
          <w:highlight w:val="none"/>
        </w:rPr>
      </w:pPr>
      <w:r>
        <w:rPr>
          <w:rFonts w:hint="eastAsia"/>
          <w:color w:val="auto"/>
          <w:sz w:val="21"/>
          <w:szCs w:val="21"/>
          <w:highlight w:val="none"/>
        </w:rPr>
        <w:t>（2）边缘处理（耗时≤100ms）</w:t>
      </w:r>
    </w:p>
    <w:p w14:paraId="0527DA0C">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工业级数据模块汇总多设备数据，AI模型修正车型识别结果（如排除“货车误判为客车”）</w:t>
      </w:r>
      <w:r>
        <w:rPr>
          <w:rFonts w:hint="eastAsia" w:ascii="仿宋_GB2312" w:hAnsi="Times New Roman" w:eastAsia="仿宋_GB2312" w:cs="Times New Roman"/>
          <w:color w:val="auto"/>
          <w:sz w:val="21"/>
          <w:szCs w:val="21"/>
          <w:highlight w:val="none"/>
          <w:lang w:eastAsia="zh-CN"/>
        </w:rPr>
        <w:t>。</w:t>
      </w:r>
    </w:p>
    <w:p w14:paraId="26E77776">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数据按</w:t>
      </w:r>
      <w:r>
        <w:rPr>
          <w:rFonts w:hint="eastAsia" w:ascii="仿宋_GB2312" w:hAnsi="Times New Roman" w:eastAsia="仿宋_GB2312" w:cs="Times New Roman"/>
          <w:color w:val="auto"/>
          <w:sz w:val="21"/>
          <w:szCs w:val="21"/>
          <w:highlight w:val="none"/>
          <w:lang w:val="en-US" w:eastAsia="zh-CN"/>
        </w:rPr>
        <w:t>部颁</w:t>
      </w:r>
      <w:r>
        <w:rPr>
          <w:rFonts w:hint="eastAsia" w:ascii="仿宋_GB2312" w:hAnsi="Times New Roman" w:eastAsia="仿宋_GB2312" w:cs="Times New Roman"/>
          <w:color w:val="auto"/>
          <w:sz w:val="21"/>
          <w:szCs w:val="21"/>
          <w:highlight w:val="none"/>
        </w:rPr>
        <w:t>《公路交通情况调查设备第2部分：通讯协议（JT/T1008.2-2015）》封装（含车型、车速、车牌、气象字段），本地SSD存储≥500GB，可存5年数据。</w:t>
      </w:r>
    </w:p>
    <w:p w14:paraId="0BD080A1">
      <w:pPr>
        <w:pStyle w:val="5"/>
        <w:spacing w:line="340" w:lineRule="exact"/>
        <w:ind w:firstLine="422"/>
        <w:rPr>
          <w:color w:val="auto"/>
          <w:sz w:val="21"/>
          <w:szCs w:val="21"/>
          <w:highlight w:val="none"/>
        </w:rPr>
      </w:pPr>
      <w:r>
        <w:rPr>
          <w:rFonts w:hint="eastAsia"/>
          <w:color w:val="auto"/>
          <w:sz w:val="21"/>
          <w:szCs w:val="21"/>
          <w:highlight w:val="none"/>
        </w:rPr>
        <w:t>（3）数据传输（实时）</w:t>
      </w:r>
    </w:p>
    <w:p w14:paraId="5C0A1C55">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通过4G/5G（月流量≥20GB）上传至</w:t>
      </w:r>
      <w:r>
        <w:rPr>
          <w:rFonts w:hint="eastAsia" w:ascii="仿宋_GB2312" w:hAnsi="Times New Roman" w:eastAsia="仿宋_GB2312" w:cs="Times New Roman"/>
          <w:color w:val="auto"/>
          <w:sz w:val="21"/>
          <w:szCs w:val="21"/>
          <w:highlight w:val="none"/>
          <w:lang w:eastAsia="zh-CN"/>
        </w:rPr>
        <w:t>《广东省普通国省干线公路网监测与应急协调子系统》。</w:t>
      </w:r>
    </w:p>
    <w:p w14:paraId="1BB3D96D">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lang w:val="en-US" w:eastAsia="zh-CN"/>
        </w:rPr>
        <w:t>结合</w:t>
      </w:r>
      <w:r>
        <w:rPr>
          <w:rFonts w:hint="eastAsia" w:ascii="仿宋_GB2312" w:hAnsi="Times New Roman" w:eastAsia="仿宋_GB2312" w:cs="Times New Roman"/>
          <w:color w:val="auto"/>
          <w:sz w:val="21"/>
          <w:szCs w:val="21"/>
          <w:highlight w:val="none"/>
        </w:rPr>
        <w:t>实际</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选用运营商专线（带宽≥10Mbps）或4G/5G接入，专线中断时自动切换4G/5G，恢复后自动补传缓存数据。</w:t>
      </w:r>
    </w:p>
    <w:p w14:paraId="0F0E741E">
      <w:pPr>
        <w:pStyle w:val="5"/>
        <w:spacing w:line="340" w:lineRule="exact"/>
        <w:ind w:firstLine="422"/>
        <w:rPr>
          <w:color w:val="auto"/>
          <w:sz w:val="21"/>
          <w:szCs w:val="21"/>
          <w:highlight w:val="none"/>
        </w:rPr>
      </w:pPr>
      <w:r>
        <w:rPr>
          <w:rFonts w:hint="eastAsia"/>
          <w:color w:val="auto"/>
          <w:sz w:val="21"/>
          <w:szCs w:val="21"/>
          <w:highlight w:val="none"/>
        </w:rPr>
        <w:t>（4）后端分析（实时+离线）</w:t>
      </w:r>
    </w:p>
    <w:p w14:paraId="7EA6FEEA">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实时分析：计算拥堵指数（如车速＜40km/h判定为</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拥堵</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）、异常事件（如车辆停留＞3分钟判定为</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事故</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），触发告警</w:t>
      </w:r>
      <w:r>
        <w:rPr>
          <w:rFonts w:hint="eastAsia" w:ascii="仿宋_GB2312" w:hAnsi="Times New Roman" w:eastAsia="仿宋_GB2312" w:cs="Times New Roman"/>
          <w:color w:val="auto"/>
          <w:sz w:val="21"/>
          <w:szCs w:val="21"/>
          <w:highlight w:val="none"/>
          <w:lang w:eastAsia="zh-CN"/>
        </w:rPr>
        <w:t>。</w:t>
      </w:r>
    </w:p>
    <w:p w14:paraId="0D83F1D2">
      <w:pPr>
        <w:spacing w:line="340" w:lineRule="exact"/>
        <w:ind w:firstLine="420"/>
        <w:rPr>
          <w:color w:val="auto"/>
          <w:sz w:val="21"/>
          <w:szCs w:val="21"/>
          <w:highlight w:val="none"/>
        </w:rPr>
      </w:pPr>
      <w:r>
        <w:rPr>
          <w:rFonts w:hint="eastAsia" w:ascii="仿宋_GB2312" w:hAnsi="Times New Roman" w:eastAsia="仿宋_GB2312" w:cs="Times New Roman"/>
          <w:color w:val="auto"/>
          <w:sz w:val="21"/>
          <w:szCs w:val="21"/>
          <w:highlight w:val="none"/>
        </w:rPr>
        <w:t>离线分析：统计高峰时段（7:00-9:00、17:00-19:00）车流特征、月度货运量变化，生成报表。</w:t>
      </w:r>
    </w:p>
    <w:p w14:paraId="454F821F">
      <w:pPr>
        <w:pStyle w:val="5"/>
        <w:spacing w:line="340" w:lineRule="exact"/>
        <w:ind w:firstLine="422"/>
        <w:rPr>
          <w:color w:val="auto"/>
          <w:sz w:val="21"/>
          <w:szCs w:val="21"/>
          <w:highlight w:val="none"/>
        </w:rPr>
      </w:pPr>
      <w:r>
        <w:rPr>
          <w:rFonts w:hint="eastAsia"/>
          <w:color w:val="auto"/>
          <w:sz w:val="21"/>
          <w:szCs w:val="21"/>
          <w:highlight w:val="none"/>
        </w:rPr>
        <w:t>4.异常处理机制</w:t>
      </w:r>
    </w:p>
    <w:p w14:paraId="1F442309">
      <w:pPr>
        <w:spacing w:line="340" w:lineRule="exact"/>
        <w:ind w:firstLine="420" w:firstLineChars="0"/>
        <w:jc w:val="left"/>
        <w:rPr>
          <w:rFonts w:hint="eastAsia" w:ascii="仿宋_GB2312" w:hAnsi="Times New Roman" w:eastAsia="仿宋_GB2312" w:cs="Times New Roman"/>
          <w:b w:val="0"/>
          <w:bCs w:val="0"/>
          <w:color w:val="auto"/>
          <w:sz w:val="21"/>
          <w:szCs w:val="21"/>
          <w:highlight w:val="none"/>
          <w:lang w:val="en-US" w:eastAsia="zh-CN"/>
        </w:rPr>
      </w:pPr>
      <w:r>
        <w:rPr>
          <w:rFonts w:hint="eastAsia" w:ascii="仿宋_GB2312" w:hAnsi="Times New Roman" w:eastAsia="仿宋_GB2312" w:cs="Times New Roman"/>
          <w:b w:val="0"/>
          <w:bCs w:val="0"/>
          <w:color w:val="auto"/>
          <w:sz w:val="21"/>
          <w:szCs w:val="21"/>
          <w:highlight w:val="none"/>
          <w:lang w:val="en-US" w:eastAsia="zh-CN"/>
        </w:rPr>
        <w:t>详见下表10。</w:t>
      </w:r>
    </w:p>
    <w:p w14:paraId="21E01FA3">
      <w:pPr>
        <w:spacing w:line="340" w:lineRule="exact"/>
        <w:ind w:firstLine="0" w:firstLineChars="0"/>
        <w:jc w:val="center"/>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b/>
          <w:bCs/>
          <w:color w:val="auto"/>
          <w:sz w:val="24"/>
          <w:szCs w:val="24"/>
          <w:highlight w:val="none"/>
        </w:rPr>
        <w:t>表</w:t>
      </w:r>
      <w:r>
        <w:rPr>
          <w:rFonts w:hint="eastAsia" w:ascii="楷体_GB2312" w:hAnsi="楷体_GB2312" w:eastAsia="楷体_GB2312" w:cs="楷体_GB2312"/>
          <w:b/>
          <w:bCs/>
          <w:color w:val="auto"/>
          <w:sz w:val="24"/>
          <w:szCs w:val="24"/>
          <w:highlight w:val="none"/>
          <w:lang w:val="en-US" w:eastAsia="zh-CN"/>
        </w:rPr>
        <w:t>10</w:t>
      </w:r>
      <w:r>
        <w:rPr>
          <w:rFonts w:hint="eastAsia" w:ascii="楷体_GB2312" w:hAnsi="楷体_GB2312" w:eastAsia="楷体_GB2312" w:cs="楷体_GB2312"/>
          <w:b/>
          <w:bCs/>
          <w:color w:val="auto"/>
          <w:sz w:val="24"/>
          <w:szCs w:val="24"/>
          <w:highlight w:val="none"/>
        </w:rPr>
        <w:t xml:space="preserve">  </w:t>
      </w:r>
      <w:r>
        <w:rPr>
          <w:rFonts w:hint="eastAsia" w:ascii="楷体_GB2312" w:hAnsi="楷体_GB2312" w:eastAsia="楷体_GB2312" w:cs="楷体_GB2312"/>
          <w:b/>
          <w:bCs/>
          <w:color w:val="auto"/>
          <w:sz w:val="24"/>
          <w:szCs w:val="24"/>
          <w:highlight w:val="none"/>
          <w:lang w:eastAsia="zh-CN"/>
        </w:rPr>
        <w:t>广东省普通国道</w:t>
      </w:r>
      <w:r>
        <w:rPr>
          <w:rFonts w:hint="eastAsia" w:ascii="楷体_GB2312" w:hAnsi="楷体_GB2312" w:eastAsia="楷体_GB2312" w:cs="楷体_GB2312"/>
          <w:b/>
          <w:bCs/>
          <w:color w:val="auto"/>
          <w:sz w:val="24"/>
          <w:szCs w:val="24"/>
          <w:highlight w:val="none"/>
        </w:rPr>
        <w:t>交通调查站点运行异常处理机制表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4"/>
        <w:gridCol w:w="2787"/>
        <w:gridCol w:w="2841"/>
      </w:tblGrid>
      <w:tr w14:paraId="49F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4" w:type="dxa"/>
            <w:tcBorders>
              <w:top w:val="single" w:color="auto" w:sz="12" w:space="0"/>
              <w:left w:val="single" w:color="auto" w:sz="12" w:space="0"/>
              <w:bottom w:val="double" w:color="auto" w:sz="4" w:space="0"/>
            </w:tcBorders>
            <w:vAlign w:val="center"/>
          </w:tcPr>
          <w:p w14:paraId="2C6BA55C">
            <w:pPr>
              <w:adjustRightInd/>
              <w:snapToGrid/>
              <w:spacing w:line="240" w:lineRule="exact"/>
              <w:ind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异常类型</w:t>
            </w:r>
          </w:p>
        </w:tc>
        <w:tc>
          <w:tcPr>
            <w:tcW w:w="2787" w:type="dxa"/>
            <w:tcBorders>
              <w:top w:val="single" w:color="auto" w:sz="12" w:space="0"/>
              <w:bottom w:val="double" w:color="auto" w:sz="4" w:space="0"/>
            </w:tcBorders>
            <w:vAlign w:val="center"/>
          </w:tcPr>
          <w:p w14:paraId="5B418F36">
            <w:pPr>
              <w:adjustRightInd/>
              <w:snapToGrid/>
              <w:spacing w:line="240" w:lineRule="exact"/>
              <w:ind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处理方式</w:t>
            </w:r>
          </w:p>
        </w:tc>
        <w:tc>
          <w:tcPr>
            <w:tcW w:w="2841" w:type="dxa"/>
            <w:tcBorders>
              <w:top w:val="single" w:color="auto" w:sz="12" w:space="0"/>
              <w:bottom w:val="double" w:color="auto" w:sz="4" w:space="0"/>
              <w:right w:val="single" w:color="auto" w:sz="12" w:space="0"/>
            </w:tcBorders>
            <w:vAlign w:val="center"/>
          </w:tcPr>
          <w:p w14:paraId="143155E5">
            <w:pPr>
              <w:adjustRightInd/>
              <w:snapToGrid/>
              <w:spacing w:line="240" w:lineRule="exact"/>
              <w:ind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告警方式</w:t>
            </w:r>
          </w:p>
        </w:tc>
      </w:tr>
      <w:tr w14:paraId="5F45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4" w:type="dxa"/>
            <w:tcBorders>
              <w:top w:val="double" w:color="auto" w:sz="4" w:space="0"/>
              <w:left w:val="single" w:color="auto" w:sz="12" w:space="0"/>
            </w:tcBorders>
            <w:vAlign w:val="center"/>
          </w:tcPr>
          <w:p w14:paraId="7DCDA4CB">
            <w:pPr>
              <w:adjustRightInd/>
              <w:snapToGrid/>
              <w:spacing w:line="240" w:lineRule="exact"/>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设备离线（如相机故障）</w:t>
            </w:r>
          </w:p>
        </w:tc>
        <w:tc>
          <w:tcPr>
            <w:tcW w:w="2787" w:type="dxa"/>
            <w:tcBorders>
              <w:top w:val="double" w:color="auto" w:sz="4" w:space="0"/>
            </w:tcBorders>
            <w:vAlign w:val="center"/>
          </w:tcPr>
          <w:p w14:paraId="58C078A1">
            <w:pPr>
              <w:adjustRightInd/>
              <w:snapToGrid/>
              <w:spacing w:line="240" w:lineRule="exact"/>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边缘单元标记“设备异常”，自动重启设备（3次）</w:t>
            </w:r>
          </w:p>
        </w:tc>
        <w:tc>
          <w:tcPr>
            <w:tcW w:w="2841" w:type="dxa"/>
            <w:tcBorders>
              <w:top w:val="double" w:color="auto" w:sz="4" w:space="0"/>
              <w:right w:val="single" w:color="auto" w:sz="12" w:space="0"/>
            </w:tcBorders>
            <w:vAlign w:val="center"/>
          </w:tcPr>
          <w:p w14:paraId="1B898BC5">
            <w:pPr>
              <w:adjustRightInd/>
              <w:snapToGrid/>
              <w:spacing w:line="240" w:lineRule="exact"/>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平台弹窗+短信通知运维人员</w:t>
            </w:r>
          </w:p>
        </w:tc>
      </w:tr>
      <w:tr w14:paraId="39CC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4" w:type="dxa"/>
            <w:tcBorders>
              <w:left w:val="single" w:color="auto" w:sz="12" w:space="0"/>
            </w:tcBorders>
            <w:vAlign w:val="center"/>
          </w:tcPr>
          <w:p w14:paraId="4CCFA628">
            <w:pPr>
              <w:adjustRightInd/>
              <w:snapToGrid/>
              <w:spacing w:line="240" w:lineRule="exact"/>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数据传输中断</w:t>
            </w:r>
          </w:p>
        </w:tc>
        <w:tc>
          <w:tcPr>
            <w:tcW w:w="2787" w:type="dxa"/>
            <w:vAlign w:val="center"/>
          </w:tcPr>
          <w:p w14:paraId="22BAC0CB">
            <w:pPr>
              <w:adjustRightInd/>
              <w:snapToGrid/>
              <w:spacing w:line="240" w:lineRule="exact"/>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本地缓存数据（≥7天），恢复后按时间顺序补传</w:t>
            </w:r>
          </w:p>
        </w:tc>
        <w:tc>
          <w:tcPr>
            <w:tcW w:w="2841" w:type="dxa"/>
            <w:tcBorders>
              <w:right w:val="single" w:color="auto" w:sz="12" w:space="0"/>
            </w:tcBorders>
            <w:vAlign w:val="center"/>
          </w:tcPr>
          <w:p w14:paraId="38672523">
            <w:pPr>
              <w:adjustRightInd/>
              <w:snapToGrid/>
              <w:spacing w:line="240" w:lineRule="exact"/>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平台告警（红色图标）</w:t>
            </w:r>
          </w:p>
        </w:tc>
      </w:tr>
      <w:tr w14:paraId="6F52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4" w:type="dxa"/>
            <w:tcBorders>
              <w:left w:val="single" w:color="auto" w:sz="12" w:space="0"/>
            </w:tcBorders>
            <w:vAlign w:val="center"/>
          </w:tcPr>
          <w:p w14:paraId="61470831">
            <w:pPr>
              <w:adjustRightInd/>
              <w:snapToGrid/>
              <w:spacing w:line="240" w:lineRule="exact"/>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供电中断</w:t>
            </w:r>
          </w:p>
        </w:tc>
        <w:tc>
          <w:tcPr>
            <w:tcW w:w="2787" w:type="dxa"/>
            <w:vAlign w:val="center"/>
          </w:tcPr>
          <w:p w14:paraId="225A49F5">
            <w:pPr>
              <w:adjustRightInd/>
              <w:snapToGrid/>
              <w:spacing w:line="240" w:lineRule="exact"/>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UPS供电（续航≥2小时），保存未上传数据</w:t>
            </w:r>
          </w:p>
        </w:tc>
        <w:tc>
          <w:tcPr>
            <w:tcW w:w="2841" w:type="dxa"/>
            <w:tcBorders>
              <w:right w:val="single" w:color="auto" w:sz="12" w:space="0"/>
            </w:tcBorders>
            <w:vAlign w:val="center"/>
          </w:tcPr>
          <w:p w14:paraId="73883277">
            <w:pPr>
              <w:adjustRightInd/>
              <w:snapToGrid/>
              <w:spacing w:line="240" w:lineRule="exact"/>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短信通知（含断电位置）</w:t>
            </w:r>
          </w:p>
        </w:tc>
      </w:tr>
      <w:tr w14:paraId="43ED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4" w:type="dxa"/>
            <w:tcBorders>
              <w:left w:val="single" w:color="auto" w:sz="12" w:space="0"/>
              <w:bottom w:val="single" w:color="auto" w:sz="12" w:space="0"/>
            </w:tcBorders>
            <w:vAlign w:val="center"/>
          </w:tcPr>
          <w:p w14:paraId="404EEBC8">
            <w:pPr>
              <w:adjustRightInd/>
              <w:snapToGrid/>
              <w:spacing w:line="240" w:lineRule="exact"/>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数据异常（如车速＞120km/h）</w:t>
            </w:r>
          </w:p>
        </w:tc>
        <w:tc>
          <w:tcPr>
            <w:tcW w:w="2787" w:type="dxa"/>
            <w:tcBorders>
              <w:bottom w:val="single" w:color="auto" w:sz="12" w:space="0"/>
            </w:tcBorders>
            <w:vAlign w:val="center"/>
          </w:tcPr>
          <w:p w14:paraId="76497515">
            <w:pPr>
              <w:adjustRightInd/>
              <w:snapToGrid/>
              <w:spacing w:line="240" w:lineRule="exact"/>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标记“可疑数据”，人工复核后剔除/保留</w:t>
            </w:r>
          </w:p>
        </w:tc>
        <w:tc>
          <w:tcPr>
            <w:tcW w:w="2841" w:type="dxa"/>
            <w:tcBorders>
              <w:bottom w:val="single" w:color="auto" w:sz="12" w:space="0"/>
              <w:right w:val="single" w:color="auto" w:sz="12" w:space="0"/>
            </w:tcBorders>
            <w:vAlign w:val="center"/>
          </w:tcPr>
          <w:p w14:paraId="1AF2F12B">
            <w:pPr>
              <w:adjustRightInd/>
              <w:snapToGrid/>
              <w:spacing w:line="240" w:lineRule="exact"/>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平台黄色预警</w:t>
            </w:r>
          </w:p>
        </w:tc>
      </w:tr>
    </w:tbl>
    <w:p w14:paraId="1DE52E0B">
      <w:pPr>
        <w:pStyle w:val="5"/>
        <w:spacing w:line="340" w:lineRule="exact"/>
        <w:ind w:firstLine="422"/>
        <w:rPr>
          <w:rFonts w:hint="eastAsia" w:eastAsia="仿宋_GB2312"/>
          <w:color w:val="auto"/>
          <w:sz w:val="21"/>
          <w:szCs w:val="21"/>
          <w:highlight w:val="none"/>
          <w:lang w:eastAsia="zh-CN"/>
        </w:rPr>
      </w:pPr>
      <w:r>
        <w:rPr>
          <w:rFonts w:hint="eastAsia"/>
          <w:color w:val="auto"/>
          <w:sz w:val="21"/>
          <w:szCs w:val="21"/>
          <w:highlight w:val="none"/>
        </w:rPr>
        <w:t>5.</w:t>
      </w:r>
      <w:r>
        <w:rPr>
          <w:rFonts w:hint="eastAsia"/>
          <w:color w:val="auto"/>
          <w:sz w:val="21"/>
          <w:szCs w:val="21"/>
          <w:highlight w:val="none"/>
          <w:lang w:val="en-US" w:eastAsia="zh-CN"/>
        </w:rPr>
        <w:t>站点</w:t>
      </w:r>
      <w:r>
        <w:rPr>
          <w:rFonts w:hint="eastAsia"/>
          <w:color w:val="auto"/>
          <w:sz w:val="21"/>
          <w:szCs w:val="21"/>
          <w:highlight w:val="none"/>
        </w:rPr>
        <w:t>配置要求</w:t>
      </w:r>
    </w:p>
    <w:p w14:paraId="70C4515E">
      <w:pPr>
        <w:spacing w:line="340" w:lineRule="exact"/>
        <w:ind w:firstLine="420"/>
        <w:rPr>
          <w:rFonts w:hint="default" w:ascii="仿宋_GB2312" w:hAnsi="Times New Roman" w:eastAsia="仿宋_GB2312" w:cs="Times New Roman"/>
          <w:color w:val="auto"/>
          <w:sz w:val="21"/>
          <w:szCs w:val="21"/>
          <w:highlight w:val="none"/>
          <w:lang w:val="en-US" w:eastAsia="zh-CN"/>
        </w:rPr>
      </w:pPr>
      <w:r>
        <w:rPr>
          <w:rFonts w:hint="eastAsia" w:ascii="仿宋_GB2312" w:hAnsi="Times New Roman" w:eastAsia="仿宋_GB2312" w:cs="Times New Roman"/>
          <w:color w:val="auto"/>
          <w:sz w:val="21"/>
          <w:szCs w:val="21"/>
          <w:highlight w:val="none"/>
        </w:rPr>
        <w:t>本项目多功能交通调查站</w:t>
      </w:r>
      <w:r>
        <w:rPr>
          <w:rFonts w:hint="eastAsia" w:ascii="仿宋_GB2312" w:hAnsi="Times New Roman" w:eastAsia="仿宋_GB2312" w:cs="Times New Roman"/>
          <w:color w:val="auto"/>
          <w:sz w:val="21"/>
          <w:szCs w:val="21"/>
          <w:highlight w:val="none"/>
          <w:lang w:val="en-US" w:eastAsia="zh-CN"/>
        </w:rPr>
        <w:t>布</w:t>
      </w:r>
      <w:r>
        <w:rPr>
          <w:rFonts w:hint="eastAsia" w:ascii="仿宋_GB2312" w:hAnsi="Times New Roman" w:eastAsia="仿宋_GB2312" w:cs="Times New Roman"/>
          <w:color w:val="auto"/>
          <w:sz w:val="21"/>
          <w:szCs w:val="21"/>
          <w:highlight w:val="none"/>
        </w:rPr>
        <w:t>设在普通国道</w:t>
      </w:r>
      <w:r>
        <w:rPr>
          <w:rFonts w:hint="eastAsia" w:ascii="仿宋_GB2312" w:hAnsi="Times New Roman" w:eastAsia="仿宋_GB2312" w:cs="Times New Roman"/>
          <w:color w:val="auto"/>
          <w:sz w:val="21"/>
          <w:szCs w:val="21"/>
          <w:highlight w:val="none"/>
          <w:lang w:val="en-US" w:eastAsia="zh-CN"/>
        </w:rPr>
        <w:t>沿线</w:t>
      </w:r>
      <w:r>
        <w:rPr>
          <w:rFonts w:hint="eastAsia" w:ascii="仿宋_GB2312" w:hAnsi="Times New Roman" w:eastAsia="仿宋_GB2312" w:cs="Times New Roman"/>
          <w:color w:val="auto"/>
          <w:sz w:val="21"/>
          <w:szCs w:val="21"/>
          <w:highlight w:val="none"/>
        </w:rPr>
        <w:t>省界</w:t>
      </w:r>
      <w:r>
        <w:rPr>
          <w:rFonts w:hint="eastAsia" w:ascii="仿宋_GB2312" w:hAnsi="Times New Roman" w:eastAsia="仿宋_GB2312" w:cs="Times New Roman"/>
          <w:color w:val="auto"/>
          <w:sz w:val="21"/>
          <w:szCs w:val="21"/>
          <w:highlight w:val="none"/>
          <w:lang w:val="en-US" w:eastAsia="zh-CN"/>
        </w:rPr>
        <w:t>等关键</w:t>
      </w:r>
      <w:r>
        <w:rPr>
          <w:rFonts w:hint="eastAsia" w:ascii="仿宋_GB2312" w:hAnsi="Times New Roman" w:eastAsia="仿宋_GB2312" w:cs="Times New Roman"/>
          <w:color w:val="auto"/>
          <w:sz w:val="21"/>
          <w:szCs w:val="21"/>
          <w:highlight w:val="none"/>
        </w:rPr>
        <w:t>位置，用于观测统计公路车流量、车型和进出高等级公路路况事件。包括车牌抓拍识别（抓拍单元、补光灯）、车型识别（激光传感器）、视频监控（全景球机）、气象监测（气象监测设备）</w:t>
      </w:r>
      <w:r>
        <w:rPr>
          <w:rFonts w:hint="eastAsia" w:ascii="仿宋_GB2312" w:hAnsi="Times New Roman" w:eastAsia="仿宋_GB2312" w:cs="Times New Roman"/>
          <w:color w:val="auto"/>
          <w:sz w:val="21"/>
          <w:szCs w:val="21"/>
          <w:highlight w:val="none"/>
          <w:lang w:eastAsia="zh-CN"/>
        </w:rPr>
        <w:t>等</w:t>
      </w:r>
      <w:r>
        <w:rPr>
          <w:rFonts w:hint="eastAsia" w:ascii="仿宋_GB2312" w:hAnsi="Times New Roman" w:eastAsia="仿宋_GB2312" w:cs="Times New Roman"/>
          <w:color w:val="auto"/>
          <w:sz w:val="21"/>
          <w:szCs w:val="21"/>
          <w:highlight w:val="none"/>
          <w:lang w:val="en-US" w:eastAsia="zh-CN"/>
        </w:rPr>
        <w:t>功能</w:t>
      </w:r>
      <w:r>
        <w:rPr>
          <w:rFonts w:hint="eastAsia" w:ascii="仿宋_GB2312" w:hAnsi="Times New Roman" w:eastAsia="仿宋_GB2312" w:cs="Times New Roman"/>
          <w:color w:val="auto"/>
          <w:sz w:val="21"/>
          <w:szCs w:val="21"/>
          <w:highlight w:val="none"/>
        </w:rPr>
        <w:t>，应按照行驶方向、分车道采集单个机动车车牌数据，能够按5分钟周期自动汇总交通流量，因地制宜增加车型、车速、视频监测、气象监测等其他功能。</w:t>
      </w:r>
      <w:r>
        <w:rPr>
          <w:rFonts w:hint="eastAsia" w:ascii="仿宋_GB2312" w:hAnsi="Times New Roman" w:eastAsia="仿宋_GB2312" w:cs="Times New Roman"/>
          <w:b/>
          <w:bCs/>
          <w:color w:val="auto"/>
          <w:sz w:val="21"/>
          <w:szCs w:val="21"/>
          <w:highlight w:val="none"/>
        </w:rPr>
        <w:t>站点主要设备配置如下表</w:t>
      </w:r>
      <w:r>
        <w:rPr>
          <w:rFonts w:hint="eastAsia" w:ascii="仿宋_GB2312" w:hAnsi="Times New Roman" w:eastAsia="仿宋_GB2312" w:cs="Times New Roman"/>
          <w:b/>
          <w:bCs/>
          <w:color w:val="auto"/>
          <w:sz w:val="21"/>
          <w:szCs w:val="21"/>
          <w:highlight w:val="none"/>
          <w:lang w:val="en-US" w:eastAsia="zh-CN"/>
        </w:rPr>
        <w:t>11。</w:t>
      </w:r>
    </w:p>
    <w:p w14:paraId="496F46AA">
      <w:pPr>
        <w:spacing w:line="340" w:lineRule="exact"/>
        <w:ind w:firstLine="0" w:firstLineChars="0"/>
        <w:jc w:val="center"/>
        <w:rPr>
          <w:rFonts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表</w:t>
      </w:r>
      <w:r>
        <w:rPr>
          <w:rFonts w:hint="eastAsia" w:ascii="楷体_GB2312" w:hAnsi="楷体_GB2312" w:eastAsia="楷体_GB2312" w:cs="楷体_GB2312"/>
          <w:b/>
          <w:bCs/>
          <w:color w:val="auto"/>
          <w:sz w:val="24"/>
          <w:szCs w:val="24"/>
          <w:highlight w:val="none"/>
          <w:lang w:val="en-US" w:eastAsia="zh-CN"/>
        </w:rPr>
        <w:t>11</w:t>
      </w:r>
      <w:r>
        <w:rPr>
          <w:rFonts w:hint="eastAsia" w:ascii="楷体_GB2312" w:hAnsi="楷体_GB2312" w:eastAsia="楷体_GB2312" w:cs="楷体_GB2312"/>
          <w:b/>
          <w:bCs/>
          <w:color w:val="auto"/>
          <w:sz w:val="24"/>
          <w:szCs w:val="24"/>
          <w:highlight w:val="none"/>
        </w:rPr>
        <w:t xml:space="preserve">  </w:t>
      </w:r>
      <w:r>
        <w:rPr>
          <w:rFonts w:hint="eastAsia" w:ascii="楷体_GB2312" w:hAnsi="楷体_GB2312" w:eastAsia="楷体_GB2312" w:cs="楷体_GB2312"/>
          <w:b/>
          <w:bCs/>
          <w:color w:val="auto"/>
          <w:sz w:val="24"/>
          <w:szCs w:val="24"/>
          <w:highlight w:val="none"/>
          <w:lang w:eastAsia="zh-CN"/>
        </w:rPr>
        <w:t>广东省普通国道</w:t>
      </w:r>
      <w:r>
        <w:rPr>
          <w:rFonts w:hint="eastAsia" w:ascii="楷体_GB2312" w:hAnsi="楷体_GB2312" w:eastAsia="楷体_GB2312" w:cs="楷体_GB2312"/>
          <w:b/>
          <w:bCs/>
          <w:color w:val="auto"/>
          <w:sz w:val="24"/>
          <w:szCs w:val="24"/>
          <w:highlight w:val="none"/>
        </w:rPr>
        <w:t>交通调查站点主要设备配置表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354"/>
        <w:gridCol w:w="910"/>
        <w:gridCol w:w="4385"/>
      </w:tblGrid>
      <w:tr w14:paraId="580F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12" w:space="0"/>
              <w:left w:val="single" w:color="auto" w:sz="12" w:space="0"/>
              <w:bottom w:val="double" w:color="auto" w:sz="4" w:space="0"/>
            </w:tcBorders>
            <w:vAlign w:val="center"/>
          </w:tcPr>
          <w:p w14:paraId="1BCCAED6">
            <w:pPr>
              <w:adjustRightInd/>
              <w:snapToGrid/>
              <w:spacing w:line="3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序号</w:t>
            </w:r>
          </w:p>
        </w:tc>
        <w:tc>
          <w:tcPr>
            <w:tcW w:w="2354" w:type="dxa"/>
            <w:tcBorders>
              <w:top w:val="single" w:color="auto" w:sz="12" w:space="0"/>
              <w:bottom w:val="double" w:color="auto" w:sz="4" w:space="0"/>
            </w:tcBorders>
            <w:vAlign w:val="center"/>
          </w:tcPr>
          <w:p w14:paraId="45C73952">
            <w:pPr>
              <w:adjustRightInd/>
              <w:snapToGrid/>
              <w:spacing w:line="3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名称</w:t>
            </w:r>
          </w:p>
        </w:tc>
        <w:tc>
          <w:tcPr>
            <w:tcW w:w="910" w:type="dxa"/>
            <w:tcBorders>
              <w:top w:val="single" w:color="auto" w:sz="12" w:space="0"/>
              <w:bottom w:val="double" w:color="auto" w:sz="4" w:space="0"/>
            </w:tcBorders>
            <w:vAlign w:val="center"/>
          </w:tcPr>
          <w:p w14:paraId="220638F1">
            <w:pPr>
              <w:adjustRightInd/>
              <w:snapToGrid/>
              <w:spacing w:line="3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单位</w:t>
            </w:r>
          </w:p>
        </w:tc>
        <w:tc>
          <w:tcPr>
            <w:tcW w:w="4385" w:type="dxa"/>
            <w:tcBorders>
              <w:top w:val="single" w:color="auto" w:sz="12" w:space="0"/>
              <w:bottom w:val="double" w:color="auto" w:sz="4" w:space="0"/>
              <w:right w:val="single" w:color="auto" w:sz="12" w:space="0"/>
            </w:tcBorders>
            <w:vAlign w:val="center"/>
          </w:tcPr>
          <w:p w14:paraId="31058949">
            <w:pPr>
              <w:adjustRightInd/>
              <w:snapToGrid/>
              <w:spacing w:line="3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备注</w:t>
            </w:r>
          </w:p>
        </w:tc>
      </w:tr>
      <w:tr w14:paraId="66F0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double" w:color="auto" w:sz="4" w:space="0"/>
              <w:left w:val="single" w:color="auto" w:sz="12" w:space="0"/>
            </w:tcBorders>
            <w:vAlign w:val="center"/>
          </w:tcPr>
          <w:p w14:paraId="0821A742">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w:t>
            </w:r>
          </w:p>
        </w:tc>
        <w:tc>
          <w:tcPr>
            <w:tcW w:w="2354" w:type="dxa"/>
            <w:tcBorders>
              <w:top w:val="double" w:color="auto" w:sz="4" w:space="0"/>
            </w:tcBorders>
            <w:vAlign w:val="center"/>
          </w:tcPr>
          <w:p w14:paraId="74E99F74">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公路交通情况调查设备</w:t>
            </w:r>
          </w:p>
        </w:tc>
        <w:tc>
          <w:tcPr>
            <w:tcW w:w="910" w:type="dxa"/>
            <w:tcBorders>
              <w:top w:val="double" w:color="auto" w:sz="4" w:space="0"/>
            </w:tcBorders>
            <w:vAlign w:val="center"/>
          </w:tcPr>
          <w:p w14:paraId="387D135B">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套</w:t>
            </w:r>
          </w:p>
        </w:tc>
        <w:tc>
          <w:tcPr>
            <w:tcW w:w="4385" w:type="dxa"/>
            <w:tcBorders>
              <w:top w:val="double" w:color="auto" w:sz="4" w:space="0"/>
              <w:right w:val="single" w:color="auto" w:sz="12" w:space="0"/>
            </w:tcBorders>
            <w:vAlign w:val="center"/>
          </w:tcPr>
          <w:p w14:paraId="68E85880">
            <w:pPr>
              <w:adjustRightInd/>
              <w:snapToGrid/>
              <w:spacing w:line="2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1个站点1套（10车道</w:t>
            </w:r>
            <w:r>
              <w:rPr>
                <w:rFonts w:hint="eastAsia" w:ascii="仿宋_GB2312" w:hAnsi="仿宋" w:eastAsia="仿宋_GB2312" w:cs="Times New Roman"/>
                <w:color w:val="auto"/>
                <w:sz w:val="21"/>
                <w:szCs w:val="21"/>
                <w:highlight w:val="none"/>
                <w:lang w:val="en-US" w:eastAsia="zh-CN"/>
              </w:rPr>
              <w:t>或</w:t>
            </w:r>
            <w:r>
              <w:rPr>
                <w:rFonts w:hint="eastAsia" w:ascii="仿宋_GB2312" w:hAnsi="仿宋" w:eastAsia="仿宋_GB2312" w:cs="Times New Roman"/>
                <w:color w:val="auto"/>
                <w:sz w:val="21"/>
                <w:szCs w:val="21"/>
                <w:highlight w:val="none"/>
              </w:rPr>
              <w:t>以上站点配置2套）</w:t>
            </w:r>
          </w:p>
        </w:tc>
      </w:tr>
      <w:tr w14:paraId="2252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left w:val="single" w:color="auto" w:sz="12" w:space="0"/>
            </w:tcBorders>
            <w:vAlign w:val="center"/>
          </w:tcPr>
          <w:p w14:paraId="675D279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2</w:t>
            </w:r>
          </w:p>
        </w:tc>
        <w:tc>
          <w:tcPr>
            <w:tcW w:w="2354" w:type="dxa"/>
            <w:vAlign w:val="center"/>
          </w:tcPr>
          <w:p w14:paraId="06EB7A3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终端管理设施</w:t>
            </w:r>
          </w:p>
        </w:tc>
        <w:tc>
          <w:tcPr>
            <w:tcW w:w="910" w:type="dxa"/>
            <w:vAlign w:val="center"/>
          </w:tcPr>
          <w:p w14:paraId="7880BFCB">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套</w:t>
            </w:r>
          </w:p>
        </w:tc>
        <w:tc>
          <w:tcPr>
            <w:tcW w:w="4385" w:type="dxa"/>
            <w:tcBorders>
              <w:right w:val="single" w:color="auto" w:sz="12" w:space="0"/>
            </w:tcBorders>
            <w:vAlign w:val="center"/>
          </w:tcPr>
          <w:p w14:paraId="21D271EC">
            <w:pPr>
              <w:adjustRightInd/>
              <w:snapToGrid/>
              <w:spacing w:line="2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1个站点1套（10车道</w:t>
            </w:r>
            <w:r>
              <w:rPr>
                <w:rFonts w:hint="eastAsia" w:ascii="仿宋_GB2312" w:hAnsi="仿宋" w:eastAsia="仿宋_GB2312" w:cs="Times New Roman"/>
                <w:color w:val="auto"/>
                <w:sz w:val="21"/>
                <w:szCs w:val="21"/>
                <w:highlight w:val="none"/>
                <w:lang w:val="en-US" w:eastAsia="zh-CN"/>
              </w:rPr>
              <w:t>或</w:t>
            </w:r>
            <w:r>
              <w:rPr>
                <w:rFonts w:hint="eastAsia" w:ascii="仿宋_GB2312" w:hAnsi="仿宋" w:eastAsia="仿宋_GB2312" w:cs="Times New Roman"/>
                <w:color w:val="auto"/>
                <w:sz w:val="21"/>
                <w:szCs w:val="21"/>
                <w:highlight w:val="none"/>
              </w:rPr>
              <w:t>以上站点配置2套）</w:t>
            </w:r>
          </w:p>
        </w:tc>
      </w:tr>
      <w:tr w14:paraId="2274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left w:val="single" w:color="auto" w:sz="12" w:space="0"/>
            </w:tcBorders>
            <w:vAlign w:val="center"/>
          </w:tcPr>
          <w:p w14:paraId="15D8E772">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3</w:t>
            </w:r>
          </w:p>
        </w:tc>
        <w:tc>
          <w:tcPr>
            <w:tcW w:w="2354" w:type="dxa"/>
            <w:vAlign w:val="center"/>
          </w:tcPr>
          <w:p w14:paraId="05A8FFE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数据模块（工业级）</w:t>
            </w:r>
          </w:p>
        </w:tc>
        <w:tc>
          <w:tcPr>
            <w:tcW w:w="910" w:type="dxa"/>
            <w:vAlign w:val="center"/>
          </w:tcPr>
          <w:p w14:paraId="4BC3ABA6">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套</w:t>
            </w:r>
          </w:p>
        </w:tc>
        <w:tc>
          <w:tcPr>
            <w:tcW w:w="4385" w:type="dxa"/>
            <w:tcBorders>
              <w:right w:val="single" w:color="auto" w:sz="12" w:space="0"/>
            </w:tcBorders>
            <w:vAlign w:val="center"/>
          </w:tcPr>
          <w:p w14:paraId="0055F8DB">
            <w:pPr>
              <w:adjustRightInd/>
              <w:snapToGrid/>
              <w:spacing w:line="2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1个站点1套</w:t>
            </w:r>
          </w:p>
        </w:tc>
      </w:tr>
      <w:tr w14:paraId="7914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left w:val="single" w:color="auto" w:sz="12" w:space="0"/>
            </w:tcBorders>
            <w:vAlign w:val="center"/>
          </w:tcPr>
          <w:p w14:paraId="204E975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4</w:t>
            </w:r>
          </w:p>
        </w:tc>
        <w:tc>
          <w:tcPr>
            <w:tcW w:w="2354" w:type="dxa"/>
            <w:vAlign w:val="center"/>
          </w:tcPr>
          <w:p w14:paraId="2344E4C6">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气象传感器</w:t>
            </w:r>
          </w:p>
        </w:tc>
        <w:tc>
          <w:tcPr>
            <w:tcW w:w="910" w:type="dxa"/>
            <w:vAlign w:val="center"/>
          </w:tcPr>
          <w:p w14:paraId="7EEACBCA">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套</w:t>
            </w:r>
          </w:p>
        </w:tc>
        <w:tc>
          <w:tcPr>
            <w:tcW w:w="4385" w:type="dxa"/>
            <w:tcBorders>
              <w:right w:val="single" w:color="auto" w:sz="12" w:space="0"/>
            </w:tcBorders>
            <w:vAlign w:val="center"/>
          </w:tcPr>
          <w:p w14:paraId="1EB27201">
            <w:pPr>
              <w:adjustRightInd/>
              <w:snapToGrid/>
              <w:spacing w:line="2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1个站点1套。风速、风向、环境温度、相对湿度、大气压力、雨量参数集成监测</w:t>
            </w:r>
          </w:p>
        </w:tc>
      </w:tr>
      <w:tr w14:paraId="710C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left w:val="single" w:color="auto" w:sz="12" w:space="0"/>
            </w:tcBorders>
            <w:vAlign w:val="center"/>
          </w:tcPr>
          <w:p w14:paraId="1D3C4C06">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5</w:t>
            </w:r>
          </w:p>
        </w:tc>
        <w:tc>
          <w:tcPr>
            <w:tcW w:w="2354" w:type="dxa"/>
            <w:vAlign w:val="center"/>
          </w:tcPr>
          <w:p w14:paraId="61501A54">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卡口抓拍摄像机</w:t>
            </w:r>
          </w:p>
        </w:tc>
        <w:tc>
          <w:tcPr>
            <w:tcW w:w="910" w:type="dxa"/>
            <w:vAlign w:val="center"/>
          </w:tcPr>
          <w:p w14:paraId="4D22DDF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套</w:t>
            </w:r>
          </w:p>
        </w:tc>
        <w:tc>
          <w:tcPr>
            <w:tcW w:w="4385" w:type="dxa"/>
            <w:tcBorders>
              <w:right w:val="single" w:color="auto" w:sz="12" w:space="0"/>
            </w:tcBorders>
            <w:vAlign w:val="center"/>
          </w:tcPr>
          <w:p w14:paraId="26826601">
            <w:pPr>
              <w:adjustRightInd/>
              <w:snapToGrid/>
              <w:spacing w:line="240" w:lineRule="exact"/>
              <w:ind w:firstLine="0" w:firstLineChars="0"/>
              <w:rPr>
                <w:rFonts w:hint="eastAsia"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每套设备支持3车道抓拍，根据车道数和点位情况配置</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6车道或以下</w:t>
            </w:r>
            <w:r>
              <w:rPr>
                <w:rFonts w:hint="eastAsia" w:ascii="仿宋_GB2312" w:hAnsi="仿宋" w:eastAsia="仿宋_GB2312" w:cs="Times New Roman"/>
                <w:color w:val="auto"/>
                <w:sz w:val="21"/>
                <w:szCs w:val="21"/>
                <w:highlight w:val="none"/>
              </w:rPr>
              <w:t>站点配置2套</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8车道或以上</w:t>
            </w:r>
            <w:r>
              <w:rPr>
                <w:rFonts w:hint="eastAsia" w:ascii="仿宋_GB2312" w:hAnsi="仿宋" w:eastAsia="仿宋_GB2312" w:cs="Times New Roman"/>
                <w:color w:val="auto"/>
                <w:sz w:val="21"/>
                <w:szCs w:val="21"/>
                <w:highlight w:val="none"/>
              </w:rPr>
              <w:t>站点配置</w:t>
            </w:r>
            <w:r>
              <w:rPr>
                <w:rFonts w:hint="eastAsia" w:ascii="仿宋_GB2312" w:hAnsi="仿宋" w:eastAsia="仿宋_GB2312" w:cs="Times New Roman"/>
                <w:color w:val="auto"/>
                <w:sz w:val="21"/>
                <w:szCs w:val="21"/>
                <w:highlight w:val="none"/>
                <w:lang w:val="en-US" w:eastAsia="zh-CN"/>
              </w:rPr>
              <w:t>4</w:t>
            </w:r>
            <w:r>
              <w:rPr>
                <w:rFonts w:hint="eastAsia" w:ascii="仿宋_GB2312" w:hAnsi="仿宋" w:eastAsia="仿宋_GB2312" w:cs="Times New Roman"/>
                <w:color w:val="auto"/>
                <w:sz w:val="21"/>
                <w:szCs w:val="21"/>
                <w:highlight w:val="none"/>
              </w:rPr>
              <w:t>套</w:t>
            </w:r>
            <w:r>
              <w:rPr>
                <w:rFonts w:hint="eastAsia" w:ascii="仿宋_GB2312" w:hAnsi="仿宋" w:eastAsia="仿宋_GB2312" w:cs="Times New Roman"/>
                <w:color w:val="auto"/>
                <w:sz w:val="21"/>
                <w:szCs w:val="21"/>
                <w:highlight w:val="none"/>
                <w:lang w:eastAsia="zh-CN"/>
              </w:rPr>
              <w:t>）</w:t>
            </w:r>
          </w:p>
        </w:tc>
      </w:tr>
      <w:tr w14:paraId="776F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left w:val="single" w:color="auto" w:sz="12" w:space="0"/>
            </w:tcBorders>
            <w:vAlign w:val="center"/>
          </w:tcPr>
          <w:p w14:paraId="0D37A928">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6</w:t>
            </w:r>
          </w:p>
        </w:tc>
        <w:tc>
          <w:tcPr>
            <w:tcW w:w="2354" w:type="dxa"/>
            <w:vAlign w:val="center"/>
          </w:tcPr>
          <w:p w14:paraId="4CDF359D">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一体化补光灯</w:t>
            </w:r>
          </w:p>
        </w:tc>
        <w:tc>
          <w:tcPr>
            <w:tcW w:w="910" w:type="dxa"/>
            <w:vAlign w:val="center"/>
          </w:tcPr>
          <w:p w14:paraId="62EBC2C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套</w:t>
            </w:r>
          </w:p>
        </w:tc>
        <w:tc>
          <w:tcPr>
            <w:tcW w:w="4385" w:type="dxa"/>
            <w:tcBorders>
              <w:right w:val="single" w:color="auto" w:sz="12" w:space="0"/>
            </w:tcBorders>
            <w:vAlign w:val="center"/>
          </w:tcPr>
          <w:p w14:paraId="0DEE283C">
            <w:pPr>
              <w:adjustRightInd/>
              <w:snapToGrid/>
              <w:spacing w:line="2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1个车道1套</w:t>
            </w:r>
          </w:p>
        </w:tc>
      </w:tr>
      <w:tr w14:paraId="1E74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left w:val="single" w:color="auto" w:sz="12" w:space="0"/>
            </w:tcBorders>
            <w:vAlign w:val="center"/>
          </w:tcPr>
          <w:p w14:paraId="65C9AD8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7</w:t>
            </w:r>
          </w:p>
        </w:tc>
        <w:tc>
          <w:tcPr>
            <w:tcW w:w="2354" w:type="dxa"/>
            <w:vAlign w:val="center"/>
          </w:tcPr>
          <w:p w14:paraId="7A715642">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监控球型摄像机</w:t>
            </w:r>
          </w:p>
        </w:tc>
        <w:tc>
          <w:tcPr>
            <w:tcW w:w="910" w:type="dxa"/>
            <w:vAlign w:val="center"/>
          </w:tcPr>
          <w:p w14:paraId="127B0F76">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套</w:t>
            </w:r>
          </w:p>
        </w:tc>
        <w:tc>
          <w:tcPr>
            <w:tcW w:w="4385" w:type="dxa"/>
            <w:tcBorders>
              <w:right w:val="single" w:color="auto" w:sz="12" w:space="0"/>
            </w:tcBorders>
            <w:vAlign w:val="center"/>
          </w:tcPr>
          <w:p w14:paraId="3545530D">
            <w:pPr>
              <w:adjustRightInd/>
              <w:snapToGrid/>
              <w:spacing w:line="2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1个站点1套</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8车道或以上</w:t>
            </w:r>
            <w:r>
              <w:rPr>
                <w:rFonts w:hint="eastAsia" w:ascii="仿宋_GB2312" w:hAnsi="仿宋" w:eastAsia="仿宋_GB2312" w:cs="Times New Roman"/>
                <w:color w:val="auto"/>
                <w:sz w:val="21"/>
                <w:szCs w:val="21"/>
                <w:highlight w:val="none"/>
              </w:rPr>
              <w:t>站点配置</w:t>
            </w: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套</w:t>
            </w:r>
            <w:r>
              <w:rPr>
                <w:rFonts w:hint="eastAsia" w:ascii="仿宋_GB2312" w:hAnsi="仿宋" w:eastAsia="仿宋_GB2312" w:cs="Times New Roman"/>
                <w:color w:val="auto"/>
                <w:sz w:val="21"/>
                <w:szCs w:val="21"/>
                <w:highlight w:val="none"/>
                <w:lang w:eastAsia="zh-CN"/>
              </w:rPr>
              <w:t>）</w:t>
            </w:r>
          </w:p>
        </w:tc>
      </w:tr>
      <w:tr w14:paraId="63AE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left w:val="single" w:color="auto" w:sz="12" w:space="0"/>
              <w:bottom w:val="single" w:color="auto" w:sz="12" w:space="0"/>
            </w:tcBorders>
            <w:vAlign w:val="center"/>
          </w:tcPr>
          <w:p w14:paraId="3833ED00">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8</w:t>
            </w:r>
          </w:p>
        </w:tc>
        <w:tc>
          <w:tcPr>
            <w:tcW w:w="2354" w:type="dxa"/>
            <w:tcBorders>
              <w:bottom w:val="single" w:color="auto" w:sz="12" w:space="0"/>
            </w:tcBorders>
            <w:vAlign w:val="center"/>
          </w:tcPr>
          <w:p w14:paraId="1A6FA50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智能中控机箱</w:t>
            </w:r>
          </w:p>
        </w:tc>
        <w:tc>
          <w:tcPr>
            <w:tcW w:w="910" w:type="dxa"/>
            <w:tcBorders>
              <w:bottom w:val="single" w:color="auto" w:sz="12" w:space="0"/>
            </w:tcBorders>
            <w:vAlign w:val="center"/>
          </w:tcPr>
          <w:p w14:paraId="6FE862E0">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套</w:t>
            </w:r>
          </w:p>
        </w:tc>
        <w:tc>
          <w:tcPr>
            <w:tcW w:w="4385" w:type="dxa"/>
            <w:tcBorders>
              <w:bottom w:val="single" w:color="auto" w:sz="12" w:space="0"/>
              <w:right w:val="single" w:color="auto" w:sz="12" w:space="0"/>
            </w:tcBorders>
            <w:vAlign w:val="center"/>
          </w:tcPr>
          <w:p w14:paraId="397BC3A5">
            <w:pPr>
              <w:adjustRightInd/>
              <w:snapToGrid/>
              <w:spacing w:line="2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1个站点1套</w:t>
            </w:r>
          </w:p>
        </w:tc>
      </w:tr>
    </w:tbl>
    <w:p w14:paraId="3E87677A">
      <w:pPr>
        <w:pStyle w:val="5"/>
        <w:spacing w:line="340" w:lineRule="exact"/>
        <w:ind w:firstLine="422"/>
        <w:rPr>
          <w:color w:val="auto"/>
          <w:sz w:val="21"/>
          <w:szCs w:val="21"/>
          <w:highlight w:val="none"/>
        </w:rPr>
      </w:pPr>
      <w:r>
        <w:rPr>
          <w:rFonts w:hint="eastAsia"/>
          <w:color w:val="auto"/>
          <w:sz w:val="21"/>
          <w:szCs w:val="21"/>
          <w:highlight w:val="none"/>
        </w:rPr>
        <w:t>（1）双向两车道每个</w:t>
      </w:r>
      <w:r>
        <w:rPr>
          <w:rFonts w:hint="eastAsia"/>
          <w:color w:val="auto"/>
          <w:sz w:val="21"/>
          <w:szCs w:val="21"/>
          <w:highlight w:val="none"/>
          <w:lang w:eastAsia="zh-CN"/>
        </w:rPr>
        <w:t>站点</w:t>
      </w:r>
      <w:r>
        <w:rPr>
          <w:rFonts w:hint="eastAsia"/>
          <w:color w:val="auto"/>
          <w:sz w:val="21"/>
          <w:szCs w:val="21"/>
          <w:highlight w:val="none"/>
        </w:rPr>
        <w:t>设备配置</w:t>
      </w:r>
    </w:p>
    <w:p w14:paraId="58CFEB27">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公路交通情况调查设备1套（包含多功能交调软件），安装在</w:t>
      </w:r>
      <w:r>
        <w:rPr>
          <w:rFonts w:hint="eastAsia" w:ascii="仿宋_GB2312" w:hAnsi="仿宋_GB2312" w:eastAsia="仿宋_GB2312" w:cs="仿宋_GB2312"/>
          <w:color w:val="auto"/>
          <w:sz w:val="21"/>
          <w:szCs w:val="21"/>
          <w:highlight w:val="none"/>
          <w:lang w:eastAsia="zh-CN"/>
        </w:rPr>
        <w:t>公路</w:t>
      </w:r>
      <w:r>
        <w:rPr>
          <w:rFonts w:hint="eastAsia" w:ascii="仿宋_GB2312" w:hAnsi="仿宋_GB2312" w:eastAsia="仿宋_GB2312" w:cs="仿宋_GB2312"/>
          <w:color w:val="auto"/>
          <w:sz w:val="21"/>
          <w:szCs w:val="21"/>
          <w:highlight w:val="none"/>
        </w:rPr>
        <w:t>中间</w:t>
      </w:r>
      <w:r>
        <w:rPr>
          <w:rFonts w:hint="eastAsia" w:ascii="仿宋_GB2312" w:hAnsi="仿宋_GB2312" w:eastAsia="仿宋_GB2312" w:cs="仿宋_GB2312"/>
          <w:color w:val="auto"/>
          <w:sz w:val="21"/>
          <w:szCs w:val="21"/>
          <w:highlight w:val="none"/>
          <w:lang w:eastAsia="zh-CN"/>
        </w:rPr>
        <w:t>。</w:t>
      </w:r>
    </w:p>
    <w:p w14:paraId="493B7232">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 w:eastAsia="仿宋_GB2312" w:cs="Times New Roman"/>
          <w:color w:val="auto"/>
          <w:sz w:val="21"/>
          <w:szCs w:val="21"/>
          <w:highlight w:val="none"/>
        </w:rPr>
        <w:t>终端管理设施</w:t>
      </w: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val="en-US" w:eastAsia="zh-CN"/>
        </w:rPr>
        <w:t>套</w:t>
      </w:r>
      <w:r>
        <w:rPr>
          <w:rFonts w:hint="eastAsia" w:ascii="仿宋_GB2312" w:hAnsi="仿宋_GB2312" w:eastAsia="仿宋_GB2312" w:cs="仿宋_GB2312"/>
          <w:color w:val="auto"/>
          <w:sz w:val="21"/>
          <w:szCs w:val="21"/>
          <w:highlight w:val="none"/>
          <w:lang w:eastAsia="zh-CN"/>
        </w:rPr>
        <w:t>。</w:t>
      </w:r>
    </w:p>
    <w:p w14:paraId="15DE30B7">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数据模块（工业级）</w:t>
      </w:r>
      <w:r>
        <w:rPr>
          <w:rFonts w:hint="eastAsia" w:ascii="仿宋_GB2312" w:hAnsi="仿宋_GB2312" w:eastAsia="仿宋_GB2312" w:cs="仿宋_GB2312"/>
          <w:color w:val="auto"/>
          <w:sz w:val="21"/>
          <w:szCs w:val="21"/>
          <w:highlight w:val="none"/>
        </w:rPr>
        <w:t>1套</w:t>
      </w:r>
      <w:r>
        <w:rPr>
          <w:rFonts w:hint="eastAsia" w:ascii="仿宋_GB2312" w:hAnsi="仿宋_GB2312" w:eastAsia="仿宋_GB2312" w:cs="仿宋_GB2312"/>
          <w:color w:val="auto"/>
          <w:sz w:val="21"/>
          <w:szCs w:val="21"/>
          <w:highlight w:val="none"/>
          <w:lang w:eastAsia="zh-CN"/>
        </w:rPr>
        <w:t>。</w:t>
      </w:r>
    </w:p>
    <w:p w14:paraId="5627D71D">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气象传感器1套，安装在杆件立杆处</w:t>
      </w:r>
      <w:r>
        <w:rPr>
          <w:rFonts w:hint="eastAsia" w:ascii="仿宋_GB2312" w:hAnsi="仿宋_GB2312" w:eastAsia="仿宋_GB2312" w:cs="仿宋_GB2312"/>
          <w:color w:val="auto"/>
          <w:sz w:val="21"/>
          <w:szCs w:val="21"/>
          <w:highlight w:val="none"/>
          <w:lang w:eastAsia="zh-CN"/>
        </w:rPr>
        <w:t>。</w:t>
      </w:r>
    </w:p>
    <w:p w14:paraId="0FB17960">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卡口抓拍摄像机2套，分别安装在上下行方向</w:t>
      </w:r>
      <w:r>
        <w:rPr>
          <w:rFonts w:hint="eastAsia" w:ascii="仿宋_GB2312" w:hAnsi="仿宋_GB2312" w:eastAsia="仿宋_GB2312" w:cs="仿宋_GB2312"/>
          <w:color w:val="auto"/>
          <w:sz w:val="21"/>
          <w:szCs w:val="21"/>
          <w:highlight w:val="none"/>
          <w:lang w:eastAsia="zh-CN"/>
        </w:rPr>
        <w:t>公路</w:t>
      </w:r>
      <w:r>
        <w:rPr>
          <w:rFonts w:hint="eastAsia" w:ascii="仿宋_GB2312" w:hAnsi="仿宋_GB2312" w:eastAsia="仿宋_GB2312" w:cs="仿宋_GB2312"/>
          <w:color w:val="auto"/>
          <w:sz w:val="21"/>
          <w:szCs w:val="21"/>
          <w:highlight w:val="none"/>
        </w:rPr>
        <w:t>中间，正对来车方向</w:t>
      </w:r>
      <w:r>
        <w:rPr>
          <w:rFonts w:hint="eastAsia" w:ascii="仿宋_GB2312" w:hAnsi="仿宋_GB2312" w:eastAsia="仿宋_GB2312" w:cs="仿宋_GB2312"/>
          <w:color w:val="auto"/>
          <w:sz w:val="21"/>
          <w:szCs w:val="21"/>
          <w:highlight w:val="none"/>
          <w:lang w:eastAsia="zh-CN"/>
        </w:rPr>
        <w:t>。</w:t>
      </w:r>
    </w:p>
    <w:p w14:paraId="1A6D399F">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一体化补光灯2套，分别安装在车道正中间，正对来车方向</w:t>
      </w:r>
      <w:r>
        <w:rPr>
          <w:rFonts w:hint="eastAsia" w:ascii="仿宋_GB2312" w:hAnsi="仿宋_GB2312" w:eastAsia="仿宋_GB2312" w:cs="仿宋_GB2312"/>
          <w:color w:val="auto"/>
          <w:sz w:val="21"/>
          <w:szCs w:val="21"/>
          <w:highlight w:val="none"/>
          <w:lang w:eastAsia="zh-CN"/>
        </w:rPr>
        <w:t>。</w:t>
      </w:r>
    </w:p>
    <w:p w14:paraId="40779AAE">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监控球型摄像机1套，安装在</w:t>
      </w:r>
      <w:r>
        <w:rPr>
          <w:rFonts w:hint="eastAsia" w:ascii="仿宋_GB2312" w:hAnsi="仿宋_GB2312" w:eastAsia="仿宋_GB2312" w:cs="仿宋_GB2312"/>
          <w:color w:val="auto"/>
          <w:sz w:val="21"/>
          <w:szCs w:val="21"/>
          <w:highlight w:val="none"/>
          <w:lang w:eastAsia="zh-CN"/>
        </w:rPr>
        <w:t>公路</w:t>
      </w:r>
      <w:r>
        <w:rPr>
          <w:rFonts w:hint="eastAsia" w:ascii="仿宋_GB2312" w:hAnsi="仿宋_GB2312" w:eastAsia="仿宋_GB2312" w:cs="仿宋_GB2312"/>
          <w:color w:val="auto"/>
          <w:sz w:val="21"/>
          <w:szCs w:val="21"/>
          <w:highlight w:val="none"/>
        </w:rPr>
        <w:t>中间</w:t>
      </w:r>
      <w:r>
        <w:rPr>
          <w:rFonts w:hint="eastAsia" w:ascii="仿宋_GB2312" w:hAnsi="仿宋_GB2312" w:eastAsia="仿宋_GB2312" w:cs="仿宋_GB2312"/>
          <w:color w:val="auto"/>
          <w:sz w:val="21"/>
          <w:szCs w:val="21"/>
          <w:highlight w:val="none"/>
          <w:lang w:eastAsia="zh-CN"/>
        </w:rPr>
        <w:t>。</w:t>
      </w:r>
    </w:p>
    <w:p w14:paraId="20FB6F47">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杆件基础1套（结合站点现场选配合适杆件类型尺寸），高度7.5米，长度横跨整个路面，应避开高的建筑目标或树木，以免遮挡监控视线</w:t>
      </w:r>
      <w:r>
        <w:rPr>
          <w:rFonts w:hint="eastAsia" w:ascii="仿宋_GB2312" w:hAnsi="仿宋_GB2312" w:eastAsia="仿宋_GB2312" w:cs="仿宋_GB2312"/>
          <w:color w:val="auto"/>
          <w:sz w:val="21"/>
          <w:szCs w:val="21"/>
          <w:highlight w:val="none"/>
          <w:lang w:eastAsia="zh-CN"/>
        </w:rPr>
        <w:t>。</w:t>
      </w:r>
    </w:p>
    <w:p w14:paraId="5B4266B8">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智能中控机箱1套，安装在立杆2.5米位置</w:t>
      </w:r>
      <w:r>
        <w:rPr>
          <w:rFonts w:hint="eastAsia" w:ascii="仿宋_GB2312" w:hAnsi="仿宋_GB2312" w:eastAsia="仿宋_GB2312" w:cs="仿宋_GB2312"/>
          <w:color w:val="auto"/>
          <w:sz w:val="21"/>
          <w:szCs w:val="21"/>
          <w:highlight w:val="none"/>
          <w:lang w:eastAsia="zh-CN"/>
        </w:rPr>
        <w:t>。</w:t>
      </w:r>
    </w:p>
    <w:p w14:paraId="56D64793">
      <w:pPr>
        <w:pStyle w:val="21"/>
        <w:spacing w:line="340" w:lineRule="exact"/>
        <w:ind w:firstLineChars="0"/>
        <w:rPr>
          <w:rFonts w:hint="eastAsia" w:ascii="仿宋_GB2312" w:hAnsi="Times New Roman" w:eastAsia="仿宋_GB2312" w:cs="Times New Roman"/>
          <w:b w:val="0"/>
          <w:bCs w:val="0"/>
          <w:color w:val="auto"/>
          <w:sz w:val="21"/>
          <w:szCs w:val="21"/>
          <w:highlight w:val="none"/>
          <w:lang w:val="en-US" w:eastAsia="zh-CN"/>
        </w:rPr>
      </w:pPr>
      <w:r>
        <w:rPr>
          <w:rFonts w:hint="eastAsia" w:ascii="仿宋_GB2312" w:hAnsi="Times New Roman" w:eastAsia="仿宋_GB2312" w:cs="Times New Roman"/>
          <w:b w:val="0"/>
          <w:bCs w:val="0"/>
          <w:color w:val="auto"/>
          <w:sz w:val="21"/>
          <w:szCs w:val="21"/>
          <w:highlight w:val="none"/>
          <w:lang w:val="en-US" w:eastAsia="zh-CN"/>
        </w:rPr>
        <w:t>详见下表12。</w:t>
      </w:r>
    </w:p>
    <w:p w14:paraId="4BB87E62">
      <w:pPr>
        <w:pStyle w:val="21"/>
        <w:spacing w:line="340" w:lineRule="exact"/>
        <w:ind w:left="420" w:firstLine="0" w:firstLineChars="0"/>
        <w:jc w:val="center"/>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b/>
          <w:bCs/>
          <w:color w:val="auto"/>
          <w:sz w:val="24"/>
          <w:szCs w:val="24"/>
          <w:highlight w:val="none"/>
        </w:rPr>
        <w:t>表1</w:t>
      </w:r>
      <w:r>
        <w:rPr>
          <w:rFonts w:hint="eastAsia" w:ascii="楷体_GB2312" w:hAnsi="楷体_GB2312" w:eastAsia="楷体_GB2312" w:cs="楷体_GB2312"/>
          <w:b/>
          <w:bCs/>
          <w:color w:val="auto"/>
          <w:sz w:val="24"/>
          <w:szCs w:val="24"/>
          <w:highlight w:val="none"/>
          <w:lang w:eastAsia="zh-CN"/>
        </w:rPr>
        <w:t>2</w:t>
      </w:r>
      <w:r>
        <w:rPr>
          <w:rFonts w:hint="eastAsia" w:ascii="楷体_GB2312" w:hAnsi="楷体_GB2312" w:eastAsia="楷体_GB2312" w:cs="楷体_GB2312"/>
          <w:b/>
          <w:bCs/>
          <w:color w:val="auto"/>
          <w:sz w:val="24"/>
          <w:szCs w:val="24"/>
          <w:highlight w:val="none"/>
        </w:rPr>
        <w:t xml:space="preserve">  双向两车道每个</w:t>
      </w:r>
      <w:r>
        <w:rPr>
          <w:rFonts w:hint="eastAsia" w:ascii="楷体_GB2312" w:hAnsi="楷体_GB2312" w:eastAsia="楷体_GB2312" w:cs="楷体_GB2312"/>
          <w:b/>
          <w:bCs/>
          <w:color w:val="auto"/>
          <w:sz w:val="24"/>
          <w:szCs w:val="24"/>
          <w:highlight w:val="none"/>
          <w:lang w:eastAsia="zh-CN"/>
        </w:rPr>
        <w:t>站点</w:t>
      </w:r>
      <w:r>
        <w:rPr>
          <w:rFonts w:hint="eastAsia" w:ascii="楷体_GB2312" w:hAnsi="楷体_GB2312" w:eastAsia="楷体_GB2312" w:cs="楷体_GB2312"/>
          <w:b/>
          <w:bCs/>
          <w:color w:val="auto"/>
          <w:sz w:val="24"/>
          <w:szCs w:val="24"/>
          <w:highlight w:val="none"/>
        </w:rPr>
        <w:t>设备配置表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449"/>
        <w:gridCol w:w="1704"/>
        <w:gridCol w:w="1705"/>
        <w:gridCol w:w="1705"/>
      </w:tblGrid>
      <w:tr w14:paraId="2C37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12" w:space="0"/>
              <w:left w:val="single" w:color="auto" w:sz="12" w:space="0"/>
              <w:bottom w:val="double" w:color="auto" w:sz="4" w:space="0"/>
            </w:tcBorders>
            <w:vAlign w:val="center"/>
          </w:tcPr>
          <w:p w14:paraId="44FF2445">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序号</w:t>
            </w:r>
          </w:p>
        </w:tc>
        <w:tc>
          <w:tcPr>
            <w:tcW w:w="2449" w:type="dxa"/>
            <w:tcBorders>
              <w:top w:val="single" w:color="auto" w:sz="12" w:space="0"/>
              <w:bottom w:val="double" w:color="auto" w:sz="4" w:space="0"/>
            </w:tcBorders>
            <w:vAlign w:val="center"/>
          </w:tcPr>
          <w:p w14:paraId="40FD2B0D">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设备名称</w:t>
            </w:r>
          </w:p>
        </w:tc>
        <w:tc>
          <w:tcPr>
            <w:tcW w:w="1704" w:type="dxa"/>
            <w:tcBorders>
              <w:top w:val="single" w:color="auto" w:sz="12" w:space="0"/>
              <w:bottom w:val="double" w:color="auto" w:sz="4" w:space="0"/>
            </w:tcBorders>
            <w:vAlign w:val="center"/>
          </w:tcPr>
          <w:p w14:paraId="25E5395E">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单位</w:t>
            </w:r>
          </w:p>
        </w:tc>
        <w:tc>
          <w:tcPr>
            <w:tcW w:w="1705" w:type="dxa"/>
            <w:tcBorders>
              <w:top w:val="single" w:color="auto" w:sz="12" w:space="0"/>
              <w:bottom w:val="double" w:color="auto" w:sz="4" w:space="0"/>
            </w:tcBorders>
            <w:vAlign w:val="center"/>
          </w:tcPr>
          <w:p w14:paraId="3F7D27EE">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数量</w:t>
            </w:r>
          </w:p>
        </w:tc>
        <w:tc>
          <w:tcPr>
            <w:tcW w:w="1705" w:type="dxa"/>
            <w:tcBorders>
              <w:top w:val="single" w:color="auto" w:sz="12" w:space="0"/>
              <w:bottom w:val="double" w:color="auto" w:sz="4" w:space="0"/>
              <w:right w:val="single" w:color="auto" w:sz="12" w:space="0"/>
            </w:tcBorders>
            <w:vAlign w:val="center"/>
          </w:tcPr>
          <w:p w14:paraId="5444E634">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备注</w:t>
            </w:r>
          </w:p>
        </w:tc>
      </w:tr>
      <w:tr w14:paraId="66B9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double" w:color="auto" w:sz="4" w:space="0"/>
              <w:left w:val="single" w:color="auto" w:sz="12" w:space="0"/>
            </w:tcBorders>
            <w:vAlign w:val="center"/>
          </w:tcPr>
          <w:p w14:paraId="5F4A5DB9">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449" w:type="dxa"/>
            <w:tcBorders>
              <w:top w:val="double" w:color="auto" w:sz="4" w:space="0"/>
            </w:tcBorders>
            <w:vAlign w:val="center"/>
          </w:tcPr>
          <w:p w14:paraId="3411C554">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公路交通情况调查设备</w:t>
            </w:r>
          </w:p>
        </w:tc>
        <w:tc>
          <w:tcPr>
            <w:tcW w:w="1704" w:type="dxa"/>
            <w:tcBorders>
              <w:top w:val="double" w:color="auto" w:sz="4" w:space="0"/>
            </w:tcBorders>
            <w:vAlign w:val="center"/>
          </w:tcPr>
          <w:p w14:paraId="7096FA11">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tcBorders>
              <w:top w:val="double" w:color="auto" w:sz="4" w:space="0"/>
            </w:tcBorders>
            <w:vAlign w:val="center"/>
          </w:tcPr>
          <w:p w14:paraId="0C29E535">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05" w:type="dxa"/>
            <w:tcBorders>
              <w:top w:val="double" w:color="auto" w:sz="4" w:space="0"/>
              <w:right w:val="single" w:color="auto" w:sz="12" w:space="0"/>
            </w:tcBorders>
            <w:vAlign w:val="center"/>
          </w:tcPr>
          <w:p w14:paraId="734136AE">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3C6E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7862CA3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2449" w:type="dxa"/>
            <w:vAlign w:val="center"/>
          </w:tcPr>
          <w:p w14:paraId="3B126A8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 w:eastAsia="仿宋_GB2312" w:cs="Times New Roman"/>
                <w:color w:val="auto"/>
                <w:sz w:val="21"/>
                <w:szCs w:val="21"/>
                <w:highlight w:val="none"/>
              </w:rPr>
              <w:t>终端管理设施</w:t>
            </w:r>
          </w:p>
        </w:tc>
        <w:tc>
          <w:tcPr>
            <w:tcW w:w="1704" w:type="dxa"/>
            <w:vAlign w:val="center"/>
          </w:tcPr>
          <w:p w14:paraId="6AAC61C3">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78729F0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05" w:type="dxa"/>
            <w:tcBorders>
              <w:right w:val="single" w:color="auto" w:sz="12" w:space="0"/>
            </w:tcBorders>
            <w:vAlign w:val="center"/>
          </w:tcPr>
          <w:p w14:paraId="2CF81E6D">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2064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54A1793F">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2449" w:type="dxa"/>
            <w:vAlign w:val="center"/>
          </w:tcPr>
          <w:p w14:paraId="5ADEEA0C">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数据模块（工业级）</w:t>
            </w:r>
          </w:p>
        </w:tc>
        <w:tc>
          <w:tcPr>
            <w:tcW w:w="1704" w:type="dxa"/>
            <w:vAlign w:val="center"/>
          </w:tcPr>
          <w:p w14:paraId="7D7884F6">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00EBC395">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05" w:type="dxa"/>
            <w:tcBorders>
              <w:right w:val="single" w:color="auto" w:sz="12" w:space="0"/>
            </w:tcBorders>
            <w:vAlign w:val="center"/>
          </w:tcPr>
          <w:p w14:paraId="6746E8AC">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5BDA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619CEAB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2449" w:type="dxa"/>
            <w:vAlign w:val="center"/>
          </w:tcPr>
          <w:p w14:paraId="46B1A4D2">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气象传感器</w:t>
            </w:r>
          </w:p>
        </w:tc>
        <w:tc>
          <w:tcPr>
            <w:tcW w:w="1704" w:type="dxa"/>
            <w:vAlign w:val="center"/>
          </w:tcPr>
          <w:p w14:paraId="3F0EEA4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429FD5C1">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05" w:type="dxa"/>
            <w:tcBorders>
              <w:right w:val="single" w:color="auto" w:sz="12" w:space="0"/>
            </w:tcBorders>
            <w:vAlign w:val="center"/>
          </w:tcPr>
          <w:p w14:paraId="442B7945">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27F2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41B80F7C">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2449" w:type="dxa"/>
            <w:vAlign w:val="center"/>
          </w:tcPr>
          <w:p w14:paraId="3CCE2873">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卡口抓拍摄像机</w:t>
            </w:r>
          </w:p>
        </w:tc>
        <w:tc>
          <w:tcPr>
            <w:tcW w:w="1704" w:type="dxa"/>
            <w:vAlign w:val="center"/>
          </w:tcPr>
          <w:p w14:paraId="61988F33">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6E3B86F2">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705" w:type="dxa"/>
            <w:tcBorders>
              <w:right w:val="single" w:color="auto" w:sz="12" w:space="0"/>
            </w:tcBorders>
            <w:vAlign w:val="center"/>
          </w:tcPr>
          <w:p w14:paraId="743C26AB">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2645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071FA9B7">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2449" w:type="dxa"/>
            <w:vAlign w:val="center"/>
          </w:tcPr>
          <w:p w14:paraId="22CEA967">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一体化补光灯</w:t>
            </w:r>
          </w:p>
        </w:tc>
        <w:tc>
          <w:tcPr>
            <w:tcW w:w="1704" w:type="dxa"/>
            <w:vAlign w:val="center"/>
          </w:tcPr>
          <w:p w14:paraId="607D622D">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5BDE029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705" w:type="dxa"/>
            <w:tcBorders>
              <w:right w:val="single" w:color="auto" w:sz="12" w:space="0"/>
            </w:tcBorders>
            <w:vAlign w:val="center"/>
          </w:tcPr>
          <w:p w14:paraId="2AFEB299">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77EB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003547B9">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w:t>
            </w:r>
          </w:p>
        </w:tc>
        <w:tc>
          <w:tcPr>
            <w:tcW w:w="2449" w:type="dxa"/>
            <w:vAlign w:val="center"/>
          </w:tcPr>
          <w:p w14:paraId="502638B3">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监控球型摄像机</w:t>
            </w:r>
          </w:p>
        </w:tc>
        <w:tc>
          <w:tcPr>
            <w:tcW w:w="1704" w:type="dxa"/>
            <w:vAlign w:val="center"/>
          </w:tcPr>
          <w:p w14:paraId="703904D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724230F2">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1</w:t>
            </w:r>
          </w:p>
        </w:tc>
        <w:tc>
          <w:tcPr>
            <w:tcW w:w="1705" w:type="dxa"/>
            <w:tcBorders>
              <w:right w:val="single" w:color="auto" w:sz="12" w:space="0"/>
            </w:tcBorders>
            <w:vAlign w:val="center"/>
          </w:tcPr>
          <w:p w14:paraId="2EDA6B05">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67DB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bottom w:val="single" w:color="auto" w:sz="12" w:space="0"/>
            </w:tcBorders>
            <w:vAlign w:val="center"/>
          </w:tcPr>
          <w:p w14:paraId="30CADD69">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2449" w:type="dxa"/>
            <w:tcBorders>
              <w:bottom w:val="single" w:color="auto" w:sz="12" w:space="0"/>
            </w:tcBorders>
            <w:vAlign w:val="center"/>
          </w:tcPr>
          <w:p w14:paraId="6B9D02C1">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智能中控机箱</w:t>
            </w:r>
          </w:p>
        </w:tc>
        <w:tc>
          <w:tcPr>
            <w:tcW w:w="1704" w:type="dxa"/>
            <w:tcBorders>
              <w:bottom w:val="single" w:color="auto" w:sz="12" w:space="0"/>
            </w:tcBorders>
            <w:vAlign w:val="center"/>
          </w:tcPr>
          <w:p w14:paraId="611003A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tcBorders>
              <w:bottom w:val="single" w:color="auto" w:sz="12" w:space="0"/>
            </w:tcBorders>
            <w:vAlign w:val="center"/>
          </w:tcPr>
          <w:p w14:paraId="78B2ED84">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05" w:type="dxa"/>
            <w:tcBorders>
              <w:bottom w:val="single" w:color="auto" w:sz="12" w:space="0"/>
              <w:right w:val="single" w:color="auto" w:sz="12" w:space="0"/>
            </w:tcBorders>
            <w:vAlign w:val="center"/>
          </w:tcPr>
          <w:p w14:paraId="45721855">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bl>
    <w:p w14:paraId="598E543D">
      <w:pPr>
        <w:pStyle w:val="5"/>
        <w:spacing w:line="340" w:lineRule="exact"/>
        <w:ind w:firstLine="422"/>
        <w:rPr>
          <w:color w:val="auto"/>
          <w:sz w:val="21"/>
          <w:szCs w:val="21"/>
          <w:highlight w:val="none"/>
        </w:rPr>
      </w:pPr>
      <w:r>
        <w:rPr>
          <w:rFonts w:hint="eastAsia"/>
          <w:color w:val="auto"/>
          <w:sz w:val="21"/>
          <w:szCs w:val="21"/>
          <w:highlight w:val="none"/>
        </w:rPr>
        <w:t>（2）双向四车道每个</w:t>
      </w:r>
      <w:r>
        <w:rPr>
          <w:rFonts w:hint="eastAsia"/>
          <w:color w:val="auto"/>
          <w:sz w:val="21"/>
          <w:szCs w:val="21"/>
          <w:highlight w:val="none"/>
          <w:lang w:eastAsia="zh-CN"/>
        </w:rPr>
        <w:t>站点</w:t>
      </w:r>
      <w:r>
        <w:rPr>
          <w:rFonts w:hint="eastAsia"/>
          <w:color w:val="auto"/>
          <w:sz w:val="21"/>
          <w:szCs w:val="21"/>
          <w:highlight w:val="none"/>
        </w:rPr>
        <w:t>设备配置</w:t>
      </w:r>
    </w:p>
    <w:p w14:paraId="5990EF5D">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公路交通情况调查设备1套（包含多功能交调软件），安装在</w:t>
      </w:r>
      <w:r>
        <w:rPr>
          <w:rFonts w:hint="eastAsia" w:ascii="仿宋_GB2312" w:hAnsi="仿宋_GB2312" w:eastAsia="仿宋_GB2312" w:cs="仿宋_GB2312"/>
          <w:color w:val="auto"/>
          <w:sz w:val="21"/>
          <w:szCs w:val="21"/>
          <w:highlight w:val="none"/>
          <w:lang w:val="en-US" w:eastAsia="zh-CN"/>
        </w:rPr>
        <w:t>公路</w:t>
      </w:r>
      <w:r>
        <w:rPr>
          <w:rFonts w:hint="eastAsia" w:ascii="仿宋_GB2312" w:hAnsi="仿宋_GB2312" w:eastAsia="仿宋_GB2312" w:cs="仿宋_GB2312"/>
          <w:color w:val="auto"/>
          <w:sz w:val="21"/>
          <w:szCs w:val="21"/>
          <w:highlight w:val="none"/>
        </w:rPr>
        <w:t>中间</w:t>
      </w:r>
      <w:r>
        <w:rPr>
          <w:rFonts w:hint="eastAsia" w:ascii="仿宋_GB2312" w:hAnsi="仿宋_GB2312" w:eastAsia="仿宋_GB2312" w:cs="仿宋_GB2312"/>
          <w:color w:val="auto"/>
          <w:sz w:val="21"/>
          <w:szCs w:val="21"/>
          <w:highlight w:val="none"/>
          <w:lang w:eastAsia="zh-CN"/>
        </w:rPr>
        <w:t>。</w:t>
      </w:r>
    </w:p>
    <w:p w14:paraId="18070FD6">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 w:eastAsia="仿宋_GB2312" w:cs="Times New Roman"/>
          <w:color w:val="auto"/>
          <w:sz w:val="21"/>
          <w:szCs w:val="21"/>
          <w:highlight w:val="none"/>
        </w:rPr>
        <w:t>终端管理设施</w:t>
      </w: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val="en-US" w:eastAsia="zh-CN"/>
        </w:rPr>
        <w:t>套</w:t>
      </w:r>
      <w:r>
        <w:rPr>
          <w:rFonts w:hint="eastAsia" w:ascii="仿宋_GB2312" w:hAnsi="仿宋_GB2312" w:eastAsia="仿宋_GB2312" w:cs="仿宋_GB2312"/>
          <w:color w:val="auto"/>
          <w:sz w:val="21"/>
          <w:szCs w:val="21"/>
          <w:highlight w:val="none"/>
          <w:lang w:eastAsia="zh-CN"/>
        </w:rPr>
        <w:t>。</w:t>
      </w:r>
    </w:p>
    <w:p w14:paraId="04615DA6">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数据模块（工业级）</w:t>
      </w:r>
      <w:r>
        <w:rPr>
          <w:rFonts w:hint="eastAsia" w:ascii="仿宋_GB2312" w:hAnsi="仿宋_GB2312" w:eastAsia="仿宋_GB2312" w:cs="仿宋_GB2312"/>
          <w:color w:val="auto"/>
          <w:sz w:val="21"/>
          <w:szCs w:val="21"/>
          <w:highlight w:val="none"/>
        </w:rPr>
        <w:t>1套</w:t>
      </w:r>
      <w:r>
        <w:rPr>
          <w:rFonts w:hint="eastAsia" w:ascii="仿宋_GB2312" w:hAnsi="仿宋_GB2312" w:eastAsia="仿宋_GB2312" w:cs="仿宋_GB2312"/>
          <w:color w:val="auto"/>
          <w:sz w:val="21"/>
          <w:szCs w:val="21"/>
          <w:highlight w:val="none"/>
          <w:lang w:eastAsia="zh-CN"/>
        </w:rPr>
        <w:t>。</w:t>
      </w:r>
    </w:p>
    <w:p w14:paraId="33D395D4">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气象传感器1套，安装在杆件立杆处</w:t>
      </w:r>
      <w:r>
        <w:rPr>
          <w:rFonts w:hint="eastAsia" w:ascii="仿宋_GB2312" w:hAnsi="仿宋_GB2312" w:eastAsia="仿宋_GB2312" w:cs="仿宋_GB2312"/>
          <w:color w:val="auto"/>
          <w:sz w:val="21"/>
          <w:szCs w:val="21"/>
          <w:highlight w:val="none"/>
          <w:lang w:eastAsia="zh-CN"/>
        </w:rPr>
        <w:t>。</w:t>
      </w:r>
    </w:p>
    <w:p w14:paraId="616478FE">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卡口抓拍摄像机2套，分别安装在上下行方向</w:t>
      </w:r>
      <w:r>
        <w:rPr>
          <w:rFonts w:hint="eastAsia" w:ascii="仿宋_GB2312" w:hAnsi="仿宋_GB2312" w:eastAsia="仿宋_GB2312" w:cs="仿宋_GB2312"/>
          <w:color w:val="auto"/>
          <w:sz w:val="21"/>
          <w:szCs w:val="21"/>
          <w:highlight w:val="none"/>
          <w:lang w:eastAsia="zh-CN"/>
        </w:rPr>
        <w:t>公路</w:t>
      </w:r>
      <w:r>
        <w:rPr>
          <w:rFonts w:hint="eastAsia" w:ascii="仿宋_GB2312" w:hAnsi="仿宋_GB2312" w:eastAsia="仿宋_GB2312" w:cs="仿宋_GB2312"/>
          <w:color w:val="auto"/>
          <w:sz w:val="21"/>
          <w:szCs w:val="21"/>
          <w:highlight w:val="none"/>
        </w:rPr>
        <w:t>中间，正对来车方向</w:t>
      </w:r>
      <w:r>
        <w:rPr>
          <w:rFonts w:hint="eastAsia" w:ascii="仿宋_GB2312" w:hAnsi="仿宋_GB2312" w:eastAsia="仿宋_GB2312" w:cs="仿宋_GB2312"/>
          <w:color w:val="auto"/>
          <w:sz w:val="21"/>
          <w:szCs w:val="21"/>
          <w:highlight w:val="none"/>
          <w:lang w:eastAsia="zh-CN"/>
        </w:rPr>
        <w:t>。</w:t>
      </w:r>
    </w:p>
    <w:p w14:paraId="38A9CBB2">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一体化补光灯4套，分别安装在车道正中间，正对来车方向</w:t>
      </w:r>
      <w:r>
        <w:rPr>
          <w:rFonts w:hint="eastAsia" w:ascii="仿宋_GB2312" w:hAnsi="仿宋_GB2312" w:eastAsia="仿宋_GB2312" w:cs="仿宋_GB2312"/>
          <w:color w:val="auto"/>
          <w:sz w:val="21"/>
          <w:szCs w:val="21"/>
          <w:highlight w:val="none"/>
          <w:lang w:eastAsia="zh-CN"/>
        </w:rPr>
        <w:t>。</w:t>
      </w:r>
    </w:p>
    <w:p w14:paraId="6EE73DCE">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监控球型摄像机1套，安装在</w:t>
      </w:r>
      <w:r>
        <w:rPr>
          <w:rFonts w:hint="eastAsia" w:ascii="仿宋_GB2312" w:hAnsi="仿宋_GB2312" w:eastAsia="仿宋_GB2312" w:cs="仿宋_GB2312"/>
          <w:color w:val="auto"/>
          <w:sz w:val="21"/>
          <w:szCs w:val="21"/>
          <w:highlight w:val="none"/>
          <w:lang w:eastAsia="zh-CN"/>
        </w:rPr>
        <w:t>公路</w:t>
      </w:r>
      <w:r>
        <w:rPr>
          <w:rFonts w:hint="eastAsia" w:ascii="仿宋_GB2312" w:hAnsi="仿宋_GB2312" w:eastAsia="仿宋_GB2312" w:cs="仿宋_GB2312"/>
          <w:color w:val="auto"/>
          <w:sz w:val="21"/>
          <w:szCs w:val="21"/>
          <w:highlight w:val="none"/>
        </w:rPr>
        <w:t>中间</w:t>
      </w:r>
      <w:r>
        <w:rPr>
          <w:rFonts w:hint="eastAsia" w:ascii="仿宋_GB2312" w:hAnsi="仿宋_GB2312" w:eastAsia="仿宋_GB2312" w:cs="仿宋_GB2312"/>
          <w:color w:val="auto"/>
          <w:sz w:val="21"/>
          <w:szCs w:val="21"/>
          <w:highlight w:val="none"/>
          <w:lang w:eastAsia="zh-CN"/>
        </w:rPr>
        <w:t>。</w:t>
      </w:r>
    </w:p>
    <w:p w14:paraId="2057404E">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杆件基础1套（结合站点现场选配合适杆件类型尺寸），高度7.5米，长度横跨整个路面，应避开高的建筑目标或树木，以免遮挡监控视线</w:t>
      </w:r>
      <w:r>
        <w:rPr>
          <w:rFonts w:hint="eastAsia" w:ascii="仿宋_GB2312" w:hAnsi="仿宋_GB2312" w:eastAsia="仿宋_GB2312" w:cs="仿宋_GB2312"/>
          <w:color w:val="auto"/>
          <w:sz w:val="21"/>
          <w:szCs w:val="21"/>
          <w:highlight w:val="none"/>
          <w:lang w:eastAsia="zh-CN"/>
        </w:rPr>
        <w:t>。</w:t>
      </w:r>
    </w:p>
    <w:p w14:paraId="29F9C0E4">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智能中控机箱1套，安装在立杆2.5米位置</w:t>
      </w:r>
      <w:r>
        <w:rPr>
          <w:rFonts w:hint="eastAsia" w:ascii="仿宋_GB2312" w:hAnsi="仿宋_GB2312" w:eastAsia="仿宋_GB2312" w:cs="仿宋_GB2312"/>
          <w:color w:val="auto"/>
          <w:sz w:val="21"/>
          <w:szCs w:val="21"/>
          <w:highlight w:val="none"/>
          <w:lang w:eastAsia="zh-CN"/>
        </w:rPr>
        <w:t>。</w:t>
      </w:r>
    </w:p>
    <w:p w14:paraId="73FFECD6">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hint="eastAsia" w:ascii="仿宋_GB2312" w:hAnsi="Times New Roman" w:eastAsia="仿宋_GB2312" w:cs="Times New Roman"/>
          <w:b w:val="0"/>
          <w:bCs w:val="0"/>
          <w:color w:val="auto"/>
          <w:sz w:val="21"/>
          <w:szCs w:val="21"/>
          <w:highlight w:val="none"/>
          <w:lang w:val="en-US" w:eastAsia="zh-CN"/>
        </w:rPr>
        <w:t>详见下表13。</w:t>
      </w:r>
    </w:p>
    <w:p w14:paraId="08317DC6">
      <w:pPr>
        <w:pStyle w:val="21"/>
        <w:spacing w:line="340" w:lineRule="exact"/>
        <w:ind w:left="420" w:firstLine="0" w:firstLineChars="0"/>
        <w:jc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表1</w:t>
      </w:r>
      <w:r>
        <w:rPr>
          <w:rFonts w:hint="eastAsia" w:ascii="楷体_GB2312" w:hAnsi="楷体_GB2312" w:eastAsia="楷体_GB2312" w:cs="楷体_GB2312"/>
          <w:b/>
          <w:bCs/>
          <w:color w:val="auto"/>
          <w:sz w:val="24"/>
          <w:szCs w:val="24"/>
          <w:highlight w:val="none"/>
          <w:lang w:eastAsia="zh-CN"/>
        </w:rPr>
        <w:t>3</w:t>
      </w:r>
      <w:r>
        <w:rPr>
          <w:rFonts w:hint="eastAsia" w:ascii="楷体_GB2312" w:hAnsi="楷体_GB2312" w:eastAsia="楷体_GB2312" w:cs="楷体_GB2312"/>
          <w:b/>
          <w:bCs/>
          <w:color w:val="auto"/>
          <w:sz w:val="24"/>
          <w:szCs w:val="24"/>
          <w:highlight w:val="none"/>
        </w:rPr>
        <w:t xml:space="preserve">  双向四车道每个</w:t>
      </w:r>
      <w:r>
        <w:rPr>
          <w:rFonts w:hint="eastAsia" w:ascii="楷体_GB2312" w:hAnsi="楷体_GB2312" w:eastAsia="楷体_GB2312" w:cs="楷体_GB2312"/>
          <w:b/>
          <w:bCs/>
          <w:color w:val="auto"/>
          <w:sz w:val="24"/>
          <w:szCs w:val="24"/>
          <w:highlight w:val="none"/>
          <w:lang w:eastAsia="zh-CN"/>
        </w:rPr>
        <w:t>站点</w:t>
      </w:r>
      <w:r>
        <w:rPr>
          <w:rFonts w:hint="eastAsia" w:ascii="楷体_GB2312" w:hAnsi="楷体_GB2312" w:eastAsia="楷体_GB2312" w:cs="楷体_GB2312"/>
          <w:b/>
          <w:bCs/>
          <w:color w:val="auto"/>
          <w:sz w:val="24"/>
          <w:szCs w:val="24"/>
          <w:highlight w:val="none"/>
        </w:rPr>
        <w:t>设备配置表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449"/>
        <w:gridCol w:w="1704"/>
        <w:gridCol w:w="1705"/>
        <w:gridCol w:w="1705"/>
      </w:tblGrid>
      <w:tr w14:paraId="442E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12" w:space="0"/>
              <w:left w:val="single" w:color="auto" w:sz="12" w:space="0"/>
              <w:bottom w:val="double" w:color="auto" w:sz="4" w:space="0"/>
            </w:tcBorders>
            <w:vAlign w:val="center"/>
          </w:tcPr>
          <w:p w14:paraId="74815495">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序号</w:t>
            </w:r>
          </w:p>
        </w:tc>
        <w:tc>
          <w:tcPr>
            <w:tcW w:w="2449" w:type="dxa"/>
            <w:tcBorders>
              <w:top w:val="single" w:color="auto" w:sz="12" w:space="0"/>
              <w:bottom w:val="double" w:color="auto" w:sz="4" w:space="0"/>
            </w:tcBorders>
            <w:vAlign w:val="center"/>
          </w:tcPr>
          <w:p w14:paraId="52B140A3">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设备名称</w:t>
            </w:r>
          </w:p>
        </w:tc>
        <w:tc>
          <w:tcPr>
            <w:tcW w:w="1704" w:type="dxa"/>
            <w:tcBorders>
              <w:top w:val="single" w:color="auto" w:sz="12" w:space="0"/>
              <w:bottom w:val="double" w:color="auto" w:sz="4" w:space="0"/>
            </w:tcBorders>
            <w:vAlign w:val="center"/>
          </w:tcPr>
          <w:p w14:paraId="74AA2BA6">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单位</w:t>
            </w:r>
          </w:p>
        </w:tc>
        <w:tc>
          <w:tcPr>
            <w:tcW w:w="1705" w:type="dxa"/>
            <w:tcBorders>
              <w:top w:val="single" w:color="auto" w:sz="12" w:space="0"/>
              <w:bottom w:val="double" w:color="auto" w:sz="4" w:space="0"/>
            </w:tcBorders>
            <w:vAlign w:val="center"/>
          </w:tcPr>
          <w:p w14:paraId="327EAF1F">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数量</w:t>
            </w:r>
          </w:p>
        </w:tc>
        <w:tc>
          <w:tcPr>
            <w:tcW w:w="1705" w:type="dxa"/>
            <w:tcBorders>
              <w:top w:val="single" w:color="auto" w:sz="12" w:space="0"/>
              <w:bottom w:val="double" w:color="auto" w:sz="4" w:space="0"/>
              <w:right w:val="single" w:color="auto" w:sz="12" w:space="0"/>
            </w:tcBorders>
            <w:vAlign w:val="center"/>
          </w:tcPr>
          <w:p w14:paraId="121BDCEC">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备注</w:t>
            </w:r>
          </w:p>
        </w:tc>
      </w:tr>
      <w:tr w14:paraId="6140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double" w:color="auto" w:sz="4" w:space="0"/>
              <w:left w:val="single" w:color="auto" w:sz="12" w:space="0"/>
            </w:tcBorders>
            <w:vAlign w:val="center"/>
          </w:tcPr>
          <w:p w14:paraId="50130DB8">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449" w:type="dxa"/>
            <w:tcBorders>
              <w:top w:val="double" w:color="auto" w:sz="4" w:space="0"/>
            </w:tcBorders>
            <w:vAlign w:val="center"/>
          </w:tcPr>
          <w:p w14:paraId="38762E6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公路交通情况调查设备</w:t>
            </w:r>
          </w:p>
        </w:tc>
        <w:tc>
          <w:tcPr>
            <w:tcW w:w="1704" w:type="dxa"/>
            <w:tcBorders>
              <w:top w:val="double" w:color="auto" w:sz="4" w:space="0"/>
            </w:tcBorders>
            <w:vAlign w:val="center"/>
          </w:tcPr>
          <w:p w14:paraId="2F154158">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tcBorders>
              <w:top w:val="double" w:color="auto" w:sz="4" w:space="0"/>
            </w:tcBorders>
            <w:vAlign w:val="center"/>
          </w:tcPr>
          <w:p w14:paraId="123B838D">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05" w:type="dxa"/>
            <w:tcBorders>
              <w:top w:val="double" w:color="auto" w:sz="4" w:space="0"/>
              <w:right w:val="single" w:color="auto" w:sz="12" w:space="0"/>
            </w:tcBorders>
            <w:vAlign w:val="center"/>
          </w:tcPr>
          <w:p w14:paraId="4CDE0F4D">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3D6A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438806C7">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2449" w:type="dxa"/>
            <w:vAlign w:val="center"/>
          </w:tcPr>
          <w:p w14:paraId="7D9CED53">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 w:eastAsia="仿宋_GB2312" w:cs="Times New Roman"/>
                <w:color w:val="auto"/>
                <w:sz w:val="21"/>
                <w:szCs w:val="21"/>
                <w:highlight w:val="none"/>
              </w:rPr>
              <w:t>终端管理设施</w:t>
            </w:r>
          </w:p>
        </w:tc>
        <w:tc>
          <w:tcPr>
            <w:tcW w:w="1704" w:type="dxa"/>
            <w:vAlign w:val="center"/>
          </w:tcPr>
          <w:p w14:paraId="5A9CD78B">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5E42D57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05" w:type="dxa"/>
            <w:tcBorders>
              <w:right w:val="single" w:color="auto" w:sz="12" w:space="0"/>
            </w:tcBorders>
            <w:vAlign w:val="center"/>
          </w:tcPr>
          <w:p w14:paraId="65925BEE">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1690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4F981F0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2449" w:type="dxa"/>
            <w:vAlign w:val="center"/>
          </w:tcPr>
          <w:p w14:paraId="6B964243">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数据模块（工业级）</w:t>
            </w:r>
          </w:p>
        </w:tc>
        <w:tc>
          <w:tcPr>
            <w:tcW w:w="1704" w:type="dxa"/>
            <w:vAlign w:val="center"/>
          </w:tcPr>
          <w:p w14:paraId="3DDF0365">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44B54A8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05" w:type="dxa"/>
            <w:tcBorders>
              <w:right w:val="single" w:color="auto" w:sz="12" w:space="0"/>
            </w:tcBorders>
            <w:vAlign w:val="center"/>
          </w:tcPr>
          <w:p w14:paraId="025DB802">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0235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2E127941">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2449" w:type="dxa"/>
            <w:vAlign w:val="center"/>
          </w:tcPr>
          <w:p w14:paraId="2C2ABBA9">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气象传感器</w:t>
            </w:r>
          </w:p>
        </w:tc>
        <w:tc>
          <w:tcPr>
            <w:tcW w:w="1704" w:type="dxa"/>
            <w:vAlign w:val="center"/>
          </w:tcPr>
          <w:p w14:paraId="154A158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20E2A75D">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05" w:type="dxa"/>
            <w:tcBorders>
              <w:right w:val="single" w:color="auto" w:sz="12" w:space="0"/>
            </w:tcBorders>
            <w:vAlign w:val="center"/>
          </w:tcPr>
          <w:p w14:paraId="1061618C">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56BD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2C50C0BC">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2449" w:type="dxa"/>
            <w:vAlign w:val="center"/>
          </w:tcPr>
          <w:p w14:paraId="64709F8E">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卡口抓拍摄像机</w:t>
            </w:r>
          </w:p>
        </w:tc>
        <w:tc>
          <w:tcPr>
            <w:tcW w:w="1704" w:type="dxa"/>
            <w:vAlign w:val="center"/>
          </w:tcPr>
          <w:p w14:paraId="1234F192">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730ECD8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705" w:type="dxa"/>
            <w:tcBorders>
              <w:right w:val="single" w:color="auto" w:sz="12" w:space="0"/>
            </w:tcBorders>
            <w:vAlign w:val="center"/>
          </w:tcPr>
          <w:p w14:paraId="20F1C171">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2064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32F64EA3">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2449" w:type="dxa"/>
            <w:vAlign w:val="center"/>
          </w:tcPr>
          <w:p w14:paraId="1D05985F">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一体化补光灯</w:t>
            </w:r>
          </w:p>
        </w:tc>
        <w:tc>
          <w:tcPr>
            <w:tcW w:w="1704" w:type="dxa"/>
            <w:vAlign w:val="center"/>
          </w:tcPr>
          <w:p w14:paraId="591A1438">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640E5C33">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1705" w:type="dxa"/>
            <w:tcBorders>
              <w:right w:val="single" w:color="auto" w:sz="12" w:space="0"/>
            </w:tcBorders>
            <w:vAlign w:val="center"/>
          </w:tcPr>
          <w:p w14:paraId="02B50C91">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4F8D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tcBorders>
              <w:left w:val="single" w:color="auto" w:sz="12" w:space="0"/>
            </w:tcBorders>
            <w:vAlign w:val="center"/>
          </w:tcPr>
          <w:p w14:paraId="5AF48A05">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w:t>
            </w:r>
          </w:p>
        </w:tc>
        <w:tc>
          <w:tcPr>
            <w:tcW w:w="2449" w:type="dxa"/>
            <w:vAlign w:val="center"/>
          </w:tcPr>
          <w:p w14:paraId="2F06F2C8">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监控球型摄像机</w:t>
            </w:r>
          </w:p>
        </w:tc>
        <w:tc>
          <w:tcPr>
            <w:tcW w:w="1704" w:type="dxa"/>
            <w:vAlign w:val="center"/>
          </w:tcPr>
          <w:p w14:paraId="0E0581C1">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339E721B">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1</w:t>
            </w:r>
          </w:p>
        </w:tc>
        <w:tc>
          <w:tcPr>
            <w:tcW w:w="1705" w:type="dxa"/>
            <w:tcBorders>
              <w:right w:val="single" w:color="auto" w:sz="12" w:space="0"/>
            </w:tcBorders>
            <w:vAlign w:val="center"/>
          </w:tcPr>
          <w:p w14:paraId="61AFD8B9">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2169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bottom w:val="single" w:color="auto" w:sz="12" w:space="0"/>
            </w:tcBorders>
            <w:vAlign w:val="center"/>
          </w:tcPr>
          <w:p w14:paraId="1BD2647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2449" w:type="dxa"/>
            <w:tcBorders>
              <w:bottom w:val="single" w:color="auto" w:sz="12" w:space="0"/>
            </w:tcBorders>
            <w:vAlign w:val="center"/>
          </w:tcPr>
          <w:p w14:paraId="338B75B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智能中控机箱</w:t>
            </w:r>
          </w:p>
        </w:tc>
        <w:tc>
          <w:tcPr>
            <w:tcW w:w="1704" w:type="dxa"/>
            <w:tcBorders>
              <w:bottom w:val="single" w:color="auto" w:sz="12" w:space="0"/>
            </w:tcBorders>
            <w:vAlign w:val="center"/>
          </w:tcPr>
          <w:p w14:paraId="28A0E988">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tcBorders>
              <w:bottom w:val="single" w:color="auto" w:sz="12" w:space="0"/>
            </w:tcBorders>
            <w:vAlign w:val="center"/>
          </w:tcPr>
          <w:p w14:paraId="15E8319C">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05" w:type="dxa"/>
            <w:tcBorders>
              <w:bottom w:val="single" w:color="auto" w:sz="12" w:space="0"/>
              <w:right w:val="single" w:color="auto" w:sz="12" w:space="0"/>
            </w:tcBorders>
            <w:vAlign w:val="center"/>
          </w:tcPr>
          <w:p w14:paraId="00CF9AEE">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bl>
    <w:p w14:paraId="2F5FA84B">
      <w:pPr>
        <w:pStyle w:val="5"/>
        <w:spacing w:line="340" w:lineRule="exact"/>
        <w:ind w:firstLineChars="0"/>
        <w:rPr>
          <w:b w:val="0"/>
          <w:color w:val="auto"/>
          <w:sz w:val="21"/>
          <w:szCs w:val="21"/>
          <w:highlight w:val="none"/>
        </w:rPr>
      </w:pPr>
      <w:r>
        <w:rPr>
          <w:rFonts w:hint="eastAsia"/>
          <w:color w:val="auto"/>
          <w:sz w:val="21"/>
          <w:szCs w:val="21"/>
          <w:highlight w:val="none"/>
        </w:rPr>
        <w:t>（3）双向六车道每个</w:t>
      </w:r>
      <w:r>
        <w:rPr>
          <w:rFonts w:hint="eastAsia"/>
          <w:color w:val="auto"/>
          <w:sz w:val="21"/>
          <w:szCs w:val="21"/>
          <w:highlight w:val="none"/>
          <w:lang w:eastAsia="zh-CN"/>
        </w:rPr>
        <w:t>站点</w:t>
      </w:r>
      <w:r>
        <w:rPr>
          <w:rFonts w:hint="eastAsia"/>
          <w:color w:val="auto"/>
          <w:sz w:val="21"/>
          <w:szCs w:val="21"/>
          <w:highlight w:val="none"/>
        </w:rPr>
        <w:t>设备配置</w:t>
      </w:r>
    </w:p>
    <w:p w14:paraId="1E7798B8">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公路交通情况调查设备1套（包含多功能交调软件），安装在</w:t>
      </w:r>
      <w:r>
        <w:rPr>
          <w:rFonts w:hint="eastAsia" w:ascii="仿宋_GB2312" w:hAnsi="仿宋_GB2312" w:eastAsia="仿宋_GB2312" w:cs="仿宋_GB2312"/>
          <w:color w:val="auto"/>
          <w:sz w:val="21"/>
          <w:szCs w:val="21"/>
          <w:highlight w:val="none"/>
          <w:lang w:eastAsia="zh-CN"/>
        </w:rPr>
        <w:t>公路</w:t>
      </w:r>
      <w:r>
        <w:rPr>
          <w:rFonts w:hint="eastAsia" w:ascii="仿宋_GB2312" w:hAnsi="仿宋_GB2312" w:eastAsia="仿宋_GB2312" w:cs="仿宋_GB2312"/>
          <w:color w:val="auto"/>
          <w:sz w:val="21"/>
          <w:szCs w:val="21"/>
          <w:highlight w:val="none"/>
        </w:rPr>
        <w:t>中间</w:t>
      </w:r>
      <w:r>
        <w:rPr>
          <w:rFonts w:hint="eastAsia" w:ascii="仿宋_GB2312" w:hAnsi="仿宋_GB2312" w:eastAsia="仿宋_GB2312" w:cs="仿宋_GB2312"/>
          <w:color w:val="auto"/>
          <w:sz w:val="21"/>
          <w:szCs w:val="21"/>
          <w:highlight w:val="none"/>
          <w:lang w:eastAsia="zh-CN"/>
        </w:rPr>
        <w:t>。</w:t>
      </w:r>
    </w:p>
    <w:p w14:paraId="28200C27">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 w:eastAsia="仿宋_GB2312" w:cs="Times New Roman"/>
          <w:color w:val="auto"/>
          <w:sz w:val="21"/>
          <w:szCs w:val="21"/>
          <w:highlight w:val="none"/>
        </w:rPr>
        <w:t>终端管理设施</w:t>
      </w:r>
      <w:r>
        <w:rPr>
          <w:rFonts w:hint="eastAsia" w:ascii="仿宋_GB2312" w:hAnsi="仿宋_GB2312" w:eastAsia="仿宋_GB2312" w:cs="仿宋_GB2312"/>
          <w:color w:val="auto"/>
          <w:sz w:val="21"/>
          <w:szCs w:val="21"/>
          <w:highlight w:val="none"/>
        </w:rPr>
        <w:t>1套</w:t>
      </w:r>
      <w:r>
        <w:rPr>
          <w:rFonts w:hint="eastAsia" w:ascii="仿宋_GB2312" w:hAnsi="仿宋_GB2312" w:eastAsia="仿宋_GB2312" w:cs="仿宋_GB2312"/>
          <w:color w:val="auto"/>
          <w:sz w:val="21"/>
          <w:szCs w:val="21"/>
          <w:highlight w:val="none"/>
          <w:lang w:eastAsia="zh-CN"/>
        </w:rPr>
        <w:t>。</w:t>
      </w:r>
    </w:p>
    <w:p w14:paraId="52480981">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数据模块（工业级）</w:t>
      </w:r>
      <w:r>
        <w:rPr>
          <w:rFonts w:hint="eastAsia" w:ascii="仿宋_GB2312" w:hAnsi="仿宋_GB2312" w:eastAsia="仿宋_GB2312" w:cs="仿宋_GB2312"/>
          <w:color w:val="auto"/>
          <w:sz w:val="21"/>
          <w:szCs w:val="21"/>
          <w:highlight w:val="none"/>
        </w:rPr>
        <w:t>1套</w:t>
      </w:r>
      <w:r>
        <w:rPr>
          <w:rFonts w:hint="eastAsia" w:ascii="仿宋_GB2312" w:hAnsi="仿宋_GB2312" w:eastAsia="仿宋_GB2312" w:cs="仿宋_GB2312"/>
          <w:color w:val="auto"/>
          <w:sz w:val="21"/>
          <w:szCs w:val="21"/>
          <w:highlight w:val="none"/>
          <w:lang w:eastAsia="zh-CN"/>
        </w:rPr>
        <w:t>。</w:t>
      </w:r>
    </w:p>
    <w:p w14:paraId="4D424EF6">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气象传感器1套，安装在杆件立杆处</w:t>
      </w:r>
      <w:r>
        <w:rPr>
          <w:rFonts w:hint="eastAsia" w:ascii="仿宋_GB2312" w:hAnsi="仿宋_GB2312" w:eastAsia="仿宋_GB2312" w:cs="仿宋_GB2312"/>
          <w:color w:val="auto"/>
          <w:sz w:val="21"/>
          <w:szCs w:val="21"/>
          <w:highlight w:val="none"/>
          <w:lang w:eastAsia="zh-CN"/>
        </w:rPr>
        <w:t>。</w:t>
      </w:r>
    </w:p>
    <w:p w14:paraId="18CE2FE1">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卡口抓拍摄像机2套，分别安装在上下行方向</w:t>
      </w:r>
      <w:r>
        <w:rPr>
          <w:rFonts w:hint="eastAsia" w:ascii="仿宋_GB2312" w:hAnsi="仿宋_GB2312" w:eastAsia="仿宋_GB2312" w:cs="仿宋_GB2312"/>
          <w:color w:val="auto"/>
          <w:sz w:val="21"/>
          <w:szCs w:val="21"/>
          <w:highlight w:val="none"/>
          <w:lang w:eastAsia="zh-CN"/>
        </w:rPr>
        <w:t>公路</w:t>
      </w:r>
      <w:r>
        <w:rPr>
          <w:rFonts w:hint="eastAsia" w:ascii="仿宋_GB2312" w:hAnsi="仿宋_GB2312" w:eastAsia="仿宋_GB2312" w:cs="仿宋_GB2312"/>
          <w:color w:val="auto"/>
          <w:sz w:val="21"/>
          <w:szCs w:val="21"/>
          <w:highlight w:val="none"/>
        </w:rPr>
        <w:t>中间，正对来车方向</w:t>
      </w:r>
      <w:r>
        <w:rPr>
          <w:rFonts w:hint="eastAsia" w:ascii="仿宋_GB2312" w:hAnsi="仿宋_GB2312" w:eastAsia="仿宋_GB2312" w:cs="仿宋_GB2312"/>
          <w:color w:val="auto"/>
          <w:sz w:val="21"/>
          <w:szCs w:val="21"/>
          <w:highlight w:val="none"/>
          <w:lang w:eastAsia="zh-CN"/>
        </w:rPr>
        <w:t>。</w:t>
      </w:r>
    </w:p>
    <w:p w14:paraId="5FC4BDF4">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一体化补光灯6套，分别安装在车道正中间，正对来车方向</w:t>
      </w:r>
      <w:r>
        <w:rPr>
          <w:rFonts w:hint="eastAsia" w:ascii="仿宋_GB2312" w:hAnsi="仿宋_GB2312" w:eastAsia="仿宋_GB2312" w:cs="仿宋_GB2312"/>
          <w:color w:val="auto"/>
          <w:sz w:val="21"/>
          <w:szCs w:val="21"/>
          <w:highlight w:val="none"/>
          <w:lang w:eastAsia="zh-CN"/>
        </w:rPr>
        <w:t>。</w:t>
      </w:r>
    </w:p>
    <w:p w14:paraId="05ED0DFE">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监控球型摄像机1套，安装在</w:t>
      </w:r>
      <w:r>
        <w:rPr>
          <w:rFonts w:hint="eastAsia" w:ascii="仿宋_GB2312" w:hAnsi="仿宋_GB2312" w:eastAsia="仿宋_GB2312" w:cs="仿宋_GB2312"/>
          <w:color w:val="auto"/>
          <w:sz w:val="21"/>
          <w:szCs w:val="21"/>
          <w:highlight w:val="none"/>
          <w:lang w:eastAsia="zh-CN"/>
        </w:rPr>
        <w:t>公路</w:t>
      </w:r>
      <w:r>
        <w:rPr>
          <w:rFonts w:hint="eastAsia" w:ascii="仿宋_GB2312" w:hAnsi="仿宋_GB2312" w:eastAsia="仿宋_GB2312" w:cs="仿宋_GB2312"/>
          <w:color w:val="auto"/>
          <w:sz w:val="21"/>
          <w:szCs w:val="21"/>
          <w:highlight w:val="none"/>
        </w:rPr>
        <w:t>中间</w:t>
      </w:r>
      <w:r>
        <w:rPr>
          <w:rFonts w:hint="eastAsia" w:ascii="仿宋_GB2312" w:hAnsi="仿宋_GB2312" w:eastAsia="仿宋_GB2312" w:cs="仿宋_GB2312"/>
          <w:color w:val="auto"/>
          <w:sz w:val="21"/>
          <w:szCs w:val="21"/>
          <w:highlight w:val="none"/>
          <w:lang w:eastAsia="zh-CN"/>
        </w:rPr>
        <w:t>。</w:t>
      </w:r>
    </w:p>
    <w:p w14:paraId="257A7E25">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杆件基础1套（结合站点现场选配合适杆件类型尺寸），高度7.5米，长度横跨整个路面，应避开高的建筑目标或树木，以免遮挡监控视线</w:t>
      </w:r>
      <w:r>
        <w:rPr>
          <w:rFonts w:hint="eastAsia" w:ascii="仿宋_GB2312" w:hAnsi="仿宋_GB2312" w:eastAsia="仿宋_GB2312" w:cs="仿宋_GB2312"/>
          <w:color w:val="auto"/>
          <w:sz w:val="21"/>
          <w:szCs w:val="21"/>
          <w:highlight w:val="none"/>
          <w:lang w:eastAsia="zh-CN"/>
        </w:rPr>
        <w:t>。</w:t>
      </w:r>
    </w:p>
    <w:p w14:paraId="697811B8">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智能中控机箱1套，安装在立杆2.5米位置</w:t>
      </w:r>
      <w:r>
        <w:rPr>
          <w:rFonts w:hint="eastAsia" w:ascii="仿宋_GB2312" w:hAnsi="仿宋_GB2312" w:eastAsia="仿宋_GB2312" w:cs="仿宋_GB2312"/>
          <w:color w:val="auto"/>
          <w:sz w:val="21"/>
          <w:szCs w:val="21"/>
          <w:highlight w:val="none"/>
          <w:lang w:eastAsia="zh-CN"/>
        </w:rPr>
        <w:t>。</w:t>
      </w:r>
    </w:p>
    <w:p w14:paraId="5CA2AF2E">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hint="eastAsia" w:ascii="仿宋_GB2312" w:hAnsi="Times New Roman" w:eastAsia="仿宋_GB2312" w:cs="Times New Roman"/>
          <w:b w:val="0"/>
          <w:bCs w:val="0"/>
          <w:color w:val="auto"/>
          <w:sz w:val="21"/>
          <w:szCs w:val="21"/>
          <w:highlight w:val="none"/>
          <w:lang w:val="en-US" w:eastAsia="zh-CN"/>
        </w:rPr>
        <w:t>详见下表14。</w:t>
      </w:r>
    </w:p>
    <w:p w14:paraId="197D95C3">
      <w:pPr>
        <w:pStyle w:val="21"/>
        <w:spacing w:line="340" w:lineRule="exact"/>
        <w:ind w:left="420" w:firstLine="0" w:firstLineChars="0"/>
        <w:jc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表1</w:t>
      </w:r>
      <w:r>
        <w:rPr>
          <w:rFonts w:hint="eastAsia" w:ascii="楷体_GB2312" w:hAnsi="楷体_GB2312" w:eastAsia="楷体_GB2312" w:cs="楷体_GB2312"/>
          <w:b/>
          <w:bCs/>
          <w:color w:val="auto"/>
          <w:sz w:val="24"/>
          <w:szCs w:val="24"/>
          <w:highlight w:val="none"/>
          <w:lang w:eastAsia="zh-CN"/>
        </w:rPr>
        <w:t>4</w:t>
      </w:r>
      <w:r>
        <w:rPr>
          <w:rFonts w:hint="eastAsia" w:ascii="楷体_GB2312" w:hAnsi="楷体_GB2312" w:eastAsia="楷体_GB2312" w:cs="楷体_GB2312"/>
          <w:b/>
          <w:bCs/>
          <w:color w:val="auto"/>
          <w:sz w:val="24"/>
          <w:szCs w:val="24"/>
          <w:highlight w:val="none"/>
        </w:rPr>
        <w:t xml:space="preserve">   双向六车道每个</w:t>
      </w:r>
      <w:r>
        <w:rPr>
          <w:rFonts w:hint="eastAsia" w:ascii="楷体_GB2312" w:hAnsi="楷体_GB2312" w:eastAsia="楷体_GB2312" w:cs="楷体_GB2312"/>
          <w:b/>
          <w:bCs/>
          <w:color w:val="auto"/>
          <w:sz w:val="24"/>
          <w:szCs w:val="24"/>
          <w:highlight w:val="none"/>
          <w:lang w:eastAsia="zh-CN"/>
        </w:rPr>
        <w:t>站点</w:t>
      </w:r>
      <w:r>
        <w:rPr>
          <w:rFonts w:hint="eastAsia" w:ascii="楷体_GB2312" w:hAnsi="楷体_GB2312" w:eastAsia="楷体_GB2312" w:cs="楷体_GB2312"/>
          <w:b/>
          <w:bCs/>
          <w:color w:val="auto"/>
          <w:sz w:val="24"/>
          <w:szCs w:val="24"/>
          <w:highlight w:val="none"/>
        </w:rPr>
        <w:t>设备配置表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449"/>
        <w:gridCol w:w="1704"/>
        <w:gridCol w:w="1705"/>
        <w:gridCol w:w="1705"/>
      </w:tblGrid>
      <w:tr w14:paraId="7DBE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12" w:space="0"/>
              <w:left w:val="single" w:color="auto" w:sz="12" w:space="0"/>
              <w:bottom w:val="double" w:color="auto" w:sz="4" w:space="0"/>
            </w:tcBorders>
            <w:vAlign w:val="center"/>
          </w:tcPr>
          <w:p w14:paraId="7D04E449">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序号</w:t>
            </w:r>
          </w:p>
        </w:tc>
        <w:tc>
          <w:tcPr>
            <w:tcW w:w="2449" w:type="dxa"/>
            <w:tcBorders>
              <w:top w:val="single" w:color="auto" w:sz="12" w:space="0"/>
              <w:bottom w:val="double" w:color="auto" w:sz="4" w:space="0"/>
            </w:tcBorders>
            <w:vAlign w:val="center"/>
          </w:tcPr>
          <w:p w14:paraId="721EF585">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设备名称</w:t>
            </w:r>
          </w:p>
        </w:tc>
        <w:tc>
          <w:tcPr>
            <w:tcW w:w="1704" w:type="dxa"/>
            <w:tcBorders>
              <w:top w:val="single" w:color="auto" w:sz="12" w:space="0"/>
              <w:bottom w:val="double" w:color="auto" w:sz="4" w:space="0"/>
            </w:tcBorders>
            <w:vAlign w:val="center"/>
          </w:tcPr>
          <w:p w14:paraId="3271FBE2">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单位</w:t>
            </w:r>
          </w:p>
        </w:tc>
        <w:tc>
          <w:tcPr>
            <w:tcW w:w="1705" w:type="dxa"/>
            <w:tcBorders>
              <w:top w:val="single" w:color="auto" w:sz="12" w:space="0"/>
              <w:bottom w:val="double" w:color="auto" w:sz="4" w:space="0"/>
            </w:tcBorders>
            <w:vAlign w:val="center"/>
          </w:tcPr>
          <w:p w14:paraId="7DB68FE8">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数量</w:t>
            </w:r>
          </w:p>
        </w:tc>
        <w:tc>
          <w:tcPr>
            <w:tcW w:w="1705" w:type="dxa"/>
            <w:tcBorders>
              <w:top w:val="single" w:color="auto" w:sz="12" w:space="0"/>
              <w:bottom w:val="double" w:color="auto" w:sz="4" w:space="0"/>
              <w:right w:val="single" w:color="auto" w:sz="12" w:space="0"/>
            </w:tcBorders>
            <w:vAlign w:val="center"/>
          </w:tcPr>
          <w:p w14:paraId="2F38A6F3">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备注</w:t>
            </w:r>
          </w:p>
        </w:tc>
      </w:tr>
      <w:tr w14:paraId="3A1C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double" w:color="auto" w:sz="4" w:space="0"/>
              <w:left w:val="single" w:color="auto" w:sz="12" w:space="0"/>
            </w:tcBorders>
            <w:vAlign w:val="center"/>
          </w:tcPr>
          <w:p w14:paraId="0EEAB716">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449" w:type="dxa"/>
            <w:tcBorders>
              <w:top w:val="double" w:color="auto" w:sz="4" w:space="0"/>
            </w:tcBorders>
            <w:vAlign w:val="center"/>
          </w:tcPr>
          <w:p w14:paraId="64E55C7C">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公路交通情况调查设备</w:t>
            </w:r>
          </w:p>
        </w:tc>
        <w:tc>
          <w:tcPr>
            <w:tcW w:w="1704" w:type="dxa"/>
            <w:tcBorders>
              <w:top w:val="double" w:color="auto" w:sz="4" w:space="0"/>
            </w:tcBorders>
            <w:vAlign w:val="center"/>
          </w:tcPr>
          <w:p w14:paraId="2831C2E3">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tcBorders>
              <w:top w:val="double" w:color="auto" w:sz="4" w:space="0"/>
            </w:tcBorders>
            <w:vAlign w:val="center"/>
          </w:tcPr>
          <w:p w14:paraId="62653D6B">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05" w:type="dxa"/>
            <w:tcBorders>
              <w:top w:val="double" w:color="auto" w:sz="4" w:space="0"/>
              <w:right w:val="single" w:color="auto" w:sz="12" w:space="0"/>
            </w:tcBorders>
            <w:vAlign w:val="center"/>
          </w:tcPr>
          <w:p w14:paraId="4F41EEE0">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3E07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7016356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2449" w:type="dxa"/>
            <w:vAlign w:val="center"/>
          </w:tcPr>
          <w:p w14:paraId="1AD35663">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 w:eastAsia="仿宋_GB2312" w:cs="Times New Roman"/>
                <w:color w:val="auto"/>
                <w:sz w:val="21"/>
                <w:szCs w:val="21"/>
                <w:highlight w:val="none"/>
              </w:rPr>
              <w:t>终端管理设施</w:t>
            </w:r>
          </w:p>
        </w:tc>
        <w:tc>
          <w:tcPr>
            <w:tcW w:w="1704" w:type="dxa"/>
            <w:vAlign w:val="center"/>
          </w:tcPr>
          <w:p w14:paraId="69495B4C">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套</w:t>
            </w:r>
          </w:p>
        </w:tc>
        <w:tc>
          <w:tcPr>
            <w:tcW w:w="1705" w:type="dxa"/>
            <w:vAlign w:val="center"/>
          </w:tcPr>
          <w:p w14:paraId="1237CDBE">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05" w:type="dxa"/>
            <w:tcBorders>
              <w:right w:val="single" w:color="auto" w:sz="12" w:space="0"/>
            </w:tcBorders>
            <w:vAlign w:val="center"/>
          </w:tcPr>
          <w:p w14:paraId="2631E422">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6983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0D41B088">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2449" w:type="dxa"/>
            <w:vAlign w:val="center"/>
          </w:tcPr>
          <w:p w14:paraId="0E4D6A23">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数据模块（工业级）</w:t>
            </w:r>
          </w:p>
        </w:tc>
        <w:tc>
          <w:tcPr>
            <w:tcW w:w="1704" w:type="dxa"/>
            <w:vAlign w:val="center"/>
          </w:tcPr>
          <w:p w14:paraId="20759BC2">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6BAAEDE6">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05" w:type="dxa"/>
            <w:tcBorders>
              <w:right w:val="single" w:color="auto" w:sz="12" w:space="0"/>
            </w:tcBorders>
            <w:vAlign w:val="center"/>
          </w:tcPr>
          <w:p w14:paraId="5F6AA89D">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294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3C7F4CEC">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2449" w:type="dxa"/>
            <w:vAlign w:val="center"/>
          </w:tcPr>
          <w:p w14:paraId="7B1FAA32">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气象传感器</w:t>
            </w:r>
          </w:p>
        </w:tc>
        <w:tc>
          <w:tcPr>
            <w:tcW w:w="1704" w:type="dxa"/>
            <w:vAlign w:val="center"/>
          </w:tcPr>
          <w:p w14:paraId="18D3AE32">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2C0DF2A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05" w:type="dxa"/>
            <w:tcBorders>
              <w:right w:val="single" w:color="auto" w:sz="12" w:space="0"/>
            </w:tcBorders>
            <w:vAlign w:val="center"/>
          </w:tcPr>
          <w:p w14:paraId="5BEB74E1">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4EE9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6278A9F7">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2449" w:type="dxa"/>
            <w:vAlign w:val="center"/>
          </w:tcPr>
          <w:p w14:paraId="3831BA3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卡口抓拍摄像机</w:t>
            </w:r>
          </w:p>
        </w:tc>
        <w:tc>
          <w:tcPr>
            <w:tcW w:w="1704" w:type="dxa"/>
            <w:vAlign w:val="center"/>
          </w:tcPr>
          <w:p w14:paraId="4282C227">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372653B4">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705" w:type="dxa"/>
            <w:tcBorders>
              <w:right w:val="single" w:color="auto" w:sz="12" w:space="0"/>
            </w:tcBorders>
            <w:vAlign w:val="center"/>
          </w:tcPr>
          <w:p w14:paraId="10BA3FC8">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5F0E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3E335A98">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2449" w:type="dxa"/>
            <w:vAlign w:val="center"/>
          </w:tcPr>
          <w:p w14:paraId="707B3215">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一体化补光灯</w:t>
            </w:r>
          </w:p>
        </w:tc>
        <w:tc>
          <w:tcPr>
            <w:tcW w:w="1704" w:type="dxa"/>
            <w:vAlign w:val="center"/>
          </w:tcPr>
          <w:p w14:paraId="4F34FA97">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7AAFCA04">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1705" w:type="dxa"/>
            <w:tcBorders>
              <w:right w:val="single" w:color="auto" w:sz="12" w:space="0"/>
            </w:tcBorders>
            <w:vAlign w:val="center"/>
          </w:tcPr>
          <w:p w14:paraId="1446B6A5">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0E12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48923835">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w:t>
            </w:r>
          </w:p>
        </w:tc>
        <w:tc>
          <w:tcPr>
            <w:tcW w:w="2449" w:type="dxa"/>
            <w:vAlign w:val="center"/>
          </w:tcPr>
          <w:p w14:paraId="02E9313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监控球型摄像机</w:t>
            </w:r>
          </w:p>
        </w:tc>
        <w:tc>
          <w:tcPr>
            <w:tcW w:w="1704" w:type="dxa"/>
            <w:vAlign w:val="center"/>
          </w:tcPr>
          <w:p w14:paraId="4EEAD7C4">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146EC14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1</w:t>
            </w:r>
          </w:p>
        </w:tc>
        <w:tc>
          <w:tcPr>
            <w:tcW w:w="1705" w:type="dxa"/>
            <w:tcBorders>
              <w:right w:val="single" w:color="auto" w:sz="12" w:space="0"/>
            </w:tcBorders>
            <w:vAlign w:val="center"/>
          </w:tcPr>
          <w:p w14:paraId="398110D7">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4F5F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bottom w:val="single" w:color="auto" w:sz="12" w:space="0"/>
            </w:tcBorders>
            <w:vAlign w:val="center"/>
          </w:tcPr>
          <w:p w14:paraId="6E0C9BB3">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2449" w:type="dxa"/>
            <w:tcBorders>
              <w:bottom w:val="single" w:color="auto" w:sz="12" w:space="0"/>
            </w:tcBorders>
            <w:vAlign w:val="center"/>
          </w:tcPr>
          <w:p w14:paraId="3D3EF7E8">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智能中控机箱</w:t>
            </w:r>
          </w:p>
        </w:tc>
        <w:tc>
          <w:tcPr>
            <w:tcW w:w="1704" w:type="dxa"/>
            <w:tcBorders>
              <w:bottom w:val="single" w:color="auto" w:sz="12" w:space="0"/>
            </w:tcBorders>
            <w:vAlign w:val="center"/>
          </w:tcPr>
          <w:p w14:paraId="5298B0FB">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tcBorders>
              <w:bottom w:val="single" w:color="auto" w:sz="12" w:space="0"/>
            </w:tcBorders>
            <w:vAlign w:val="center"/>
          </w:tcPr>
          <w:p w14:paraId="2998D103">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05" w:type="dxa"/>
            <w:tcBorders>
              <w:bottom w:val="single" w:color="auto" w:sz="12" w:space="0"/>
              <w:right w:val="single" w:color="auto" w:sz="12" w:space="0"/>
            </w:tcBorders>
            <w:vAlign w:val="center"/>
          </w:tcPr>
          <w:p w14:paraId="2474CB85">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bl>
    <w:p w14:paraId="661FA106">
      <w:pPr>
        <w:pStyle w:val="5"/>
        <w:spacing w:line="340" w:lineRule="exact"/>
        <w:ind w:firstLineChars="0"/>
        <w:rPr>
          <w:b w:val="0"/>
          <w:color w:val="auto"/>
          <w:sz w:val="21"/>
          <w:szCs w:val="21"/>
          <w:highlight w:val="none"/>
        </w:rPr>
      </w:pPr>
      <w:r>
        <w:rPr>
          <w:rFonts w:hint="eastAsia"/>
          <w:color w:val="auto"/>
          <w:sz w:val="21"/>
          <w:szCs w:val="21"/>
          <w:highlight w:val="none"/>
        </w:rPr>
        <w:t>（4）双向八车道每个</w:t>
      </w:r>
      <w:r>
        <w:rPr>
          <w:rFonts w:hint="eastAsia"/>
          <w:color w:val="auto"/>
          <w:sz w:val="21"/>
          <w:szCs w:val="21"/>
          <w:highlight w:val="none"/>
          <w:lang w:eastAsia="zh-CN"/>
        </w:rPr>
        <w:t>站点</w:t>
      </w:r>
      <w:r>
        <w:rPr>
          <w:rFonts w:hint="eastAsia"/>
          <w:color w:val="auto"/>
          <w:sz w:val="21"/>
          <w:szCs w:val="21"/>
          <w:highlight w:val="none"/>
        </w:rPr>
        <w:t>设备配置</w:t>
      </w:r>
    </w:p>
    <w:p w14:paraId="19094A1D">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公路交通情况调查设备1套（包含多功能交调软件），安装在</w:t>
      </w:r>
      <w:r>
        <w:rPr>
          <w:rFonts w:hint="eastAsia" w:ascii="仿宋_GB2312" w:hAnsi="仿宋_GB2312" w:eastAsia="仿宋_GB2312" w:cs="仿宋_GB2312"/>
          <w:color w:val="auto"/>
          <w:sz w:val="21"/>
          <w:szCs w:val="21"/>
          <w:highlight w:val="none"/>
          <w:lang w:eastAsia="zh-CN"/>
        </w:rPr>
        <w:t>公路</w:t>
      </w:r>
      <w:r>
        <w:rPr>
          <w:rFonts w:hint="eastAsia" w:ascii="仿宋_GB2312" w:hAnsi="仿宋_GB2312" w:eastAsia="仿宋_GB2312" w:cs="仿宋_GB2312"/>
          <w:color w:val="auto"/>
          <w:sz w:val="21"/>
          <w:szCs w:val="21"/>
          <w:highlight w:val="none"/>
        </w:rPr>
        <w:t>中间</w:t>
      </w:r>
      <w:r>
        <w:rPr>
          <w:rFonts w:hint="eastAsia" w:ascii="仿宋_GB2312" w:hAnsi="仿宋_GB2312" w:eastAsia="仿宋_GB2312" w:cs="仿宋_GB2312"/>
          <w:color w:val="auto"/>
          <w:sz w:val="21"/>
          <w:szCs w:val="21"/>
          <w:highlight w:val="none"/>
          <w:lang w:eastAsia="zh-CN"/>
        </w:rPr>
        <w:t>。</w:t>
      </w:r>
    </w:p>
    <w:p w14:paraId="622BCAFD">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 w:eastAsia="仿宋_GB2312" w:cs="Times New Roman"/>
          <w:color w:val="auto"/>
          <w:sz w:val="21"/>
          <w:szCs w:val="21"/>
          <w:highlight w:val="none"/>
        </w:rPr>
        <w:t>终端管理设施</w:t>
      </w: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val="en-US" w:eastAsia="zh-CN"/>
        </w:rPr>
        <w:t>套</w:t>
      </w:r>
      <w:r>
        <w:rPr>
          <w:rFonts w:hint="eastAsia" w:ascii="仿宋_GB2312" w:hAnsi="仿宋_GB2312" w:eastAsia="仿宋_GB2312" w:cs="仿宋_GB2312"/>
          <w:color w:val="auto"/>
          <w:sz w:val="21"/>
          <w:szCs w:val="21"/>
          <w:highlight w:val="none"/>
          <w:lang w:eastAsia="zh-CN"/>
        </w:rPr>
        <w:t>。</w:t>
      </w:r>
    </w:p>
    <w:p w14:paraId="3947389C">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数据模块（工业级）</w:t>
      </w:r>
      <w:r>
        <w:rPr>
          <w:rFonts w:hint="eastAsia" w:ascii="仿宋_GB2312" w:hAnsi="仿宋_GB2312" w:eastAsia="仿宋_GB2312" w:cs="仿宋_GB2312"/>
          <w:color w:val="auto"/>
          <w:sz w:val="21"/>
          <w:szCs w:val="21"/>
          <w:highlight w:val="none"/>
        </w:rPr>
        <w:t>1套</w:t>
      </w:r>
      <w:r>
        <w:rPr>
          <w:rFonts w:hint="eastAsia" w:ascii="仿宋_GB2312" w:hAnsi="仿宋_GB2312" w:eastAsia="仿宋_GB2312" w:cs="仿宋_GB2312"/>
          <w:color w:val="auto"/>
          <w:sz w:val="21"/>
          <w:szCs w:val="21"/>
          <w:highlight w:val="none"/>
          <w:lang w:eastAsia="zh-CN"/>
        </w:rPr>
        <w:t>。</w:t>
      </w:r>
    </w:p>
    <w:p w14:paraId="0CC48BF3">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气象传感器1套，安装在杆件立杆处</w:t>
      </w:r>
      <w:r>
        <w:rPr>
          <w:rFonts w:hint="eastAsia" w:ascii="仿宋_GB2312" w:hAnsi="仿宋_GB2312" w:eastAsia="仿宋_GB2312" w:cs="仿宋_GB2312"/>
          <w:color w:val="auto"/>
          <w:sz w:val="21"/>
          <w:szCs w:val="21"/>
          <w:highlight w:val="none"/>
          <w:lang w:eastAsia="zh-CN"/>
        </w:rPr>
        <w:t>。</w:t>
      </w:r>
    </w:p>
    <w:p w14:paraId="7B6E6FD6">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卡口抓拍摄像机4套，分别安装在上下行方向</w:t>
      </w:r>
      <w:r>
        <w:rPr>
          <w:rFonts w:hint="eastAsia" w:ascii="仿宋_GB2312" w:hAnsi="仿宋_GB2312" w:eastAsia="仿宋_GB2312" w:cs="仿宋_GB2312"/>
          <w:color w:val="auto"/>
          <w:sz w:val="21"/>
          <w:szCs w:val="21"/>
          <w:highlight w:val="none"/>
          <w:lang w:eastAsia="zh-CN"/>
        </w:rPr>
        <w:t>公路</w:t>
      </w:r>
      <w:r>
        <w:rPr>
          <w:rFonts w:hint="eastAsia" w:ascii="仿宋_GB2312" w:hAnsi="仿宋_GB2312" w:eastAsia="仿宋_GB2312" w:cs="仿宋_GB2312"/>
          <w:color w:val="auto"/>
          <w:sz w:val="21"/>
          <w:szCs w:val="21"/>
          <w:highlight w:val="none"/>
        </w:rPr>
        <w:t>中间，正对来车方向</w:t>
      </w:r>
      <w:r>
        <w:rPr>
          <w:rFonts w:hint="eastAsia" w:ascii="仿宋_GB2312" w:hAnsi="仿宋_GB2312" w:eastAsia="仿宋_GB2312" w:cs="仿宋_GB2312"/>
          <w:color w:val="auto"/>
          <w:sz w:val="21"/>
          <w:szCs w:val="21"/>
          <w:highlight w:val="none"/>
          <w:lang w:eastAsia="zh-CN"/>
        </w:rPr>
        <w:t>。</w:t>
      </w:r>
    </w:p>
    <w:p w14:paraId="360ECC38">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一体化补光灯8套，分别安装在车道正中间，正对来车方向</w:t>
      </w:r>
      <w:r>
        <w:rPr>
          <w:rFonts w:hint="eastAsia" w:ascii="仿宋_GB2312" w:hAnsi="仿宋_GB2312" w:eastAsia="仿宋_GB2312" w:cs="仿宋_GB2312"/>
          <w:color w:val="auto"/>
          <w:sz w:val="21"/>
          <w:szCs w:val="21"/>
          <w:highlight w:val="none"/>
          <w:lang w:eastAsia="zh-CN"/>
        </w:rPr>
        <w:t>。</w:t>
      </w:r>
    </w:p>
    <w:p w14:paraId="0849DFA0">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监控球型摄像机</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套，分别安装在上下行方向</w:t>
      </w:r>
      <w:r>
        <w:rPr>
          <w:rFonts w:hint="eastAsia" w:ascii="仿宋_GB2312" w:hAnsi="仿宋_GB2312" w:eastAsia="仿宋_GB2312" w:cs="仿宋_GB2312"/>
          <w:color w:val="auto"/>
          <w:sz w:val="21"/>
          <w:szCs w:val="21"/>
          <w:highlight w:val="none"/>
          <w:lang w:eastAsia="zh-CN"/>
        </w:rPr>
        <w:t>公路</w:t>
      </w:r>
      <w:r>
        <w:rPr>
          <w:rFonts w:hint="eastAsia" w:ascii="仿宋_GB2312" w:hAnsi="仿宋_GB2312" w:eastAsia="仿宋_GB2312" w:cs="仿宋_GB2312"/>
          <w:color w:val="auto"/>
          <w:sz w:val="21"/>
          <w:szCs w:val="21"/>
          <w:highlight w:val="none"/>
        </w:rPr>
        <w:t>中间</w:t>
      </w:r>
      <w:r>
        <w:rPr>
          <w:rFonts w:hint="eastAsia" w:ascii="仿宋_GB2312" w:hAnsi="仿宋_GB2312" w:eastAsia="仿宋_GB2312" w:cs="仿宋_GB2312"/>
          <w:color w:val="auto"/>
          <w:sz w:val="21"/>
          <w:szCs w:val="21"/>
          <w:highlight w:val="none"/>
          <w:lang w:eastAsia="zh-CN"/>
        </w:rPr>
        <w:t>。</w:t>
      </w:r>
    </w:p>
    <w:p w14:paraId="2947D40F">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杆件基础1套（结合站点现场选配合适杆件类型尺寸），高度7.5米，长度横跨整个路面，应避开高的建筑目标或树木，以免遮挡监控视线</w:t>
      </w:r>
      <w:r>
        <w:rPr>
          <w:rFonts w:hint="eastAsia" w:ascii="仿宋_GB2312" w:hAnsi="仿宋_GB2312" w:eastAsia="仿宋_GB2312" w:cs="仿宋_GB2312"/>
          <w:color w:val="auto"/>
          <w:sz w:val="21"/>
          <w:szCs w:val="21"/>
          <w:highlight w:val="none"/>
          <w:lang w:eastAsia="zh-CN"/>
        </w:rPr>
        <w:t>。</w:t>
      </w:r>
    </w:p>
    <w:p w14:paraId="4BAEE8F2">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智能中控机箱1套，安装在立杆2.5米位置</w:t>
      </w:r>
      <w:r>
        <w:rPr>
          <w:rFonts w:hint="eastAsia" w:ascii="仿宋_GB2312" w:hAnsi="仿宋_GB2312" w:eastAsia="仿宋_GB2312" w:cs="仿宋_GB2312"/>
          <w:color w:val="auto"/>
          <w:sz w:val="21"/>
          <w:szCs w:val="21"/>
          <w:highlight w:val="none"/>
          <w:lang w:eastAsia="zh-CN"/>
        </w:rPr>
        <w:t>。</w:t>
      </w:r>
    </w:p>
    <w:p w14:paraId="64A8CC0F">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hint="eastAsia" w:ascii="仿宋_GB2312" w:hAnsi="Times New Roman" w:eastAsia="仿宋_GB2312" w:cs="Times New Roman"/>
          <w:b w:val="0"/>
          <w:bCs w:val="0"/>
          <w:color w:val="auto"/>
          <w:sz w:val="21"/>
          <w:szCs w:val="21"/>
          <w:highlight w:val="none"/>
          <w:lang w:val="en-US" w:eastAsia="zh-CN"/>
        </w:rPr>
        <w:t>详见下表15。</w:t>
      </w:r>
    </w:p>
    <w:p w14:paraId="6B95E246">
      <w:pPr>
        <w:pStyle w:val="21"/>
        <w:spacing w:line="340" w:lineRule="exact"/>
        <w:ind w:left="420" w:firstLine="0" w:firstLineChars="0"/>
        <w:jc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表1</w:t>
      </w:r>
      <w:r>
        <w:rPr>
          <w:rFonts w:hint="eastAsia" w:ascii="楷体_GB2312" w:hAnsi="楷体_GB2312" w:eastAsia="楷体_GB2312" w:cs="楷体_GB2312"/>
          <w:b/>
          <w:bCs/>
          <w:color w:val="auto"/>
          <w:sz w:val="24"/>
          <w:szCs w:val="24"/>
          <w:highlight w:val="none"/>
          <w:lang w:eastAsia="zh-CN"/>
        </w:rPr>
        <w:t>5</w:t>
      </w:r>
      <w:r>
        <w:rPr>
          <w:rFonts w:hint="eastAsia" w:ascii="楷体_GB2312" w:hAnsi="楷体_GB2312" w:eastAsia="楷体_GB2312" w:cs="楷体_GB2312"/>
          <w:b/>
          <w:bCs/>
          <w:color w:val="auto"/>
          <w:sz w:val="24"/>
          <w:szCs w:val="24"/>
          <w:highlight w:val="none"/>
        </w:rPr>
        <w:t xml:space="preserve">   双向八车道每个</w:t>
      </w:r>
      <w:r>
        <w:rPr>
          <w:rFonts w:hint="eastAsia" w:ascii="楷体_GB2312" w:hAnsi="楷体_GB2312" w:eastAsia="楷体_GB2312" w:cs="楷体_GB2312"/>
          <w:b/>
          <w:bCs/>
          <w:color w:val="auto"/>
          <w:sz w:val="24"/>
          <w:szCs w:val="24"/>
          <w:highlight w:val="none"/>
          <w:lang w:eastAsia="zh-CN"/>
        </w:rPr>
        <w:t>站点</w:t>
      </w:r>
      <w:r>
        <w:rPr>
          <w:rFonts w:hint="eastAsia" w:ascii="楷体_GB2312" w:hAnsi="楷体_GB2312" w:eastAsia="楷体_GB2312" w:cs="楷体_GB2312"/>
          <w:b/>
          <w:bCs/>
          <w:color w:val="auto"/>
          <w:sz w:val="24"/>
          <w:szCs w:val="24"/>
          <w:highlight w:val="none"/>
        </w:rPr>
        <w:t>设备配置表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449"/>
        <w:gridCol w:w="1704"/>
        <w:gridCol w:w="1705"/>
        <w:gridCol w:w="1371"/>
      </w:tblGrid>
      <w:tr w14:paraId="4767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12" w:space="0"/>
              <w:left w:val="single" w:color="auto" w:sz="12" w:space="0"/>
              <w:bottom w:val="double" w:color="auto" w:sz="4" w:space="0"/>
            </w:tcBorders>
            <w:vAlign w:val="center"/>
          </w:tcPr>
          <w:p w14:paraId="10190FE8">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序号</w:t>
            </w:r>
          </w:p>
        </w:tc>
        <w:tc>
          <w:tcPr>
            <w:tcW w:w="2449" w:type="dxa"/>
            <w:tcBorders>
              <w:top w:val="single" w:color="auto" w:sz="12" w:space="0"/>
              <w:bottom w:val="double" w:color="auto" w:sz="4" w:space="0"/>
            </w:tcBorders>
            <w:vAlign w:val="center"/>
          </w:tcPr>
          <w:p w14:paraId="6CF503B7">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设备名称</w:t>
            </w:r>
          </w:p>
        </w:tc>
        <w:tc>
          <w:tcPr>
            <w:tcW w:w="1704" w:type="dxa"/>
            <w:tcBorders>
              <w:top w:val="single" w:color="auto" w:sz="12" w:space="0"/>
              <w:bottom w:val="double" w:color="auto" w:sz="4" w:space="0"/>
            </w:tcBorders>
            <w:vAlign w:val="center"/>
          </w:tcPr>
          <w:p w14:paraId="5D9305B0">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单位</w:t>
            </w:r>
          </w:p>
        </w:tc>
        <w:tc>
          <w:tcPr>
            <w:tcW w:w="1705" w:type="dxa"/>
            <w:tcBorders>
              <w:top w:val="single" w:color="auto" w:sz="12" w:space="0"/>
              <w:bottom w:val="double" w:color="auto" w:sz="4" w:space="0"/>
            </w:tcBorders>
            <w:vAlign w:val="center"/>
          </w:tcPr>
          <w:p w14:paraId="4A646438">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数量</w:t>
            </w:r>
          </w:p>
        </w:tc>
        <w:tc>
          <w:tcPr>
            <w:tcW w:w="1371" w:type="dxa"/>
            <w:tcBorders>
              <w:top w:val="single" w:color="auto" w:sz="12" w:space="0"/>
              <w:bottom w:val="double" w:color="auto" w:sz="4" w:space="0"/>
              <w:right w:val="single" w:color="auto" w:sz="12" w:space="0"/>
            </w:tcBorders>
            <w:vAlign w:val="center"/>
          </w:tcPr>
          <w:p w14:paraId="2D2679F1">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备注</w:t>
            </w:r>
          </w:p>
        </w:tc>
      </w:tr>
      <w:tr w14:paraId="3D10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double" w:color="auto" w:sz="4" w:space="0"/>
              <w:left w:val="single" w:color="auto" w:sz="12" w:space="0"/>
            </w:tcBorders>
            <w:vAlign w:val="center"/>
          </w:tcPr>
          <w:p w14:paraId="526E755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449" w:type="dxa"/>
            <w:tcBorders>
              <w:top w:val="double" w:color="auto" w:sz="4" w:space="0"/>
            </w:tcBorders>
            <w:vAlign w:val="center"/>
          </w:tcPr>
          <w:p w14:paraId="4B2C5EF4">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公路交通情况调查设备</w:t>
            </w:r>
          </w:p>
        </w:tc>
        <w:tc>
          <w:tcPr>
            <w:tcW w:w="1704" w:type="dxa"/>
            <w:tcBorders>
              <w:top w:val="double" w:color="auto" w:sz="4" w:space="0"/>
            </w:tcBorders>
            <w:vAlign w:val="center"/>
          </w:tcPr>
          <w:p w14:paraId="205A8D71">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tcBorders>
              <w:top w:val="double" w:color="auto" w:sz="4" w:space="0"/>
            </w:tcBorders>
            <w:vAlign w:val="center"/>
          </w:tcPr>
          <w:p w14:paraId="1DD050E4">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371" w:type="dxa"/>
            <w:tcBorders>
              <w:top w:val="double" w:color="auto" w:sz="4" w:space="0"/>
              <w:right w:val="single" w:color="auto" w:sz="12" w:space="0"/>
            </w:tcBorders>
            <w:vAlign w:val="center"/>
          </w:tcPr>
          <w:p w14:paraId="34E3318C">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35D3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36B88B7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2449" w:type="dxa"/>
            <w:vAlign w:val="center"/>
          </w:tcPr>
          <w:p w14:paraId="0F117213">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 w:eastAsia="仿宋_GB2312" w:cs="Times New Roman"/>
                <w:color w:val="auto"/>
                <w:sz w:val="21"/>
                <w:szCs w:val="21"/>
                <w:highlight w:val="none"/>
              </w:rPr>
              <w:t>终端管理设施</w:t>
            </w:r>
          </w:p>
        </w:tc>
        <w:tc>
          <w:tcPr>
            <w:tcW w:w="1704" w:type="dxa"/>
            <w:vAlign w:val="center"/>
          </w:tcPr>
          <w:p w14:paraId="344BBC56">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套</w:t>
            </w:r>
          </w:p>
        </w:tc>
        <w:tc>
          <w:tcPr>
            <w:tcW w:w="1705" w:type="dxa"/>
            <w:vAlign w:val="center"/>
          </w:tcPr>
          <w:p w14:paraId="151D19FD">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371" w:type="dxa"/>
            <w:tcBorders>
              <w:right w:val="single" w:color="auto" w:sz="12" w:space="0"/>
            </w:tcBorders>
            <w:vAlign w:val="center"/>
          </w:tcPr>
          <w:p w14:paraId="490F7F8C">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3138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00072A24">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2449" w:type="dxa"/>
            <w:vAlign w:val="center"/>
          </w:tcPr>
          <w:p w14:paraId="7AF4502C">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数据模块（工业级）</w:t>
            </w:r>
          </w:p>
        </w:tc>
        <w:tc>
          <w:tcPr>
            <w:tcW w:w="1704" w:type="dxa"/>
            <w:vAlign w:val="center"/>
          </w:tcPr>
          <w:p w14:paraId="400A0CF6">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5F7A02D9">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371" w:type="dxa"/>
            <w:tcBorders>
              <w:right w:val="single" w:color="auto" w:sz="12" w:space="0"/>
            </w:tcBorders>
            <w:vAlign w:val="center"/>
          </w:tcPr>
          <w:p w14:paraId="3B8F7EF1">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0D20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4E70D252">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2449" w:type="dxa"/>
            <w:vAlign w:val="center"/>
          </w:tcPr>
          <w:p w14:paraId="62E5E606">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气象传感器</w:t>
            </w:r>
          </w:p>
        </w:tc>
        <w:tc>
          <w:tcPr>
            <w:tcW w:w="1704" w:type="dxa"/>
            <w:vAlign w:val="center"/>
          </w:tcPr>
          <w:p w14:paraId="7C2A6BF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0AAC2A9B">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371" w:type="dxa"/>
            <w:tcBorders>
              <w:right w:val="single" w:color="auto" w:sz="12" w:space="0"/>
            </w:tcBorders>
            <w:vAlign w:val="center"/>
          </w:tcPr>
          <w:p w14:paraId="07B05EA3">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7C6F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722B87A4">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2449" w:type="dxa"/>
            <w:vAlign w:val="center"/>
          </w:tcPr>
          <w:p w14:paraId="6DF6ADD1">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卡口抓拍摄像机</w:t>
            </w:r>
          </w:p>
        </w:tc>
        <w:tc>
          <w:tcPr>
            <w:tcW w:w="1704" w:type="dxa"/>
            <w:vAlign w:val="center"/>
          </w:tcPr>
          <w:p w14:paraId="21606DBF">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3E1AF1B7">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1371" w:type="dxa"/>
            <w:tcBorders>
              <w:right w:val="single" w:color="auto" w:sz="12" w:space="0"/>
            </w:tcBorders>
            <w:vAlign w:val="center"/>
          </w:tcPr>
          <w:p w14:paraId="757F1B9C">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2E0A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0DA72D57">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2449" w:type="dxa"/>
            <w:vAlign w:val="center"/>
          </w:tcPr>
          <w:p w14:paraId="6BF66F5B">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一体化补光灯</w:t>
            </w:r>
          </w:p>
        </w:tc>
        <w:tc>
          <w:tcPr>
            <w:tcW w:w="1704" w:type="dxa"/>
            <w:vAlign w:val="center"/>
          </w:tcPr>
          <w:p w14:paraId="7F38AE5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336E2923">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1371" w:type="dxa"/>
            <w:tcBorders>
              <w:right w:val="single" w:color="auto" w:sz="12" w:space="0"/>
            </w:tcBorders>
            <w:vAlign w:val="center"/>
          </w:tcPr>
          <w:p w14:paraId="254DF8E5">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1693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616B161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w:t>
            </w:r>
          </w:p>
        </w:tc>
        <w:tc>
          <w:tcPr>
            <w:tcW w:w="2449" w:type="dxa"/>
            <w:vAlign w:val="center"/>
          </w:tcPr>
          <w:p w14:paraId="15C95C75">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监控球型摄像机</w:t>
            </w:r>
          </w:p>
        </w:tc>
        <w:tc>
          <w:tcPr>
            <w:tcW w:w="1704" w:type="dxa"/>
            <w:vAlign w:val="center"/>
          </w:tcPr>
          <w:p w14:paraId="7322BD7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58E3D189">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2</w:t>
            </w:r>
          </w:p>
        </w:tc>
        <w:tc>
          <w:tcPr>
            <w:tcW w:w="1371" w:type="dxa"/>
            <w:tcBorders>
              <w:right w:val="single" w:color="auto" w:sz="12" w:space="0"/>
            </w:tcBorders>
            <w:vAlign w:val="center"/>
          </w:tcPr>
          <w:p w14:paraId="13BA86D3">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583B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bottom w:val="single" w:color="auto" w:sz="12" w:space="0"/>
            </w:tcBorders>
            <w:vAlign w:val="center"/>
          </w:tcPr>
          <w:p w14:paraId="29FFDC14">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2449" w:type="dxa"/>
            <w:tcBorders>
              <w:bottom w:val="single" w:color="auto" w:sz="12" w:space="0"/>
            </w:tcBorders>
            <w:vAlign w:val="center"/>
          </w:tcPr>
          <w:p w14:paraId="499CE1BE">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智能中控机箱</w:t>
            </w:r>
          </w:p>
        </w:tc>
        <w:tc>
          <w:tcPr>
            <w:tcW w:w="1704" w:type="dxa"/>
            <w:tcBorders>
              <w:bottom w:val="single" w:color="auto" w:sz="12" w:space="0"/>
            </w:tcBorders>
            <w:vAlign w:val="center"/>
          </w:tcPr>
          <w:p w14:paraId="31597E2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tcBorders>
              <w:bottom w:val="single" w:color="auto" w:sz="12" w:space="0"/>
            </w:tcBorders>
            <w:vAlign w:val="center"/>
          </w:tcPr>
          <w:p w14:paraId="6E5C5B8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371" w:type="dxa"/>
            <w:tcBorders>
              <w:bottom w:val="single" w:color="auto" w:sz="12" w:space="0"/>
              <w:right w:val="single" w:color="auto" w:sz="12" w:space="0"/>
            </w:tcBorders>
            <w:vAlign w:val="center"/>
          </w:tcPr>
          <w:p w14:paraId="0093DE4B">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bl>
    <w:p w14:paraId="50FC9352">
      <w:pPr>
        <w:pStyle w:val="5"/>
        <w:spacing w:line="340" w:lineRule="exact"/>
        <w:ind w:firstLineChars="0"/>
        <w:rPr>
          <w:b w:val="0"/>
          <w:color w:val="auto"/>
          <w:sz w:val="21"/>
          <w:szCs w:val="21"/>
          <w:highlight w:val="none"/>
        </w:rPr>
      </w:pPr>
      <w:r>
        <w:rPr>
          <w:rFonts w:hint="eastAsia"/>
          <w:color w:val="auto"/>
          <w:sz w:val="21"/>
          <w:szCs w:val="21"/>
          <w:highlight w:val="none"/>
        </w:rPr>
        <w:t>（5）双向十车道每个</w:t>
      </w:r>
      <w:r>
        <w:rPr>
          <w:rFonts w:hint="eastAsia"/>
          <w:color w:val="auto"/>
          <w:sz w:val="21"/>
          <w:szCs w:val="21"/>
          <w:highlight w:val="none"/>
          <w:lang w:eastAsia="zh-CN"/>
        </w:rPr>
        <w:t>站点</w:t>
      </w:r>
      <w:r>
        <w:rPr>
          <w:rFonts w:hint="eastAsia"/>
          <w:color w:val="auto"/>
          <w:sz w:val="21"/>
          <w:szCs w:val="21"/>
          <w:highlight w:val="none"/>
        </w:rPr>
        <w:t>设备配置</w:t>
      </w:r>
    </w:p>
    <w:p w14:paraId="7A2935F4">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公路交通情况调查设备2套（包含多功能交调软件），安装在</w:t>
      </w:r>
      <w:r>
        <w:rPr>
          <w:rFonts w:hint="eastAsia" w:ascii="仿宋_GB2312" w:hAnsi="仿宋_GB2312" w:eastAsia="仿宋_GB2312" w:cs="仿宋_GB2312"/>
          <w:color w:val="auto"/>
          <w:sz w:val="21"/>
          <w:szCs w:val="21"/>
          <w:highlight w:val="none"/>
          <w:lang w:eastAsia="zh-CN"/>
        </w:rPr>
        <w:t>公路</w:t>
      </w:r>
      <w:r>
        <w:rPr>
          <w:rFonts w:hint="eastAsia" w:ascii="仿宋_GB2312" w:hAnsi="仿宋_GB2312" w:eastAsia="仿宋_GB2312" w:cs="仿宋_GB2312"/>
          <w:color w:val="auto"/>
          <w:sz w:val="21"/>
          <w:szCs w:val="21"/>
          <w:highlight w:val="none"/>
        </w:rPr>
        <w:t>中间</w:t>
      </w:r>
      <w:r>
        <w:rPr>
          <w:rFonts w:hint="eastAsia" w:ascii="仿宋_GB2312" w:hAnsi="仿宋_GB2312" w:eastAsia="仿宋_GB2312" w:cs="仿宋_GB2312"/>
          <w:color w:val="auto"/>
          <w:sz w:val="21"/>
          <w:szCs w:val="21"/>
          <w:highlight w:val="none"/>
          <w:lang w:eastAsia="zh-CN"/>
        </w:rPr>
        <w:t>。</w:t>
      </w:r>
    </w:p>
    <w:p w14:paraId="0424C738">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 w:eastAsia="仿宋_GB2312" w:cs="Times New Roman"/>
          <w:color w:val="auto"/>
          <w:sz w:val="21"/>
          <w:szCs w:val="21"/>
          <w:highlight w:val="none"/>
        </w:rPr>
        <w:t>终端管理设施</w:t>
      </w:r>
      <w:r>
        <w:rPr>
          <w:rFonts w:hint="eastAsia" w:ascii="仿宋_GB2312" w:hAnsi="仿宋_GB2312" w:eastAsia="仿宋_GB2312" w:cs="仿宋_GB2312"/>
          <w:color w:val="auto"/>
          <w:sz w:val="21"/>
          <w:szCs w:val="21"/>
          <w:highlight w:val="none"/>
          <w:lang w:val="en-US" w:eastAsia="zh-CN"/>
        </w:rPr>
        <w:t>2套</w:t>
      </w:r>
      <w:r>
        <w:rPr>
          <w:rFonts w:hint="eastAsia" w:ascii="仿宋_GB2312" w:hAnsi="仿宋_GB2312" w:eastAsia="仿宋_GB2312" w:cs="仿宋_GB2312"/>
          <w:color w:val="auto"/>
          <w:sz w:val="21"/>
          <w:szCs w:val="21"/>
          <w:highlight w:val="none"/>
          <w:lang w:eastAsia="zh-CN"/>
        </w:rPr>
        <w:t>。</w:t>
      </w:r>
    </w:p>
    <w:p w14:paraId="2CD29C11">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数据模块（工业级）</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套</w:t>
      </w:r>
      <w:r>
        <w:rPr>
          <w:rFonts w:hint="eastAsia" w:ascii="仿宋_GB2312" w:hAnsi="仿宋_GB2312" w:eastAsia="仿宋_GB2312" w:cs="仿宋_GB2312"/>
          <w:color w:val="auto"/>
          <w:sz w:val="21"/>
          <w:szCs w:val="21"/>
          <w:highlight w:val="none"/>
          <w:lang w:eastAsia="zh-CN"/>
        </w:rPr>
        <w:t>。</w:t>
      </w:r>
    </w:p>
    <w:p w14:paraId="2B0D4DF2">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气象传感器1套，安装在杆件立杆处</w:t>
      </w:r>
      <w:r>
        <w:rPr>
          <w:rFonts w:hint="eastAsia" w:ascii="仿宋_GB2312" w:hAnsi="仿宋_GB2312" w:eastAsia="仿宋_GB2312" w:cs="仿宋_GB2312"/>
          <w:color w:val="auto"/>
          <w:sz w:val="21"/>
          <w:szCs w:val="21"/>
          <w:highlight w:val="none"/>
          <w:lang w:eastAsia="zh-CN"/>
        </w:rPr>
        <w:t>。</w:t>
      </w:r>
    </w:p>
    <w:p w14:paraId="445CEEB2">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卡口抓拍摄像机4套，分别安装在上下行方向</w:t>
      </w:r>
      <w:r>
        <w:rPr>
          <w:rFonts w:hint="eastAsia" w:ascii="仿宋_GB2312" w:hAnsi="仿宋_GB2312" w:eastAsia="仿宋_GB2312" w:cs="仿宋_GB2312"/>
          <w:color w:val="auto"/>
          <w:sz w:val="21"/>
          <w:szCs w:val="21"/>
          <w:highlight w:val="none"/>
          <w:lang w:eastAsia="zh-CN"/>
        </w:rPr>
        <w:t>公路</w:t>
      </w:r>
      <w:r>
        <w:rPr>
          <w:rFonts w:hint="eastAsia" w:ascii="仿宋_GB2312" w:hAnsi="仿宋_GB2312" w:eastAsia="仿宋_GB2312" w:cs="仿宋_GB2312"/>
          <w:color w:val="auto"/>
          <w:sz w:val="21"/>
          <w:szCs w:val="21"/>
          <w:highlight w:val="none"/>
        </w:rPr>
        <w:t>中间，正对来车方向</w:t>
      </w:r>
      <w:r>
        <w:rPr>
          <w:rFonts w:hint="eastAsia" w:ascii="仿宋_GB2312" w:hAnsi="仿宋_GB2312" w:eastAsia="仿宋_GB2312" w:cs="仿宋_GB2312"/>
          <w:color w:val="auto"/>
          <w:sz w:val="21"/>
          <w:szCs w:val="21"/>
          <w:highlight w:val="none"/>
          <w:lang w:eastAsia="zh-CN"/>
        </w:rPr>
        <w:t>。</w:t>
      </w:r>
    </w:p>
    <w:p w14:paraId="322C49B1">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一体化补光灯10套，分别安装在车道正中间，正对来车方向</w:t>
      </w:r>
      <w:r>
        <w:rPr>
          <w:rFonts w:hint="eastAsia" w:ascii="仿宋_GB2312" w:hAnsi="仿宋_GB2312" w:eastAsia="仿宋_GB2312" w:cs="仿宋_GB2312"/>
          <w:color w:val="auto"/>
          <w:sz w:val="21"/>
          <w:szCs w:val="21"/>
          <w:highlight w:val="none"/>
          <w:lang w:eastAsia="zh-CN"/>
        </w:rPr>
        <w:t>。</w:t>
      </w:r>
    </w:p>
    <w:p w14:paraId="7243B01A">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监控球型摄像机</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套，分别安装在上下行方向</w:t>
      </w:r>
      <w:r>
        <w:rPr>
          <w:rFonts w:hint="eastAsia" w:ascii="仿宋_GB2312" w:hAnsi="仿宋_GB2312" w:eastAsia="仿宋_GB2312" w:cs="仿宋_GB2312"/>
          <w:color w:val="auto"/>
          <w:sz w:val="21"/>
          <w:szCs w:val="21"/>
          <w:highlight w:val="none"/>
          <w:lang w:eastAsia="zh-CN"/>
        </w:rPr>
        <w:t>公路</w:t>
      </w:r>
      <w:r>
        <w:rPr>
          <w:rFonts w:hint="eastAsia" w:ascii="仿宋_GB2312" w:hAnsi="仿宋_GB2312" w:eastAsia="仿宋_GB2312" w:cs="仿宋_GB2312"/>
          <w:color w:val="auto"/>
          <w:sz w:val="21"/>
          <w:szCs w:val="21"/>
          <w:highlight w:val="none"/>
        </w:rPr>
        <w:t>中间</w:t>
      </w:r>
      <w:r>
        <w:rPr>
          <w:rFonts w:hint="eastAsia" w:ascii="仿宋_GB2312" w:hAnsi="仿宋_GB2312" w:eastAsia="仿宋_GB2312" w:cs="仿宋_GB2312"/>
          <w:color w:val="auto"/>
          <w:sz w:val="21"/>
          <w:szCs w:val="21"/>
          <w:highlight w:val="none"/>
          <w:lang w:eastAsia="zh-CN"/>
        </w:rPr>
        <w:t>。</w:t>
      </w:r>
    </w:p>
    <w:p w14:paraId="77C38BF6">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杆件基础1套（结合站点现场选配合适杆件类型尺寸），高度7.5米，长度横跨整个路面，应避开高的建筑目标或树木，以免遮挡监控视线</w:t>
      </w:r>
      <w:r>
        <w:rPr>
          <w:rFonts w:hint="eastAsia" w:ascii="仿宋_GB2312" w:hAnsi="仿宋_GB2312" w:eastAsia="仿宋_GB2312" w:cs="仿宋_GB2312"/>
          <w:color w:val="auto"/>
          <w:sz w:val="21"/>
          <w:szCs w:val="21"/>
          <w:highlight w:val="none"/>
          <w:lang w:eastAsia="zh-CN"/>
        </w:rPr>
        <w:t>。</w:t>
      </w:r>
    </w:p>
    <w:p w14:paraId="5AFA1216">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智能中控机箱2套，安装在立杆2.5米位置</w:t>
      </w:r>
      <w:r>
        <w:rPr>
          <w:rFonts w:hint="eastAsia" w:ascii="仿宋_GB2312" w:hAnsi="仿宋_GB2312" w:eastAsia="仿宋_GB2312" w:cs="仿宋_GB2312"/>
          <w:color w:val="auto"/>
          <w:sz w:val="21"/>
          <w:szCs w:val="21"/>
          <w:highlight w:val="none"/>
          <w:lang w:eastAsia="zh-CN"/>
        </w:rPr>
        <w:t>。</w:t>
      </w:r>
    </w:p>
    <w:p w14:paraId="65426850">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hint="eastAsia" w:ascii="仿宋_GB2312" w:hAnsi="Times New Roman" w:eastAsia="仿宋_GB2312" w:cs="Times New Roman"/>
          <w:b w:val="0"/>
          <w:bCs w:val="0"/>
          <w:color w:val="auto"/>
          <w:sz w:val="21"/>
          <w:szCs w:val="21"/>
          <w:highlight w:val="none"/>
          <w:lang w:val="en-US" w:eastAsia="zh-CN"/>
        </w:rPr>
        <w:t>详见下表16。</w:t>
      </w:r>
    </w:p>
    <w:p w14:paraId="0081010D">
      <w:pPr>
        <w:pStyle w:val="21"/>
        <w:spacing w:line="340" w:lineRule="exact"/>
        <w:ind w:left="420" w:firstLine="0" w:firstLineChars="0"/>
        <w:jc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表1</w:t>
      </w:r>
      <w:r>
        <w:rPr>
          <w:rFonts w:hint="eastAsia" w:ascii="楷体_GB2312" w:hAnsi="楷体_GB2312" w:eastAsia="楷体_GB2312" w:cs="楷体_GB2312"/>
          <w:b/>
          <w:bCs/>
          <w:color w:val="auto"/>
          <w:sz w:val="24"/>
          <w:szCs w:val="24"/>
          <w:highlight w:val="none"/>
          <w:lang w:eastAsia="zh-CN"/>
        </w:rPr>
        <w:t>6</w:t>
      </w:r>
      <w:r>
        <w:rPr>
          <w:rFonts w:hint="eastAsia" w:ascii="楷体_GB2312" w:hAnsi="楷体_GB2312" w:eastAsia="楷体_GB2312" w:cs="楷体_GB2312"/>
          <w:b/>
          <w:bCs/>
          <w:color w:val="auto"/>
          <w:sz w:val="24"/>
          <w:szCs w:val="24"/>
          <w:highlight w:val="none"/>
        </w:rPr>
        <w:t xml:space="preserve">   双向十车道每个</w:t>
      </w:r>
      <w:r>
        <w:rPr>
          <w:rFonts w:hint="eastAsia" w:ascii="楷体_GB2312" w:hAnsi="楷体_GB2312" w:eastAsia="楷体_GB2312" w:cs="楷体_GB2312"/>
          <w:b/>
          <w:bCs/>
          <w:color w:val="auto"/>
          <w:sz w:val="24"/>
          <w:szCs w:val="24"/>
          <w:highlight w:val="none"/>
          <w:lang w:eastAsia="zh-CN"/>
        </w:rPr>
        <w:t>站点</w:t>
      </w:r>
      <w:r>
        <w:rPr>
          <w:rFonts w:hint="eastAsia" w:ascii="楷体_GB2312" w:hAnsi="楷体_GB2312" w:eastAsia="楷体_GB2312" w:cs="楷体_GB2312"/>
          <w:b/>
          <w:bCs/>
          <w:color w:val="auto"/>
          <w:sz w:val="24"/>
          <w:szCs w:val="24"/>
          <w:highlight w:val="none"/>
        </w:rPr>
        <w:t>设备配置表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449"/>
        <w:gridCol w:w="1704"/>
        <w:gridCol w:w="1705"/>
        <w:gridCol w:w="1371"/>
      </w:tblGrid>
      <w:tr w14:paraId="1890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12" w:space="0"/>
              <w:left w:val="single" w:color="auto" w:sz="12" w:space="0"/>
              <w:bottom w:val="double" w:color="auto" w:sz="4" w:space="0"/>
            </w:tcBorders>
            <w:vAlign w:val="center"/>
          </w:tcPr>
          <w:p w14:paraId="22947406">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序号</w:t>
            </w:r>
          </w:p>
        </w:tc>
        <w:tc>
          <w:tcPr>
            <w:tcW w:w="2449" w:type="dxa"/>
            <w:tcBorders>
              <w:top w:val="single" w:color="auto" w:sz="12" w:space="0"/>
              <w:bottom w:val="double" w:color="auto" w:sz="4" w:space="0"/>
            </w:tcBorders>
            <w:vAlign w:val="center"/>
          </w:tcPr>
          <w:p w14:paraId="6AFDD1FD">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设备名称</w:t>
            </w:r>
          </w:p>
        </w:tc>
        <w:tc>
          <w:tcPr>
            <w:tcW w:w="1704" w:type="dxa"/>
            <w:tcBorders>
              <w:top w:val="single" w:color="auto" w:sz="12" w:space="0"/>
              <w:bottom w:val="double" w:color="auto" w:sz="4" w:space="0"/>
            </w:tcBorders>
            <w:vAlign w:val="center"/>
          </w:tcPr>
          <w:p w14:paraId="584E349C">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单位</w:t>
            </w:r>
          </w:p>
        </w:tc>
        <w:tc>
          <w:tcPr>
            <w:tcW w:w="1705" w:type="dxa"/>
            <w:tcBorders>
              <w:top w:val="single" w:color="auto" w:sz="12" w:space="0"/>
              <w:bottom w:val="double" w:color="auto" w:sz="4" w:space="0"/>
            </w:tcBorders>
            <w:vAlign w:val="center"/>
          </w:tcPr>
          <w:p w14:paraId="3E00D60E">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数量</w:t>
            </w:r>
          </w:p>
        </w:tc>
        <w:tc>
          <w:tcPr>
            <w:tcW w:w="1371" w:type="dxa"/>
            <w:tcBorders>
              <w:top w:val="single" w:color="auto" w:sz="12" w:space="0"/>
              <w:bottom w:val="double" w:color="auto" w:sz="4" w:space="0"/>
              <w:right w:val="single" w:color="auto" w:sz="12" w:space="0"/>
            </w:tcBorders>
            <w:vAlign w:val="center"/>
          </w:tcPr>
          <w:p w14:paraId="3CDAFAEF">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备注</w:t>
            </w:r>
          </w:p>
        </w:tc>
      </w:tr>
      <w:tr w14:paraId="58D2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double" w:color="auto" w:sz="4" w:space="0"/>
              <w:left w:val="single" w:color="auto" w:sz="12" w:space="0"/>
            </w:tcBorders>
            <w:vAlign w:val="center"/>
          </w:tcPr>
          <w:p w14:paraId="52F58C0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449" w:type="dxa"/>
            <w:tcBorders>
              <w:top w:val="double" w:color="auto" w:sz="4" w:space="0"/>
            </w:tcBorders>
            <w:vAlign w:val="center"/>
          </w:tcPr>
          <w:p w14:paraId="1B9CD01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公路交通情况调查设备</w:t>
            </w:r>
          </w:p>
        </w:tc>
        <w:tc>
          <w:tcPr>
            <w:tcW w:w="1704" w:type="dxa"/>
            <w:tcBorders>
              <w:top w:val="double" w:color="auto" w:sz="4" w:space="0"/>
            </w:tcBorders>
            <w:vAlign w:val="center"/>
          </w:tcPr>
          <w:p w14:paraId="10F52CED">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tcBorders>
              <w:top w:val="double" w:color="auto" w:sz="4" w:space="0"/>
            </w:tcBorders>
            <w:vAlign w:val="center"/>
          </w:tcPr>
          <w:p w14:paraId="19BFF3E7">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371" w:type="dxa"/>
            <w:tcBorders>
              <w:top w:val="double" w:color="auto" w:sz="4" w:space="0"/>
              <w:right w:val="single" w:color="auto" w:sz="12" w:space="0"/>
            </w:tcBorders>
            <w:vAlign w:val="center"/>
          </w:tcPr>
          <w:p w14:paraId="0ECC2235">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5BB2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54DB77BD">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2449" w:type="dxa"/>
            <w:vAlign w:val="center"/>
          </w:tcPr>
          <w:p w14:paraId="6BC7F7DC">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 w:eastAsia="仿宋_GB2312" w:cs="Times New Roman"/>
                <w:color w:val="auto"/>
                <w:sz w:val="21"/>
                <w:szCs w:val="21"/>
                <w:highlight w:val="none"/>
              </w:rPr>
              <w:t>终端管理设施</w:t>
            </w:r>
          </w:p>
        </w:tc>
        <w:tc>
          <w:tcPr>
            <w:tcW w:w="1704" w:type="dxa"/>
            <w:vAlign w:val="center"/>
          </w:tcPr>
          <w:p w14:paraId="2485C888">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套</w:t>
            </w:r>
          </w:p>
        </w:tc>
        <w:tc>
          <w:tcPr>
            <w:tcW w:w="1705" w:type="dxa"/>
            <w:vAlign w:val="center"/>
          </w:tcPr>
          <w:p w14:paraId="3F1E8182">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2</w:t>
            </w:r>
          </w:p>
        </w:tc>
        <w:tc>
          <w:tcPr>
            <w:tcW w:w="1371" w:type="dxa"/>
            <w:tcBorders>
              <w:right w:val="single" w:color="auto" w:sz="12" w:space="0"/>
            </w:tcBorders>
            <w:vAlign w:val="center"/>
          </w:tcPr>
          <w:p w14:paraId="0590932B">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1953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32F16B07">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2449" w:type="dxa"/>
            <w:vAlign w:val="center"/>
          </w:tcPr>
          <w:p w14:paraId="0B306D19">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数据模块（工业级）</w:t>
            </w:r>
          </w:p>
        </w:tc>
        <w:tc>
          <w:tcPr>
            <w:tcW w:w="1704" w:type="dxa"/>
            <w:vAlign w:val="center"/>
          </w:tcPr>
          <w:p w14:paraId="5B9296D4">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39080778">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p>
        </w:tc>
        <w:tc>
          <w:tcPr>
            <w:tcW w:w="1371" w:type="dxa"/>
            <w:tcBorders>
              <w:right w:val="single" w:color="auto" w:sz="12" w:space="0"/>
            </w:tcBorders>
            <w:vAlign w:val="center"/>
          </w:tcPr>
          <w:p w14:paraId="56B0E075">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19A2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03107067">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2449" w:type="dxa"/>
            <w:vAlign w:val="center"/>
          </w:tcPr>
          <w:p w14:paraId="6522D1E6">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气象传感器</w:t>
            </w:r>
          </w:p>
        </w:tc>
        <w:tc>
          <w:tcPr>
            <w:tcW w:w="1704" w:type="dxa"/>
            <w:vAlign w:val="center"/>
          </w:tcPr>
          <w:p w14:paraId="62A5B8FF">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1C681C4F">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371" w:type="dxa"/>
            <w:tcBorders>
              <w:right w:val="single" w:color="auto" w:sz="12" w:space="0"/>
            </w:tcBorders>
            <w:vAlign w:val="center"/>
          </w:tcPr>
          <w:p w14:paraId="40B34A24">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2EB6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13FDCB14">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2449" w:type="dxa"/>
            <w:vAlign w:val="center"/>
          </w:tcPr>
          <w:p w14:paraId="35829933">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卡口抓拍摄像机</w:t>
            </w:r>
          </w:p>
        </w:tc>
        <w:tc>
          <w:tcPr>
            <w:tcW w:w="1704" w:type="dxa"/>
            <w:vAlign w:val="center"/>
          </w:tcPr>
          <w:p w14:paraId="15745C05">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6EF7AF0D">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1371" w:type="dxa"/>
            <w:tcBorders>
              <w:right w:val="single" w:color="auto" w:sz="12" w:space="0"/>
            </w:tcBorders>
            <w:vAlign w:val="center"/>
          </w:tcPr>
          <w:p w14:paraId="62D40A13">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7636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28E114A7">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2449" w:type="dxa"/>
            <w:vAlign w:val="center"/>
          </w:tcPr>
          <w:p w14:paraId="543368C6">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一体化补光灯</w:t>
            </w:r>
          </w:p>
        </w:tc>
        <w:tc>
          <w:tcPr>
            <w:tcW w:w="1704" w:type="dxa"/>
            <w:vAlign w:val="center"/>
          </w:tcPr>
          <w:p w14:paraId="0F7BCE94">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479A6E49">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1371" w:type="dxa"/>
            <w:tcBorders>
              <w:right w:val="single" w:color="auto" w:sz="12" w:space="0"/>
            </w:tcBorders>
            <w:vAlign w:val="center"/>
          </w:tcPr>
          <w:p w14:paraId="43D47980">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364A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3C3D0631">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w:t>
            </w:r>
          </w:p>
        </w:tc>
        <w:tc>
          <w:tcPr>
            <w:tcW w:w="2449" w:type="dxa"/>
            <w:vAlign w:val="center"/>
          </w:tcPr>
          <w:p w14:paraId="1906FF9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监控球型摄像机</w:t>
            </w:r>
          </w:p>
        </w:tc>
        <w:tc>
          <w:tcPr>
            <w:tcW w:w="1704" w:type="dxa"/>
            <w:vAlign w:val="center"/>
          </w:tcPr>
          <w:p w14:paraId="4CDB1586">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4668B2C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2</w:t>
            </w:r>
          </w:p>
        </w:tc>
        <w:tc>
          <w:tcPr>
            <w:tcW w:w="1371" w:type="dxa"/>
            <w:tcBorders>
              <w:right w:val="single" w:color="auto" w:sz="12" w:space="0"/>
            </w:tcBorders>
            <w:vAlign w:val="center"/>
          </w:tcPr>
          <w:p w14:paraId="0AAA3769">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5A47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bottom w:val="single" w:color="auto" w:sz="12" w:space="0"/>
            </w:tcBorders>
            <w:vAlign w:val="center"/>
          </w:tcPr>
          <w:p w14:paraId="7B36E9ED">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2449" w:type="dxa"/>
            <w:tcBorders>
              <w:bottom w:val="single" w:color="auto" w:sz="12" w:space="0"/>
            </w:tcBorders>
            <w:vAlign w:val="center"/>
          </w:tcPr>
          <w:p w14:paraId="6B1256BB">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智能中控机箱</w:t>
            </w:r>
          </w:p>
        </w:tc>
        <w:tc>
          <w:tcPr>
            <w:tcW w:w="1704" w:type="dxa"/>
            <w:tcBorders>
              <w:bottom w:val="single" w:color="auto" w:sz="12" w:space="0"/>
            </w:tcBorders>
            <w:vAlign w:val="center"/>
          </w:tcPr>
          <w:p w14:paraId="0C71AD24">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tcBorders>
              <w:bottom w:val="single" w:color="auto" w:sz="12" w:space="0"/>
            </w:tcBorders>
            <w:vAlign w:val="center"/>
          </w:tcPr>
          <w:p w14:paraId="7EBCEE33">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371" w:type="dxa"/>
            <w:tcBorders>
              <w:bottom w:val="single" w:color="auto" w:sz="12" w:space="0"/>
              <w:right w:val="single" w:color="auto" w:sz="12" w:space="0"/>
            </w:tcBorders>
            <w:vAlign w:val="center"/>
          </w:tcPr>
          <w:p w14:paraId="090811F4">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bl>
    <w:p w14:paraId="665880DC">
      <w:pPr>
        <w:pStyle w:val="5"/>
        <w:spacing w:line="340" w:lineRule="exact"/>
        <w:ind w:firstLineChars="0"/>
        <w:rPr>
          <w:b w:val="0"/>
          <w:color w:val="auto"/>
          <w:sz w:val="21"/>
          <w:szCs w:val="21"/>
          <w:highlight w:val="none"/>
        </w:rPr>
      </w:pPr>
      <w:r>
        <w:rPr>
          <w:rFonts w:hint="eastAsia"/>
          <w:color w:val="auto"/>
          <w:sz w:val="21"/>
          <w:szCs w:val="21"/>
          <w:highlight w:val="none"/>
        </w:rPr>
        <w:t>（6）双向十二车道每个</w:t>
      </w:r>
      <w:r>
        <w:rPr>
          <w:rFonts w:hint="eastAsia"/>
          <w:color w:val="auto"/>
          <w:sz w:val="21"/>
          <w:szCs w:val="21"/>
          <w:highlight w:val="none"/>
          <w:lang w:eastAsia="zh-CN"/>
        </w:rPr>
        <w:t>站点</w:t>
      </w:r>
      <w:r>
        <w:rPr>
          <w:rFonts w:hint="eastAsia"/>
          <w:color w:val="auto"/>
          <w:sz w:val="21"/>
          <w:szCs w:val="21"/>
          <w:highlight w:val="none"/>
        </w:rPr>
        <w:t>设备配置</w:t>
      </w:r>
    </w:p>
    <w:p w14:paraId="79B2D5D9">
      <w:pPr>
        <w:pStyle w:val="21"/>
        <w:spacing w:line="340" w:lineRule="exact"/>
        <w:ind w:firstLineChars="0"/>
        <w:rPr>
          <w:rFonts w:hint="eastAsia" w:ascii="仿宋_GB2312" w:hAnsi="仿宋_GB2312" w:eastAsia="仿宋_GB2312" w:cs="仿宋_GB2312"/>
          <w:color w:val="auto"/>
          <w:sz w:val="21"/>
          <w:szCs w:val="21"/>
          <w:highlight w:val="none"/>
          <w:lang w:val="en-US"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公路交通情况调查设备2套（包含多功能交调软件），安装在</w:t>
      </w:r>
      <w:r>
        <w:rPr>
          <w:rFonts w:hint="eastAsia" w:ascii="仿宋_GB2312" w:hAnsi="仿宋_GB2312" w:eastAsia="仿宋_GB2312" w:cs="仿宋_GB2312"/>
          <w:color w:val="auto"/>
          <w:sz w:val="21"/>
          <w:szCs w:val="21"/>
          <w:highlight w:val="none"/>
          <w:lang w:eastAsia="zh-CN"/>
        </w:rPr>
        <w:t>公路</w:t>
      </w:r>
      <w:r>
        <w:rPr>
          <w:rFonts w:hint="eastAsia" w:ascii="仿宋_GB2312" w:hAnsi="仿宋_GB2312" w:eastAsia="仿宋_GB2312" w:cs="仿宋_GB2312"/>
          <w:color w:val="auto"/>
          <w:sz w:val="21"/>
          <w:szCs w:val="21"/>
          <w:highlight w:val="none"/>
        </w:rPr>
        <w:t>中间</w:t>
      </w:r>
      <w:r>
        <w:rPr>
          <w:rFonts w:hint="eastAsia" w:ascii="仿宋_GB2312" w:hAnsi="仿宋_GB2312" w:eastAsia="仿宋_GB2312" w:cs="仿宋_GB2312"/>
          <w:color w:val="auto"/>
          <w:sz w:val="21"/>
          <w:szCs w:val="21"/>
          <w:highlight w:val="none"/>
          <w:lang w:val="en-US" w:eastAsia="zh-CN"/>
        </w:rPr>
        <w:t>.</w:t>
      </w:r>
    </w:p>
    <w:p w14:paraId="57F633AE">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 w:eastAsia="仿宋_GB2312" w:cs="Times New Roman"/>
          <w:color w:val="auto"/>
          <w:sz w:val="21"/>
          <w:szCs w:val="21"/>
          <w:highlight w:val="none"/>
        </w:rPr>
        <w:t>终端管理设施</w:t>
      </w:r>
      <w:r>
        <w:rPr>
          <w:rFonts w:hint="eastAsia" w:ascii="仿宋_GB2312" w:hAnsi="仿宋_GB2312" w:eastAsia="仿宋_GB2312" w:cs="仿宋_GB2312"/>
          <w:color w:val="auto"/>
          <w:sz w:val="21"/>
          <w:szCs w:val="21"/>
          <w:highlight w:val="none"/>
          <w:lang w:val="en-US" w:eastAsia="zh-CN"/>
        </w:rPr>
        <w:t>2套</w:t>
      </w:r>
      <w:r>
        <w:rPr>
          <w:rFonts w:hint="eastAsia" w:ascii="仿宋_GB2312" w:hAnsi="仿宋_GB2312" w:eastAsia="仿宋_GB2312" w:cs="仿宋_GB2312"/>
          <w:color w:val="auto"/>
          <w:sz w:val="21"/>
          <w:szCs w:val="21"/>
          <w:highlight w:val="none"/>
          <w:lang w:eastAsia="zh-CN"/>
        </w:rPr>
        <w:t>。</w:t>
      </w:r>
    </w:p>
    <w:p w14:paraId="26948A53">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数据模块（工业级）</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套</w:t>
      </w:r>
      <w:r>
        <w:rPr>
          <w:rFonts w:hint="eastAsia" w:ascii="仿宋_GB2312" w:hAnsi="仿宋_GB2312" w:eastAsia="仿宋_GB2312" w:cs="仿宋_GB2312"/>
          <w:color w:val="auto"/>
          <w:sz w:val="21"/>
          <w:szCs w:val="21"/>
          <w:highlight w:val="none"/>
          <w:lang w:eastAsia="zh-CN"/>
        </w:rPr>
        <w:t>。</w:t>
      </w:r>
    </w:p>
    <w:p w14:paraId="5FEED645">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气象传感器1套，安装在杆件立杆处</w:t>
      </w:r>
      <w:r>
        <w:rPr>
          <w:rFonts w:hint="eastAsia" w:ascii="仿宋_GB2312" w:hAnsi="仿宋_GB2312" w:eastAsia="仿宋_GB2312" w:cs="仿宋_GB2312"/>
          <w:color w:val="auto"/>
          <w:sz w:val="21"/>
          <w:szCs w:val="21"/>
          <w:highlight w:val="none"/>
          <w:lang w:eastAsia="zh-CN"/>
        </w:rPr>
        <w:t>。</w:t>
      </w:r>
    </w:p>
    <w:p w14:paraId="41980CDA">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卡口抓拍摄像机4套，分别安装在上下行方向</w:t>
      </w:r>
      <w:r>
        <w:rPr>
          <w:rFonts w:hint="eastAsia" w:ascii="仿宋_GB2312" w:hAnsi="仿宋_GB2312" w:eastAsia="仿宋_GB2312" w:cs="仿宋_GB2312"/>
          <w:color w:val="auto"/>
          <w:sz w:val="21"/>
          <w:szCs w:val="21"/>
          <w:highlight w:val="none"/>
          <w:lang w:eastAsia="zh-CN"/>
        </w:rPr>
        <w:t>公路</w:t>
      </w:r>
      <w:r>
        <w:rPr>
          <w:rFonts w:hint="eastAsia" w:ascii="仿宋_GB2312" w:hAnsi="仿宋_GB2312" w:eastAsia="仿宋_GB2312" w:cs="仿宋_GB2312"/>
          <w:color w:val="auto"/>
          <w:sz w:val="21"/>
          <w:szCs w:val="21"/>
          <w:highlight w:val="none"/>
        </w:rPr>
        <w:t>中间，正对来车方向</w:t>
      </w:r>
      <w:r>
        <w:rPr>
          <w:rFonts w:hint="eastAsia" w:ascii="仿宋_GB2312" w:hAnsi="仿宋_GB2312" w:eastAsia="仿宋_GB2312" w:cs="仿宋_GB2312"/>
          <w:color w:val="auto"/>
          <w:sz w:val="21"/>
          <w:szCs w:val="21"/>
          <w:highlight w:val="none"/>
          <w:lang w:eastAsia="zh-CN"/>
        </w:rPr>
        <w:t>。</w:t>
      </w:r>
    </w:p>
    <w:p w14:paraId="54D34FBC">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一体化补光灯12套，分别安装在车道正中间，正对来车方向</w:t>
      </w:r>
      <w:r>
        <w:rPr>
          <w:rFonts w:hint="eastAsia" w:ascii="仿宋_GB2312" w:hAnsi="仿宋_GB2312" w:eastAsia="仿宋_GB2312" w:cs="仿宋_GB2312"/>
          <w:color w:val="auto"/>
          <w:sz w:val="21"/>
          <w:szCs w:val="21"/>
          <w:highlight w:val="none"/>
          <w:lang w:eastAsia="zh-CN"/>
        </w:rPr>
        <w:t>。</w:t>
      </w:r>
    </w:p>
    <w:p w14:paraId="4BE84BC3">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监控球型摄像机</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套，分别安装在上下行方向</w:t>
      </w:r>
      <w:r>
        <w:rPr>
          <w:rFonts w:hint="eastAsia" w:ascii="仿宋_GB2312" w:hAnsi="仿宋_GB2312" w:eastAsia="仿宋_GB2312" w:cs="仿宋_GB2312"/>
          <w:color w:val="auto"/>
          <w:sz w:val="21"/>
          <w:szCs w:val="21"/>
          <w:highlight w:val="none"/>
          <w:lang w:eastAsia="zh-CN"/>
        </w:rPr>
        <w:t>公路</w:t>
      </w:r>
      <w:r>
        <w:rPr>
          <w:rFonts w:hint="eastAsia" w:ascii="仿宋_GB2312" w:hAnsi="仿宋_GB2312" w:eastAsia="仿宋_GB2312" w:cs="仿宋_GB2312"/>
          <w:color w:val="auto"/>
          <w:sz w:val="21"/>
          <w:szCs w:val="21"/>
          <w:highlight w:val="none"/>
        </w:rPr>
        <w:t>中间</w:t>
      </w:r>
      <w:r>
        <w:rPr>
          <w:rFonts w:hint="eastAsia" w:ascii="仿宋_GB2312" w:hAnsi="仿宋_GB2312" w:eastAsia="仿宋_GB2312" w:cs="仿宋_GB2312"/>
          <w:color w:val="auto"/>
          <w:sz w:val="21"/>
          <w:szCs w:val="21"/>
          <w:highlight w:val="none"/>
          <w:lang w:eastAsia="zh-CN"/>
        </w:rPr>
        <w:t>。</w:t>
      </w:r>
    </w:p>
    <w:p w14:paraId="5300B8DA">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杆件基础1套（结合站点现场选配合适杆件类型尺寸），高度7.5米，长度横跨整个路面，应避开高的建筑目标或树木，以免遮挡监控视线</w:t>
      </w:r>
      <w:r>
        <w:rPr>
          <w:rFonts w:hint="eastAsia" w:ascii="仿宋_GB2312" w:hAnsi="仿宋_GB2312" w:eastAsia="仿宋_GB2312" w:cs="仿宋_GB2312"/>
          <w:color w:val="auto"/>
          <w:sz w:val="21"/>
          <w:szCs w:val="21"/>
          <w:highlight w:val="none"/>
          <w:lang w:eastAsia="zh-CN"/>
        </w:rPr>
        <w:t>。</w:t>
      </w:r>
    </w:p>
    <w:p w14:paraId="7AA4F366">
      <w:pPr>
        <w:pStyle w:val="21"/>
        <w:spacing w:line="340" w:lineRule="exact"/>
        <w:ind w:firstLineChars="0"/>
        <w:rPr>
          <w:rFonts w:hint="eastAsia" w:ascii="仿宋_GB2312" w:hAnsi="仿宋_GB2312" w:eastAsia="仿宋_GB2312" w:cs="仿宋_GB2312"/>
          <w:color w:val="auto"/>
          <w:sz w:val="21"/>
          <w:szCs w:val="21"/>
          <w:highlight w:val="none"/>
          <w:lang w:eastAsia="zh-CN"/>
        </w:rPr>
      </w:pPr>
      <w:r>
        <w:rPr>
          <w:rFonts w:ascii="Wingdings" w:hAnsi="Wingdings"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rPr>
        <w:t>智能中控机箱2套，安装在立杆2.5米位置</w:t>
      </w:r>
      <w:r>
        <w:rPr>
          <w:rFonts w:hint="eastAsia" w:ascii="仿宋_GB2312" w:hAnsi="仿宋_GB2312" w:eastAsia="仿宋_GB2312" w:cs="仿宋_GB2312"/>
          <w:color w:val="auto"/>
          <w:sz w:val="21"/>
          <w:szCs w:val="21"/>
          <w:highlight w:val="none"/>
          <w:lang w:eastAsia="zh-CN"/>
        </w:rPr>
        <w:t>。</w:t>
      </w:r>
    </w:p>
    <w:p w14:paraId="2FDE599C">
      <w:pPr>
        <w:pStyle w:val="21"/>
        <w:spacing w:line="340" w:lineRule="exact"/>
        <w:ind w:firstLineChars="0"/>
        <w:rPr>
          <w:rFonts w:hint="eastAsia" w:ascii="仿宋_GB2312" w:hAnsi="仿宋_GB2312" w:eastAsia="仿宋_GB2312" w:cs="仿宋_GB2312"/>
          <w:color w:val="auto"/>
          <w:sz w:val="21"/>
          <w:szCs w:val="21"/>
          <w:highlight w:val="none"/>
        </w:rPr>
      </w:pPr>
      <w:r>
        <w:rPr>
          <w:rFonts w:hint="eastAsia" w:ascii="仿宋_GB2312" w:hAnsi="Times New Roman" w:eastAsia="仿宋_GB2312" w:cs="Times New Roman"/>
          <w:b w:val="0"/>
          <w:bCs w:val="0"/>
          <w:color w:val="auto"/>
          <w:sz w:val="21"/>
          <w:szCs w:val="21"/>
          <w:highlight w:val="none"/>
          <w:lang w:val="en-US" w:eastAsia="zh-CN"/>
        </w:rPr>
        <w:t>详见下表17。</w:t>
      </w:r>
    </w:p>
    <w:p w14:paraId="2E910822">
      <w:pPr>
        <w:pStyle w:val="21"/>
        <w:spacing w:line="340" w:lineRule="exact"/>
        <w:ind w:left="420" w:firstLine="0" w:firstLineChars="0"/>
        <w:jc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表1</w:t>
      </w:r>
      <w:r>
        <w:rPr>
          <w:rFonts w:hint="eastAsia" w:ascii="楷体_GB2312" w:hAnsi="楷体_GB2312" w:eastAsia="楷体_GB2312" w:cs="楷体_GB2312"/>
          <w:b/>
          <w:bCs/>
          <w:color w:val="auto"/>
          <w:sz w:val="24"/>
          <w:szCs w:val="24"/>
          <w:highlight w:val="none"/>
          <w:lang w:eastAsia="zh-CN"/>
        </w:rPr>
        <w:t>7</w:t>
      </w:r>
      <w:r>
        <w:rPr>
          <w:rFonts w:hint="eastAsia" w:ascii="楷体_GB2312" w:hAnsi="楷体_GB2312" w:eastAsia="楷体_GB2312" w:cs="楷体_GB2312"/>
          <w:b/>
          <w:bCs/>
          <w:color w:val="auto"/>
          <w:sz w:val="24"/>
          <w:szCs w:val="24"/>
          <w:highlight w:val="none"/>
        </w:rPr>
        <w:t xml:space="preserve">   双向十二车道每个</w:t>
      </w:r>
      <w:r>
        <w:rPr>
          <w:rFonts w:hint="eastAsia" w:ascii="楷体_GB2312" w:hAnsi="楷体_GB2312" w:eastAsia="楷体_GB2312" w:cs="楷体_GB2312"/>
          <w:b/>
          <w:bCs/>
          <w:color w:val="auto"/>
          <w:sz w:val="24"/>
          <w:szCs w:val="24"/>
          <w:highlight w:val="none"/>
          <w:lang w:eastAsia="zh-CN"/>
        </w:rPr>
        <w:t>站点</w:t>
      </w:r>
      <w:r>
        <w:rPr>
          <w:rFonts w:hint="eastAsia" w:ascii="楷体_GB2312" w:hAnsi="楷体_GB2312" w:eastAsia="楷体_GB2312" w:cs="楷体_GB2312"/>
          <w:b/>
          <w:bCs/>
          <w:color w:val="auto"/>
          <w:sz w:val="24"/>
          <w:szCs w:val="24"/>
          <w:highlight w:val="none"/>
        </w:rPr>
        <w:t>设备配置表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449"/>
        <w:gridCol w:w="1704"/>
        <w:gridCol w:w="1705"/>
        <w:gridCol w:w="1371"/>
      </w:tblGrid>
      <w:tr w14:paraId="6A51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12" w:space="0"/>
              <w:left w:val="single" w:color="auto" w:sz="12" w:space="0"/>
              <w:bottom w:val="double" w:color="auto" w:sz="4" w:space="0"/>
            </w:tcBorders>
            <w:vAlign w:val="center"/>
          </w:tcPr>
          <w:p w14:paraId="6400A6EA">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序号</w:t>
            </w:r>
          </w:p>
        </w:tc>
        <w:tc>
          <w:tcPr>
            <w:tcW w:w="2449" w:type="dxa"/>
            <w:tcBorders>
              <w:top w:val="single" w:color="auto" w:sz="12" w:space="0"/>
              <w:bottom w:val="double" w:color="auto" w:sz="4" w:space="0"/>
            </w:tcBorders>
            <w:vAlign w:val="center"/>
          </w:tcPr>
          <w:p w14:paraId="0553B562">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设备名称</w:t>
            </w:r>
          </w:p>
        </w:tc>
        <w:tc>
          <w:tcPr>
            <w:tcW w:w="1704" w:type="dxa"/>
            <w:tcBorders>
              <w:top w:val="single" w:color="auto" w:sz="12" w:space="0"/>
              <w:bottom w:val="double" w:color="auto" w:sz="4" w:space="0"/>
            </w:tcBorders>
            <w:vAlign w:val="center"/>
          </w:tcPr>
          <w:p w14:paraId="7B86B388">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单位</w:t>
            </w:r>
          </w:p>
        </w:tc>
        <w:tc>
          <w:tcPr>
            <w:tcW w:w="1705" w:type="dxa"/>
            <w:tcBorders>
              <w:top w:val="single" w:color="auto" w:sz="12" w:space="0"/>
              <w:bottom w:val="double" w:color="auto" w:sz="4" w:space="0"/>
            </w:tcBorders>
            <w:vAlign w:val="center"/>
          </w:tcPr>
          <w:p w14:paraId="3201264F">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数量</w:t>
            </w:r>
          </w:p>
        </w:tc>
        <w:tc>
          <w:tcPr>
            <w:tcW w:w="1371" w:type="dxa"/>
            <w:tcBorders>
              <w:top w:val="single" w:color="auto" w:sz="12" w:space="0"/>
              <w:bottom w:val="double" w:color="auto" w:sz="4" w:space="0"/>
              <w:right w:val="single" w:color="auto" w:sz="12" w:space="0"/>
            </w:tcBorders>
            <w:vAlign w:val="center"/>
          </w:tcPr>
          <w:p w14:paraId="34F74679">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备注</w:t>
            </w:r>
          </w:p>
        </w:tc>
      </w:tr>
      <w:tr w14:paraId="5E39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double" w:color="auto" w:sz="4" w:space="0"/>
              <w:left w:val="single" w:color="auto" w:sz="12" w:space="0"/>
            </w:tcBorders>
            <w:vAlign w:val="center"/>
          </w:tcPr>
          <w:p w14:paraId="55469B87">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449" w:type="dxa"/>
            <w:tcBorders>
              <w:top w:val="double" w:color="auto" w:sz="4" w:space="0"/>
            </w:tcBorders>
            <w:vAlign w:val="center"/>
          </w:tcPr>
          <w:p w14:paraId="249099BD">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公路交通情况调查设备</w:t>
            </w:r>
          </w:p>
        </w:tc>
        <w:tc>
          <w:tcPr>
            <w:tcW w:w="1704" w:type="dxa"/>
            <w:tcBorders>
              <w:top w:val="double" w:color="auto" w:sz="4" w:space="0"/>
            </w:tcBorders>
            <w:vAlign w:val="center"/>
          </w:tcPr>
          <w:p w14:paraId="1F26B597">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tcBorders>
              <w:top w:val="double" w:color="auto" w:sz="4" w:space="0"/>
            </w:tcBorders>
            <w:vAlign w:val="center"/>
          </w:tcPr>
          <w:p w14:paraId="4E27C3AF">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371" w:type="dxa"/>
            <w:tcBorders>
              <w:top w:val="double" w:color="auto" w:sz="4" w:space="0"/>
              <w:right w:val="single" w:color="auto" w:sz="12" w:space="0"/>
            </w:tcBorders>
            <w:vAlign w:val="center"/>
          </w:tcPr>
          <w:p w14:paraId="473F6475">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36ED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0CD8E726">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2449" w:type="dxa"/>
            <w:vAlign w:val="center"/>
          </w:tcPr>
          <w:p w14:paraId="663FBEF6">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 w:eastAsia="仿宋_GB2312" w:cs="Times New Roman"/>
                <w:color w:val="auto"/>
                <w:sz w:val="21"/>
                <w:szCs w:val="21"/>
                <w:highlight w:val="none"/>
              </w:rPr>
              <w:t>终端管理设施</w:t>
            </w:r>
          </w:p>
        </w:tc>
        <w:tc>
          <w:tcPr>
            <w:tcW w:w="1704" w:type="dxa"/>
            <w:vAlign w:val="center"/>
          </w:tcPr>
          <w:p w14:paraId="4178AB06">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套</w:t>
            </w:r>
          </w:p>
        </w:tc>
        <w:tc>
          <w:tcPr>
            <w:tcW w:w="1705" w:type="dxa"/>
            <w:vAlign w:val="center"/>
          </w:tcPr>
          <w:p w14:paraId="3BC3B82B">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2</w:t>
            </w:r>
          </w:p>
        </w:tc>
        <w:tc>
          <w:tcPr>
            <w:tcW w:w="1371" w:type="dxa"/>
            <w:tcBorders>
              <w:right w:val="single" w:color="auto" w:sz="12" w:space="0"/>
            </w:tcBorders>
            <w:vAlign w:val="center"/>
          </w:tcPr>
          <w:p w14:paraId="431482E6">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6215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375945FE">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2449" w:type="dxa"/>
            <w:vAlign w:val="center"/>
          </w:tcPr>
          <w:p w14:paraId="3FAFB0F2">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数据模块（工业级）</w:t>
            </w:r>
          </w:p>
        </w:tc>
        <w:tc>
          <w:tcPr>
            <w:tcW w:w="1704" w:type="dxa"/>
            <w:vAlign w:val="center"/>
          </w:tcPr>
          <w:p w14:paraId="7AD96F9E">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1A94AFE5">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p>
        </w:tc>
        <w:tc>
          <w:tcPr>
            <w:tcW w:w="1371" w:type="dxa"/>
            <w:tcBorders>
              <w:right w:val="single" w:color="auto" w:sz="12" w:space="0"/>
            </w:tcBorders>
            <w:vAlign w:val="center"/>
          </w:tcPr>
          <w:p w14:paraId="62742914">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558A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7D26024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2449" w:type="dxa"/>
            <w:vAlign w:val="center"/>
          </w:tcPr>
          <w:p w14:paraId="29EA570E">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气象传感器</w:t>
            </w:r>
          </w:p>
        </w:tc>
        <w:tc>
          <w:tcPr>
            <w:tcW w:w="1704" w:type="dxa"/>
            <w:vAlign w:val="center"/>
          </w:tcPr>
          <w:p w14:paraId="7CC7950D">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0E8306B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371" w:type="dxa"/>
            <w:tcBorders>
              <w:right w:val="single" w:color="auto" w:sz="12" w:space="0"/>
            </w:tcBorders>
            <w:vAlign w:val="center"/>
          </w:tcPr>
          <w:p w14:paraId="61854DE5">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3410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18CC12EE">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2449" w:type="dxa"/>
            <w:vAlign w:val="center"/>
          </w:tcPr>
          <w:p w14:paraId="7A9A6D9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卡口抓拍摄像机</w:t>
            </w:r>
          </w:p>
        </w:tc>
        <w:tc>
          <w:tcPr>
            <w:tcW w:w="1704" w:type="dxa"/>
            <w:vAlign w:val="center"/>
          </w:tcPr>
          <w:p w14:paraId="405264D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06BC7864">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1371" w:type="dxa"/>
            <w:tcBorders>
              <w:right w:val="single" w:color="auto" w:sz="12" w:space="0"/>
            </w:tcBorders>
            <w:vAlign w:val="center"/>
          </w:tcPr>
          <w:p w14:paraId="30076C1D">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5790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2C2515AC">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2449" w:type="dxa"/>
            <w:vAlign w:val="center"/>
          </w:tcPr>
          <w:p w14:paraId="3983E22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一体化补光灯</w:t>
            </w:r>
          </w:p>
        </w:tc>
        <w:tc>
          <w:tcPr>
            <w:tcW w:w="1704" w:type="dxa"/>
            <w:vAlign w:val="center"/>
          </w:tcPr>
          <w:p w14:paraId="42B8905B">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7CBB52EE">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12</w:t>
            </w:r>
          </w:p>
        </w:tc>
        <w:tc>
          <w:tcPr>
            <w:tcW w:w="1371" w:type="dxa"/>
            <w:tcBorders>
              <w:right w:val="single" w:color="auto" w:sz="12" w:space="0"/>
            </w:tcBorders>
            <w:vAlign w:val="center"/>
          </w:tcPr>
          <w:p w14:paraId="533BD9D2">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508A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14CCB219">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w:t>
            </w:r>
          </w:p>
        </w:tc>
        <w:tc>
          <w:tcPr>
            <w:tcW w:w="2449" w:type="dxa"/>
            <w:vAlign w:val="center"/>
          </w:tcPr>
          <w:p w14:paraId="54003640">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监控球型摄像机</w:t>
            </w:r>
          </w:p>
        </w:tc>
        <w:tc>
          <w:tcPr>
            <w:tcW w:w="1704" w:type="dxa"/>
            <w:vAlign w:val="center"/>
          </w:tcPr>
          <w:p w14:paraId="5A5DB8FC">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vAlign w:val="center"/>
          </w:tcPr>
          <w:p w14:paraId="442CDE86">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2</w:t>
            </w:r>
          </w:p>
        </w:tc>
        <w:tc>
          <w:tcPr>
            <w:tcW w:w="1371" w:type="dxa"/>
            <w:tcBorders>
              <w:right w:val="single" w:color="auto" w:sz="12" w:space="0"/>
            </w:tcBorders>
            <w:vAlign w:val="center"/>
          </w:tcPr>
          <w:p w14:paraId="2E0667D5">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r w14:paraId="1DF4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bottom w:val="single" w:color="auto" w:sz="12" w:space="0"/>
            </w:tcBorders>
            <w:vAlign w:val="center"/>
          </w:tcPr>
          <w:p w14:paraId="0AF91D1F">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2449" w:type="dxa"/>
            <w:tcBorders>
              <w:bottom w:val="single" w:color="auto" w:sz="12" w:space="0"/>
            </w:tcBorders>
            <w:vAlign w:val="center"/>
          </w:tcPr>
          <w:p w14:paraId="692E923F">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智能中控机箱</w:t>
            </w:r>
          </w:p>
        </w:tc>
        <w:tc>
          <w:tcPr>
            <w:tcW w:w="1704" w:type="dxa"/>
            <w:tcBorders>
              <w:bottom w:val="single" w:color="auto" w:sz="12" w:space="0"/>
            </w:tcBorders>
            <w:vAlign w:val="center"/>
          </w:tcPr>
          <w:p w14:paraId="25D67A4F">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套</w:t>
            </w:r>
          </w:p>
        </w:tc>
        <w:tc>
          <w:tcPr>
            <w:tcW w:w="1705" w:type="dxa"/>
            <w:tcBorders>
              <w:bottom w:val="single" w:color="auto" w:sz="12" w:space="0"/>
            </w:tcBorders>
            <w:vAlign w:val="center"/>
          </w:tcPr>
          <w:p w14:paraId="796364AA">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371" w:type="dxa"/>
            <w:tcBorders>
              <w:bottom w:val="single" w:color="auto" w:sz="12" w:space="0"/>
              <w:right w:val="single" w:color="auto" w:sz="12" w:space="0"/>
            </w:tcBorders>
            <w:vAlign w:val="center"/>
          </w:tcPr>
          <w:p w14:paraId="2A881426">
            <w:pPr>
              <w:adjustRightInd/>
              <w:snapToGrid/>
              <w:spacing w:line="240" w:lineRule="exact"/>
              <w:ind w:firstLine="0" w:firstLineChars="0"/>
              <w:rPr>
                <w:rFonts w:hint="eastAsia" w:ascii="仿宋_GB2312" w:hAnsi="仿宋_GB2312" w:eastAsia="仿宋_GB2312" w:cs="仿宋_GB2312"/>
                <w:color w:val="auto"/>
                <w:sz w:val="21"/>
                <w:szCs w:val="21"/>
                <w:highlight w:val="none"/>
              </w:rPr>
            </w:pPr>
          </w:p>
        </w:tc>
      </w:tr>
    </w:tbl>
    <w:p w14:paraId="6B9907CE">
      <w:pPr>
        <w:pStyle w:val="5"/>
        <w:spacing w:line="340" w:lineRule="exact"/>
        <w:ind w:firstLine="422"/>
        <w:rPr>
          <w:color w:val="auto"/>
          <w:sz w:val="21"/>
          <w:szCs w:val="21"/>
          <w:highlight w:val="none"/>
        </w:rPr>
      </w:pPr>
      <w:r>
        <w:rPr>
          <w:rFonts w:hint="eastAsia"/>
          <w:color w:val="auto"/>
          <w:sz w:val="21"/>
          <w:szCs w:val="21"/>
          <w:highlight w:val="none"/>
        </w:rPr>
        <w:t>6.交调</w:t>
      </w:r>
      <w:r>
        <w:rPr>
          <w:rFonts w:hint="eastAsia"/>
          <w:color w:val="auto"/>
          <w:sz w:val="21"/>
          <w:szCs w:val="21"/>
          <w:highlight w:val="none"/>
          <w:lang w:val="en-US" w:eastAsia="zh-CN"/>
        </w:rPr>
        <w:t>站</w:t>
      </w:r>
      <w:r>
        <w:rPr>
          <w:rFonts w:hint="eastAsia"/>
          <w:color w:val="auto"/>
          <w:sz w:val="21"/>
          <w:szCs w:val="21"/>
          <w:highlight w:val="none"/>
        </w:rPr>
        <w:t>点供电要求</w:t>
      </w:r>
    </w:p>
    <w:p w14:paraId="0DADEFAB">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首选较为稳定的公用电源</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若距离农电或其他建筑物电源较近，且供电相对稳定，可采用其供电。</w:t>
      </w:r>
      <w:r>
        <w:rPr>
          <w:rFonts w:hint="eastAsia" w:ascii="仿宋_GB2312" w:hAnsi="Times New Roman" w:eastAsia="仿宋_GB2312" w:cs="Times New Roman"/>
          <w:color w:val="auto"/>
          <w:sz w:val="21"/>
          <w:szCs w:val="21"/>
          <w:highlight w:val="none"/>
          <w:lang w:val="en-US" w:eastAsia="zh-CN"/>
        </w:rPr>
        <w:t>中标人自行负责建设过程及3年运维期间的用电审批或谈判，并支付电费，因供电问题导致的误期、停止运行等违约责任，中标人自行承担；如造成采购人或第三方造成损失的，需承担赔偿责任。</w:t>
      </w:r>
      <w:r>
        <w:rPr>
          <w:rFonts w:hint="eastAsia" w:ascii="仿宋_GB2312" w:hAnsi="Times New Roman" w:eastAsia="仿宋_GB2312" w:cs="Times New Roman"/>
          <w:color w:val="auto"/>
          <w:sz w:val="21"/>
          <w:szCs w:val="21"/>
          <w:highlight w:val="none"/>
        </w:rPr>
        <w:t>本工程普通公路交调站点优先接入路灯箱、变电站、公路站低压配电（</w:t>
      </w:r>
      <w:r>
        <w:rPr>
          <w:rFonts w:ascii="仿宋_GB2312" w:hAnsi="Times New Roman" w:eastAsia="仿宋_GB2312" w:cs="Times New Roman"/>
          <w:color w:val="auto"/>
          <w:sz w:val="21"/>
          <w:szCs w:val="21"/>
          <w:highlight w:val="none"/>
        </w:rPr>
        <w:t>AC220V±15%），电缆选用YJV22-0.6/1kV（3×4mm²），传输距离≤500米（电压损耗≤5%）；每个站点配置UPS（容量≥2kVA），续航≥2小时（支撑所有设备运行），</w:t>
      </w:r>
      <w:r>
        <w:rPr>
          <w:rFonts w:hint="eastAsia" w:ascii="仿宋_GB2312" w:hAnsi="Times New Roman" w:eastAsia="仿宋_GB2312" w:cs="Times New Roman"/>
          <w:color w:val="auto"/>
          <w:sz w:val="21"/>
          <w:szCs w:val="21"/>
          <w:highlight w:val="none"/>
          <w:lang w:val="en-US" w:eastAsia="zh-CN"/>
        </w:rPr>
        <w:t>采用</w:t>
      </w:r>
      <w:r>
        <w:rPr>
          <w:rFonts w:ascii="仿宋_GB2312" w:hAnsi="Times New Roman" w:eastAsia="仿宋_GB2312" w:cs="Times New Roman"/>
          <w:color w:val="auto"/>
          <w:sz w:val="21"/>
          <w:szCs w:val="21"/>
          <w:highlight w:val="none"/>
        </w:rPr>
        <w:t>阀控式密封铅酸蓄电池（寿命≥5年）</w:t>
      </w:r>
      <w:r>
        <w:rPr>
          <w:rFonts w:hint="eastAsia" w:ascii="仿宋_GB2312" w:hAnsi="Times New Roman" w:eastAsia="仿宋_GB2312" w:cs="Times New Roman"/>
          <w:color w:val="auto"/>
          <w:sz w:val="21"/>
          <w:szCs w:val="21"/>
          <w:highlight w:val="none"/>
          <w:lang w:eastAsia="zh-CN"/>
        </w:rPr>
        <w:t>；</w:t>
      </w:r>
      <w:r>
        <w:rPr>
          <w:rFonts w:ascii="仿宋_GB2312" w:hAnsi="Times New Roman" w:eastAsia="仿宋_GB2312" w:cs="Times New Roman"/>
          <w:color w:val="auto"/>
          <w:sz w:val="21"/>
          <w:szCs w:val="21"/>
          <w:highlight w:val="none"/>
        </w:rPr>
        <w:t>个别交调站点采用临近建筑物或农电接入。采用沿线电缆接入的引电配套主要包括电缆接引、直埋敷设，电缆沟</w:t>
      </w:r>
      <w:r>
        <w:rPr>
          <w:rFonts w:hint="eastAsia" w:ascii="仿宋_GB2312" w:hAnsi="Times New Roman" w:eastAsia="仿宋_GB2312" w:cs="Times New Roman"/>
          <w:color w:val="auto"/>
          <w:sz w:val="21"/>
          <w:szCs w:val="21"/>
          <w:highlight w:val="none"/>
        </w:rPr>
        <w:t>挖掘，地埋引管等。</w:t>
      </w:r>
    </w:p>
    <w:p w14:paraId="4A6D44B3">
      <w:pPr>
        <w:pStyle w:val="5"/>
        <w:keepNext w:val="0"/>
        <w:keepLines w:val="0"/>
        <w:spacing w:line="340" w:lineRule="exact"/>
        <w:ind w:firstLine="422"/>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7.防雷接地要求</w:t>
      </w:r>
    </w:p>
    <w:p w14:paraId="1192A1D8">
      <w:pPr>
        <w:pStyle w:val="5"/>
        <w:keepNext w:val="0"/>
        <w:keepLines w:val="0"/>
        <w:spacing w:line="340" w:lineRule="exact"/>
        <w:ind w:firstLine="422"/>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（1）防雷体系</w:t>
      </w:r>
    </w:p>
    <w:p w14:paraId="255AACB3">
      <w:pPr>
        <w:pStyle w:val="5"/>
        <w:keepNext w:val="0"/>
        <w:keepLines w:val="0"/>
        <w:spacing w:line="340" w:lineRule="exact"/>
        <w:ind w:firstLine="422"/>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rPr>
        <w:t>设备防雷接地：杆件顶部安装避雷针（保护角≤45°），避雷针与杆件采用Φ12mm圆钢可靠连接，防雷接地电阻≤10Ω</w:t>
      </w:r>
      <w:r>
        <w:rPr>
          <w:rFonts w:hint="eastAsia" w:ascii="仿宋_GB2312" w:hAnsi="仿宋_GB2312" w:eastAsia="仿宋_GB2312" w:cs="仿宋_GB2312"/>
          <w:b w:val="0"/>
          <w:bCs/>
          <w:color w:val="auto"/>
          <w:sz w:val="21"/>
          <w:szCs w:val="21"/>
          <w:highlight w:val="none"/>
          <w:lang w:eastAsia="zh-CN"/>
        </w:rPr>
        <w:t>。</w:t>
      </w:r>
    </w:p>
    <w:p w14:paraId="594D50BB">
      <w:pPr>
        <w:pStyle w:val="5"/>
        <w:keepNext w:val="0"/>
        <w:keepLines w:val="0"/>
        <w:spacing w:line="340" w:lineRule="exact"/>
        <w:ind w:firstLine="422"/>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设备保护接地：智能中控机箱内电源端加装二级防雷器，信号端（如RJ45、RS485）加装信号防雷器。机箱内所有设备金属外壳通过60×6mm铜排连入接地网。设备保护接地电阻≤4Ω。</w:t>
      </w:r>
    </w:p>
    <w:p w14:paraId="540BBF61">
      <w:pPr>
        <w:pStyle w:val="5"/>
        <w:keepNext w:val="0"/>
        <w:keepLines w:val="0"/>
        <w:spacing w:line="340" w:lineRule="exact"/>
        <w:ind w:firstLine="422"/>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（2）接地网设计</w:t>
      </w:r>
    </w:p>
    <w:p w14:paraId="3F295804">
      <w:pPr>
        <w:pStyle w:val="5"/>
        <w:keepNext w:val="0"/>
        <w:keepLines w:val="0"/>
        <w:spacing w:line="340" w:lineRule="exact"/>
        <w:ind w:firstLine="422"/>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采用“水平接地体+垂直接地极”组合，水平接地体选用40×4mm镀锌扁钢，垂直接地极选用Φ50×2.5m镀锌钢管（间距5米）</w:t>
      </w:r>
      <w:r>
        <w:rPr>
          <w:rFonts w:hint="eastAsia" w:hAnsi="仿宋_GB2312" w:cs="仿宋_GB2312"/>
          <w:b w:val="0"/>
          <w:bCs/>
          <w:color w:val="auto"/>
          <w:sz w:val="21"/>
          <w:szCs w:val="21"/>
          <w:highlight w:val="none"/>
          <w:lang w:eastAsia="zh-CN"/>
        </w:rPr>
        <w:t>。</w:t>
      </w:r>
    </w:p>
    <w:p w14:paraId="304FFAC6">
      <w:pPr>
        <w:pStyle w:val="5"/>
        <w:keepNext w:val="0"/>
        <w:keepLines w:val="0"/>
        <w:spacing w:line="340" w:lineRule="exact"/>
        <w:ind w:firstLine="422"/>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接地网埋深≥0.8米，土壤电阻率＞100Ω・m时，添加降阻剂（如膨润土降阻剂）。</w:t>
      </w:r>
    </w:p>
    <w:p w14:paraId="63193549">
      <w:pPr>
        <w:pStyle w:val="5"/>
        <w:keepNext w:val="0"/>
        <w:keepLines w:val="0"/>
        <w:spacing w:line="340" w:lineRule="exact"/>
        <w:ind w:firstLine="422"/>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（3）检测要求</w:t>
      </w:r>
    </w:p>
    <w:p w14:paraId="3B74B037">
      <w:pPr>
        <w:pStyle w:val="5"/>
        <w:keepNext w:val="0"/>
        <w:keepLines w:val="0"/>
        <w:spacing w:line="340" w:lineRule="exact"/>
        <w:ind w:firstLine="422"/>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施工后需检测防雷接地线电阻（采用接地电阻测试仪，量程0-100Ω），确保≤10Ω</w:t>
      </w:r>
      <w:r>
        <w:rPr>
          <w:rFonts w:hint="eastAsia" w:hAnsi="仿宋_GB2312" w:cs="仿宋_GB2312"/>
          <w:b w:val="0"/>
          <w:bCs/>
          <w:color w:val="auto"/>
          <w:sz w:val="21"/>
          <w:szCs w:val="21"/>
          <w:highlight w:val="none"/>
          <w:lang w:eastAsia="zh-CN"/>
        </w:rPr>
        <w:t>。</w:t>
      </w:r>
    </w:p>
    <w:p w14:paraId="265DD6B3">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仿宋_GB2312" w:eastAsia="仿宋_GB2312" w:cs="仿宋_GB2312"/>
          <w:b w:val="0"/>
          <w:bCs/>
          <w:color w:val="auto"/>
          <w:sz w:val="21"/>
          <w:szCs w:val="21"/>
          <w:highlight w:val="none"/>
        </w:rPr>
        <w:t>每年雷雨季节前（4-5月）进行防雷器老化检测，失效防雷器需及时更换。</w:t>
      </w:r>
    </w:p>
    <w:p w14:paraId="1934FB2B">
      <w:pPr>
        <w:pStyle w:val="5"/>
        <w:keepNext w:val="0"/>
        <w:keepLines w:val="0"/>
        <w:widowControl w:val="0"/>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（五）交通调查站点功能与技术要求</w:t>
      </w:r>
    </w:p>
    <w:p w14:paraId="41071143">
      <w:pPr>
        <w:pStyle w:val="5"/>
        <w:keepNext w:val="0"/>
        <w:keepLines w:val="0"/>
        <w:spacing w:line="340" w:lineRule="exact"/>
        <w:ind w:firstLine="422"/>
        <w:rPr>
          <w:color w:val="auto"/>
          <w:sz w:val="21"/>
          <w:szCs w:val="21"/>
          <w:highlight w:val="none"/>
        </w:rPr>
      </w:pPr>
      <w:r>
        <w:rPr>
          <w:rFonts w:hint="eastAsia"/>
          <w:color w:val="auto"/>
          <w:sz w:val="21"/>
          <w:szCs w:val="21"/>
          <w:highlight w:val="none"/>
        </w:rPr>
        <w:t>1.设备功能要求</w:t>
      </w:r>
    </w:p>
    <w:p w14:paraId="4EABC4A5">
      <w:pPr>
        <w:pStyle w:val="5"/>
        <w:keepNext w:val="0"/>
        <w:keepLines w:val="0"/>
        <w:spacing w:line="340" w:lineRule="exact"/>
        <w:ind w:firstLine="422"/>
        <w:rPr>
          <w:color w:val="auto"/>
          <w:sz w:val="21"/>
          <w:szCs w:val="21"/>
          <w:highlight w:val="none"/>
        </w:rPr>
      </w:pPr>
      <w:r>
        <w:rPr>
          <w:rFonts w:hint="eastAsia"/>
          <w:color w:val="auto"/>
          <w:sz w:val="21"/>
          <w:szCs w:val="21"/>
          <w:highlight w:val="none"/>
        </w:rPr>
        <w:t>（1）交通数据采集</w:t>
      </w:r>
    </w:p>
    <w:p w14:paraId="0D7111CD">
      <w:pPr>
        <w:spacing w:line="340" w:lineRule="exact"/>
        <w:ind w:firstLine="420"/>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①支持车辆分类功能：依据</w:t>
      </w:r>
      <w:r>
        <w:rPr>
          <w:rFonts w:hint="eastAsia" w:ascii="仿宋_GB2312" w:hAnsi="仿宋_GB2312" w:eastAsia="仿宋_GB2312" w:cs="仿宋_GB2312"/>
          <w:color w:val="auto"/>
          <w:sz w:val="21"/>
          <w:szCs w:val="21"/>
          <w:highlight w:val="none"/>
          <w:lang w:val="en-US" w:eastAsia="zh-CN"/>
        </w:rPr>
        <w:t>部颁</w:t>
      </w:r>
      <w:r>
        <w:rPr>
          <w:rFonts w:hint="eastAsia" w:ascii="仿宋_GB2312" w:hAnsi="仿宋_GB2312" w:eastAsia="仿宋_GB2312" w:cs="仿宋_GB2312"/>
          <w:color w:val="auto"/>
          <w:sz w:val="21"/>
          <w:szCs w:val="21"/>
          <w:highlight w:val="none"/>
        </w:rPr>
        <w:t>《公路交通情况调查设备第1 部分：技术条件（J/TT 1008.1-2015）》Ⅰ类设备车型识别标准，将机动车划分为中小客车、小货车、大型客车、中型货车、大型货车、特大型货车、集装箱车、摩托车、拖拉机等9类。</w:t>
      </w:r>
      <w:r>
        <w:rPr>
          <w:rFonts w:hint="eastAsia" w:ascii="仿宋_GB2312" w:hAnsi="仿宋_GB2312" w:eastAsia="仿宋_GB2312" w:cs="仿宋_GB2312"/>
          <w:color w:val="auto"/>
          <w:sz w:val="21"/>
          <w:szCs w:val="21"/>
          <w:highlight w:val="none"/>
          <w:lang w:val="en-US" w:eastAsia="zh-CN"/>
        </w:rPr>
        <w:t>详见下表1</w:t>
      </w:r>
      <w:r>
        <w:rPr>
          <w:rFonts w:hint="default" w:ascii="仿宋_GB2312" w:hAnsi="仿宋_GB2312" w:eastAsia="仿宋_GB2312" w:cs="仿宋_GB2312"/>
          <w:color w:val="auto"/>
          <w:sz w:val="21"/>
          <w:szCs w:val="21"/>
          <w:highlight w:val="none"/>
          <w:lang w:val="en-US" w:eastAsia="zh-CN"/>
        </w:rPr>
        <w:t>8</w:t>
      </w:r>
      <w:r>
        <w:rPr>
          <w:rFonts w:hint="eastAsia" w:ascii="仿宋_GB2312" w:hAnsi="仿宋_GB2312" w:eastAsia="仿宋_GB2312" w:cs="仿宋_GB2312"/>
          <w:color w:val="auto"/>
          <w:sz w:val="21"/>
          <w:szCs w:val="21"/>
          <w:highlight w:val="none"/>
          <w:lang w:val="en-US" w:eastAsia="zh-CN"/>
        </w:rPr>
        <w:t>。</w:t>
      </w:r>
    </w:p>
    <w:p w14:paraId="137B4865">
      <w:pPr>
        <w:pStyle w:val="21"/>
        <w:spacing w:line="340" w:lineRule="exact"/>
        <w:ind w:left="420" w:firstLine="0" w:firstLineChars="0"/>
        <w:jc w:val="center"/>
        <w:rPr>
          <w:rFonts w:hint="eastAsia" w:ascii="楷体_GB2312" w:hAnsi="楷体_GB2312" w:eastAsia="楷体_GB2312" w:cs="楷体_GB2312"/>
          <w:b/>
          <w:bCs/>
          <w:color w:val="auto"/>
          <w:sz w:val="24"/>
          <w:szCs w:val="24"/>
          <w:highlight w:val="none"/>
        </w:rPr>
      </w:pPr>
    </w:p>
    <w:p w14:paraId="4F121C0F">
      <w:pPr>
        <w:pStyle w:val="21"/>
        <w:spacing w:line="340" w:lineRule="exact"/>
        <w:ind w:left="420" w:firstLine="0" w:firstLineChars="0"/>
        <w:jc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表1</w:t>
      </w:r>
      <w:r>
        <w:rPr>
          <w:rFonts w:hint="default" w:ascii="楷体_GB2312" w:hAnsi="楷体_GB2312" w:eastAsia="楷体_GB2312" w:cs="楷体_GB2312"/>
          <w:b/>
          <w:bCs/>
          <w:color w:val="auto"/>
          <w:sz w:val="24"/>
          <w:szCs w:val="24"/>
          <w:highlight w:val="none"/>
          <w:lang w:eastAsia="zh-CN"/>
        </w:rPr>
        <w:t>8</w:t>
      </w:r>
      <w:r>
        <w:rPr>
          <w:rFonts w:hint="eastAsia" w:ascii="楷体_GB2312" w:hAnsi="楷体_GB2312" w:eastAsia="楷体_GB2312" w:cs="楷体_GB2312"/>
          <w:b/>
          <w:bCs/>
          <w:color w:val="auto"/>
          <w:sz w:val="24"/>
          <w:szCs w:val="24"/>
          <w:highlight w:val="none"/>
        </w:rPr>
        <w:t xml:space="preserve">  机动车车型分类表</w:t>
      </w:r>
    </w:p>
    <w:tbl>
      <w:tblPr>
        <w:tblStyle w:val="1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276"/>
        <w:gridCol w:w="1417"/>
        <w:gridCol w:w="1905"/>
        <w:gridCol w:w="2206"/>
        <w:gridCol w:w="850"/>
      </w:tblGrid>
      <w:tr w14:paraId="2F0B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12" w:space="0"/>
              <w:left w:val="single" w:color="auto" w:sz="12" w:space="0"/>
              <w:bottom w:val="double" w:color="auto" w:sz="4" w:space="0"/>
            </w:tcBorders>
            <w:vAlign w:val="center"/>
          </w:tcPr>
          <w:p w14:paraId="15B86093">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车型</w:t>
            </w:r>
          </w:p>
        </w:tc>
        <w:tc>
          <w:tcPr>
            <w:tcW w:w="1276" w:type="dxa"/>
            <w:tcBorders>
              <w:top w:val="single" w:color="auto" w:sz="12" w:space="0"/>
              <w:bottom w:val="double" w:color="auto" w:sz="4" w:space="0"/>
            </w:tcBorders>
            <w:vAlign w:val="center"/>
          </w:tcPr>
          <w:p w14:paraId="1BA3B2AF">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一级分类</w:t>
            </w:r>
          </w:p>
        </w:tc>
        <w:tc>
          <w:tcPr>
            <w:tcW w:w="1417" w:type="dxa"/>
            <w:tcBorders>
              <w:top w:val="single" w:color="auto" w:sz="12" w:space="0"/>
              <w:bottom w:val="double" w:color="auto" w:sz="4" w:space="0"/>
            </w:tcBorders>
            <w:vAlign w:val="center"/>
          </w:tcPr>
          <w:p w14:paraId="6CDE8CEF">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二级分类</w:t>
            </w:r>
          </w:p>
        </w:tc>
        <w:tc>
          <w:tcPr>
            <w:tcW w:w="1905" w:type="dxa"/>
            <w:tcBorders>
              <w:top w:val="single" w:color="auto" w:sz="12" w:space="0"/>
              <w:bottom w:val="double" w:color="auto" w:sz="4" w:space="0"/>
            </w:tcBorders>
            <w:vAlign w:val="center"/>
          </w:tcPr>
          <w:p w14:paraId="06B9FC5C">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额定荷载参数</w:t>
            </w:r>
          </w:p>
        </w:tc>
        <w:tc>
          <w:tcPr>
            <w:tcW w:w="2206" w:type="dxa"/>
            <w:tcBorders>
              <w:top w:val="single" w:color="auto" w:sz="12" w:space="0"/>
              <w:bottom w:val="double" w:color="auto" w:sz="4" w:space="0"/>
            </w:tcBorders>
            <w:vAlign w:val="center"/>
          </w:tcPr>
          <w:p w14:paraId="2DCB5292">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轮廓及轴数特征参数</w:t>
            </w:r>
          </w:p>
        </w:tc>
        <w:tc>
          <w:tcPr>
            <w:tcW w:w="850" w:type="dxa"/>
            <w:tcBorders>
              <w:top w:val="single" w:color="auto" w:sz="12" w:space="0"/>
              <w:bottom w:val="double" w:color="auto" w:sz="4" w:space="0"/>
              <w:right w:val="single" w:color="auto" w:sz="12" w:space="0"/>
            </w:tcBorders>
            <w:vAlign w:val="center"/>
          </w:tcPr>
          <w:p w14:paraId="4D6A5775">
            <w:pPr>
              <w:adjustRightInd/>
              <w:snapToGrid/>
              <w:spacing w:line="240" w:lineRule="exact"/>
              <w:ind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备注</w:t>
            </w:r>
          </w:p>
        </w:tc>
      </w:tr>
      <w:tr w14:paraId="0D42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tcBorders>
              <w:top w:val="double" w:color="auto" w:sz="4" w:space="0"/>
              <w:left w:val="single" w:color="auto" w:sz="12" w:space="0"/>
            </w:tcBorders>
            <w:vAlign w:val="center"/>
          </w:tcPr>
          <w:p w14:paraId="316350AF">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汽车</w:t>
            </w:r>
          </w:p>
        </w:tc>
        <w:tc>
          <w:tcPr>
            <w:tcW w:w="1276" w:type="dxa"/>
            <w:vMerge w:val="restart"/>
            <w:tcBorders>
              <w:top w:val="double" w:color="auto" w:sz="4" w:space="0"/>
            </w:tcBorders>
            <w:vAlign w:val="center"/>
          </w:tcPr>
          <w:p w14:paraId="6601A804">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小型车</w:t>
            </w:r>
          </w:p>
        </w:tc>
        <w:tc>
          <w:tcPr>
            <w:tcW w:w="1417" w:type="dxa"/>
            <w:tcBorders>
              <w:top w:val="double" w:color="auto" w:sz="4" w:space="0"/>
            </w:tcBorders>
            <w:vAlign w:val="center"/>
          </w:tcPr>
          <w:p w14:paraId="5409B528">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中小客车</w:t>
            </w:r>
          </w:p>
        </w:tc>
        <w:tc>
          <w:tcPr>
            <w:tcW w:w="1905" w:type="dxa"/>
            <w:tcBorders>
              <w:top w:val="double" w:color="auto" w:sz="4" w:space="0"/>
            </w:tcBorders>
            <w:vAlign w:val="center"/>
          </w:tcPr>
          <w:p w14:paraId="74C5DF34">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额定座位≤19座</w:t>
            </w:r>
          </w:p>
        </w:tc>
        <w:tc>
          <w:tcPr>
            <w:tcW w:w="2206" w:type="dxa"/>
            <w:vMerge w:val="restart"/>
            <w:tcBorders>
              <w:top w:val="double" w:color="auto" w:sz="4" w:space="0"/>
            </w:tcBorders>
            <w:vAlign w:val="center"/>
          </w:tcPr>
          <w:p w14:paraId="0991EF08">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车长＜6m，2轴</w:t>
            </w:r>
          </w:p>
        </w:tc>
        <w:tc>
          <w:tcPr>
            <w:tcW w:w="850" w:type="dxa"/>
            <w:tcBorders>
              <w:top w:val="double" w:color="auto" w:sz="4" w:space="0"/>
              <w:right w:val="single" w:color="auto" w:sz="12" w:space="0"/>
            </w:tcBorders>
            <w:vAlign w:val="center"/>
          </w:tcPr>
          <w:p w14:paraId="591619A2">
            <w:pPr>
              <w:adjustRightInd/>
              <w:snapToGrid/>
              <w:spacing w:line="240" w:lineRule="exact"/>
              <w:ind w:firstLine="0" w:firstLineChars="0"/>
              <w:rPr>
                <w:rFonts w:hint="eastAsia" w:ascii="仿宋_GB2312" w:hAnsi="仿宋" w:eastAsia="仿宋_GB2312" w:cs="Times New Roman"/>
                <w:color w:val="auto"/>
                <w:sz w:val="21"/>
                <w:szCs w:val="21"/>
                <w:highlight w:val="none"/>
              </w:rPr>
            </w:pPr>
          </w:p>
        </w:tc>
      </w:tr>
      <w:tr w14:paraId="1B7B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tcBorders>
              <w:left w:val="single" w:color="auto" w:sz="12" w:space="0"/>
            </w:tcBorders>
            <w:vAlign w:val="center"/>
          </w:tcPr>
          <w:p w14:paraId="3E7A54A8">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p>
        </w:tc>
        <w:tc>
          <w:tcPr>
            <w:tcW w:w="1276" w:type="dxa"/>
            <w:vMerge w:val="continue"/>
            <w:vAlign w:val="center"/>
          </w:tcPr>
          <w:p w14:paraId="4AFE30F9">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p>
        </w:tc>
        <w:tc>
          <w:tcPr>
            <w:tcW w:w="1417" w:type="dxa"/>
            <w:vAlign w:val="center"/>
          </w:tcPr>
          <w:p w14:paraId="2E1F9896">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小型货车</w:t>
            </w:r>
          </w:p>
        </w:tc>
        <w:tc>
          <w:tcPr>
            <w:tcW w:w="1905" w:type="dxa"/>
            <w:vAlign w:val="center"/>
          </w:tcPr>
          <w:p w14:paraId="0F060569">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载质量≤2吨</w:t>
            </w:r>
          </w:p>
        </w:tc>
        <w:tc>
          <w:tcPr>
            <w:tcW w:w="2206" w:type="dxa"/>
            <w:vMerge w:val="continue"/>
            <w:vAlign w:val="center"/>
          </w:tcPr>
          <w:p w14:paraId="0F51A48F">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p>
        </w:tc>
        <w:tc>
          <w:tcPr>
            <w:tcW w:w="850" w:type="dxa"/>
            <w:tcBorders>
              <w:right w:val="single" w:color="auto" w:sz="12" w:space="0"/>
            </w:tcBorders>
            <w:vAlign w:val="center"/>
          </w:tcPr>
          <w:p w14:paraId="5B8272AB">
            <w:pPr>
              <w:adjustRightInd/>
              <w:snapToGrid/>
              <w:spacing w:line="240" w:lineRule="exact"/>
              <w:ind w:firstLine="0" w:firstLineChars="0"/>
              <w:rPr>
                <w:rFonts w:hint="eastAsia" w:ascii="仿宋_GB2312" w:hAnsi="仿宋" w:eastAsia="仿宋_GB2312" w:cs="Times New Roman"/>
                <w:color w:val="auto"/>
                <w:sz w:val="21"/>
                <w:szCs w:val="21"/>
                <w:highlight w:val="none"/>
              </w:rPr>
            </w:pPr>
          </w:p>
        </w:tc>
      </w:tr>
      <w:tr w14:paraId="2A78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tcBorders>
              <w:left w:val="single" w:color="auto" w:sz="12" w:space="0"/>
            </w:tcBorders>
            <w:vAlign w:val="center"/>
          </w:tcPr>
          <w:p w14:paraId="1CFE6ABB">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p>
        </w:tc>
        <w:tc>
          <w:tcPr>
            <w:tcW w:w="1276" w:type="dxa"/>
            <w:vMerge w:val="restart"/>
            <w:vAlign w:val="center"/>
          </w:tcPr>
          <w:p w14:paraId="713F3429">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中型车</w:t>
            </w:r>
          </w:p>
        </w:tc>
        <w:tc>
          <w:tcPr>
            <w:tcW w:w="1417" w:type="dxa"/>
            <w:vAlign w:val="center"/>
          </w:tcPr>
          <w:p w14:paraId="3AAD7FC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大客车</w:t>
            </w:r>
          </w:p>
        </w:tc>
        <w:tc>
          <w:tcPr>
            <w:tcW w:w="1905" w:type="dxa"/>
            <w:vAlign w:val="center"/>
          </w:tcPr>
          <w:p w14:paraId="50A36908">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额定座位＞19座</w:t>
            </w:r>
          </w:p>
        </w:tc>
        <w:tc>
          <w:tcPr>
            <w:tcW w:w="2206" w:type="dxa"/>
            <w:vMerge w:val="restart"/>
            <w:vAlign w:val="center"/>
          </w:tcPr>
          <w:p w14:paraId="301C2FCA">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6m≤车长≤12m的2轴</w:t>
            </w:r>
          </w:p>
        </w:tc>
        <w:tc>
          <w:tcPr>
            <w:tcW w:w="850" w:type="dxa"/>
            <w:tcBorders>
              <w:right w:val="single" w:color="auto" w:sz="12" w:space="0"/>
            </w:tcBorders>
            <w:vAlign w:val="center"/>
          </w:tcPr>
          <w:p w14:paraId="41077FDF">
            <w:pPr>
              <w:adjustRightInd/>
              <w:snapToGrid/>
              <w:spacing w:line="240" w:lineRule="exact"/>
              <w:ind w:firstLine="0" w:firstLineChars="0"/>
              <w:rPr>
                <w:rFonts w:hint="eastAsia" w:ascii="仿宋_GB2312" w:hAnsi="仿宋" w:eastAsia="仿宋_GB2312" w:cs="Times New Roman"/>
                <w:color w:val="auto"/>
                <w:sz w:val="21"/>
                <w:szCs w:val="21"/>
                <w:highlight w:val="none"/>
              </w:rPr>
            </w:pPr>
          </w:p>
        </w:tc>
      </w:tr>
      <w:tr w14:paraId="7DBB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tcBorders>
              <w:left w:val="single" w:color="auto" w:sz="12" w:space="0"/>
            </w:tcBorders>
            <w:vAlign w:val="center"/>
          </w:tcPr>
          <w:p w14:paraId="0C2409A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p>
        </w:tc>
        <w:tc>
          <w:tcPr>
            <w:tcW w:w="1276" w:type="dxa"/>
            <w:vMerge w:val="continue"/>
            <w:vAlign w:val="center"/>
          </w:tcPr>
          <w:p w14:paraId="48F44F62">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p>
        </w:tc>
        <w:tc>
          <w:tcPr>
            <w:tcW w:w="1417" w:type="dxa"/>
            <w:vAlign w:val="center"/>
          </w:tcPr>
          <w:p w14:paraId="434099D7">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中型货车</w:t>
            </w:r>
          </w:p>
        </w:tc>
        <w:tc>
          <w:tcPr>
            <w:tcW w:w="1905" w:type="dxa"/>
            <w:vAlign w:val="center"/>
          </w:tcPr>
          <w:p w14:paraId="12520723">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2吨＜载质量≤7吨</w:t>
            </w:r>
          </w:p>
        </w:tc>
        <w:tc>
          <w:tcPr>
            <w:tcW w:w="2206" w:type="dxa"/>
            <w:vMerge w:val="continue"/>
            <w:vAlign w:val="center"/>
          </w:tcPr>
          <w:p w14:paraId="15A63601">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p>
        </w:tc>
        <w:tc>
          <w:tcPr>
            <w:tcW w:w="850" w:type="dxa"/>
            <w:tcBorders>
              <w:right w:val="single" w:color="auto" w:sz="12" w:space="0"/>
            </w:tcBorders>
            <w:vAlign w:val="center"/>
          </w:tcPr>
          <w:p w14:paraId="2C2769A8">
            <w:pPr>
              <w:adjustRightInd/>
              <w:snapToGrid/>
              <w:spacing w:line="240" w:lineRule="exact"/>
              <w:ind w:firstLine="0" w:firstLineChars="0"/>
              <w:rPr>
                <w:rFonts w:hint="eastAsia" w:ascii="仿宋_GB2312" w:hAnsi="仿宋" w:eastAsia="仿宋_GB2312" w:cs="Times New Roman"/>
                <w:color w:val="auto"/>
                <w:sz w:val="21"/>
                <w:szCs w:val="21"/>
                <w:highlight w:val="none"/>
              </w:rPr>
            </w:pPr>
          </w:p>
        </w:tc>
      </w:tr>
      <w:tr w14:paraId="3C59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tcBorders>
              <w:left w:val="single" w:color="auto" w:sz="12" w:space="0"/>
            </w:tcBorders>
            <w:vAlign w:val="center"/>
          </w:tcPr>
          <w:p w14:paraId="142DBE8F">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p>
        </w:tc>
        <w:tc>
          <w:tcPr>
            <w:tcW w:w="1276" w:type="dxa"/>
            <w:vAlign w:val="center"/>
          </w:tcPr>
          <w:p w14:paraId="4E4261D3">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大型车</w:t>
            </w:r>
          </w:p>
        </w:tc>
        <w:tc>
          <w:tcPr>
            <w:tcW w:w="1417" w:type="dxa"/>
            <w:vAlign w:val="center"/>
          </w:tcPr>
          <w:p w14:paraId="415F633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大型货车</w:t>
            </w:r>
          </w:p>
        </w:tc>
        <w:tc>
          <w:tcPr>
            <w:tcW w:w="1905" w:type="dxa"/>
            <w:vAlign w:val="center"/>
          </w:tcPr>
          <w:p w14:paraId="3E56EB1B">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7吨＜载质量≤20吨</w:t>
            </w:r>
          </w:p>
        </w:tc>
        <w:tc>
          <w:tcPr>
            <w:tcW w:w="2206" w:type="dxa"/>
            <w:vAlign w:val="center"/>
          </w:tcPr>
          <w:p w14:paraId="5FA92C81">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6m≤车长≤12m的3轴或4轴</w:t>
            </w:r>
          </w:p>
        </w:tc>
        <w:tc>
          <w:tcPr>
            <w:tcW w:w="850" w:type="dxa"/>
            <w:tcBorders>
              <w:right w:val="single" w:color="auto" w:sz="12" w:space="0"/>
            </w:tcBorders>
            <w:vAlign w:val="center"/>
          </w:tcPr>
          <w:p w14:paraId="1E845780">
            <w:pPr>
              <w:adjustRightInd/>
              <w:snapToGrid/>
              <w:spacing w:line="240" w:lineRule="exact"/>
              <w:ind w:firstLine="0" w:firstLineChars="0"/>
              <w:rPr>
                <w:rFonts w:hint="eastAsia" w:ascii="仿宋_GB2312" w:hAnsi="仿宋" w:eastAsia="仿宋_GB2312" w:cs="Times New Roman"/>
                <w:color w:val="auto"/>
                <w:sz w:val="21"/>
                <w:szCs w:val="21"/>
                <w:highlight w:val="none"/>
              </w:rPr>
            </w:pPr>
          </w:p>
        </w:tc>
      </w:tr>
      <w:tr w14:paraId="747F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tcBorders>
              <w:left w:val="single" w:color="auto" w:sz="12" w:space="0"/>
            </w:tcBorders>
            <w:vAlign w:val="center"/>
          </w:tcPr>
          <w:p w14:paraId="2CBF0919">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p>
        </w:tc>
        <w:tc>
          <w:tcPr>
            <w:tcW w:w="1276" w:type="dxa"/>
            <w:vMerge w:val="restart"/>
            <w:vAlign w:val="center"/>
          </w:tcPr>
          <w:p w14:paraId="4A65FE9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特大型车</w:t>
            </w:r>
          </w:p>
        </w:tc>
        <w:tc>
          <w:tcPr>
            <w:tcW w:w="1417" w:type="dxa"/>
            <w:vAlign w:val="center"/>
          </w:tcPr>
          <w:p w14:paraId="363552E8">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特大型货车</w:t>
            </w:r>
          </w:p>
        </w:tc>
        <w:tc>
          <w:tcPr>
            <w:tcW w:w="1905" w:type="dxa"/>
            <w:vMerge w:val="restart"/>
            <w:vAlign w:val="center"/>
          </w:tcPr>
          <w:p w14:paraId="154CACE1">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载质量＞20吨</w:t>
            </w:r>
          </w:p>
        </w:tc>
        <w:tc>
          <w:tcPr>
            <w:tcW w:w="2206" w:type="dxa"/>
            <w:vAlign w:val="center"/>
          </w:tcPr>
          <w:p w14:paraId="698BAA8C">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车长&gt;12m或4轴以上；且高度＜3.8m或高度＞4.2m</w:t>
            </w:r>
          </w:p>
        </w:tc>
        <w:tc>
          <w:tcPr>
            <w:tcW w:w="850" w:type="dxa"/>
            <w:tcBorders>
              <w:right w:val="single" w:color="auto" w:sz="12" w:space="0"/>
            </w:tcBorders>
            <w:vAlign w:val="center"/>
          </w:tcPr>
          <w:p w14:paraId="0BB9FA0C">
            <w:pPr>
              <w:adjustRightInd/>
              <w:snapToGrid/>
              <w:spacing w:line="240" w:lineRule="exact"/>
              <w:ind w:firstLine="0" w:firstLineChars="0"/>
              <w:rPr>
                <w:rFonts w:hint="eastAsia" w:ascii="仿宋_GB2312" w:hAnsi="仿宋" w:eastAsia="仿宋_GB2312" w:cs="Times New Roman"/>
                <w:color w:val="auto"/>
                <w:sz w:val="21"/>
                <w:szCs w:val="21"/>
                <w:highlight w:val="none"/>
              </w:rPr>
            </w:pPr>
          </w:p>
        </w:tc>
      </w:tr>
      <w:tr w14:paraId="4C0F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tcBorders>
              <w:left w:val="single" w:color="auto" w:sz="12" w:space="0"/>
            </w:tcBorders>
            <w:vAlign w:val="center"/>
          </w:tcPr>
          <w:p w14:paraId="3F072D2D">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p>
        </w:tc>
        <w:tc>
          <w:tcPr>
            <w:tcW w:w="1276" w:type="dxa"/>
            <w:vMerge w:val="continue"/>
            <w:vAlign w:val="center"/>
          </w:tcPr>
          <w:p w14:paraId="7A320692">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p>
        </w:tc>
        <w:tc>
          <w:tcPr>
            <w:tcW w:w="1417" w:type="dxa"/>
            <w:vAlign w:val="center"/>
          </w:tcPr>
          <w:p w14:paraId="210B379E">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集装箱车</w:t>
            </w:r>
          </w:p>
        </w:tc>
        <w:tc>
          <w:tcPr>
            <w:tcW w:w="1905" w:type="dxa"/>
            <w:vMerge w:val="continue"/>
            <w:vAlign w:val="center"/>
          </w:tcPr>
          <w:p w14:paraId="6A292A09">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p>
        </w:tc>
        <w:tc>
          <w:tcPr>
            <w:tcW w:w="2206" w:type="dxa"/>
            <w:vAlign w:val="center"/>
          </w:tcPr>
          <w:p w14:paraId="7C88216D">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车长&gt;12m或4轴以上；且3.8m≤高度≤4.2m</w:t>
            </w:r>
          </w:p>
        </w:tc>
        <w:tc>
          <w:tcPr>
            <w:tcW w:w="850" w:type="dxa"/>
            <w:tcBorders>
              <w:right w:val="single" w:color="auto" w:sz="12" w:space="0"/>
            </w:tcBorders>
            <w:vAlign w:val="center"/>
          </w:tcPr>
          <w:p w14:paraId="61ED5C80">
            <w:pPr>
              <w:adjustRightInd/>
              <w:snapToGrid/>
              <w:spacing w:line="240" w:lineRule="exact"/>
              <w:ind w:firstLine="0" w:firstLineChars="0"/>
              <w:rPr>
                <w:rFonts w:hint="eastAsia" w:ascii="仿宋_GB2312" w:hAnsi="仿宋" w:eastAsia="仿宋_GB2312" w:cs="Times New Roman"/>
                <w:color w:val="auto"/>
                <w:sz w:val="21"/>
                <w:szCs w:val="21"/>
                <w:highlight w:val="none"/>
              </w:rPr>
            </w:pPr>
          </w:p>
        </w:tc>
      </w:tr>
      <w:tr w14:paraId="380A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vAlign w:val="center"/>
          </w:tcPr>
          <w:p w14:paraId="2332A864">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拖拉机</w:t>
            </w:r>
          </w:p>
        </w:tc>
        <w:tc>
          <w:tcPr>
            <w:tcW w:w="2693" w:type="dxa"/>
            <w:gridSpan w:val="2"/>
            <w:vAlign w:val="center"/>
          </w:tcPr>
          <w:p w14:paraId="10FD7AAD">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拖拉机</w:t>
            </w:r>
          </w:p>
        </w:tc>
        <w:tc>
          <w:tcPr>
            <w:tcW w:w="1905" w:type="dxa"/>
            <w:vAlign w:val="center"/>
          </w:tcPr>
          <w:p w14:paraId="6D583FE5">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p>
        </w:tc>
        <w:tc>
          <w:tcPr>
            <w:tcW w:w="2206" w:type="dxa"/>
            <w:vAlign w:val="center"/>
          </w:tcPr>
          <w:p w14:paraId="0CD14B1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p>
        </w:tc>
        <w:tc>
          <w:tcPr>
            <w:tcW w:w="850" w:type="dxa"/>
            <w:tcBorders>
              <w:right w:val="single" w:color="auto" w:sz="12" w:space="0"/>
            </w:tcBorders>
            <w:vAlign w:val="center"/>
          </w:tcPr>
          <w:p w14:paraId="5029899D">
            <w:pPr>
              <w:adjustRightInd/>
              <w:snapToGrid/>
              <w:spacing w:line="240" w:lineRule="exact"/>
              <w:ind w:firstLine="0" w:firstLineChars="0"/>
              <w:rPr>
                <w:rFonts w:hint="eastAsia" w:ascii="仿宋_GB2312" w:hAnsi="仿宋" w:eastAsia="仿宋_GB2312" w:cs="Times New Roman"/>
                <w:color w:val="auto"/>
                <w:sz w:val="21"/>
                <w:szCs w:val="21"/>
                <w:highlight w:val="none"/>
              </w:rPr>
            </w:pPr>
          </w:p>
        </w:tc>
      </w:tr>
      <w:tr w14:paraId="2739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bottom w:val="single" w:color="auto" w:sz="12" w:space="0"/>
            </w:tcBorders>
            <w:vAlign w:val="center"/>
          </w:tcPr>
          <w:p w14:paraId="32CE27AF">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摩托车</w:t>
            </w:r>
          </w:p>
        </w:tc>
        <w:tc>
          <w:tcPr>
            <w:tcW w:w="2693" w:type="dxa"/>
            <w:gridSpan w:val="2"/>
            <w:tcBorders>
              <w:bottom w:val="single" w:color="auto" w:sz="12" w:space="0"/>
            </w:tcBorders>
            <w:vAlign w:val="center"/>
          </w:tcPr>
          <w:p w14:paraId="3D2D4F83">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摩托车</w:t>
            </w:r>
          </w:p>
        </w:tc>
        <w:tc>
          <w:tcPr>
            <w:tcW w:w="1905" w:type="dxa"/>
            <w:tcBorders>
              <w:bottom w:val="single" w:color="auto" w:sz="12" w:space="0"/>
            </w:tcBorders>
            <w:vAlign w:val="center"/>
          </w:tcPr>
          <w:p w14:paraId="6B99BD4B">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发动机驱动</w:t>
            </w:r>
          </w:p>
        </w:tc>
        <w:tc>
          <w:tcPr>
            <w:tcW w:w="2206" w:type="dxa"/>
            <w:tcBorders>
              <w:bottom w:val="single" w:color="auto" w:sz="12" w:space="0"/>
            </w:tcBorders>
            <w:vAlign w:val="center"/>
          </w:tcPr>
          <w:p w14:paraId="672F6960">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两轮或三轮摩托车</w:t>
            </w:r>
          </w:p>
        </w:tc>
        <w:tc>
          <w:tcPr>
            <w:tcW w:w="850" w:type="dxa"/>
            <w:tcBorders>
              <w:bottom w:val="single" w:color="auto" w:sz="12" w:space="0"/>
              <w:right w:val="single" w:color="auto" w:sz="12" w:space="0"/>
            </w:tcBorders>
            <w:vAlign w:val="center"/>
          </w:tcPr>
          <w:p w14:paraId="5E7E0699">
            <w:pPr>
              <w:adjustRightInd/>
              <w:snapToGrid/>
              <w:spacing w:line="240" w:lineRule="exact"/>
              <w:ind w:firstLine="0" w:firstLineChars="0"/>
              <w:rPr>
                <w:rFonts w:hint="eastAsia" w:ascii="仿宋_GB2312" w:hAnsi="仿宋" w:eastAsia="仿宋_GB2312" w:cs="Times New Roman"/>
                <w:color w:val="auto"/>
                <w:sz w:val="21"/>
                <w:szCs w:val="21"/>
                <w:highlight w:val="none"/>
              </w:rPr>
            </w:pPr>
          </w:p>
        </w:tc>
      </w:tr>
    </w:tbl>
    <w:p w14:paraId="5755B188">
      <w:pPr>
        <w:spacing w:line="340" w:lineRule="exact"/>
        <w:ind w:firstLine="420"/>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②支持流量调查功能：在规定的时间段内，对通过</w:t>
      </w:r>
      <w:r>
        <w:rPr>
          <w:rFonts w:hint="eastAsia" w:ascii="仿宋_GB2312" w:hAnsi="仿宋_GB2312" w:eastAsia="仿宋_GB2312" w:cs="仿宋_GB2312"/>
          <w:color w:val="auto"/>
          <w:sz w:val="21"/>
          <w:highlight w:val="none"/>
          <w:lang w:eastAsia="zh-CN"/>
        </w:rPr>
        <w:t>路段</w:t>
      </w:r>
      <w:r>
        <w:rPr>
          <w:rFonts w:hint="eastAsia" w:ascii="仿宋_GB2312" w:hAnsi="仿宋_GB2312" w:eastAsia="仿宋_GB2312" w:cs="仿宋_GB2312"/>
          <w:color w:val="auto"/>
          <w:sz w:val="21"/>
          <w:highlight w:val="none"/>
        </w:rPr>
        <w:t>断面的机动车数量。支持按方向、按车道、按车辆分类统计。</w:t>
      </w:r>
    </w:p>
    <w:p w14:paraId="746C327D">
      <w:pPr>
        <w:spacing w:line="340" w:lineRule="exact"/>
        <w:ind w:firstLine="420"/>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③支持地点车速调查功能：支持对通过</w:t>
      </w:r>
      <w:r>
        <w:rPr>
          <w:rFonts w:hint="eastAsia" w:ascii="仿宋_GB2312" w:hAnsi="仿宋_GB2312" w:eastAsia="仿宋_GB2312" w:cs="仿宋_GB2312"/>
          <w:color w:val="auto"/>
          <w:sz w:val="21"/>
          <w:highlight w:val="none"/>
          <w:lang w:eastAsia="zh-CN"/>
        </w:rPr>
        <w:t>路段</w:t>
      </w:r>
      <w:r>
        <w:rPr>
          <w:rFonts w:hint="eastAsia" w:ascii="仿宋_GB2312" w:hAnsi="仿宋_GB2312" w:eastAsia="仿宋_GB2312" w:cs="仿宋_GB2312"/>
          <w:color w:val="auto"/>
          <w:sz w:val="21"/>
          <w:highlight w:val="none"/>
        </w:rPr>
        <w:t>断面的机动车车速进行测量。</w:t>
      </w:r>
    </w:p>
    <w:p w14:paraId="40F15BFB">
      <w:pPr>
        <w:spacing w:line="340" w:lineRule="exact"/>
        <w:ind w:firstLine="420"/>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④支持车头时距调查功能：支持对同一车道上行驶的车辆队列中，两连续车辆车头端部通过某一断面的时间间隔进行测量。</w:t>
      </w:r>
    </w:p>
    <w:p w14:paraId="37CF5A65">
      <w:pPr>
        <w:spacing w:line="340" w:lineRule="exact"/>
        <w:ind w:firstLine="420"/>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⑤支持车头间距调查功能：支持对同一车道上行驶的连续车辆中，前后两车车头之间的距离进行测量。</w:t>
      </w:r>
    </w:p>
    <w:p w14:paraId="7258A02B">
      <w:pPr>
        <w:spacing w:line="340" w:lineRule="exact"/>
        <w:ind w:firstLine="420"/>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⑥支持跟车百分比调查功能：支持对“车头时距小于等于指定时间的车辆”所占全部车辆的百分比统计。</w:t>
      </w:r>
    </w:p>
    <w:p w14:paraId="181066E6">
      <w:pPr>
        <w:spacing w:line="340" w:lineRule="exact"/>
        <w:ind w:firstLine="420"/>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⑦支持时间占有率调查功能：支持对车辆通过时间累计值与观测时间的比值统计。</w:t>
      </w:r>
    </w:p>
    <w:p w14:paraId="52454A39">
      <w:pPr>
        <w:pStyle w:val="5"/>
        <w:keepNext w:val="0"/>
        <w:keepLines w:val="0"/>
        <w:spacing w:line="340" w:lineRule="exact"/>
        <w:ind w:firstLine="422"/>
        <w:rPr>
          <w:rFonts w:hint="eastAsia" w:ascii="仿宋_GB2312" w:hAnsi="仿宋_GB2312" w:eastAsia="仿宋_GB2312" w:cs="仿宋_GB2312"/>
          <w:b w:val="0"/>
          <w:color w:val="auto"/>
          <w:sz w:val="21"/>
          <w:szCs w:val="21"/>
          <w:highlight w:val="none"/>
        </w:rPr>
      </w:pPr>
      <w:r>
        <w:rPr>
          <w:rFonts w:hint="eastAsia" w:hAnsi="仿宋_GB2312" w:cs="仿宋_GB2312"/>
          <w:color w:val="auto"/>
          <w:sz w:val="21"/>
          <w:szCs w:val="21"/>
          <w:highlight w:val="none"/>
        </w:rPr>
        <w:t>（2）数据上报</w:t>
      </w:r>
    </w:p>
    <w:p w14:paraId="6CCE807C">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多功能交通调查站的前端设备通过处理、分析采集到的数据</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需包含车型、车速、车牌、车牌颜色等信息</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并</w:t>
      </w:r>
      <w:r>
        <w:rPr>
          <w:rFonts w:hint="eastAsia" w:ascii="仿宋_GB2312" w:hAnsi="仿宋_GB2312" w:eastAsia="仿宋_GB2312" w:cs="仿宋_GB2312"/>
          <w:color w:val="auto"/>
          <w:sz w:val="21"/>
          <w:szCs w:val="21"/>
          <w:highlight w:val="none"/>
        </w:rPr>
        <w:t>应按照</w:t>
      </w:r>
      <w:r>
        <w:rPr>
          <w:rFonts w:hint="eastAsia" w:ascii="仿宋_GB2312" w:hAnsi="仿宋_GB2312" w:eastAsia="仿宋_GB2312" w:cs="仿宋_GB2312"/>
          <w:color w:val="auto"/>
          <w:sz w:val="21"/>
          <w:szCs w:val="21"/>
          <w:highlight w:val="none"/>
          <w:lang w:val="en-US" w:eastAsia="zh-CN"/>
        </w:rPr>
        <w:t>部颁</w:t>
      </w:r>
      <w:r>
        <w:rPr>
          <w:rFonts w:hint="eastAsia" w:ascii="仿宋_GB2312" w:hAnsi="仿宋_GB2312" w:eastAsia="仿宋_GB2312" w:cs="仿宋_GB2312"/>
          <w:color w:val="auto"/>
          <w:sz w:val="21"/>
          <w:szCs w:val="21"/>
          <w:highlight w:val="none"/>
        </w:rPr>
        <w:t>《公路交通情况调查设备第2部分：通信协议（JTT 1008.2-2015）》</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直接上传至《广东省公路交通情况调查子系统》</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其中</w:t>
      </w:r>
      <w:r>
        <w:rPr>
          <w:rFonts w:hint="eastAsia" w:ascii="仿宋_GB2312" w:hAnsi="仿宋_GB2312" w:eastAsia="仿宋_GB2312" w:cs="仿宋_GB2312"/>
          <w:color w:val="auto"/>
          <w:sz w:val="21"/>
          <w:szCs w:val="21"/>
          <w:highlight w:val="none"/>
        </w:rPr>
        <w:t>，信息传输通道带宽应≥10Mbps，支持4G/5G通信。</w:t>
      </w:r>
    </w:p>
    <w:p w14:paraId="37DE55E4">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当前端设备与中心服务器通讯出现故障时</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应能够满足本地的全部检测功能不受任何影响，所有数据全部存储在前端存储设备上，存储时间应不小于7天。一旦与中心服务器通讯恢复，能自动将全部数据转移到中心服务器，保证与服务器通讯中断时数据不丢失。</w:t>
      </w:r>
    </w:p>
    <w:p w14:paraId="23C01EFD">
      <w:pPr>
        <w:pStyle w:val="5"/>
        <w:keepNext w:val="0"/>
        <w:keepLines w:val="0"/>
        <w:spacing w:line="340" w:lineRule="exact"/>
        <w:ind w:firstLine="422"/>
        <w:rPr>
          <w:rFonts w:hint="eastAsia" w:ascii="仿宋_GB2312" w:hAnsi="仿宋_GB2312" w:eastAsia="仿宋_GB2312" w:cs="仿宋_GB2312"/>
          <w:b w:val="0"/>
          <w:color w:val="auto"/>
          <w:sz w:val="21"/>
          <w:szCs w:val="21"/>
          <w:highlight w:val="none"/>
        </w:rPr>
      </w:pPr>
      <w:r>
        <w:rPr>
          <w:rFonts w:hint="eastAsia" w:hAnsi="仿宋_GB2312" w:cs="仿宋_GB2312"/>
          <w:color w:val="auto"/>
          <w:sz w:val="21"/>
          <w:szCs w:val="21"/>
          <w:highlight w:val="none"/>
        </w:rPr>
        <w:t>（3）系统故障自检</w:t>
      </w:r>
    </w:p>
    <w:p w14:paraId="119409EA">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系统应有设备运行监测及故障提醒功能，故障提醒应包括：交调、视频、卡口等设备离线、通信异常、断电、电流电压异常、超温等，支持远程管理设备或移动端故障处理等功能。</w:t>
      </w:r>
    </w:p>
    <w:p w14:paraId="1DAAA05B">
      <w:pPr>
        <w:pStyle w:val="5"/>
        <w:keepNext w:val="0"/>
        <w:keepLines w:val="0"/>
        <w:spacing w:line="340" w:lineRule="exact"/>
        <w:ind w:firstLine="422"/>
        <w:rPr>
          <w:rFonts w:hint="eastAsia" w:ascii="仿宋_GB2312" w:hAnsi="仿宋_GB2312" w:eastAsia="仿宋_GB2312" w:cs="仿宋_GB2312"/>
          <w:b w:val="0"/>
          <w:color w:val="auto"/>
          <w:sz w:val="21"/>
          <w:szCs w:val="21"/>
          <w:highlight w:val="none"/>
        </w:rPr>
      </w:pPr>
      <w:r>
        <w:rPr>
          <w:rFonts w:hint="eastAsia" w:hAnsi="仿宋_GB2312" w:cs="仿宋_GB2312"/>
          <w:color w:val="auto"/>
          <w:sz w:val="21"/>
          <w:szCs w:val="21"/>
          <w:highlight w:val="none"/>
        </w:rPr>
        <w:t>（4）校时</w:t>
      </w:r>
    </w:p>
    <w:p w14:paraId="5FCE65C7">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具备自动校时功能，24h累计时钟误差≤3s。</w:t>
      </w:r>
    </w:p>
    <w:p w14:paraId="6EA545B9">
      <w:pPr>
        <w:pStyle w:val="5"/>
        <w:keepNext w:val="0"/>
        <w:keepLines w:val="0"/>
        <w:spacing w:line="340" w:lineRule="exact"/>
        <w:ind w:firstLine="422"/>
        <w:rPr>
          <w:rFonts w:hint="eastAsia" w:ascii="仿宋_GB2312" w:hAnsi="仿宋_GB2312" w:eastAsia="仿宋_GB2312" w:cs="仿宋_GB2312"/>
          <w:b w:val="0"/>
          <w:color w:val="auto"/>
          <w:sz w:val="21"/>
          <w:szCs w:val="21"/>
          <w:highlight w:val="none"/>
        </w:rPr>
      </w:pPr>
      <w:r>
        <w:rPr>
          <w:rFonts w:hint="eastAsia" w:hAnsi="仿宋_GB2312" w:cs="仿宋_GB2312"/>
          <w:color w:val="auto"/>
          <w:sz w:val="21"/>
          <w:szCs w:val="21"/>
          <w:highlight w:val="none"/>
        </w:rPr>
        <w:t>（5）运行质量统计</w:t>
      </w:r>
    </w:p>
    <w:p w14:paraId="258E309F">
      <w:pPr>
        <w:spacing w:line="340" w:lineRule="exact"/>
        <w:ind w:firstLine="42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系统运行时，应保证前端设备在线率≥95%、及时率≥98%、准确率≥99%。</w:t>
      </w:r>
    </w:p>
    <w:p w14:paraId="0BB38E28">
      <w:pPr>
        <w:pStyle w:val="5"/>
        <w:keepNext w:val="0"/>
        <w:keepLines w:val="0"/>
        <w:spacing w:line="340" w:lineRule="exact"/>
        <w:ind w:firstLine="422"/>
        <w:rPr>
          <w:rFonts w:hint="eastAsia" w:ascii="仿宋_GB2312" w:hAnsi="仿宋_GB2312" w:eastAsia="仿宋_GB2312" w:cs="仿宋_GB2312"/>
          <w:b w:val="0"/>
          <w:color w:val="auto"/>
          <w:sz w:val="21"/>
          <w:szCs w:val="21"/>
          <w:highlight w:val="none"/>
        </w:rPr>
      </w:pPr>
      <w:r>
        <w:rPr>
          <w:rFonts w:hint="eastAsia" w:hAnsi="仿宋_GB2312" w:cs="仿宋_GB2312"/>
          <w:color w:val="auto"/>
          <w:sz w:val="21"/>
          <w:szCs w:val="21"/>
          <w:highlight w:val="none"/>
        </w:rPr>
        <w:t>（6）公路交通调查系统软件采用全省统一软件。</w:t>
      </w:r>
    </w:p>
    <w:p w14:paraId="4F022D7B">
      <w:pPr>
        <w:pStyle w:val="5"/>
        <w:keepNext w:val="0"/>
        <w:keepLines w:val="0"/>
        <w:spacing w:line="340" w:lineRule="exact"/>
        <w:ind w:firstLine="422"/>
        <w:rPr>
          <w:rFonts w:hint="eastAsia" w:hAnsi="仿宋_GB2312" w:cs="仿宋_GB2312"/>
          <w:color w:val="auto"/>
          <w:sz w:val="21"/>
          <w:szCs w:val="21"/>
          <w:highlight w:val="none"/>
        </w:rPr>
      </w:pPr>
      <w:r>
        <w:rPr>
          <w:rFonts w:hint="eastAsia" w:hAnsi="仿宋_GB2312" w:cs="仿宋_GB2312"/>
          <w:color w:val="auto"/>
          <w:sz w:val="21"/>
          <w:szCs w:val="21"/>
          <w:highlight w:val="none"/>
        </w:rPr>
        <w:t>2.主要设备技术指标</w:t>
      </w:r>
    </w:p>
    <w:p w14:paraId="37CA6826">
      <w:pPr>
        <w:spacing w:line="340" w:lineRule="exact"/>
        <w:ind w:firstLine="420"/>
        <w:rPr>
          <w:color w:val="auto"/>
          <w:sz w:val="21"/>
          <w:szCs w:val="21"/>
          <w:highlight w:val="none"/>
        </w:rPr>
      </w:pPr>
      <w:r>
        <w:rPr>
          <w:rFonts w:hint="eastAsia"/>
          <w:color w:val="auto"/>
          <w:sz w:val="21"/>
          <w:szCs w:val="21"/>
          <w:highlight w:val="none"/>
        </w:rPr>
        <w:t>详见</w:t>
      </w:r>
      <w:r>
        <w:rPr>
          <w:rFonts w:hint="eastAsia"/>
          <w:color w:val="auto"/>
          <w:sz w:val="21"/>
          <w:szCs w:val="21"/>
          <w:highlight w:val="none"/>
          <w:lang w:val="en-US" w:eastAsia="zh-CN"/>
        </w:rPr>
        <w:t>前第（一）项</w:t>
      </w:r>
      <w:r>
        <w:rPr>
          <w:rFonts w:hint="eastAsia"/>
          <w:color w:val="auto"/>
          <w:sz w:val="21"/>
          <w:szCs w:val="21"/>
          <w:highlight w:val="none"/>
        </w:rPr>
        <w:t>数据采集所需设备及要求。</w:t>
      </w:r>
    </w:p>
    <w:p w14:paraId="34FC59BF">
      <w:pPr>
        <w:pStyle w:val="5"/>
        <w:keepNext w:val="0"/>
        <w:keepLines w:val="0"/>
        <w:widowControl w:val="0"/>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w:t>
      </w:r>
      <w:r>
        <w:rPr>
          <w:rFonts w:hint="eastAsia" w:ascii="楷体_GB2312" w:eastAsia="楷体_GB2312"/>
          <w:color w:val="auto"/>
          <w:sz w:val="21"/>
          <w:szCs w:val="21"/>
          <w:highlight w:val="none"/>
          <w:lang w:val="en-US" w:eastAsia="zh-CN"/>
        </w:rPr>
        <w:t>六</w:t>
      </w:r>
      <w:r>
        <w:rPr>
          <w:rFonts w:hint="eastAsia" w:ascii="楷体_GB2312" w:eastAsia="楷体_GB2312"/>
          <w:color w:val="auto"/>
          <w:sz w:val="21"/>
          <w:szCs w:val="21"/>
          <w:highlight w:val="none"/>
        </w:rPr>
        <w:t>）系统接口要求</w:t>
      </w:r>
    </w:p>
    <w:p w14:paraId="18A63593">
      <w:pPr>
        <w:pStyle w:val="5"/>
        <w:keepNext w:val="0"/>
        <w:keepLines w:val="0"/>
        <w:spacing w:line="340" w:lineRule="exact"/>
        <w:ind w:firstLine="422"/>
        <w:rPr>
          <w:color w:val="auto"/>
          <w:sz w:val="21"/>
          <w:szCs w:val="21"/>
          <w:highlight w:val="none"/>
        </w:rPr>
      </w:pPr>
      <w:r>
        <w:rPr>
          <w:rFonts w:hint="eastAsia"/>
          <w:color w:val="auto"/>
          <w:sz w:val="21"/>
          <w:szCs w:val="21"/>
          <w:highlight w:val="none"/>
        </w:rPr>
        <w:t>1.接口类型与协议</w:t>
      </w:r>
    </w:p>
    <w:p w14:paraId="1DF9E98D">
      <w:pPr>
        <w:pStyle w:val="21"/>
        <w:spacing w:line="340" w:lineRule="exact"/>
        <w:ind w:left="420" w:firstLine="0" w:firstLineChars="0"/>
        <w:jc w:val="both"/>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详见下表1</w:t>
      </w:r>
      <w:r>
        <w:rPr>
          <w:rFonts w:hint="default" w:ascii="仿宋_GB2312" w:hAnsi="仿宋_GB2312" w:eastAsia="仿宋_GB2312" w:cs="仿宋_GB2312"/>
          <w:b/>
          <w:bCs/>
          <w:color w:val="auto"/>
          <w:sz w:val="21"/>
          <w:szCs w:val="21"/>
          <w:highlight w:val="none"/>
          <w:lang w:val="en-US" w:eastAsia="zh-CN"/>
        </w:rPr>
        <w:t>9</w:t>
      </w:r>
      <w:r>
        <w:rPr>
          <w:rFonts w:hint="eastAsia" w:ascii="仿宋_GB2312" w:hAnsi="仿宋_GB2312" w:eastAsia="仿宋_GB2312" w:cs="仿宋_GB2312"/>
          <w:b/>
          <w:bCs/>
          <w:color w:val="auto"/>
          <w:sz w:val="21"/>
          <w:szCs w:val="21"/>
          <w:highlight w:val="none"/>
          <w:lang w:val="en-US" w:eastAsia="zh-CN"/>
        </w:rPr>
        <w:t>。</w:t>
      </w:r>
    </w:p>
    <w:p w14:paraId="16B5F7DF">
      <w:pPr>
        <w:pStyle w:val="21"/>
        <w:spacing w:line="340" w:lineRule="exact"/>
        <w:ind w:left="420" w:firstLine="0" w:firstLineChars="0"/>
        <w:jc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表1</w:t>
      </w:r>
      <w:r>
        <w:rPr>
          <w:rFonts w:hint="default" w:ascii="楷体_GB2312" w:hAnsi="楷体_GB2312" w:eastAsia="楷体_GB2312" w:cs="楷体_GB2312"/>
          <w:b/>
          <w:bCs/>
          <w:color w:val="auto"/>
          <w:sz w:val="24"/>
          <w:szCs w:val="24"/>
          <w:highlight w:val="none"/>
          <w:lang w:val="en-US" w:eastAsia="zh-CN"/>
        </w:rPr>
        <w:t>9</w:t>
      </w:r>
      <w:r>
        <w:rPr>
          <w:rFonts w:hint="eastAsia" w:ascii="楷体_GB2312" w:hAnsi="楷体_GB2312" w:eastAsia="楷体_GB2312" w:cs="楷体_GB2312"/>
          <w:b/>
          <w:bCs/>
          <w:color w:val="auto"/>
          <w:sz w:val="24"/>
          <w:szCs w:val="24"/>
          <w:highlight w:val="none"/>
        </w:rPr>
        <w:t xml:space="preserve">   接口类型与协议表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682"/>
        <w:gridCol w:w="1791"/>
        <w:gridCol w:w="2184"/>
        <w:gridCol w:w="1184"/>
      </w:tblGrid>
      <w:tr w14:paraId="32B0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tcBorders>
              <w:top w:val="single" w:color="auto" w:sz="12" w:space="0"/>
              <w:left w:val="single" w:color="auto" w:sz="12" w:space="0"/>
              <w:bottom w:val="double" w:color="auto" w:sz="4" w:space="0"/>
            </w:tcBorders>
            <w:vAlign w:val="center"/>
          </w:tcPr>
          <w:p w14:paraId="62338127">
            <w:pPr>
              <w:adjustRightInd/>
              <w:snapToGrid/>
              <w:spacing w:line="24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接口名称</w:t>
            </w:r>
          </w:p>
        </w:tc>
        <w:tc>
          <w:tcPr>
            <w:tcW w:w="1682" w:type="dxa"/>
            <w:tcBorders>
              <w:top w:val="single" w:color="auto" w:sz="12" w:space="0"/>
              <w:bottom w:val="double" w:color="auto" w:sz="4" w:space="0"/>
            </w:tcBorders>
            <w:vAlign w:val="center"/>
          </w:tcPr>
          <w:p w14:paraId="41B2558A">
            <w:pPr>
              <w:adjustRightInd/>
              <w:snapToGrid/>
              <w:spacing w:line="24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lang w:val="en-US" w:eastAsia="zh-CN"/>
              </w:rPr>
              <w:t>衔</w:t>
            </w:r>
            <w:r>
              <w:rPr>
                <w:rFonts w:hint="eastAsia" w:ascii="楷体_GB2312" w:hAnsi="楷体_GB2312" w:eastAsia="楷体_GB2312" w:cs="楷体_GB2312"/>
                <w:b/>
                <w:bCs/>
                <w:color w:val="auto"/>
                <w:sz w:val="21"/>
                <w:szCs w:val="21"/>
                <w:highlight w:val="none"/>
              </w:rPr>
              <w:t>接对象</w:t>
            </w:r>
          </w:p>
        </w:tc>
        <w:tc>
          <w:tcPr>
            <w:tcW w:w="1791" w:type="dxa"/>
            <w:tcBorders>
              <w:top w:val="single" w:color="auto" w:sz="12" w:space="0"/>
              <w:bottom w:val="double" w:color="auto" w:sz="4" w:space="0"/>
            </w:tcBorders>
            <w:vAlign w:val="center"/>
          </w:tcPr>
          <w:p w14:paraId="6A4A6888">
            <w:pPr>
              <w:adjustRightInd/>
              <w:snapToGrid/>
              <w:spacing w:line="24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协议标准</w:t>
            </w:r>
          </w:p>
        </w:tc>
        <w:tc>
          <w:tcPr>
            <w:tcW w:w="2184" w:type="dxa"/>
            <w:tcBorders>
              <w:top w:val="single" w:color="auto" w:sz="12" w:space="0"/>
              <w:bottom w:val="double" w:color="auto" w:sz="4" w:space="0"/>
            </w:tcBorders>
            <w:vAlign w:val="center"/>
          </w:tcPr>
          <w:p w14:paraId="1B9539B4">
            <w:pPr>
              <w:adjustRightInd/>
              <w:snapToGrid/>
              <w:spacing w:line="24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数据内容</w:t>
            </w:r>
          </w:p>
        </w:tc>
        <w:tc>
          <w:tcPr>
            <w:tcW w:w="1184" w:type="dxa"/>
            <w:tcBorders>
              <w:top w:val="single" w:color="auto" w:sz="12" w:space="0"/>
              <w:bottom w:val="double" w:color="auto" w:sz="4" w:space="0"/>
              <w:right w:val="single" w:color="auto" w:sz="12" w:space="0"/>
            </w:tcBorders>
            <w:vAlign w:val="center"/>
          </w:tcPr>
          <w:p w14:paraId="1756C91E">
            <w:pPr>
              <w:adjustRightInd/>
              <w:snapToGrid/>
              <w:spacing w:line="24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响应时间</w:t>
            </w:r>
          </w:p>
        </w:tc>
      </w:tr>
      <w:tr w14:paraId="3020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tcBorders>
              <w:top w:val="double" w:color="auto" w:sz="4" w:space="0"/>
              <w:left w:val="single" w:color="auto" w:sz="12" w:space="0"/>
            </w:tcBorders>
            <w:vAlign w:val="center"/>
          </w:tcPr>
          <w:p w14:paraId="46B591D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部省数据接口</w:t>
            </w:r>
          </w:p>
        </w:tc>
        <w:tc>
          <w:tcPr>
            <w:tcW w:w="1682" w:type="dxa"/>
            <w:tcBorders>
              <w:top w:val="double" w:color="auto" w:sz="4" w:space="0"/>
            </w:tcBorders>
            <w:vAlign w:val="center"/>
          </w:tcPr>
          <w:p w14:paraId="65B3A093">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交通运输部</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全国公路交通情况调查数据中心</w:t>
            </w:r>
            <w:r>
              <w:rPr>
                <w:rFonts w:hint="eastAsia" w:ascii="仿宋_GB2312" w:hAnsi="仿宋" w:eastAsia="仿宋_GB2312" w:cs="Times New Roman"/>
                <w:color w:val="auto"/>
                <w:sz w:val="21"/>
                <w:szCs w:val="21"/>
                <w:highlight w:val="none"/>
                <w:lang w:eastAsia="zh-CN"/>
              </w:rPr>
              <w:t>》</w:t>
            </w:r>
          </w:p>
        </w:tc>
        <w:tc>
          <w:tcPr>
            <w:tcW w:w="1791" w:type="dxa"/>
            <w:tcBorders>
              <w:top w:val="double" w:color="auto" w:sz="4" w:space="0"/>
            </w:tcBorders>
            <w:vAlign w:val="center"/>
          </w:tcPr>
          <w:p w14:paraId="71C9638B">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JT/T1008.2-2015（0x11 数据包）</w:t>
            </w:r>
          </w:p>
        </w:tc>
        <w:tc>
          <w:tcPr>
            <w:tcW w:w="2184" w:type="dxa"/>
            <w:tcBorders>
              <w:top w:val="double" w:color="auto" w:sz="4" w:space="0"/>
            </w:tcBorders>
            <w:vAlign w:val="center"/>
          </w:tcPr>
          <w:p w14:paraId="774B515D">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车流量、车速、车型、车牌（脱敏后）</w:t>
            </w:r>
          </w:p>
        </w:tc>
        <w:tc>
          <w:tcPr>
            <w:tcW w:w="1184" w:type="dxa"/>
            <w:tcBorders>
              <w:top w:val="double" w:color="auto" w:sz="4" w:space="0"/>
              <w:right w:val="single" w:color="auto" w:sz="12" w:space="0"/>
            </w:tcBorders>
            <w:vAlign w:val="center"/>
          </w:tcPr>
          <w:p w14:paraId="52A39A0C">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≤3秒</w:t>
            </w:r>
          </w:p>
        </w:tc>
      </w:tr>
      <w:tr w14:paraId="58EA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tcBorders>
              <w:left w:val="single" w:color="auto" w:sz="12" w:space="0"/>
            </w:tcBorders>
            <w:vAlign w:val="center"/>
          </w:tcPr>
          <w:p w14:paraId="0D2728E8">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省</w:t>
            </w:r>
            <w:r>
              <w:rPr>
                <w:rFonts w:hint="eastAsia" w:ascii="仿宋_GB2312" w:hAnsi="仿宋" w:eastAsia="仿宋_GB2312" w:cs="Times New Roman"/>
                <w:color w:val="auto"/>
                <w:sz w:val="21"/>
                <w:szCs w:val="21"/>
                <w:highlight w:val="none"/>
                <w:lang w:eastAsia="zh-CN"/>
              </w:rPr>
              <w:t>和</w:t>
            </w:r>
            <w:r>
              <w:rPr>
                <w:rFonts w:hint="eastAsia" w:ascii="仿宋_GB2312" w:hAnsi="仿宋" w:eastAsia="仿宋_GB2312" w:cs="Times New Roman"/>
                <w:color w:val="auto"/>
                <w:sz w:val="21"/>
                <w:szCs w:val="21"/>
                <w:highlight w:val="none"/>
                <w:lang w:val="en-US" w:eastAsia="zh-CN"/>
              </w:rPr>
              <w:t>地方</w:t>
            </w:r>
          </w:p>
        </w:tc>
        <w:tc>
          <w:tcPr>
            <w:tcW w:w="1682" w:type="dxa"/>
            <w:vAlign w:val="center"/>
          </w:tcPr>
          <w:p w14:paraId="2E07C899">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lang w:val="en-US" w:eastAsia="zh-CN"/>
              </w:rPr>
              <w:t>地</w:t>
            </w:r>
            <w:r>
              <w:rPr>
                <w:rFonts w:hint="eastAsia" w:ascii="仿宋_GB2312" w:hAnsi="仿宋" w:eastAsia="仿宋_GB2312" w:cs="Times New Roman"/>
                <w:color w:val="auto"/>
                <w:sz w:val="21"/>
                <w:szCs w:val="21"/>
                <w:highlight w:val="none"/>
              </w:rPr>
              <w:t>级</w:t>
            </w:r>
            <w:r>
              <w:rPr>
                <w:rFonts w:hint="eastAsia" w:ascii="仿宋_GB2312" w:hAnsi="仿宋" w:eastAsia="仿宋_GB2312" w:cs="Times New Roman"/>
                <w:color w:val="auto"/>
                <w:sz w:val="21"/>
                <w:szCs w:val="21"/>
                <w:highlight w:val="none"/>
                <w:lang w:val="en-US" w:eastAsia="zh-CN"/>
              </w:rPr>
              <w:t>以上</w:t>
            </w:r>
            <w:r>
              <w:rPr>
                <w:rFonts w:hint="eastAsia" w:ascii="仿宋_GB2312" w:hAnsi="仿宋" w:eastAsia="仿宋_GB2312" w:cs="Times New Roman"/>
                <w:color w:val="auto"/>
                <w:sz w:val="21"/>
                <w:szCs w:val="21"/>
                <w:highlight w:val="none"/>
              </w:rPr>
              <w:t>市路网监测平台</w:t>
            </w:r>
          </w:p>
        </w:tc>
        <w:tc>
          <w:tcPr>
            <w:tcW w:w="1791" w:type="dxa"/>
            <w:vAlign w:val="center"/>
          </w:tcPr>
          <w:p w14:paraId="1E358566">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GB/T 28181-2016（视频）+JSON（数据）</w:t>
            </w:r>
          </w:p>
        </w:tc>
        <w:tc>
          <w:tcPr>
            <w:tcW w:w="2184" w:type="dxa"/>
            <w:vAlign w:val="center"/>
          </w:tcPr>
          <w:p w14:paraId="14BB2A83">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实时视频流、异常事件告警、设备状态</w:t>
            </w:r>
          </w:p>
        </w:tc>
        <w:tc>
          <w:tcPr>
            <w:tcW w:w="1184" w:type="dxa"/>
            <w:tcBorders>
              <w:right w:val="single" w:color="auto" w:sz="12" w:space="0"/>
            </w:tcBorders>
            <w:vAlign w:val="center"/>
          </w:tcPr>
          <w:p w14:paraId="10B322D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≤1秒</w:t>
            </w:r>
          </w:p>
        </w:tc>
      </w:tr>
      <w:tr w14:paraId="0D9C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tcBorders>
              <w:left w:val="single" w:color="auto" w:sz="12" w:space="0"/>
              <w:bottom w:val="single" w:color="auto" w:sz="12" w:space="0"/>
            </w:tcBorders>
            <w:vAlign w:val="center"/>
          </w:tcPr>
          <w:p w14:paraId="55FC6721">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邻省</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区</w:t>
            </w:r>
            <w:r>
              <w:rPr>
                <w:rFonts w:hint="eastAsia" w:ascii="仿宋_GB2312" w:hAnsi="仿宋" w:eastAsia="仿宋_GB2312" w:cs="Times New Roman"/>
                <w:color w:val="auto"/>
                <w:sz w:val="21"/>
                <w:szCs w:val="21"/>
                <w:highlight w:val="none"/>
                <w:lang w:eastAsia="zh-CN"/>
              </w:rPr>
              <w:t>）</w:t>
            </w:r>
          </w:p>
        </w:tc>
        <w:tc>
          <w:tcPr>
            <w:tcW w:w="1682" w:type="dxa"/>
            <w:tcBorders>
              <w:bottom w:val="single" w:color="auto" w:sz="12" w:space="0"/>
            </w:tcBorders>
            <w:vAlign w:val="center"/>
          </w:tcPr>
          <w:p w14:paraId="2DA33280">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福建</w:t>
            </w:r>
            <w:r>
              <w:rPr>
                <w:rFonts w:hint="eastAsia" w:ascii="仿宋_GB2312" w:hAnsi="仿宋" w:eastAsia="仿宋_GB2312" w:cs="Times New Roman"/>
                <w:color w:val="auto"/>
                <w:sz w:val="21"/>
                <w:szCs w:val="21"/>
                <w:highlight w:val="none"/>
                <w:lang w:eastAsia="zh-CN"/>
              </w:rPr>
              <w:t>省、</w:t>
            </w:r>
            <w:r>
              <w:rPr>
                <w:rFonts w:hint="eastAsia" w:ascii="仿宋_GB2312" w:hAnsi="仿宋" w:eastAsia="仿宋_GB2312" w:cs="Times New Roman"/>
                <w:color w:val="auto"/>
                <w:sz w:val="21"/>
                <w:szCs w:val="21"/>
                <w:highlight w:val="none"/>
              </w:rPr>
              <w:t>湖南省</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广西</w:t>
            </w:r>
            <w:r>
              <w:rPr>
                <w:rFonts w:hint="eastAsia" w:ascii="仿宋_GB2312" w:hAnsi="仿宋" w:eastAsia="仿宋_GB2312" w:cs="Times New Roman"/>
                <w:color w:val="auto"/>
                <w:sz w:val="21"/>
                <w:szCs w:val="21"/>
                <w:highlight w:val="none"/>
                <w:lang w:val="en-US" w:eastAsia="zh-CN"/>
              </w:rPr>
              <w:t>壮族自治区</w:t>
            </w:r>
            <w:r>
              <w:rPr>
                <w:rFonts w:hint="eastAsia" w:ascii="仿宋_GB2312" w:hAnsi="仿宋" w:eastAsia="仿宋_GB2312" w:cs="Times New Roman"/>
                <w:color w:val="auto"/>
                <w:sz w:val="21"/>
                <w:szCs w:val="21"/>
                <w:highlight w:val="none"/>
              </w:rPr>
              <w:t>交通</w:t>
            </w:r>
            <w:r>
              <w:rPr>
                <w:rFonts w:hint="eastAsia" w:ascii="仿宋_GB2312" w:hAnsi="仿宋" w:eastAsia="仿宋_GB2312" w:cs="Times New Roman"/>
                <w:color w:val="auto"/>
                <w:sz w:val="21"/>
                <w:szCs w:val="21"/>
                <w:highlight w:val="none"/>
                <w:lang w:val="en-US" w:eastAsia="zh-CN"/>
              </w:rPr>
              <w:t>运输</w:t>
            </w:r>
            <w:r>
              <w:rPr>
                <w:rFonts w:hint="eastAsia" w:ascii="仿宋_GB2312" w:hAnsi="仿宋" w:eastAsia="仿宋_GB2312" w:cs="Times New Roman"/>
                <w:color w:val="auto"/>
                <w:sz w:val="21"/>
                <w:szCs w:val="21"/>
                <w:highlight w:val="none"/>
              </w:rPr>
              <w:t>厅</w:t>
            </w:r>
          </w:p>
        </w:tc>
        <w:tc>
          <w:tcPr>
            <w:tcW w:w="1791" w:type="dxa"/>
            <w:tcBorders>
              <w:bottom w:val="single" w:color="auto" w:sz="12" w:space="0"/>
            </w:tcBorders>
            <w:vAlign w:val="center"/>
          </w:tcPr>
          <w:p w14:paraId="53204EA7">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自定义TCP/IP协议（加密）</w:t>
            </w:r>
          </w:p>
        </w:tc>
        <w:tc>
          <w:tcPr>
            <w:tcW w:w="2184" w:type="dxa"/>
            <w:tcBorders>
              <w:bottom w:val="single" w:color="auto" w:sz="12" w:space="0"/>
            </w:tcBorders>
            <w:vAlign w:val="center"/>
          </w:tcPr>
          <w:p w14:paraId="52C8DBF9">
            <w:pPr>
              <w:adjustRightInd/>
              <w:snapToGrid/>
              <w:spacing w:line="240" w:lineRule="exact"/>
              <w:ind w:firstLine="0" w:firstLineChars="0"/>
              <w:jc w:val="left"/>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省界路段车流量、跨省货运车辆信息</w:t>
            </w:r>
          </w:p>
        </w:tc>
        <w:tc>
          <w:tcPr>
            <w:tcW w:w="1184" w:type="dxa"/>
            <w:tcBorders>
              <w:bottom w:val="single" w:color="auto" w:sz="12" w:space="0"/>
              <w:right w:val="single" w:color="auto" w:sz="12" w:space="0"/>
            </w:tcBorders>
            <w:vAlign w:val="center"/>
          </w:tcPr>
          <w:p w14:paraId="14F0E0F3">
            <w:pPr>
              <w:adjustRightInd/>
              <w:snapToGrid/>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≤5秒</w:t>
            </w:r>
          </w:p>
        </w:tc>
      </w:tr>
    </w:tbl>
    <w:p w14:paraId="2C3C84EA">
      <w:pPr>
        <w:pStyle w:val="5"/>
        <w:keepNext w:val="0"/>
        <w:keepLines w:val="0"/>
        <w:spacing w:line="340" w:lineRule="exact"/>
        <w:ind w:firstLine="422"/>
        <w:rPr>
          <w:color w:val="auto"/>
          <w:sz w:val="21"/>
          <w:szCs w:val="21"/>
          <w:highlight w:val="none"/>
        </w:rPr>
      </w:pPr>
      <w:r>
        <w:rPr>
          <w:rFonts w:hint="eastAsia"/>
          <w:color w:val="auto"/>
          <w:sz w:val="21"/>
          <w:szCs w:val="21"/>
          <w:highlight w:val="none"/>
        </w:rPr>
        <w:t>2.接口安全要求</w:t>
      </w:r>
    </w:p>
    <w:p w14:paraId="01C4BB3B">
      <w:pPr>
        <w:spacing w:line="340" w:lineRule="exact"/>
        <w:ind w:firstLine="422"/>
        <w:rPr>
          <w:rFonts w:hint="eastAsia" w:eastAsia="仿宋_GB2312"/>
          <w:color w:val="auto"/>
          <w:sz w:val="21"/>
          <w:szCs w:val="21"/>
          <w:highlight w:val="none"/>
          <w:lang w:eastAsia="zh-CN"/>
        </w:rPr>
      </w:pPr>
      <w:r>
        <w:rPr>
          <w:rFonts w:hint="eastAsia" w:ascii="仿宋_GB2312" w:hAnsi="Times New Roman" w:eastAsia="仿宋_GB2312" w:cs="Times New Roman"/>
          <w:b/>
          <w:bCs/>
          <w:color w:val="auto"/>
          <w:sz w:val="21"/>
          <w:szCs w:val="21"/>
          <w:highlight w:val="none"/>
        </w:rPr>
        <w:t>（1）</w:t>
      </w:r>
      <w:r>
        <w:rPr>
          <w:rFonts w:ascii="仿宋_GB2312" w:hAnsi="Times New Roman" w:eastAsia="仿宋_GB2312" w:cs="Times New Roman"/>
          <w:b/>
          <w:bCs/>
          <w:color w:val="auto"/>
          <w:sz w:val="21"/>
          <w:szCs w:val="21"/>
          <w:highlight w:val="none"/>
        </w:rPr>
        <w:t>身份认证：</w:t>
      </w:r>
      <w:r>
        <w:rPr>
          <w:rFonts w:hint="eastAsia" w:ascii="仿宋_GB2312" w:hAnsi="Times New Roman" w:eastAsia="仿宋_GB2312" w:cs="Times New Roman"/>
          <w:color w:val="auto"/>
          <w:sz w:val="21"/>
          <w:szCs w:val="21"/>
          <w:highlight w:val="none"/>
        </w:rPr>
        <w:t>所有接口采用“用户名+密码+API密钥”三重认证，API密钥每30天自动更新</w:t>
      </w:r>
      <w:r>
        <w:rPr>
          <w:rFonts w:hint="eastAsia" w:ascii="仿宋_GB2312" w:hAnsi="Times New Roman" w:eastAsia="仿宋_GB2312" w:cs="Times New Roman"/>
          <w:color w:val="auto"/>
          <w:sz w:val="21"/>
          <w:szCs w:val="21"/>
          <w:highlight w:val="none"/>
          <w:lang w:eastAsia="zh-CN"/>
        </w:rPr>
        <w:t>。</w:t>
      </w:r>
    </w:p>
    <w:p w14:paraId="1F1F40F9">
      <w:pPr>
        <w:spacing w:line="340" w:lineRule="exact"/>
        <w:ind w:firstLine="422"/>
        <w:rPr>
          <w:rFonts w:hint="eastAsia" w:eastAsia="仿宋_GB2312"/>
          <w:color w:val="auto"/>
          <w:sz w:val="21"/>
          <w:szCs w:val="21"/>
          <w:highlight w:val="none"/>
          <w:lang w:eastAsia="zh-CN"/>
        </w:rPr>
      </w:pPr>
      <w:r>
        <w:rPr>
          <w:rFonts w:hint="eastAsia" w:ascii="仿宋_GB2312" w:hAnsi="Times New Roman" w:eastAsia="仿宋_GB2312" w:cs="Times New Roman"/>
          <w:b/>
          <w:bCs/>
          <w:color w:val="auto"/>
          <w:sz w:val="21"/>
          <w:szCs w:val="21"/>
          <w:highlight w:val="none"/>
        </w:rPr>
        <w:t>（2）数据加密：</w:t>
      </w:r>
      <w:r>
        <w:rPr>
          <w:rFonts w:hint="eastAsia" w:ascii="仿宋_GB2312" w:hAnsi="Times New Roman" w:eastAsia="仿宋_GB2312" w:cs="Times New Roman"/>
          <w:color w:val="auto"/>
          <w:sz w:val="21"/>
          <w:szCs w:val="21"/>
          <w:highlight w:val="none"/>
        </w:rPr>
        <w:t>传输数据采用TLS1.3加密（敏感数据如车牌需额外AES-256加密），避免数据泄露</w:t>
      </w:r>
      <w:r>
        <w:rPr>
          <w:rFonts w:hint="eastAsia" w:ascii="仿宋_GB2312" w:hAnsi="Times New Roman" w:eastAsia="仿宋_GB2312" w:cs="Times New Roman"/>
          <w:color w:val="auto"/>
          <w:sz w:val="21"/>
          <w:szCs w:val="21"/>
          <w:highlight w:val="none"/>
          <w:lang w:eastAsia="zh-CN"/>
        </w:rPr>
        <w:t>。</w:t>
      </w:r>
    </w:p>
    <w:p w14:paraId="68ADE0C8">
      <w:pPr>
        <w:spacing w:line="340" w:lineRule="exact"/>
        <w:ind w:firstLine="422"/>
        <w:rPr>
          <w:rFonts w:hint="eastAsia" w:eastAsia="仿宋_GB2312"/>
          <w:color w:val="auto"/>
          <w:sz w:val="21"/>
          <w:szCs w:val="21"/>
          <w:highlight w:val="none"/>
          <w:lang w:eastAsia="zh-CN"/>
        </w:rPr>
      </w:pPr>
      <w:r>
        <w:rPr>
          <w:rFonts w:hint="eastAsia" w:ascii="仿宋_GB2312" w:hAnsi="Times New Roman" w:eastAsia="仿宋_GB2312" w:cs="Times New Roman"/>
          <w:b/>
          <w:bCs/>
          <w:color w:val="auto"/>
          <w:sz w:val="21"/>
          <w:szCs w:val="21"/>
          <w:highlight w:val="none"/>
        </w:rPr>
        <w:t>（3）访问控制：</w:t>
      </w:r>
      <w:r>
        <w:rPr>
          <w:rFonts w:hint="eastAsia" w:ascii="仿宋_GB2312" w:hAnsi="Times New Roman" w:eastAsia="仿宋_GB2312" w:cs="Times New Roman"/>
          <w:color w:val="auto"/>
          <w:sz w:val="21"/>
          <w:szCs w:val="21"/>
          <w:highlight w:val="none"/>
        </w:rPr>
        <w:t>按“最小权限原则”分配接口权限（如公众接口仅开放车速、拥堵信息，不开放车牌）</w:t>
      </w:r>
      <w:r>
        <w:rPr>
          <w:rFonts w:hint="eastAsia" w:ascii="仿宋_GB2312" w:hAnsi="Times New Roman" w:eastAsia="仿宋_GB2312" w:cs="Times New Roman"/>
          <w:color w:val="auto"/>
          <w:sz w:val="21"/>
          <w:szCs w:val="21"/>
          <w:highlight w:val="none"/>
          <w:lang w:eastAsia="zh-CN"/>
        </w:rPr>
        <w:t>。</w:t>
      </w:r>
    </w:p>
    <w:p w14:paraId="4E6A007B">
      <w:pPr>
        <w:pStyle w:val="5"/>
        <w:keepNext w:val="0"/>
        <w:keepLines w:val="0"/>
        <w:widowControl w:val="0"/>
        <w:adjustRightInd/>
        <w:snapToGrid/>
        <w:spacing w:line="340" w:lineRule="exact"/>
        <w:ind w:firstLine="0" w:firstLineChars="0"/>
        <w:rPr>
          <w:rFonts w:hint="eastAsia" w:ascii="楷体_GB2312" w:eastAsia="楷体_GB2312"/>
          <w:color w:val="auto"/>
          <w:sz w:val="21"/>
          <w:szCs w:val="21"/>
          <w:highlight w:val="none"/>
        </w:rPr>
      </w:pPr>
      <w:r>
        <w:rPr>
          <w:rFonts w:hint="eastAsia" w:ascii="仿宋_GB2312" w:hAnsi="Times New Roman" w:eastAsia="仿宋_GB2312" w:cs="Times New Roman"/>
          <w:b/>
          <w:bCs/>
          <w:color w:val="auto"/>
          <w:sz w:val="21"/>
          <w:szCs w:val="21"/>
          <w:highlight w:val="none"/>
        </w:rPr>
        <w:t>（4）接口限流：</w:t>
      </w:r>
      <w:r>
        <w:rPr>
          <w:rFonts w:hint="eastAsia" w:ascii="仿宋_GB2312" w:hAnsi="Times New Roman" w:eastAsia="仿宋_GB2312" w:cs="Times New Roman"/>
          <w:color w:val="auto"/>
          <w:sz w:val="21"/>
          <w:szCs w:val="21"/>
          <w:highlight w:val="none"/>
        </w:rPr>
        <w:t>单个IP每秒请求次数≤10次，避免恶意攻击导致接口瘫痪。</w:t>
      </w:r>
    </w:p>
    <w:p w14:paraId="7FABD3BD">
      <w:pPr>
        <w:pStyle w:val="5"/>
        <w:keepNext w:val="0"/>
        <w:keepLines w:val="0"/>
        <w:widowControl w:val="0"/>
        <w:adjustRightInd/>
        <w:snapToGrid/>
        <w:spacing w:line="340" w:lineRule="exact"/>
        <w:ind w:firstLine="422"/>
        <w:rPr>
          <w:rFonts w:hint="eastAsia" w:ascii="楷体_GB2312" w:eastAsia="楷体_GB2312"/>
          <w:color w:val="auto"/>
          <w:sz w:val="21"/>
          <w:szCs w:val="21"/>
          <w:highlight w:val="none"/>
        </w:rPr>
      </w:pPr>
      <w:r>
        <w:rPr>
          <w:color w:val="auto"/>
          <w:highlight w:val="none"/>
        </w:rPr>
        <w:drawing>
          <wp:anchor distT="0" distB="0" distL="0" distR="0" simplePos="0" relativeHeight="251660288" behindDoc="0" locked="0" layoutInCell="1" allowOverlap="1">
            <wp:simplePos x="0" y="0"/>
            <wp:positionH relativeFrom="column">
              <wp:posOffset>1176655</wp:posOffset>
            </wp:positionH>
            <wp:positionV relativeFrom="paragraph">
              <wp:posOffset>183515</wp:posOffset>
            </wp:positionV>
            <wp:extent cx="3032760" cy="1612265"/>
            <wp:effectExtent l="0" t="0" r="0" b="3175"/>
            <wp:wrapNone/>
            <wp:docPr id="6686142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14244"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032760" cy="1612265"/>
                    </a:xfrm>
                    <a:prstGeom prst="rect">
                      <a:avLst/>
                    </a:prstGeom>
                    <a:noFill/>
                    <a:ln>
                      <a:noFill/>
                    </a:ln>
                  </pic:spPr>
                </pic:pic>
              </a:graphicData>
            </a:graphic>
          </wp:anchor>
        </w:drawing>
      </w:r>
      <w:r>
        <w:rPr>
          <w:rFonts w:hint="eastAsia" w:ascii="楷体_GB2312" w:eastAsia="楷体_GB2312"/>
          <w:color w:val="auto"/>
          <w:sz w:val="21"/>
          <w:szCs w:val="21"/>
          <w:highlight w:val="none"/>
        </w:rPr>
        <w:t>（七）交调站点网络系统要求</w:t>
      </w:r>
    </w:p>
    <w:p w14:paraId="5F006C9C">
      <w:pPr>
        <w:spacing w:line="400" w:lineRule="exact"/>
        <w:ind w:firstLine="0" w:firstLineChars="0"/>
        <w:rPr>
          <w:color w:val="auto"/>
          <w:highlight w:val="none"/>
        </w:rPr>
      </w:pPr>
    </w:p>
    <w:p w14:paraId="510EA3C1">
      <w:pPr>
        <w:spacing w:line="400" w:lineRule="exact"/>
        <w:ind w:firstLine="0" w:firstLineChars="0"/>
        <w:rPr>
          <w:color w:val="auto"/>
          <w:highlight w:val="none"/>
        </w:rPr>
      </w:pPr>
    </w:p>
    <w:p w14:paraId="4916D3A8">
      <w:pPr>
        <w:spacing w:line="400" w:lineRule="exact"/>
        <w:ind w:firstLine="0" w:firstLineChars="0"/>
        <w:rPr>
          <w:color w:val="auto"/>
          <w:highlight w:val="none"/>
        </w:rPr>
      </w:pPr>
    </w:p>
    <w:p w14:paraId="24232E21">
      <w:pPr>
        <w:spacing w:line="400" w:lineRule="exact"/>
        <w:ind w:firstLine="0" w:firstLineChars="0"/>
        <w:rPr>
          <w:color w:val="auto"/>
          <w:highlight w:val="none"/>
        </w:rPr>
      </w:pPr>
    </w:p>
    <w:p w14:paraId="57F6EA7E">
      <w:pPr>
        <w:spacing w:line="400" w:lineRule="exact"/>
        <w:ind w:firstLine="0" w:firstLineChars="0"/>
        <w:rPr>
          <w:color w:val="auto"/>
          <w:highlight w:val="none"/>
        </w:rPr>
      </w:pPr>
    </w:p>
    <w:p w14:paraId="76D5654C">
      <w:pPr>
        <w:spacing w:line="400" w:lineRule="exact"/>
        <w:ind w:firstLine="0" w:firstLineChars="0"/>
        <w:rPr>
          <w:color w:val="auto"/>
          <w:highlight w:val="none"/>
        </w:rPr>
      </w:pPr>
    </w:p>
    <w:p w14:paraId="14EEF33F">
      <w:pPr>
        <w:spacing w:line="400" w:lineRule="exact"/>
        <w:ind w:firstLine="0" w:firstLineChars="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图</w:t>
      </w:r>
      <w:r>
        <w:rPr>
          <w:rFonts w:ascii="仿宋_GB2312" w:hAnsi="仿宋_GB2312" w:eastAsia="仿宋_GB2312" w:cs="仿宋_GB2312"/>
          <w:color w:val="auto"/>
          <w:sz w:val="21"/>
          <w:highlight w:val="none"/>
        </w:rPr>
        <w:t xml:space="preserve">2  </w:t>
      </w:r>
      <w:r>
        <w:rPr>
          <w:rFonts w:hint="eastAsia" w:ascii="仿宋_GB2312" w:hAnsi="仿宋_GB2312" w:eastAsia="仿宋_GB2312" w:cs="仿宋_GB2312"/>
          <w:color w:val="auto"/>
          <w:sz w:val="21"/>
          <w:highlight w:val="none"/>
        </w:rPr>
        <w:t>交通调查</w:t>
      </w:r>
      <w:r>
        <w:rPr>
          <w:rFonts w:hint="eastAsia" w:ascii="仿宋_GB2312" w:hAnsi="仿宋_GB2312" w:eastAsia="仿宋_GB2312" w:cs="仿宋_GB2312"/>
          <w:color w:val="auto"/>
          <w:sz w:val="21"/>
          <w:szCs w:val="21"/>
          <w:highlight w:val="none"/>
        </w:rPr>
        <w:t>站点组网结构</w:t>
      </w:r>
      <w:r>
        <w:rPr>
          <w:rFonts w:hint="eastAsia" w:ascii="仿宋_GB2312" w:hAnsi="仿宋_GB2312" w:eastAsia="仿宋_GB2312" w:cs="仿宋_GB2312"/>
          <w:color w:val="auto"/>
          <w:sz w:val="21"/>
          <w:highlight w:val="none"/>
        </w:rPr>
        <w:t>图</w:t>
      </w:r>
    </w:p>
    <w:p w14:paraId="4831FA9B">
      <w:pPr>
        <w:spacing w:line="340" w:lineRule="exact"/>
        <w:ind w:firstLine="0" w:firstLineChars="0"/>
        <w:rPr>
          <w:rFonts w:hint="eastAsia" w:ascii="仿宋_GB2312" w:hAnsi="Times New Roman" w:eastAsia="仿宋_GB2312" w:cs="Times New Roman"/>
          <w:color w:val="auto"/>
          <w:sz w:val="21"/>
          <w:szCs w:val="21"/>
          <w:highlight w:val="none"/>
        </w:rPr>
      </w:pPr>
    </w:p>
    <w:p w14:paraId="3C285EE4">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旨在为《广东省公路交通情况调查子系统》的运行提供硬件支撑，为各级交调数据中心及调查站点之间的数据传输提供物理通道。</w:t>
      </w:r>
    </w:p>
    <w:p w14:paraId="7794374D">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本工程网络系统建设主要考虑《广东省普通国省干线公路网监测与应急协调子系统》与交调站点之间的互联互通和《广东省普通国省干线公路网监测与应急协调子系统》与部之间的数据传输需求。</w:t>
      </w:r>
    </w:p>
    <w:p w14:paraId="4F43DA9D">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本项目网络传输架构为：</w:t>
      </w:r>
    </w:p>
    <w:p w14:paraId="17C1F6A3">
      <w:pPr>
        <w:pStyle w:val="5"/>
        <w:keepNext w:val="0"/>
        <w:keepLines w:val="0"/>
        <w:spacing w:line="340" w:lineRule="exact"/>
        <w:ind w:firstLine="422"/>
        <w:rPr>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w:t>
      </w:r>
      <w:r>
        <w:rPr>
          <w:rFonts w:hint="eastAsia"/>
          <w:color w:val="auto"/>
          <w:sz w:val="21"/>
          <w:szCs w:val="21"/>
          <w:highlight w:val="none"/>
        </w:rPr>
        <w:t>视频接入</w:t>
      </w:r>
    </w:p>
    <w:p w14:paraId="1563DCD7">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监控视频统一接入到《广东省普通国省干线公路网监测与应急协调子系统》，和</w:t>
      </w:r>
      <w:r>
        <w:rPr>
          <w:rFonts w:hint="eastAsia" w:ascii="仿宋_GB2312" w:hAnsi="Times New Roman" w:eastAsia="仿宋_GB2312" w:cs="Times New Roman"/>
          <w:color w:val="auto"/>
          <w:sz w:val="21"/>
          <w:szCs w:val="21"/>
          <w:highlight w:val="none"/>
          <w:lang w:val="en-US" w:eastAsia="zh-CN"/>
        </w:rPr>
        <w:t>既</w:t>
      </w:r>
      <w:r>
        <w:rPr>
          <w:rFonts w:hint="eastAsia" w:ascii="仿宋_GB2312" w:hAnsi="Times New Roman" w:eastAsia="仿宋_GB2312" w:cs="Times New Roman"/>
          <w:color w:val="auto"/>
          <w:sz w:val="21"/>
          <w:szCs w:val="21"/>
          <w:highlight w:val="none"/>
        </w:rPr>
        <w:t>有摄像机一样</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由</w:t>
      </w:r>
      <w:r>
        <w:rPr>
          <w:rFonts w:hint="eastAsia" w:ascii="仿宋_GB2312" w:hAnsi="Times New Roman" w:eastAsia="仿宋_GB2312" w:cs="Times New Roman"/>
          <w:color w:val="auto"/>
          <w:sz w:val="21"/>
          <w:szCs w:val="21"/>
          <w:highlight w:val="none"/>
          <w:lang w:val="en-US" w:eastAsia="zh-CN"/>
        </w:rPr>
        <w:t>采购人</w:t>
      </w:r>
      <w:r>
        <w:rPr>
          <w:rFonts w:hint="eastAsia" w:ascii="仿宋_GB2312" w:hAnsi="Times New Roman" w:eastAsia="仿宋_GB2312" w:cs="Times New Roman"/>
          <w:color w:val="auto"/>
          <w:sz w:val="21"/>
          <w:szCs w:val="21"/>
          <w:highlight w:val="none"/>
        </w:rPr>
        <w:t>通过视频管理系统进行预览、存储、回放、控制</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上墙等。</w:t>
      </w:r>
    </w:p>
    <w:p w14:paraId="7B3DB31D">
      <w:pPr>
        <w:pStyle w:val="5"/>
        <w:keepNext w:val="0"/>
        <w:keepLines w:val="0"/>
        <w:spacing w:line="340" w:lineRule="exact"/>
        <w:ind w:firstLine="422"/>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eastAsia="zh-CN"/>
        </w:rPr>
        <w:t>.</w:t>
      </w:r>
      <w:r>
        <w:rPr>
          <w:rFonts w:hint="eastAsia"/>
          <w:color w:val="auto"/>
          <w:sz w:val="21"/>
          <w:szCs w:val="21"/>
          <w:highlight w:val="none"/>
        </w:rPr>
        <w:t>网络接入</w:t>
      </w:r>
    </w:p>
    <w:p w14:paraId="1D4D981C">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根据广东省普通公路传输网络的统一规划，前端摄像机可采用VPN专线或设置4G/5G无线网络。</w:t>
      </w:r>
    </w:p>
    <w:p w14:paraId="606DAAF4">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本项目前端设备卡口枪机、辅助球机均采用H.265编码高清摄像机，单路相机像素需大于400万。按照400万像素以4Mbps的实时码流存储计。由于网络封装效率一般为80%，一般广域网网络负荷不可超过网络带宽的70%，所以每路前端1080P实际链路带宽要求为不低于4Mbps/（80%*70%）≈8Mbps。因此</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本项每个接入点带宽必须不少于10M。</w:t>
      </w:r>
    </w:p>
    <w:p w14:paraId="78A387B5">
      <w:pPr>
        <w:pStyle w:val="5"/>
        <w:keepNext w:val="0"/>
        <w:keepLines w:val="0"/>
        <w:widowControl w:val="0"/>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（八）其他技术要求</w:t>
      </w:r>
    </w:p>
    <w:p w14:paraId="1809A043">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投标人所投设备</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支持交通运输部颁《公路交通量调查设备 第2部分 通信协议（JT-T 1008.2-2015）》</w:t>
      </w:r>
      <w:r>
        <w:rPr>
          <w:rFonts w:hint="eastAsia" w:ascii="仿宋_GB2312" w:hAnsi="Times New Roman" w:eastAsia="仿宋_GB2312" w:cs="Times New Roman"/>
          <w:color w:val="auto"/>
          <w:sz w:val="21"/>
          <w:szCs w:val="21"/>
          <w:highlight w:val="none"/>
          <w:lang w:eastAsia="zh-CN"/>
        </w:rPr>
        <w:t>和</w:t>
      </w:r>
      <w:r>
        <w:rPr>
          <w:rFonts w:hint="eastAsia" w:ascii="仿宋_GB2312" w:hAnsi="Times New Roman" w:eastAsia="仿宋_GB2312" w:cs="Times New Roman"/>
          <w:color w:val="auto"/>
          <w:sz w:val="21"/>
          <w:szCs w:val="21"/>
          <w:highlight w:val="none"/>
        </w:rPr>
        <w:t>《广东省公路事务中心固定式交调设备扩展通信协议》。</w:t>
      </w:r>
    </w:p>
    <w:p w14:paraId="5884370D">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投标人</w:t>
      </w:r>
      <w:r>
        <w:rPr>
          <w:rFonts w:hint="eastAsia" w:ascii="仿宋_GB2312" w:hAnsi="Times New Roman" w:eastAsia="仿宋_GB2312" w:cs="Times New Roman"/>
          <w:color w:val="auto"/>
          <w:sz w:val="21"/>
          <w:szCs w:val="21"/>
          <w:highlight w:val="none"/>
          <w:lang w:val="en-US" w:eastAsia="zh-CN"/>
        </w:rPr>
        <w:t>设备</w:t>
      </w:r>
      <w:r>
        <w:rPr>
          <w:rFonts w:hint="eastAsia" w:ascii="仿宋_GB2312" w:hAnsi="Times New Roman" w:eastAsia="仿宋_GB2312" w:cs="Times New Roman"/>
          <w:color w:val="auto"/>
          <w:sz w:val="21"/>
          <w:szCs w:val="21"/>
          <w:highlight w:val="none"/>
        </w:rPr>
        <w:t>具备交调数据接入功能，包括车流量自然数、车型、地点车速、设备运行状态、站点精确的经纬度数据。</w:t>
      </w:r>
    </w:p>
    <w:p w14:paraId="6DA05FA6">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所有设备须按规定与省交通运行监测统一的时间服务器（NTP，公网IP： 210.21.67.25，端口号：123）进行时间同步。</w:t>
      </w:r>
    </w:p>
    <w:p w14:paraId="6C731E4C">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视频设备需具备红外夜视功能，提供每5/10/15/20/30分钟等可配置的视频录像文件（TS/MP4格式）且具备远程下载的</w:t>
      </w:r>
      <w:r>
        <w:rPr>
          <w:rFonts w:hint="eastAsia" w:ascii="仿宋_GB2312" w:hAnsi="Times New Roman" w:eastAsia="仿宋_GB2312" w:cs="Times New Roman"/>
          <w:color w:val="auto"/>
          <w:sz w:val="21"/>
          <w:szCs w:val="21"/>
          <w:highlight w:val="none"/>
          <w:lang w:val="en-US" w:eastAsia="zh-CN"/>
        </w:rPr>
        <w:t>功能；其中</w:t>
      </w:r>
      <w:r>
        <w:rPr>
          <w:rFonts w:hint="eastAsia" w:ascii="仿宋_GB2312" w:hAnsi="Times New Roman" w:eastAsia="仿宋_GB2312" w:cs="Times New Roman"/>
          <w:color w:val="auto"/>
          <w:sz w:val="21"/>
          <w:szCs w:val="21"/>
          <w:highlight w:val="none"/>
        </w:rPr>
        <w:t>，视频OSD信息须有站点名称、时间</w:t>
      </w:r>
      <w:r>
        <w:rPr>
          <w:rFonts w:hint="eastAsia" w:ascii="仿宋_GB2312" w:hAnsi="Times New Roman" w:eastAsia="仿宋_GB2312" w:cs="Times New Roman"/>
          <w:color w:val="auto"/>
          <w:sz w:val="21"/>
          <w:szCs w:val="21"/>
          <w:highlight w:val="none"/>
          <w:lang w:eastAsia="zh-CN"/>
        </w:rPr>
        <w:t>、行驶方向地名</w:t>
      </w:r>
      <w:r>
        <w:rPr>
          <w:rFonts w:hint="eastAsia" w:ascii="仿宋_GB2312" w:hAnsi="Times New Roman" w:eastAsia="仿宋_GB2312" w:cs="Times New Roman"/>
          <w:color w:val="auto"/>
          <w:sz w:val="21"/>
          <w:szCs w:val="21"/>
          <w:highlight w:val="none"/>
        </w:rPr>
        <w:t>等</w:t>
      </w:r>
      <w:r>
        <w:rPr>
          <w:rFonts w:hint="eastAsia" w:ascii="仿宋_GB2312" w:hAnsi="Times New Roman" w:eastAsia="仿宋_GB2312" w:cs="Times New Roman"/>
          <w:color w:val="auto"/>
          <w:sz w:val="21"/>
          <w:szCs w:val="21"/>
          <w:highlight w:val="none"/>
          <w:lang w:val="en-US" w:eastAsia="zh-CN"/>
        </w:rPr>
        <w:t>要素</w:t>
      </w:r>
      <w:r>
        <w:rPr>
          <w:rFonts w:hint="eastAsia" w:ascii="仿宋_GB2312" w:hAnsi="Times New Roman" w:eastAsia="仿宋_GB2312" w:cs="Times New Roman"/>
          <w:color w:val="auto"/>
          <w:sz w:val="21"/>
          <w:szCs w:val="21"/>
          <w:highlight w:val="none"/>
        </w:rPr>
        <w:t>，提供不小于30天720P及以上视频数据本地存储</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并按《广东省普通公路视频监控设备及平台联网技术要求（试行版）》，视频接入《广东省普通国省干线公路网监测与应急协调子系统》。</w:t>
      </w:r>
    </w:p>
    <w:p w14:paraId="5CB7D41F">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设备在正常运行状态下，当供电中断后恢复正常供电时，设备应能自行恢复至正常工作状态</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在断电时其存储的交调数据不应发生丢失现象，待恢复正常后，具备实时和服务器检测连接状态功能和续传功能。</w:t>
      </w:r>
    </w:p>
    <w:p w14:paraId="767DED13">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站点软硬件系统全面采用国产化产品，包括但不限于：国产操作系统、自研应用软件、国产数据库及配套硬件设备。</w:t>
      </w:r>
    </w:p>
    <w:p w14:paraId="7AC36A3C">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卡口抓拍摄像机及补光灯需满足</w:t>
      </w:r>
      <w:r>
        <w:rPr>
          <w:rFonts w:hint="eastAsia" w:ascii="仿宋_GB2312" w:hAnsi="Times New Roman" w:eastAsia="仿宋_GB2312" w:cs="Times New Roman"/>
          <w:color w:val="auto"/>
          <w:sz w:val="21"/>
          <w:szCs w:val="21"/>
          <w:highlight w:val="none"/>
          <w:lang w:val="en-US" w:eastAsia="zh-CN"/>
        </w:rPr>
        <w:t>公安部颁</w:t>
      </w:r>
      <w:r>
        <w:rPr>
          <w:rFonts w:hint="eastAsia" w:ascii="仿宋_GB2312" w:hAnsi="Times New Roman" w:eastAsia="仿宋_GB2312" w:cs="Times New Roman"/>
          <w:color w:val="auto"/>
          <w:sz w:val="21"/>
          <w:szCs w:val="21"/>
          <w:highlight w:val="none"/>
        </w:rPr>
        <w:t>《</w:t>
      </w:r>
      <w:r>
        <w:rPr>
          <w:rFonts w:hint="eastAsia" w:ascii="仿宋_GB2312" w:hAnsi="Times New Roman" w:eastAsia="仿宋_GB2312" w:cs="Times New Roman"/>
          <w:color w:val="auto"/>
          <w:sz w:val="21"/>
          <w:szCs w:val="21"/>
          <w:highlight w:val="none"/>
          <w:lang w:val="en-US" w:eastAsia="zh-CN"/>
        </w:rPr>
        <w:t>道路</w:t>
      </w:r>
      <w:r>
        <w:rPr>
          <w:rFonts w:hint="eastAsia" w:ascii="仿宋_GB2312" w:hAnsi="Times New Roman" w:eastAsia="仿宋_GB2312" w:cs="Times New Roman"/>
          <w:color w:val="auto"/>
          <w:sz w:val="21"/>
          <w:szCs w:val="21"/>
          <w:highlight w:val="none"/>
        </w:rPr>
        <w:t>交通安全违法行为视频取证设备技术规范</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GA/T 1202-2022</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》要求，具备全天候高精度车牌识别（日间≥95%，夜间≥90%）、防强光过曝及雨雾穿透能力；同时符合</w:t>
      </w:r>
      <w:r>
        <w:rPr>
          <w:rFonts w:hint="eastAsia" w:ascii="仿宋_GB2312" w:hAnsi="Times New Roman" w:eastAsia="仿宋_GB2312" w:cs="Times New Roman"/>
          <w:color w:val="auto"/>
          <w:sz w:val="21"/>
          <w:szCs w:val="21"/>
          <w:highlight w:val="none"/>
          <w:lang w:val="en-US" w:eastAsia="zh-CN"/>
        </w:rPr>
        <w:t>公安部颁</w:t>
      </w:r>
      <w:r>
        <w:rPr>
          <w:rFonts w:hint="eastAsia" w:ascii="仿宋_GB2312" w:hAnsi="Times New Roman" w:eastAsia="仿宋_GB2312" w:cs="Times New Roman"/>
          <w:color w:val="auto"/>
          <w:sz w:val="21"/>
          <w:szCs w:val="21"/>
          <w:highlight w:val="none"/>
        </w:rPr>
        <w:t>《公安视频图像信息应用系统接口规范</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GA/T 1400-2017</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》数据接入标准，支持加密视频流与结构化数据（车牌/车型）上传至公安专网平台，确保数据安全性与协议兼容性。</w:t>
      </w:r>
    </w:p>
    <w:p w14:paraId="35482A30">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实施过程中，基础开挖、浇筑、杆件吊装、设备安装调试、完工图片等建设资料，需全部上传至《广东省公路交通情况调查子系统》。</w:t>
      </w:r>
    </w:p>
    <w:p w14:paraId="6716A0BE">
      <w:pPr>
        <w:pStyle w:val="5"/>
        <w:keepNext w:val="0"/>
        <w:keepLines w:val="0"/>
        <w:spacing w:line="340" w:lineRule="exact"/>
        <w:ind w:firstLine="422"/>
        <w:rPr>
          <w:color w:val="auto"/>
          <w:sz w:val="21"/>
          <w:szCs w:val="21"/>
          <w:highlight w:val="none"/>
        </w:rPr>
      </w:pPr>
      <w:r>
        <w:rPr>
          <w:rFonts w:hint="eastAsia"/>
          <w:color w:val="auto"/>
          <w:sz w:val="21"/>
          <w:szCs w:val="21"/>
          <w:highlight w:val="none"/>
        </w:rPr>
        <w:t>1.信息传输网络</w:t>
      </w:r>
    </w:p>
    <w:p w14:paraId="02970D30">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使用有线网络或物联网卡进行数据和视频的传输。</w:t>
      </w:r>
    </w:p>
    <w:p w14:paraId="0EAAC67A">
      <w:pPr>
        <w:pStyle w:val="5"/>
        <w:keepNext w:val="0"/>
        <w:keepLines w:val="0"/>
        <w:spacing w:line="340" w:lineRule="exact"/>
        <w:ind w:firstLine="422"/>
        <w:rPr>
          <w:color w:val="auto"/>
          <w:sz w:val="21"/>
          <w:szCs w:val="21"/>
          <w:highlight w:val="none"/>
        </w:rPr>
      </w:pPr>
      <w:r>
        <w:rPr>
          <w:rFonts w:hint="eastAsia"/>
          <w:color w:val="auto"/>
          <w:sz w:val="21"/>
          <w:szCs w:val="21"/>
          <w:highlight w:val="none"/>
        </w:rPr>
        <w:t>2.立杆及交调标志</w:t>
      </w:r>
    </w:p>
    <w:p w14:paraId="644CB368">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本项交调站点需建设立杆设施的，根据现场情况采用I型杆/L型杆/T型杆。</w:t>
      </w:r>
    </w:p>
    <w:p w14:paraId="7A30E909">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前端数据采集设备的立杆根据实际情况设立，I型杆/T型杆设立路中央需具有较</w:t>
      </w:r>
      <w:r>
        <w:rPr>
          <w:rFonts w:hint="eastAsia" w:ascii="仿宋_GB2312" w:hAnsi="Times New Roman" w:eastAsia="仿宋_GB2312" w:cs="Times New Roman"/>
          <w:color w:val="auto"/>
          <w:sz w:val="21"/>
          <w:szCs w:val="21"/>
          <w:highlight w:val="none"/>
          <w:lang w:val="en-US" w:eastAsia="zh-CN"/>
        </w:rPr>
        <w:t>宽</w:t>
      </w:r>
      <w:r>
        <w:rPr>
          <w:rFonts w:hint="eastAsia" w:ascii="仿宋_GB2312" w:hAnsi="Times New Roman" w:eastAsia="仿宋_GB2312" w:cs="Times New Roman"/>
          <w:color w:val="auto"/>
          <w:sz w:val="21"/>
          <w:szCs w:val="21"/>
          <w:highlight w:val="none"/>
        </w:rPr>
        <w:t>的中央隔离带，分别检测两个方向断面的车流量。没有中央隔离带的或者中央绿化带遮挡较为严重的，在路肩设立L型杆件，但须避开</w:t>
      </w:r>
      <w:r>
        <w:rPr>
          <w:rFonts w:hint="eastAsia" w:ascii="仿宋_GB2312" w:hAnsi="Times New Roman" w:eastAsia="仿宋_GB2312" w:cs="Times New Roman"/>
          <w:color w:val="auto"/>
          <w:sz w:val="21"/>
          <w:szCs w:val="21"/>
          <w:highlight w:val="none"/>
          <w:lang w:val="en-US" w:eastAsia="zh-CN"/>
        </w:rPr>
        <w:t>平面</w:t>
      </w:r>
      <w:r>
        <w:rPr>
          <w:rFonts w:hint="eastAsia" w:ascii="仿宋_GB2312" w:hAnsi="Times New Roman" w:eastAsia="仿宋_GB2312" w:cs="Times New Roman"/>
          <w:color w:val="auto"/>
          <w:sz w:val="21"/>
          <w:szCs w:val="21"/>
          <w:highlight w:val="none"/>
        </w:rPr>
        <w:t>交叉路口、公交车站等公共区域。</w:t>
      </w:r>
    </w:p>
    <w:p w14:paraId="02B5D1FF">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安装设备净高度为6-12米，高度应满足激光检测器、视频摄像机等设备的检测性能的要求</w:t>
      </w:r>
      <w:r>
        <w:rPr>
          <w:rFonts w:hint="eastAsia" w:ascii="仿宋_GB2312" w:hAnsi="Times New Roman" w:eastAsia="仿宋_GB2312" w:cs="Times New Roman"/>
          <w:color w:val="auto"/>
          <w:sz w:val="21"/>
          <w:szCs w:val="21"/>
          <w:highlight w:val="none"/>
          <w:lang w:eastAsia="zh-CN"/>
        </w:rPr>
        <w:t>。</w:t>
      </w:r>
    </w:p>
    <w:p w14:paraId="2A83D6B8">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采用热浸镀锌钢杆，镀锌层表面应光滑、无流挂滴瘤或多余结块，镀锌表面应无漏镀缺陷，采用</w:t>
      </w:r>
      <w:r>
        <w:rPr>
          <w:rFonts w:hint="eastAsia" w:ascii="仿宋_GB2312" w:hAnsi="仿宋" w:eastAsia="仿宋_GB2312" w:cs="Times New Roman"/>
          <w:color w:val="auto"/>
          <w:sz w:val="21"/>
          <w:szCs w:val="21"/>
          <w:highlight w:val="none"/>
        </w:rPr>
        <w:t>国家质量监督检验检疫总局和国家标准化管理委员会</w:t>
      </w:r>
      <w:r>
        <w:rPr>
          <w:rFonts w:hint="eastAsia" w:ascii="仿宋_GB2312" w:hAnsi="仿宋" w:eastAsia="仿宋_GB2312" w:cs="Times New Roman"/>
          <w:color w:val="auto"/>
          <w:sz w:val="21"/>
          <w:szCs w:val="21"/>
          <w:highlight w:val="none"/>
          <w:lang w:val="en-US" w:eastAsia="zh-CN"/>
        </w:rPr>
        <w:t>颁</w:t>
      </w:r>
      <w:r>
        <w:rPr>
          <w:rFonts w:hint="eastAsia" w:ascii="仿宋_GB2312" w:hAnsi="仿宋" w:eastAsia="仿宋_GB2312" w:cs="Times New Roman"/>
          <w:color w:val="auto"/>
          <w:sz w:val="21"/>
          <w:szCs w:val="21"/>
          <w:highlight w:val="none"/>
          <w:lang w:eastAsia="zh-CN"/>
        </w:rPr>
        <w:t>《锌锭（GB/T 470-2008）》</w:t>
      </w:r>
      <w:r>
        <w:rPr>
          <w:rFonts w:hint="eastAsia" w:ascii="仿宋_GB2312" w:hAnsi="Times New Roman" w:eastAsia="仿宋_GB2312" w:cs="Times New Roman"/>
          <w:color w:val="auto"/>
          <w:sz w:val="21"/>
          <w:szCs w:val="21"/>
          <w:highlight w:val="none"/>
        </w:rPr>
        <w:t>规定的特一级、一级锌锭，镀锌量≥600g/m</w:t>
      </w:r>
      <w:r>
        <w:rPr>
          <w:rFonts w:hint="eastAsia" w:ascii="仿宋_GB2312" w:hAnsi="Times New Roman" w:eastAsia="仿宋_GB2312" w:cs="Times New Roman"/>
          <w:color w:val="auto"/>
          <w:sz w:val="21"/>
          <w:szCs w:val="21"/>
          <w:highlight w:val="none"/>
          <w:vertAlign w:val="superscript"/>
        </w:rPr>
        <w:t>2</w:t>
      </w:r>
      <w:r>
        <w:rPr>
          <w:rFonts w:hint="eastAsia" w:ascii="仿宋_GB2312" w:hAnsi="Times New Roman" w:eastAsia="仿宋_GB2312" w:cs="Times New Roman"/>
          <w:color w:val="auto"/>
          <w:sz w:val="21"/>
          <w:szCs w:val="21"/>
          <w:highlight w:val="none"/>
        </w:rPr>
        <w:t>，安装设备不锈蚀年限≥20年，镀层厚度应满足国家有关规定要求</w:t>
      </w:r>
      <w:r>
        <w:rPr>
          <w:rFonts w:hint="eastAsia" w:ascii="仿宋_GB2312" w:hAnsi="Times New Roman" w:eastAsia="仿宋_GB2312" w:cs="Times New Roman"/>
          <w:color w:val="auto"/>
          <w:sz w:val="21"/>
          <w:szCs w:val="21"/>
          <w:highlight w:val="none"/>
          <w:lang w:eastAsia="zh-CN"/>
        </w:rPr>
        <w:t>。</w:t>
      </w:r>
    </w:p>
    <w:p w14:paraId="49FFA0B3">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安装设备能够抵抗36米／秒的风速，在24米/秒的风速下能正常工作</w:t>
      </w:r>
      <w:r>
        <w:rPr>
          <w:rFonts w:hint="eastAsia" w:ascii="仿宋_GB2312" w:hAnsi="Times New Roman" w:eastAsia="仿宋_GB2312" w:cs="Times New Roman"/>
          <w:color w:val="auto"/>
          <w:sz w:val="21"/>
          <w:szCs w:val="21"/>
          <w:highlight w:val="none"/>
          <w:lang w:eastAsia="zh-CN"/>
        </w:rPr>
        <w:t>。</w:t>
      </w:r>
    </w:p>
    <w:p w14:paraId="693D56EA">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安装设备顶端配套设置避雷针，避雷针长度应保证设备位于保护范围内，避雷针和安装设备</w:t>
      </w:r>
      <w:r>
        <w:rPr>
          <w:rFonts w:hint="eastAsia" w:ascii="仿宋_GB2312" w:hAnsi="Times New Roman" w:eastAsia="仿宋_GB2312" w:cs="Times New Roman"/>
          <w:color w:val="auto"/>
          <w:sz w:val="21"/>
          <w:szCs w:val="21"/>
          <w:highlight w:val="none"/>
          <w:lang w:val="en-US" w:eastAsia="zh-CN"/>
        </w:rPr>
        <w:t>采用</w:t>
      </w:r>
      <w:r>
        <w:rPr>
          <w:rFonts w:hint="eastAsia" w:ascii="仿宋_GB2312" w:hAnsi="Times New Roman" w:eastAsia="仿宋_GB2312" w:cs="Times New Roman"/>
          <w:color w:val="auto"/>
          <w:sz w:val="21"/>
          <w:szCs w:val="21"/>
          <w:highlight w:val="none"/>
        </w:rPr>
        <w:t>一体化结构，防雷接地与保护接地联合设置，联合接地电阻小于10Ω。</w:t>
      </w:r>
    </w:p>
    <w:p w14:paraId="0EAF4A57">
      <w:pPr>
        <w:pStyle w:val="5"/>
        <w:keepNext w:val="0"/>
        <w:keepLines w:val="0"/>
        <w:spacing w:line="340" w:lineRule="exact"/>
        <w:ind w:firstLine="422"/>
        <w:rPr>
          <w:color w:val="auto"/>
          <w:sz w:val="21"/>
          <w:szCs w:val="21"/>
          <w:highlight w:val="none"/>
        </w:rPr>
      </w:pPr>
      <w:r>
        <w:rPr>
          <w:rFonts w:hint="eastAsia"/>
          <w:color w:val="auto"/>
          <w:sz w:val="21"/>
          <w:szCs w:val="21"/>
          <w:highlight w:val="none"/>
        </w:rPr>
        <w:t>3.交调标志图案</w:t>
      </w:r>
    </w:p>
    <w:p w14:paraId="2E45FB71">
      <w:pPr>
        <w:spacing w:line="340" w:lineRule="exact"/>
        <w:ind w:firstLine="420"/>
        <w:rPr>
          <w:rFonts w:hint="eastAsia" w:ascii="仿宋_GB2312" w:hAnsi="Times New Roman" w:eastAsia="仿宋_GB2312" w:cs="Times New Roman"/>
          <w:color w:val="auto"/>
          <w:sz w:val="21"/>
          <w:szCs w:val="21"/>
          <w:highlight w:val="none"/>
          <w:lang w:val="en-US" w:eastAsia="zh-CN"/>
        </w:rPr>
      </w:pPr>
      <w:r>
        <w:rPr>
          <w:rFonts w:hint="eastAsia" w:ascii="仿宋_GB2312" w:hAnsi="Times New Roman" w:eastAsia="仿宋_GB2312" w:cs="Times New Roman"/>
          <w:color w:val="auto"/>
          <w:sz w:val="21"/>
          <w:szCs w:val="21"/>
          <w:highlight w:val="none"/>
        </w:rPr>
        <w:t>广东省公路交调标志由图案和文字两部分组成。安装在立杆离地面</w:t>
      </w:r>
      <w:r>
        <w:rPr>
          <w:rFonts w:ascii="仿宋_GB2312" w:hAnsi="Times New Roman" w:eastAsia="仿宋_GB2312" w:cs="Times New Roman"/>
          <w:color w:val="auto"/>
          <w:sz w:val="21"/>
          <w:szCs w:val="21"/>
          <w:highlight w:val="none"/>
        </w:rPr>
        <w:t>2米位置或机箱正面，标志牌尺寸不小于280mm*300mm。</w:t>
      </w:r>
      <w:r>
        <w:rPr>
          <w:rFonts w:hint="eastAsia" w:ascii="仿宋_GB2312" w:hAnsi="Times New Roman" w:eastAsia="仿宋_GB2312" w:cs="Times New Roman"/>
          <w:color w:val="auto"/>
          <w:sz w:val="21"/>
          <w:szCs w:val="21"/>
          <w:highlight w:val="none"/>
          <w:lang w:val="en-US" w:eastAsia="zh-CN"/>
        </w:rPr>
        <w:t>如图3所示。</w:t>
      </w:r>
    </w:p>
    <w:p w14:paraId="5B51E4E4">
      <w:pPr>
        <w:spacing w:line="340" w:lineRule="exact"/>
        <w:ind w:firstLine="420"/>
        <w:rPr>
          <w:rFonts w:hint="default" w:ascii="仿宋_GB2312" w:hAnsi="Times New Roman" w:eastAsia="仿宋_GB2312" w:cs="Times New Roman"/>
          <w:color w:val="auto"/>
          <w:sz w:val="21"/>
          <w:szCs w:val="21"/>
          <w:highlight w:val="none"/>
          <w:lang w:val="en-US" w:eastAsia="zh-CN"/>
        </w:rPr>
      </w:pPr>
      <w:r>
        <w:rPr>
          <w:color w:val="auto"/>
          <w:sz w:val="21"/>
          <w:highlight w:val="none"/>
        </w:rPr>
        <w:drawing>
          <wp:anchor distT="0" distB="0" distL="0" distR="0" simplePos="0" relativeHeight="251661312" behindDoc="0" locked="0" layoutInCell="1" allowOverlap="1">
            <wp:simplePos x="0" y="0"/>
            <wp:positionH relativeFrom="column">
              <wp:posOffset>2309495</wp:posOffset>
            </wp:positionH>
            <wp:positionV relativeFrom="paragraph">
              <wp:posOffset>50165</wp:posOffset>
            </wp:positionV>
            <wp:extent cx="1135380" cy="815340"/>
            <wp:effectExtent l="0" t="0" r="7620" b="381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135380" cy="815340"/>
                    </a:xfrm>
                    <a:prstGeom prst="rect">
                      <a:avLst/>
                    </a:prstGeom>
                    <a:noFill/>
                  </pic:spPr>
                </pic:pic>
              </a:graphicData>
            </a:graphic>
          </wp:anchor>
        </w:drawing>
      </w:r>
    </w:p>
    <w:p w14:paraId="71F6680B">
      <w:pPr>
        <w:spacing w:line="400" w:lineRule="exact"/>
        <w:ind w:firstLine="0" w:firstLineChars="0"/>
        <w:jc w:val="center"/>
        <w:rPr>
          <w:color w:val="auto"/>
          <w:sz w:val="21"/>
          <w:highlight w:val="none"/>
        </w:rPr>
      </w:pPr>
    </w:p>
    <w:p w14:paraId="65259486">
      <w:pPr>
        <w:spacing w:line="400" w:lineRule="exact"/>
        <w:ind w:firstLine="0" w:firstLineChars="0"/>
        <w:jc w:val="both"/>
        <w:rPr>
          <w:color w:val="auto"/>
          <w:sz w:val="21"/>
          <w:highlight w:val="none"/>
        </w:rPr>
      </w:pPr>
    </w:p>
    <w:p w14:paraId="5CE72C1E">
      <w:pPr>
        <w:spacing w:line="400" w:lineRule="exact"/>
        <w:ind w:firstLine="0" w:firstLineChars="0"/>
        <w:jc w:val="center"/>
        <w:rPr>
          <w:rFonts w:hint="eastAsia" w:ascii="仿宋_GB2312" w:hAnsi="仿宋_GB2312" w:eastAsia="仿宋_GB2312" w:cs="仿宋_GB2312"/>
          <w:color w:val="auto"/>
          <w:sz w:val="21"/>
          <w:highlight w:val="none"/>
        </w:rPr>
      </w:pPr>
    </w:p>
    <w:p w14:paraId="028774D8">
      <w:pPr>
        <w:spacing w:line="400" w:lineRule="exact"/>
        <w:ind w:firstLine="0" w:firstLineChars="0"/>
        <w:jc w:val="center"/>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图</w:t>
      </w:r>
      <w:r>
        <w:rPr>
          <w:rFonts w:ascii="仿宋_GB2312" w:hAnsi="仿宋_GB2312" w:eastAsia="仿宋_GB2312" w:cs="仿宋_GB2312"/>
          <w:color w:val="auto"/>
          <w:sz w:val="21"/>
          <w:highlight w:val="none"/>
        </w:rPr>
        <w:t xml:space="preserve">3  </w:t>
      </w:r>
      <w:r>
        <w:rPr>
          <w:rFonts w:hint="eastAsia" w:ascii="仿宋_GB2312" w:hAnsi="仿宋_GB2312" w:eastAsia="仿宋_GB2312" w:cs="仿宋_GB2312"/>
          <w:color w:val="auto"/>
          <w:sz w:val="21"/>
          <w:highlight w:val="none"/>
        </w:rPr>
        <w:t>广东省公路交调标志图案</w:t>
      </w:r>
    </w:p>
    <w:p w14:paraId="6A25102A">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（1）</w:t>
      </w:r>
      <w:r>
        <w:rPr>
          <w:rFonts w:ascii="仿宋_GB2312" w:hAnsi="Times New Roman" w:eastAsia="仿宋_GB2312" w:cs="Times New Roman"/>
          <w:color w:val="auto"/>
          <w:sz w:val="21"/>
          <w:szCs w:val="21"/>
          <w:highlight w:val="none"/>
        </w:rPr>
        <w:t>安装设备基础的水泥混凝土标号不小于C25，其强度须满足安装设备及其上端设备和设施的承载强度要求</w:t>
      </w:r>
      <w:r>
        <w:rPr>
          <w:rFonts w:hint="eastAsia" w:ascii="仿宋_GB2312" w:hAnsi="Times New Roman" w:eastAsia="仿宋_GB2312" w:cs="Times New Roman"/>
          <w:color w:val="auto"/>
          <w:sz w:val="21"/>
          <w:szCs w:val="21"/>
          <w:highlight w:val="none"/>
          <w:lang w:eastAsia="zh-CN"/>
        </w:rPr>
        <w:t>。</w:t>
      </w:r>
    </w:p>
    <w:p w14:paraId="4F9DB1C9">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（2）</w:t>
      </w:r>
      <w:r>
        <w:rPr>
          <w:rFonts w:ascii="仿宋_GB2312" w:hAnsi="Times New Roman" w:eastAsia="仿宋_GB2312" w:cs="Times New Roman"/>
          <w:color w:val="auto"/>
          <w:sz w:val="21"/>
          <w:szCs w:val="21"/>
          <w:highlight w:val="none"/>
        </w:rPr>
        <w:t>基础</w:t>
      </w:r>
      <w:r>
        <w:rPr>
          <w:rFonts w:hint="eastAsia" w:ascii="仿宋_GB2312" w:hAnsi="Times New Roman" w:eastAsia="仿宋_GB2312" w:cs="Times New Roman"/>
          <w:color w:val="auto"/>
          <w:sz w:val="21"/>
          <w:szCs w:val="21"/>
          <w:highlight w:val="none"/>
          <w:lang w:val="en-US" w:eastAsia="zh-CN"/>
        </w:rPr>
        <w:t>浇筑</w:t>
      </w:r>
      <w:r>
        <w:rPr>
          <w:rFonts w:ascii="仿宋_GB2312" w:hAnsi="Times New Roman" w:eastAsia="仿宋_GB2312" w:cs="Times New Roman"/>
          <w:color w:val="auto"/>
          <w:sz w:val="21"/>
          <w:szCs w:val="21"/>
          <w:highlight w:val="none"/>
        </w:rPr>
        <w:t>时应平整美观，无蜂窝、麻面，应严格</w:t>
      </w:r>
      <w:r>
        <w:rPr>
          <w:rFonts w:hint="eastAsia" w:ascii="仿宋_GB2312" w:hAnsi="Times New Roman" w:eastAsia="仿宋_GB2312" w:cs="Times New Roman"/>
          <w:color w:val="auto"/>
          <w:sz w:val="21"/>
          <w:szCs w:val="21"/>
          <w:highlight w:val="none"/>
          <w:lang w:val="en-US" w:eastAsia="zh-CN"/>
        </w:rPr>
        <w:t>执行</w:t>
      </w:r>
      <w:r>
        <w:rPr>
          <w:rFonts w:ascii="仿宋_GB2312" w:hAnsi="Times New Roman" w:eastAsia="仿宋_GB2312" w:cs="Times New Roman"/>
          <w:color w:val="auto"/>
          <w:sz w:val="21"/>
          <w:szCs w:val="21"/>
          <w:highlight w:val="none"/>
        </w:rPr>
        <w:t>公路施工技术规范</w:t>
      </w:r>
      <w:r>
        <w:rPr>
          <w:rFonts w:hint="eastAsia" w:ascii="仿宋_GB2312" w:hAnsi="Times New Roman" w:eastAsia="仿宋_GB2312" w:cs="Times New Roman"/>
          <w:color w:val="auto"/>
          <w:sz w:val="21"/>
          <w:szCs w:val="21"/>
          <w:highlight w:val="none"/>
          <w:lang w:eastAsia="zh-CN"/>
        </w:rPr>
        <w:t>。</w:t>
      </w:r>
    </w:p>
    <w:p w14:paraId="2F4D29DA">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（3）</w:t>
      </w:r>
      <w:r>
        <w:rPr>
          <w:rFonts w:ascii="仿宋_GB2312" w:hAnsi="Times New Roman" w:eastAsia="仿宋_GB2312" w:cs="Times New Roman"/>
          <w:color w:val="auto"/>
          <w:sz w:val="21"/>
          <w:szCs w:val="21"/>
          <w:highlight w:val="none"/>
        </w:rPr>
        <w:t>地脚螺栓外露部分须加以保护，不应破坏热浸镀锌保护层。工作接地与防雷接地共用一个。基础施工完毕后，将外露部分涂上黄油保护，并用胶带绑扎</w:t>
      </w:r>
      <w:r>
        <w:rPr>
          <w:rFonts w:hint="eastAsia" w:ascii="仿宋_GB2312" w:hAnsi="Times New Roman" w:eastAsia="仿宋_GB2312" w:cs="Times New Roman"/>
          <w:color w:val="auto"/>
          <w:sz w:val="21"/>
          <w:szCs w:val="21"/>
          <w:highlight w:val="none"/>
          <w:lang w:eastAsia="zh-CN"/>
        </w:rPr>
        <w:t>。</w:t>
      </w:r>
    </w:p>
    <w:p w14:paraId="6814BF8B">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（4）</w:t>
      </w:r>
      <w:r>
        <w:rPr>
          <w:rFonts w:ascii="仿宋_GB2312" w:hAnsi="Times New Roman" w:eastAsia="仿宋_GB2312" w:cs="Times New Roman"/>
          <w:color w:val="auto"/>
          <w:sz w:val="21"/>
          <w:szCs w:val="21"/>
          <w:highlight w:val="none"/>
        </w:rPr>
        <w:t>基础附近的回填土要求密实，无下沉。</w:t>
      </w:r>
    </w:p>
    <w:p w14:paraId="1C39ECFE">
      <w:pPr>
        <w:pStyle w:val="3"/>
        <w:keepNext w:val="0"/>
        <w:keepLines w:val="0"/>
        <w:widowControl w:val="0"/>
        <w:spacing w:line="240" w:lineRule="auto"/>
        <w:rPr>
          <w:rFonts w:hint="eastAsia"/>
          <w:color w:val="auto"/>
          <w:highlight w:val="none"/>
        </w:rPr>
      </w:pPr>
      <w:r>
        <w:rPr>
          <w:rFonts w:hint="eastAsia"/>
          <w:color w:val="auto"/>
          <w:highlight w:val="none"/>
        </w:rPr>
        <w:t>五、运维服务要求</w:t>
      </w:r>
    </w:p>
    <w:p w14:paraId="0C364218">
      <w:pPr>
        <w:spacing w:line="340" w:lineRule="exact"/>
        <w:ind w:firstLine="420"/>
        <w:rPr>
          <w:rFonts w:hint="eastAsia" w:ascii="仿宋_GB2312" w:hAnsi="Times New Roman" w:eastAsia="仿宋_GB2312" w:cs="Times New Roman"/>
          <w:color w:val="auto"/>
          <w:sz w:val="21"/>
          <w:szCs w:val="21"/>
          <w:highlight w:val="none"/>
          <w:lang w:val="en-US" w:eastAsia="zh-CN"/>
        </w:rPr>
      </w:pPr>
      <w:r>
        <w:rPr>
          <w:rFonts w:hint="eastAsia" w:ascii="仿宋_GB2312" w:hAnsi="Times New Roman" w:eastAsia="仿宋_GB2312" w:cs="Times New Roman"/>
          <w:color w:val="auto"/>
          <w:sz w:val="21"/>
          <w:szCs w:val="21"/>
          <w:highlight w:val="none"/>
          <w:lang w:val="en-US" w:eastAsia="zh-CN"/>
        </w:rPr>
        <w:t>包括13个方面。</w:t>
      </w:r>
    </w:p>
    <w:p w14:paraId="100CF306">
      <w:pPr>
        <w:pStyle w:val="5"/>
        <w:keepNext w:val="0"/>
        <w:keepLines w:val="0"/>
        <w:widowControl w:val="0"/>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（一）维护期</w:t>
      </w:r>
    </w:p>
    <w:p w14:paraId="748FE972">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自验收（所有站点）通过之日起，提供</w:t>
      </w:r>
      <w:r>
        <w:rPr>
          <w:rFonts w:hint="eastAsia" w:ascii="仿宋_GB2312" w:hAnsi="Times New Roman" w:eastAsia="仿宋_GB2312" w:cs="Times New Roman"/>
          <w:color w:val="auto"/>
          <w:sz w:val="21"/>
          <w:szCs w:val="21"/>
          <w:highlight w:val="none"/>
          <w:lang w:val="en-US" w:eastAsia="zh-CN"/>
        </w:rPr>
        <w:t>3</w:t>
      </w:r>
      <w:r>
        <w:rPr>
          <w:rFonts w:hint="eastAsia" w:ascii="仿宋_GB2312" w:hAnsi="Times New Roman" w:eastAsia="仿宋_GB2312" w:cs="Times New Roman"/>
          <w:color w:val="auto"/>
          <w:sz w:val="21"/>
          <w:szCs w:val="21"/>
          <w:highlight w:val="none"/>
        </w:rPr>
        <w:t>年</w:t>
      </w:r>
      <w:r>
        <w:rPr>
          <w:rFonts w:ascii="仿宋_GB2312" w:hAnsi="Times New Roman" w:eastAsia="仿宋_GB2312" w:cs="Times New Roman"/>
          <w:color w:val="auto"/>
          <w:sz w:val="21"/>
          <w:szCs w:val="21"/>
          <w:highlight w:val="none"/>
        </w:rPr>
        <w:t>的设备维护及数据采集服务。</w:t>
      </w:r>
      <w:r>
        <w:rPr>
          <w:rFonts w:hint="eastAsia" w:ascii="仿宋_GB2312" w:hAnsi="Times New Roman" w:eastAsia="仿宋_GB2312" w:cs="Times New Roman"/>
          <w:color w:val="auto"/>
          <w:sz w:val="21"/>
          <w:szCs w:val="21"/>
          <w:highlight w:val="none"/>
        </w:rPr>
        <w:t>在设备维护期间，公路交通情况调查设备的硬件及基本软件均属于服务范围</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中标人应负责因设备和软件本身导致的各种故障的技术服务及维修</w:t>
      </w:r>
      <w:r>
        <w:rPr>
          <w:rFonts w:ascii="仿宋_GB2312" w:hAnsi="Times New Roman" w:eastAsia="仿宋_GB2312" w:cs="Times New Roman"/>
          <w:color w:val="auto"/>
          <w:sz w:val="21"/>
          <w:szCs w:val="21"/>
          <w:highlight w:val="none"/>
        </w:rPr>
        <w:t>,主机和零部件及元器件（配件）修换。</w:t>
      </w:r>
    </w:p>
    <w:p w14:paraId="0EFA8E5B">
      <w:pPr>
        <w:pStyle w:val="5"/>
        <w:keepNext w:val="0"/>
        <w:keepLines w:val="0"/>
        <w:widowControl w:val="0"/>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（二）响应时间</w:t>
      </w:r>
    </w:p>
    <w:p w14:paraId="49EE6B30">
      <w:pPr>
        <w:spacing w:line="340" w:lineRule="exact"/>
        <w:ind w:firstLine="420"/>
        <w:rPr>
          <w:rFonts w:hint="default" w:ascii="仿宋_GB2312" w:hAnsi="Times New Roman" w:eastAsia="仿宋_GB2312" w:cs="Times New Roman"/>
          <w:b/>
          <w:bCs/>
          <w:color w:val="auto"/>
          <w:sz w:val="21"/>
          <w:szCs w:val="21"/>
          <w:highlight w:val="none"/>
          <w:lang w:val="en-US" w:eastAsia="zh-CN"/>
        </w:rPr>
      </w:pPr>
      <w:r>
        <w:rPr>
          <w:rFonts w:hint="eastAsia" w:ascii="仿宋_GB2312" w:hAnsi="Times New Roman" w:eastAsia="仿宋_GB2312" w:cs="Times New Roman"/>
          <w:b/>
          <w:bCs/>
          <w:color w:val="auto"/>
          <w:sz w:val="21"/>
          <w:szCs w:val="21"/>
          <w:highlight w:val="none"/>
        </w:rPr>
        <w:t>★即时响应</w:t>
      </w:r>
      <w:r>
        <w:rPr>
          <w:rFonts w:hint="eastAsia" w:ascii="仿宋_GB2312" w:hAnsi="Times New Roman" w:eastAsia="仿宋_GB2312" w:cs="Times New Roman"/>
          <w:b/>
          <w:bCs/>
          <w:color w:val="auto"/>
          <w:sz w:val="21"/>
          <w:szCs w:val="21"/>
          <w:highlight w:val="none"/>
          <w:lang w:eastAsia="zh-CN"/>
        </w:rPr>
        <w:t>。</w:t>
      </w:r>
      <w:r>
        <w:rPr>
          <w:rFonts w:hint="eastAsia" w:ascii="仿宋_GB2312" w:hAnsi="Times New Roman" w:eastAsia="仿宋_GB2312" w:cs="Times New Roman"/>
          <w:b/>
          <w:bCs/>
          <w:color w:val="auto"/>
          <w:sz w:val="21"/>
          <w:szCs w:val="21"/>
          <w:highlight w:val="none"/>
        </w:rPr>
        <w:t>如电话响应无法解决，中标人应在8小时内赶到现场，以保证设备正常运行。在维护期内，应保证48小时内维修完毕，特殊情况下，中标人可以备用设备来满足交通量观测站点正常工作需要。</w:t>
      </w:r>
      <w:r>
        <w:rPr>
          <w:rFonts w:hint="eastAsia" w:ascii="仿宋_GB2312" w:hAnsi="Times New Roman" w:eastAsia="仿宋_GB2312" w:cs="Times New Roman"/>
          <w:b/>
          <w:bCs/>
          <w:color w:val="auto"/>
          <w:sz w:val="21"/>
          <w:szCs w:val="21"/>
          <w:highlight w:val="none"/>
          <w:lang w:eastAsia="zh-CN"/>
        </w:rPr>
        <w:t>（</w:t>
      </w:r>
      <w:r>
        <w:rPr>
          <w:rFonts w:hint="eastAsia" w:ascii="仿宋_GB2312" w:hAnsi="仿宋" w:eastAsia="仿宋_GB2312" w:cs="Times New Roman"/>
          <w:b/>
          <w:bCs/>
          <w:color w:val="auto"/>
          <w:sz w:val="21"/>
          <w:szCs w:val="21"/>
          <w:highlight w:val="none"/>
        </w:rPr>
        <w:t>出具承诺函</w:t>
      </w:r>
      <w:r>
        <w:rPr>
          <w:rFonts w:hint="eastAsia" w:ascii="仿宋_GB2312" w:hAnsi="Times New Roman" w:eastAsia="仿宋_GB2312" w:cs="Times New Roman"/>
          <w:b/>
          <w:bCs/>
          <w:color w:val="auto"/>
          <w:sz w:val="21"/>
          <w:szCs w:val="21"/>
          <w:highlight w:val="none"/>
          <w:lang w:val="en-US" w:eastAsia="zh-CN"/>
        </w:rPr>
        <w:t>）</w:t>
      </w:r>
    </w:p>
    <w:p w14:paraId="4D4E12F0">
      <w:pPr>
        <w:pStyle w:val="5"/>
        <w:keepNext w:val="0"/>
        <w:keepLines w:val="0"/>
        <w:widowControl w:val="0"/>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（三）设备运维质量及数据质量</w:t>
      </w:r>
    </w:p>
    <w:p w14:paraId="7840C048">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在维护期内</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中标人必须每半年开展一次“数据采集设备”功能质量巡检，形成巡检报告并由采购人盖章确认。“巡检报告”包括“设备运行报告”“数据质量报告”。</w:t>
      </w:r>
      <w:r>
        <w:rPr>
          <w:rFonts w:hint="eastAsia" w:ascii="仿宋_GB2312" w:hAnsi="Times New Roman" w:eastAsia="仿宋_GB2312" w:cs="Times New Roman"/>
          <w:color w:val="auto"/>
          <w:sz w:val="21"/>
          <w:szCs w:val="21"/>
          <w:highlight w:val="none"/>
          <w:lang w:val="en-US" w:eastAsia="zh-CN"/>
        </w:rPr>
        <w:t>其中，</w:t>
      </w:r>
      <w:r>
        <w:rPr>
          <w:rFonts w:hint="eastAsia" w:ascii="仿宋_GB2312" w:hAnsi="Times New Roman" w:eastAsia="仿宋_GB2312" w:cs="Times New Roman"/>
          <w:color w:val="auto"/>
          <w:sz w:val="21"/>
          <w:szCs w:val="21"/>
          <w:highlight w:val="none"/>
        </w:rPr>
        <w:t>“设备运行报告”</w:t>
      </w:r>
      <w:r>
        <w:rPr>
          <w:rFonts w:hint="eastAsia" w:ascii="仿宋_GB2312" w:hAnsi="Times New Roman" w:eastAsia="仿宋_GB2312" w:cs="Times New Roman"/>
          <w:color w:val="auto"/>
          <w:sz w:val="21"/>
          <w:szCs w:val="21"/>
          <w:highlight w:val="none"/>
          <w:lang w:val="en-US" w:eastAsia="zh-CN"/>
        </w:rPr>
        <w:t>反映</w:t>
      </w:r>
      <w:r>
        <w:rPr>
          <w:rFonts w:hint="eastAsia" w:ascii="仿宋_GB2312" w:hAnsi="Times New Roman" w:eastAsia="仿宋_GB2312" w:cs="Times New Roman"/>
          <w:color w:val="auto"/>
          <w:sz w:val="21"/>
          <w:szCs w:val="21"/>
          <w:highlight w:val="none"/>
        </w:rPr>
        <w:t>站点数据完整率、及时率、准确率，设备在线率、故障时间、故障原因、故障率等设备运行质量内容。“数据质量报告”采用视频数据与机器数据比对方式，记录视频数据人工核对的车型和流量。</w:t>
      </w:r>
    </w:p>
    <w:p w14:paraId="0D0DC2AF">
      <w:pPr>
        <w:pStyle w:val="5"/>
        <w:keepNext w:val="0"/>
        <w:keepLines w:val="0"/>
        <w:widowControl w:val="0"/>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（四）数据考核评估</w:t>
      </w:r>
    </w:p>
    <w:p w14:paraId="4A7CAC64">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由采购人进行设备运维质量及数据质量的核查评价。设备运维及数据质量标准：完整率大于或等于90%且准确率大于或等于95%</w:t>
      </w:r>
      <w:r>
        <w:rPr>
          <w:rFonts w:hint="eastAsia" w:ascii="仿宋_GB2312" w:hAnsi="Times New Roman" w:eastAsia="仿宋_GB2312" w:cs="Times New Roman"/>
          <w:color w:val="auto"/>
          <w:sz w:val="21"/>
          <w:szCs w:val="21"/>
          <w:highlight w:val="none"/>
          <w:lang w:eastAsia="zh-CN"/>
        </w:rPr>
        <w:t>和</w:t>
      </w:r>
      <w:r>
        <w:rPr>
          <w:rFonts w:hint="eastAsia" w:ascii="仿宋_GB2312" w:hAnsi="Times New Roman" w:eastAsia="仿宋_GB2312" w:cs="Times New Roman"/>
          <w:color w:val="auto"/>
          <w:sz w:val="21"/>
          <w:szCs w:val="21"/>
          <w:highlight w:val="none"/>
        </w:rPr>
        <w:t>及时率大于或等于80%时</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为</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优秀</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；当完整率、及时率都大于或等于90%且准确率大于或等于95%为</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合格</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；其它情况为</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不合格</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。数据完整性标准：广东省公路交通情况调查系统数据完整性审查，月度数据上报断面数据需达到98%及以上。</w:t>
      </w:r>
    </w:p>
    <w:p w14:paraId="28CBC15F">
      <w:pPr>
        <w:spacing w:line="340" w:lineRule="exact"/>
        <w:ind w:firstLine="422"/>
        <w:rPr>
          <w:rFonts w:ascii="仿宋_GB2312" w:hAnsi="Times New Roman" w:eastAsia="仿宋_GB2312" w:cs="Times New Roman"/>
          <w:b/>
          <w:bCs/>
          <w:color w:val="auto"/>
          <w:sz w:val="21"/>
          <w:szCs w:val="21"/>
          <w:highlight w:val="none"/>
        </w:rPr>
      </w:pPr>
      <w:r>
        <w:rPr>
          <w:rFonts w:hint="eastAsia" w:ascii="仿宋_GB2312" w:hAnsi="Times New Roman" w:eastAsia="仿宋_GB2312" w:cs="Times New Roman"/>
          <w:b/>
          <w:bCs/>
          <w:color w:val="auto"/>
          <w:sz w:val="21"/>
          <w:szCs w:val="21"/>
          <w:highlight w:val="none"/>
        </w:rPr>
        <w:t>★中标人需按管理流程完成《广东省公路交通情况调查子系统》服务商账号注册，每次巡检记录（含“设备运行报告”和“数据质量报告”）上传至《广东省公路交通情况调查子系统》。（</w:t>
      </w:r>
      <w:r>
        <w:rPr>
          <w:rFonts w:hint="eastAsia" w:ascii="仿宋_GB2312" w:hAnsi="仿宋" w:eastAsia="仿宋_GB2312" w:cs="Times New Roman"/>
          <w:b/>
          <w:bCs/>
          <w:color w:val="auto"/>
          <w:sz w:val="21"/>
          <w:szCs w:val="21"/>
          <w:highlight w:val="none"/>
        </w:rPr>
        <w:t>出具承诺函</w:t>
      </w:r>
      <w:r>
        <w:rPr>
          <w:rFonts w:hint="eastAsia" w:ascii="仿宋_GB2312" w:hAnsi="Times New Roman" w:eastAsia="仿宋_GB2312" w:cs="Times New Roman"/>
          <w:b/>
          <w:bCs/>
          <w:color w:val="auto"/>
          <w:sz w:val="21"/>
          <w:szCs w:val="21"/>
          <w:highlight w:val="none"/>
        </w:rPr>
        <w:t>）</w:t>
      </w:r>
    </w:p>
    <w:p w14:paraId="119D2A20">
      <w:pPr>
        <w:spacing w:line="340" w:lineRule="exact"/>
        <w:ind w:firstLine="422"/>
        <w:rPr>
          <w:rFonts w:ascii="仿宋_GB2312" w:hAnsi="Times New Roman" w:eastAsia="仿宋_GB2312" w:cs="Times New Roman"/>
          <w:b/>
          <w:bCs/>
          <w:color w:val="auto"/>
          <w:sz w:val="21"/>
          <w:szCs w:val="21"/>
          <w:highlight w:val="none"/>
        </w:rPr>
      </w:pPr>
      <w:r>
        <w:rPr>
          <w:rFonts w:hint="eastAsia" w:ascii="仿宋_GB2312" w:hAnsi="Times New Roman" w:eastAsia="仿宋_GB2312" w:cs="Times New Roman"/>
          <w:b/>
          <w:bCs/>
          <w:color w:val="auto"/>
          <w:sz w:val="21"/>
          <w:szCs w:val="21"/>
          <w:highlight w:val="none"/>
        </w:rPr>
        <w:t>★维护期内，中标人未按要求巡检及提交经采购人或项目管理单位确认的“设备运行报告”和“数据质量报告”，每缺少一份按合同总金额1‰予以罚款。（</w:t>
      </w:r>
      <w:r>
        <w:rPr>
          <w:rFonts w:hint="eastAsia" w:ascii="仿宋_GB2312" w:hAnsi="仿宋" w:eastAsia="仿宋_GB2312" w:cs="Times New Roman"/>
          <w:b/>
          <w:bCs/>
          <w:color w:val="auto"/>
          <w:sz w:val="21"/>
          <w:szCs w:val="21"/>
          <w:highlight w:val="none"/>
        </w:rPr>
        <w:t>出具承诺函</w:t>
      </w:r>
      <w:r>
        <w:rPr>
          <w:rFonts w:hint="eastAsia" w:ascii="仿宋_GB2312" w:hAnsi="Times New Roman" w:eastAsia="仿宋_GB2312" w:cs="Times New Roman"/>
          <w:b/>
          <w:bCs/>
          <w:color w:val="auto"/>
          <w:sz w:val="21"/>
          <w:szCs w:val="21"/>
          <w:highlight w:val="none"/>
        </w:rPr>
        <w:t>）</w:t>
      </w:r>
    </w:p>
    <w:p w14:paraId="066E43C2">
      <w:pPr>
        <w:pStyle w:val="5"/>
        <w:keepNext w:val="0"/>
        <w:keepLines w:val="0"/>
        <w:widowControl w:val="0"/>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（五）运行维护服务对象</w:t>
      </w:r>
    </w:p>
    <w:p w14:paraId="18D7736A">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包括：交调采集设备、卡口抓拍及配套设备、气象传感器、立杆基础、工装配件、供电、网络等相关硬件及软件，以及交调数据采集及传输。</w:t>
      </w:r>
    </w:p>
    <w:p w14:paraId="724C42FD">
      <w:pPr>
        <w:pStyle w:val="5"/>
        <w:keepNext w:val="0"/>
        <w:keepLines w:val="0"/>
        <w:widowControl w:val="0"/>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（六）运维内容</w:t>
      </w:r>
    </w:p>
    <w:p w14:paraId="230B4061">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主要包括：交调采集设备的日常运行状态监控、外场巡检、配件维修、供电及网络的运行保障</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《广东省公路交通情况调查子系统》数据的完整性和精度。</w:t>
      </w:r>
    </w:p>
    <w:p w14:paraId="2D068ACE">
      <w:pPr>
        <w:pStyle w:val="5"/>
        <w:keepNext w:val="0"/>
        <w:keepLines w:val="0"/>
        <w:widowControl w:val="0"/>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（七）现场巡检内容</w:t>
      </w:r>
    </w:p>
    <w:p w14:paraId="5FBC6DBC">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1.采集设备外观和支架检查，内外清洁，检查有无锈蚀并</w:t>
      </w:r>
      <w:r>
        <w:rPr>
          <w:rFonts w:hint="eastAsia" w:ascii="仿宋_GB2312" w:hAnsi="Times New Roman" w:eastAsia="仿宋_GB2312" w:cs="Times New Roman"/>
          <w:color w:val="auto"/>
          <w:sz w:val="21"/>
          <w:szCs w:val="21"/>
          <w:highlight w:val="none"/>
          <w:lang w:val="en-US" w:eastAsia="zh-CN"/>
        </w:rPr>
        <w:t>完成</w:t>
      </w:r>
      <w:r>
        <w:rPr>
          <w:rFonts w:hint="eastAsia" w:ascii="仿宋_GB2312" w:hAnsi="Times New Roman" w:eastAsia="仿宋_GB2312" w:cs="Times New Roman"/>
          <w:color w:val="auto"/>
          <w:sz w:val="21"/>
          <w:szCs w:val="21"/>
          <w:highlight w:val="none"/>
        </w:rPr>
        <w:t>除锈处理，防腐漆是否脱层、戳穿、损坏和永久变形，并做防腐处理；各类设备外壳是否漏电</w:t>
      </w:r>
      <w:r>
        <w:rPr>
          <w:rFonts w:hint="eastAsia" w:ascii="仿宋_GB2312" w:hAnsi="Times New Roman" w:eastAsia="仿宋_GB2312" w:cs="Times New Roman"/>
          <w:color w:val="auto"/>
          <w:sz w:val="21"/>
          <w:szCs w:val="21"/>
          <w:highlight w:val="none"/>
          <w:lang w:eastAsia="zh-CN"/>
        </w:rPr>
        <w:t>。</w:t>
      </w:r>
    </w:p>
    <w:p w14:paraId="0AAF8B52">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2.机箱锁是否损坏；箱底出电缆口是否有密封到位，密封如有破损或老化，需进行修复</w:t>
      </w:r>
      <w:r>
        <w:rPr>
          <w:rFonts w:hint="eastAsia" w:ascii="仿宋_GB2312" w:hAnsi="Times New Roman" w:eastAsia="仿宋_GB2312" w:cs="Times New Roman"/>
          <w:color w:val="auto"/>
          <w:sz w:val="21"/>
          <w:szCs w:val="21"/>
          <w:highlight w:val="none"/>
          <w:lang w:eastAsia="zh-CN"/>
        </w:rPr>
        <w:t>。</w:t>
      </w:r>
    </w:p>
    <w:p w14:paraId="63CDC5D4">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3.各类配线绑扎牢靠、美观；线路表层无裸露、破裂情况</w:t>
      </w:r>
      <w:r>
        <w:rPr>
          <w:rFonts w:hint="eastAsia" w:ascii="仿宋_GB2312" w:hAnsi="Times New Roman" w:eastAsia="仿宋_GB2312" w:cs="Times New Roman"/>
          <w:color w:val="auto"/>
          <w:sz w:val="21"/>
          <w:szCs w:val="21"/>
          <w:highlight w:val="none"/>
          <w:lang w:eastAsia="zh-CN"/>
        </w:rPr>
        <w:t>。</w:t>
      </w:r>
    </w:p>
    <w:p w14:paraId="500FC6D6">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4.摄像机镜片擦拭和清洁处理，图像显示清晰</w:t>
      </w:r>
      <w:r>
        <w:rPr>
          <w:rFonts w:hint="eastAsia" w:ascii="仿宋_GB2312" w:hAnsi="Times New Roman" w:eastAsia="仿宋_GB2312" w:cs="Times New Roman"/>
          <w:color w:val="auto"/>
          <w:sz w:val="21"/>
          <w:szCs w:val="21"/>
          <w:highlight w:val="none"/>
          <w:lang w:eastAsia="zh-CN"/>
        </w:rPr>
        <w:t>。</w:t>
      </w:r>
    </w:p>
    <w:p w14:paraId="772DBA64">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5.数据线和电源线绑扎、防护牢靠，无外漏</w:t>
      </w:r>
      <w:r>
        <w:rPr>
          <w:rFonts w:hint="eastAsia" w:ascii="仿宋_GB2312" w:hAnsi="Times New Roman" w:eastAsia="仿宋_GB2312" w:cs="Times New Roman"/>
          <w:color w:val="auto"/>
          <w:sz w:val="21"/>
          <w:szCs w:val="21"/>
          <w:highlight w:val="none"/>
          <w:lang w:eastAsia="zh-CN"/>
        </w:rPr>
        <w:t>。</w:t>
      </w:r>
    </w:p>
    <w:p w14:paraId="26726F1C">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6.检查监控杆或龙门架基础有无变化，基础是否牢靠，有无开裂和错位</w:t>
      </w:r>
      <w:r>
        <w:rPr>
          <w:rFonts w:hint="eastAsia" w:ascii="仿宋_GB2312" w:hAnsi="Times New Roman" w:eastAsia="仿宋_GB2312" w:cs="Times New Roman"/>
          <w:color w:val="auto"/>
          <w:sz w:val="21"/>
          <w:szCs w:val="21"/>
          <w:highlight w:val="none"/>
          <w:lang w:eastAsia="zh-CN"/>
        </w:rPr>
        <w:t>。</w:t>
      </w:r>
    </w:p>
    <w:p w14:paraId="0EBACAB0">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7.杆体有无倾斜和破损，底部法兰固定螺丝是否紧固</w:t>
      </w:r>
      <w:r>
        <w:rPr>
          <w:rFonts w:hint="eastAsia" w:ascii="仿宋_GB2312" w:hAnsi="Times New Roman" w:eastAsia="仿宋_GB2312" w:cs="Times New Roman"/>
          <w:color w:val="auto"/>
          <w:sz w:val="21"/>
          <w:szCs w:val="21"/>
          <w:highlight w:val="none"/>
          <w:lang w:eastAsia="zh-CN"/>
        </w:rPr>
        <w:t>。</w:t>
      </w:r>
    </w:p>
    <w:p w14:paraId="0FF3ADE7">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8.各杆件、中间件、连接件、螺丝进行紧固</w:t>
      </w:r>
      <w:r>
        <w:rPr>
          <w:rFonts w:hint="eastAsia" w:ascii="仿宋_GB2312" w:hAnsi="Times New Roman" w:eastAsia="仿宋_GB2312" w:cs="Times New Roman"/>
          <w:color w:val="auto"/>
          <w:sz w:val="21"/>
          <w:szCs w:val="21"/>
          <w:highlight w:val="none"/>
          <w:lang w:eastAsia="zh-CN"/>
        </w:rPr>
        <w:t>。</w:t>
      </w:r>
    </w:p>
    <w:p w14:paraId="7CD0DB18">
      <w:pPr>
        <w:spacing w:line="340" w:lineRule="exact"/>
        <w:ind w:firstLine="420"/>
        <w:rPr>
          <w:rFonts w:hint="eastAsia"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9.数据采集设备、气象传感器无遮挡。</w:t>
      </w:r>
    </w:p>
    <w:p w14:paraId="63F93A81">
      <w:pPr>
        <w:spacing w:line="340" w:lineRule="exact"/>
        <w:ind w:firstLine="420"/>
        <w:rPr>
          <w:rFonts w:hint="default" w:ascii="仿宋_GB2312" w:hAnsi="Times New Roman" w:eastAsia="仿宋_GB2312" w:cs="Times New Roman"/>
          <w:color w:val="auto"/>
          <w:sz w:val="21"/>
          <w:szCs w:val="21"/>
          <w:highlight w:val="none"/>
          <w:lang w:val="en-US" w:eastAsia="zh-CN"/>
        </w:rPr>
      </w:pPr>
      <w:r>
        <w:rPr>
          <w:rFonts w:hint="eastAsia" w:ascii="仿宋_GB2312" w:hAnsi="Times New Roman" w:eastAsia="仿宋_GB2312" w:cs="Times New Roman"/>
          <w:color w:val="auto"/>
          <w:sz w:val="21"/>
          <w:szCs w:val="21"/>
          <w:highlight w:val="none"/>
          <w:lang w:val="en-US" w:eastAsia="zh-CN"/>
        </w:rPr>
        <w:t>10.</w:t>
      </w:r>
      <w:r>
        <w:rPr>
          <w:rFonts w:hint="eastAsia" w:ascii="仿宋_GB2312" w:hAnsi="Times New Roman" w:eastAsia="仿宋_GB2312" w:cs="Times New Roman"/>
          <w:color w:val="auto"/>
          <w:sz w:val="21"/>
          <w:szCs w:val="21"/>
          <w:highlight w:val="none"/>
        </w:rPr>
        <w:t>现场巡检应按照以下1</w:t>
      </w:r>
      <w:r>
        <w:rPr>
          <w:rFonts w:hint="eastAsia" w:ascii="仿宋_GB2312" w:hAnsi="Times New Roman" w:eastAsia="仿宋_GB2312" w:cs="Times New Roman"/>
          <w:color w:val="auto"/>
          <w:sz w:val="21"/>
          <w:szCs w:val="21"/>
          <w:highlight w:val="none"/>
          <w:lang w:val="en-US" w:eastAsia="zh-CN"/>
        </w:rPr>
        <w:t>6</w:t>
      </w:r>
      <w:r>
        <w:rPr>
          <w:rFonts w:hint="eastAsia" w:ascii="仿宋_GB2312" w:hAnsi="Times New Roman" w:eastAsia="仿宋_GB2312" w:cs="Times New Roman"/>
          <w:color w:val="auto"/>
          <w:sz w:val="21"/>
          <w:szCs w:val="21"/>
          <w:highlight w:val="none"/>
        </w:rPr>
        <w:t>项检查，</w:t>
      </w:r>
      <w:r>
        <w:rPr>
          <w:rFonts w:hint="eastAsia" w:ascii="仿宋_GB2312" w:hAnsi="Times New Roman" w:eastAsia="仿宋_GB2312" w:cs="Times New Roman"/>
          <w:color w:val="auto"/>
          <w:sz w:val="21"/>
          <w:szCs w:val="21"/>
          <w:highlight w:val="none"/>
          <w:lang w:val="en-US" w:eastAsia="zh-CN"/>
        </w:rPr>
        <w:t>应</w:t>
      </w:r>
      <w:r>
        <w:rPr>
          <w:rFonts w:hint="eastAsia" w:ascii="仿宋_GB2312" w:hAnsi="Times New Roman" w:eastAsia="仿宋_GB2312" w:cs="Times New Roman"/>
          <w:color w:val="auto"/>
          <w:sz w:val="21"/>
          <w:szCs w:val="21"/>
          <w:highlight w:val="none"/>
        </w:rPr>
        <w:t>用今日水印相机，按单项拍摄照片并上传《广东省公路交通情况调查子系统》</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lang w:val="en-US" w:eastAsia="zh-CN"/>
        </w:rPr>
        <w:t>详见表20。</w:t>
      </w:r>
    </w:p>
    <w:p w14:paraId="2CF6544D">
      <w:pPr>
        <w:spacing w:line="340" w:lineRule="exact"/>
        <w:ind w:firstLine="0" w:firstLineChars="0"/>
        <w:jc w:val="center"/>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b/>
          <w:bCs/>
          <w:color w:val="auto"/>
          <w:sz w:val="24"/>
          <w:szCs w:val="24"/>
          <w:highlight w:val="none"/>
        </w:rPr>
        <w:t>表</w:t>
      </w:r>
      <w:r>
        <w:rPr>
          <w:rFonts w:hint="eastAsia" w:ascii="楷体_GB2312" w:hAnsi="楷体_GB2312" w:eastAsia="楷体_GB2312" w:cs="楷体_GB2312"/>
          <w:b/>
          <w:bCs/>
          <w:color w:val="auto"/>
          <w:sz w:val="24"/>
          <w:szCs w:val="24"/>
          <w:highlight w:val="none"/>
          <w:lang w:val="en-US" w:eastAsia="zh-CN"/>
        </w:rPr>
        <w:t>20</w:t>
      </w:r>
      <w:r>
        <w:rPr>
          <w:rFonts w:hint="eastAsia" w:ascii="楷体_GB2312" w:hAnsi="楷体_GB2312" w:eastAsia="楷体_GB2312" w:cs="楷体_GB2312"/>
          <w:b/>
          <w:bCs/>
          <w:color w:val="auto"/>
          <w:sz w:val="24"/>
          <w:szCs w:val="24"/>
          <w:highlight w:val="none"/>
        </w:rPr>
        <w:t xml:space="preserve">  交通调查站点巡检项目表</w:t>
      </w:r>
    </w:p>
    <w:tbl>
      <w:tblPr>
        <w:tblStyle w:val="11"/>
        <w:tblW w:w="5144" w:type="pct"/>
        <w:jc w:val="center"/>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721"/>
        <w:gridCol w:w="1685"/>
        <w:gridCol w:w="4220"/>
        <w:gridCol w:w="1779"/>
      </w:tblGrid>
      <w:tr w14:paraId="7EE47170">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633" w:hRule="atLeast"/>
          <w:tblHeader/>
          <w:jc w:val="center"/>
        </w:trPr>
        <w:tc>
          <w:tcPr>
            <w:tcW w:w="344" w:type="pct"/>
            <w:tcBorders>
              <w:top w:val="single" w:color="auto" w:sz="12" w:space="0"/>
              <w:left w:val="single" w:color="auto" w:sz="12" w:space="0"/>
              <w:bottom w:val="double" w:color="auto" w:sz="4" w:space="0"/>
            </w:tcBorders>
            <w:tcMar>
              <w:top w:w="0" w:type="dxa"/>
              <w:left w:w="105" w:type="dxa"/>
              <w:bottom w:w="0" w:type="dxa"/>
              <w:right w:w="105" w:type="dxa"/>
            </w:tcMar>
            <w:vAlign w:val="center"/>
          </w:tcPr>
          <w:p w14:paraId="339CFCC5">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序号</w:t>
            </w:r>
          </w:p>
        </w:tc>
        <w:tc>
          <w:tcPr>
            <w:tcW w:w="1332" w:type="pct"/>
            <w:gridSpan w:val="2"/>
            <w:tcBorders>
              <w:top w:val="single" w:color="auto" w:sz="12" w:space="0"/>
              <w:bottom w:val="double" w:color="auto" w:sz="4" w:space="0"/>
            </w:tcBorders>
            <w:tcMar>
              <w:top w:w="0" w:type="dxa"/>
              <w:left w:w="105" w:type="dxa"/>
              <w:bottom w:w="0" w:type="dxa"/>
              <w:right w:w="105" w:type="dxa"/>
            </w:tcMar>
            <w:vAlign w:val="center"/>
          </w:tcPr>
          <w:p w14:paraId="4574724A">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检查项</w:t>
            </w:r>
          </w:p>
        </w:tc>
        <w:tc>
          <w:tcPr>
            <w:tcW w:w="2337" w:type="pct"/>
            <w:tcBorders>
              <w:top w:val="single" w:color="auto" w:sz="12" w:space="0"/>
              <w:bottom w:val="double" w:color="auto" w:sz="4" w:space="0"/>
              <w:right w:val="single" w:color="auto" w:sz="4" w:space="0"/>
            </w:tcBorders>
            <w:tcMar>
              <w:top w:w="0" w:type="dxa"/>
              <w:left w:w="105" w:type="dxa"/>
              <w:bottom w:w="0" w:type="dxa"/>
              <w:right w:w="105" w:type="dxa"/>
            </w:tcMar>
            <w:vAlign w:val="center"/>
          </w:tcPr>
          <w:p w14:paraId="350A5802">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检查内容</w:t>
            </w:r>
          </w:p>
        </w:tc>
        <w:tc>
          <w:tcPr>
            <w:tcW w:w="985" w:type="pct"/>
            <w:tcBorders>
              <w:top w:val="single" w:color="auto" w:sz="12" w:space="0"/>
              <w:bottom w:val="double" w:color="auto" w:sz="4" w:space="0"/>
              <w:right w:val="single" w:color="auto" w:sz="12" w:space="0"/>
            </w:tcBorders>
            <w:tcMar>
              <w:top w:w="0" w:type="dxa"/>
              <w:left w:w="105" w:type="dxa"/>
              <w:bottom w:w="0" w:type="dxa"/>
              <w:right w:w="105" w:type="dxa"/>
            </w:tcMar>
            <w:vAlign w:val="center"/>
          </w:tcPr>
          <w:p w14:paraId="17F59FBE">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完成情况</w:t>
            </w:r>
          </w:p>
        </w:tc>
      </w:tr>
      <w:tr w14:paraId="61769B36">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44" w:type="pct"/>
            <w:tcBorders>
              <w:top w:val="double" w:color="auto" w:sz="4" w:space="0"/>
              <w:left w:val="single" w:color="auto" w:sz="12" w:space="0"/>
            </w:tcBorders>
            <w:tcMar>
              <w:top w:w="0" w:type="dxa"/>
              <w:left w:w="105" w:type="dxa"/>
              <w:bottom w:w="0" w:type="dxa"/>
              <w:right w:w="105" w:type="dxa"/>
            </w:tcMar>
            <w:vAlign w:val="center"/>
          </w:tcPr>
          <w:p w14:paraId="3A4D5D82">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399" w:type="pct"/>
            <w:vMerge w:val="restart"/>
            <w:tcBorders>
              <w:top w:val="double" w:color="auto" w:sz="4" w:space="0"/>
            </w:tcBorders>
            <w:tcMar>
              <w:top w:w="0" w:type="dxa"/>
              <w:left w:w="105" w:type="dxa"/>
              <w:bottom w:w="0" w:type="dxa"/>
              <w:right w:w="105" w:type="dxa"/>
            </w:tcMar>
            <w:vAlign w:val="center"/>
          </w:tcPr>
          <w:p w14:paraId="2E5EA8AF">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采集</w:t>
            </w:r>
          </w:p>
          <w:p w14:paraId="55A9C79C">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设备</w:t>
            </w:r>
          </w:p>
        </w:tc>
        <w:tc>
          <w:tcPr>
            <w:tcW w:w="933" w:type="pct"/>
            <w:tcBorders>
              <w:top w:val="double" w:color="auto" w:sz="4" w:space="0"/>
            </w:tcBorders>
            <w:tcMar>
              <w:top w:w="0" w:type="dxa"/>
              <w:left w:w="105" w:type="dxa"/>
              <w:bottom w:w="0" w:type="dxa"/>
              <w:right w:w="105" w:type="dxa"/>
            </w:tcMar>
            <w:vAlign w:val="center"/>
          </w:tcPr>
          <w:p w14:paraId="28048F19">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设备外观及支架</w:t>
            </w:r>
          </w:p>
        </w:tc>
        <w:tc>
          <w:tcPr>
            <w:tcW w:w="2337" w:type="pct"/>
            <w:tcBorders>
              <w:top w:val="double" w:color="auto" w:sz="4" w:space="0"/>
              <w:right w:val="single" w:color="auto" w:sz="4" w:space="0"/>
            </w:tcBorders>
            <w:tcMar>
              <w:top w:w="0" w:type="dxa"/>
              <w:left w:w="105" w:type="dxa"/>
              <w:bottom w:w="0" w:type="dxa"/>
              <w:right w:w="105" w:type="dxa"/>
            </w:tcMar>
            <w:vAlign w:val="center"/>
          </w:tcPr>
          <w:p w14:paraId="644EF245">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检查有无锈蚀，并实行除锈处理</w:t>
            </w:r>
          </w:p>
        </w:tc>
        <w:tc>
          <w:tcPr>
            <w:tcW w:w="985" w:type="pct"/>
            <w:vMerge w:val="restart"/>
            <w:tcBorders>
              <w:top w:val="double" w:color="auto" w:sz="4" w:space="0"/>
              <w:right w:val="single" w:color="auto" w:sz="12" w:space="0"/>
            </w:tcBorders>
            <w:tcMar>
              <w:top w:w="0" w:type="dxa"/>
              <w:left w:w="105" w:type="dxa"/>
              <w:bottom w:w="0" w:type="dxa"/>
              <w:right w:w="105" w:type="dxa"/>
            </w:tcMar>
            <w:vAlign w:val="center"/>
          </w:tcPr>
          <w:p w14:paraId="208DEDC5">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采集设备无锈蚀及遮挡，图像显示清晰</w:t>
            </w:r>
          </w:p>
        </w:tc>
      </w:tr>
      <w:tr w14:paraId="2EFC7D78">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44" w:type="pct"/>
            <w:tcBorders>
              <w:left w:val="single" w:color="auto" w:sz="12" w:space="0"/>
            </w:tcBorders>
            <w:tcMar>
              <w:top w:w="0" w:type="dxa"/>
              <w:left w:w="105" w:type="dxa"/>
              <w:bottom w:w="0" w:type="dxa"/>
              <w:right w:w="105" w:type="dxa"/>
            </w:tcMar>
            <w:vAlign w:val="center"/>
          </w:tcPr>
          <w:p w14:paraId="360C2120">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p>
        </w:tc>
        <w:tc>
          <w:tcPr>
            <w:tcW w:w="399" w:type="pct"/>
            <w:vMerge w:val="continue"/>
            <w:vAlign w:val="center"/>
          </w:tcPr>
          <w:p w14:paraId="3090ED2A">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933" w:type="pct"/>
            <w:tcMar>
              <w:top w:w="0" w:type="dxa"/>
              <w:left w:w="105" w:type="dxa"/>
              <w:bottom w:w="0" w:type="dxa"/>
              <w:right w:w="105" w:type="dxa"/>
            </w:tcMar>
            <w:vAlign w:val="center"/>
          </w:tcPr>
          <w:p w14:paraId="565B6DE3">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枪型视频设备、</w:t>
            </w:r>
            <w:r>
              <w:rPr>
                <w:rFonts w:hint="eastAsia" w:ascii="仿宋_GB2312" w:hAnsi="仿宋" w:eastAsia="仿宋_GB2312" w:cs="Times New Roman"/>
                <w:color w:val="auto"/>
                <w:sz w:val="21"/>
                <w:szCs w:val="21"/>
                <w:highlight w:val="none"/>
              </w:rPr>
              <w:t>卡口抓拍摄像机</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监控球型摄像机</w:t>
            </w:r>
          </w:p>
        </w:tc>
        <w:tc>
          <w:tcPr>
            <w:tcW w:w="2337" w:type="pct"/>
            <w:tcBorders>
              <w:right w:val="single" w:color="auto" w:sz="4" w:space="0"/>
            </w:tcBorders>
            <w:tcMar>
              <w:top w:w="0" w:type="dxa"/>
              <w:left w:w="105" w:type="dxa"/>
              <w:bottom w:w="0" w:type="dxa"/>
              <w:right w:w="105" w:type="dxa"/>
            </w:tcMar>
            <w:vAlign w:val="center"/>
          </w:tcPr>
          <w:p w14:paraId="55536868">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摄像机镜片擦拭和清洁处理，图像显示清晰</w:t>
            </w:r>
          </w:p>
        </w:tc>
        <w:tc>
          <w:tcPr>
            <w:tcW w:w="985" w:type="pct"/>
            <w:vMerge w:val="continue"/>
            <w:tcBorders>
              <w:right w:val="single" w:color="auto" w:sz="12" w:space="0"/>
            </w:tcBorders>
            <w:tcMar>
              <w:top w:w="0" w:type="dxa"/>
              <w:left w:w="105" w:type="dxa"/>
              <w:bottom w:w="0" w:type="dxa"/>
              <w:right w:w="105" w:type="dxa"/>
            </w:tcMar>
            <w:vAlign w:val="center"/>
          </w:tcPr>
          <w:p w14:paraId="769703EC">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p>
        </w:tc>
      </w:tr>
      <w:tr w14:paraId="7A21D911">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44" w:type="pct"/>
            <w:tcBorders>
              <w:left w:val="single" w:color="auto" w:sz="12" w:space="0"/>
            </w:tcBorders>
            <w:tcMar>
              <w:top w:w="0" w:type="dxa"/>
              <w:left w:w="105" w:type="dxa"/>
              <w:bottom w:w="0" w:type="dxa"/>
              <w:right w:w="105" w:type="dxa"/>
            </w:tcMar>
            <w:vAlign w:val="center"/>
          </w:tcPr>
          <w:p w14:paraId="742EF2F8">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w:t>
            </w:r>
          </w:p>
        </w:tc>
        <w:tc>
          <w:tcPr>
            <w:tcW w:w="399" w:type="pct"/>
            <w:vMerge w:val="continue"/>
            <w:vAlign w:val="center"/>
          </w:tcPr>
          <w:p w14:paraId="74463E3F">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933" w:type="pct"/>
            <w:tcMar>
              <w:top w:w="0" w:type="dxa"/>
              <w:left w:w="105" w:type="dxa"/>
              <w:bottom w:w="0" w:type="dxa"/>
              <w:right w:w="105" w:type="dxa"/>
            </w:tcMar>
            <w:vAlign w:val="center"/>
          </w:tcPr>
          <w:p w14:paraId="28EE1D7B">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激光采集传感器</w:t>
            </w:r>
          </w:p>
        </w:tc>
        <w:tc>
          <w:tcPr>
            <w:tcW w:w="2337" w:type="pct"/>
            <w:tcBorders>
              <w:right w:val="single" w:color="auto" w:sz="4" w:space="0"/>
            </w:tcBorders>
            <w:tcMar>
              <w:top w:w="0" w:type="dxa"/>
              <w:left w:w="105" w:type="dxa"/>
              <w:bottom w:w="0" w:type="dxa"/>
              <w:right w:w="105" w:type="dxa"/>
            </w:tcMar>
            <w:vAlign w:val="center"/>
          </w:tcPr>
          <w:p w14:paraId="5AC85187">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扫描区域有无遮挡,如有积灰、蜘蛛网等异物遮挡，需清理</w:t>
            </w:r>
          </w:p>
        </w:tc>
        <w:tc>
          <w:tcPr>
            <w:tcW w:w="985" w:type="pct"/>
            <w:vMerge w:val="continue"/>
            <w:tcBorders>
              <w:right w:val="single" w:color="auto" w:sz="12" w:space="0"/>
            </w:tcBorders>
            <w:tcMar>
              <w:top w:w="0" w:type="dxa"/>
              <w:left w:w="105" w:type="dxa"/>
              <w:bottom w:w="0" w:type="dxa"/>
              <w:right w:w="105" w:type="dxa"/>
            </w:tcMar>
            <w:vAlign w:val="center"/>
          </w:tcPr>
          <w:p w14:paraId="402A311A">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p>
        </w:tc>
      </w:tr>
      <w:tr w14:paraId="251F58E8">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44" w:type="pct"/>
            <w:tcBorders>
              <w:left w:val="single" w:color="auto" w:sz="12" w:space="0"/>
            </w:tcBorders>
            <w:tcMar>
              <w:top w:w="0" w:type="dxa"/>
              <w:left w:w="105" w:type="dxa"/>
              <w:bottom w:w="0" w:type="dxa"/>
              <w:right w:w="105" w:type="dxa"/>
            </w:tcMar>
            <w:vAlign w:val="center"/>
          </w:tcPr>
          <w:p w14:paraId="22F7673C">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w:t>
            </w:r>
          </w:p>
        </w:tc>
        <w:tc>
          <w:tcPr>
            <w:tcW w:w="399" w:type="pct"/>
            <w:vMerge w:val="continue"/>
            <w:vAlign w:val="center"/>
          </w:tcPr>
          <w:p w14:paraId="5924905A">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933" w:type="pct"/>
            <w:tcMar>
              <w:top w:w="0" w:type="dxa"/>
              <w:left w:w="105" w:type="dxa"/>
              <w:bottom w:w="0" w:type="dxa"/>
              <w:right w:w="105" w:type="dxa"/>
            </w:tcMar>
            <w:vAlign w:val="center"/>
          </w:tcPr>
          <w:p w14:paraId="0E31DFA8">
            <w:pPr>
              <w:adjustRightInd/>
              <w:snapToGrid/>
              <w:spacing w:line="240" w:lineRule="exact"/>
              <w:ind w:firstLine="0" w:firstLineChars="0"/>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 w:eastAsia="仿宋_GB2312" w:cs="Times New Roman"/>
                <w:color w:val="auto"/>
                <w:sz w:val="21"/>
                <w:szCs w:val="21"/>
                <w:highlight w:val="none"/>
              </w:rPr>
              <w:t>一体化补光灯</w:t>
            </w:r>
          </w:p>
        </w:tc>
        <w:tc>
          <w:tcPr>
            <w:tcW w:w="2337" w:type="pct"/>
            <w:tcBorders>
              <w:right w:val="single" w:color="auto" w:sz="4" w:space="0"/>
            </w:tcBorders>
            <w:tcMar>
              <w:top w:w="0" w:type="dxa"/>
              <w:left w:w="105" w:type="dxa"/>
              <w:bottom w:w="0" w:type="dxa"/>
              <w:right w:w="105" w:type="dxa"/>
            </w:tcMar>
            <w:vAlign w:val="center"/>
          </w:tcPr>
          <w:p w14:paraId="07C65DBB">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清洁灯罩、镜片</w:t>
            </w:r>
          </w:p>
        </w:tc>
        <w:tc>
          <w:tcPr>
            <w:tcW w:w="985" w:type="pct"/>
            <w:vMerge w:val="continue"/>
            <w:tcBorders>
              <w:right w:val="single" w:color="auto" w:sz="12" w:space="0"/>
            </w:tcBorders>
            <w:tcMar>
              <w:top w:w="0" w:type="dxa"/>
              <w:left w:w="105" w:type="dxa"/>
              <w:bottom w:w="0" w:type="dxa"/>
              <w:right w:w="105" w:type="dxa"/>
            </w:tcMar>
            <w:vAlign w:val="center"/>
          </w:tcPr>
          <w:p w14:paraId="13D29154">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p>
        </w:tc>
      </w:tr>
      <w:tr w14:paraId="33688096">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44" w:type="pct"/>
            <w:tcBorders>
              <w:left w:val="single" w:color="auto" w:sz="12" w:space="0"/>
            </w:tcBorders>
            <w:tcMar>
              <w:top w:w="0" w:type="dxa"/>
              <w:left w:w="105" w:type="dxa"/>
              <w:bottom w:w="0" w:type="dxa"/>
              <w:right w:w="105" w:type="dxa"/>
            </w:tcMar>
            <w:vAlign w:val="center"/>
          </w:tcPr>
          <w:p w14:paraId="25D1265A">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p>
        </w:tc>
        <w:tc>
          <w:tcPr>
            <w:tcW w:w="399" w:type="pct"/>
            <w:vMerge w:val="continue"/>
            <w:vAlign w:val="center"/>
          </w:tcPr>
          <w:p w14:paraId="79B819B1">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933" w:type="pct"/>
            <w:tcMar>
              <w:top w:w="0" w:type="dxa"/>
              <w:left w:w="105" w:type="dxa"/>
              <w:bottom w:w="0" w:type="dxa"/>
              <w:right w:w="105" w:type="dxa"/>
            </w:tcMar>
            <w:vAlign w:val="center"/>
          </w:tcPr>
          <w:p w14:paraId="6871D53F">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气象传感器</w:t>
            </w:r>
          </w:p>
        </w:tc>
        <w:tc>
          <w:tcPr>
            <w:tcW w:w="2337" w:type="pct"/>
            <w:tcBorders>
              <w:right w:val="single" w:color="auto" w:sz="4" w:space="0"/>
            </w:tcBorders>
            <w:tcMar>
              <w:top w:w="0" w:type="dxa"/>
              <w:left w:w="105" w:type="dxa"/>
              <w:bottom w:w="0" w:type="dxa"/>
              <w:right w:w="105" w:type="dxa"/>
            </w:tcMar>
            <w:vAlign w:val="center"/>
          </w:tcPr>
          <w:p w14:paraId="5DFDA6E4">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如有积灰、蜘蛛网等异物遮挡，需清理</w:t>
            </w:r>
          </w:p>
        </w:tc>
        <w:tc>
          <w:tcPr>
            <w:tcW w:w="985" w:type="pct"/>
            <w:vMerge w:val="continue"/>
            <w:tcBorders>
              <w:right w:val="single" w:color="auto" w:sz="12" w:space="0"/>
            </w:tcBorders>
            <w:tcMar>
              <w:top w:w="0" w:type="dxa"/>
              <w:left w:w="105" w:type="dxa"/>
              <w:bottom w:w="0" w:type="dxa"/>
              <w:right w:w="105" w:type="dxa"/>
            </w:tcMar>
            <w:vAlign w:val="center"/>
          </w:tcPr>
          <w:p w14:paraId="53951427">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p>
        </w:tc>
      </w:tr>
      <w:tr w14:paraId="2F80E5BB">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44" w:type="pct"/>
            <w:tcBorders>
              <w:left w:val="single" w:color="auto" w:sz="12" w:space="0"/>
            </w:tcBorders>
            <w:tcMar>
              <w:top w:w="0" w:type="dxa"/>
              <w:left w:w="105" w:type="dxa"/>
              <w:bottom w:w="0" w:type="dxa"/>
              <w:right w:w="105" w:type="dxa"/>
            </w:tcMar>
            <w:vAlign w:val="center"/>
          </w:tcPr>
          <w:p w14:paraId="796B64E5">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6</w:t>
            </w:r>
          </w:p>
        </w:tc>
        <w:tc>
          <w:tcPr>
            <w:tcW w:w="399" w:type="pct"/>
            <w:vMerge w:val="restart"/>
            <w:tcMar>
              <w:top w:w="0" w:type="dxa"/>
              <w:left w:w="105" w:type="dxa"/>
              <w:bottom w:w="0" w:type="dxa"/>
              <w:right w:w="105" w:type="dxa"/>
            </w:tcMar>
            <w:vAlign w:val="center"/>
          </w:tcPr>
          <w:p w14:paraId="76DF024C">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机箱</w:t>
            </w:r>
          </w:p>
        </w:tc>
        <w:tc>
          <w:tcPr>
            <w:tcW w:w="933" w:type="pct"/>
            <w:tcMar>
              <w:top w:w="0" w:type="dxa"/>
              <w:left w:w="105" w:type="dxa"/>
              <w:bottom w:w="0" w:type="dxa"/>
              <w:right w:w="105" w:type="dxa"/>
            </w:tcMar>
            <w:vAlign w:val="center"/>
          </w:tcPr>
          <w:p w14:paraId="7DA8AB7B">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机箱锁</w:t>
            </w:r>
          </w:p>
        </w:tc>
        <w:tc>
          <w:tcPr>
            <w:tcW w:w="2337" w:type="pct"/>
            <w:tcBorders>
              <w:right w:val="single" w:color="auto" w:sz="4" w:space="0"/>
            </w:tcBorders>
            <w:tcMar>
              <w:top w:w="0" w:type="dxa"/>
              <w:left w:w="105" w:type="dxa"/>
              <w:bottom w:w="0" w:type="dxa"/>
              <w:right w:w="105" w:type="dxa"/>
            </w:tcMar>
            <w:vAlign w:val="center"/>
          </w:tcPr>
          <w:p w14:paraId="160549D1">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无损坏</w:t>
            </w:r>
          </w:p>
        </w:tc>
        <w:tc>
          <w:tcPr>
            <w:tcW w:w="985" w:type="pct"/>
            <w:vMerge w:val="restart"/>
            <w:tcBorders>
              <w:right w:val="single" w:color="auto" w:sz="12" w:space="0"/>
            </w:tcBorders>
            <w:tcMar>
              <w:top w:w="0" w:type="dxa"/>
              <w:left w:w="105" w:type="dxa"/>
              <w:bottom w:w="0" w:type="dxa"/>
              <w:right w:w="105" w:type="dxa"/>
            </w:tcMar>
            <w:vAlign w:val="center"/>
          </w:tcPr>
          <w:p w14:paraId="703AD0E4">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电箱外观正常，抱箍无断裂，已对电箱清灰处理。</w:t>
            </w:r>
          </w:p>
        </w:tc>
      </w:tr>
      <w:tr w14:paraId="0630614A">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44" w:type="pct"/>
            <w:tcBorders>
              <w:left w:val="single" w:color="auto" w:sz="12" w:space="0"/>
            </w:tcBorders>
            <w:tcMar>
              <w:top w:w="0" w:type="dxa"/>
              <w:left w:w="105" w:type="dxa"/>
              <w:bottom w:w="0" w:type="dxa"/>
              <w:right w:w="105" w:type="dxa"/>
            </w:tcMar>
            <w:vAlign w:val="center"/>
          </w:tcPr>
          <w:p w14:paraId="73D61548">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7</w:t>
            </w:r>
          </w:p>
        </w:tc>
        <w:tc>
          <w:tcPr>
            <w:tcW w:w="399" w:type="pct"/>
            <w:vMerge w:val="continue"/>
            <w:vAlign w:val="center"/>
          </w:tcPr>
          <w:p w14:paraId="48D6AA1D">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933" w:type="pct"/>
            <w:tcMar>
              <w:top w:w="0" w:type="dxa"/>
              <w:left w:w="105" w:type="dxa"/>
              <w:bottom w:w="0" w:type="dxa"/>
              <w:right w:w="105" w:type="dxa"/>
            </w:tcMar>
            <w:vAlign w:val="center"/>
          </w:tcPr>
          <w:p w14:paraId="40055679">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箱底出电缆口</w:t>
            </w:r>
          </w:p>
        </w:tc>
        <w:tc>
          <w:tcPr>
            <w:tcW w:w="2337" w:type="pct"/>
            <w:tcBorders>
              <w:right w:val="single" w:color="auto" w:sz="4" w:space="0"/>
            </w:tcBorders>
            <w:tcMar>
              <w:top w:w="0" w:type="dxa"/>
              <w:left w:w="105" w:type="dxa"/>
              <w:bottom w:w="0" w:type="dxa"/>
              <w:right w:w="105" w:type="dxa"/>
            </w:tcMar>
            <w:vAlign w:val="center"/>
          </w:tcPr>
          <w:p w14:paraId="219FDDC1">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密封效果；如有破损，需进行加固</w:t>
            </w:r>
          </w:p>
        </w:tc>
        <w:tc>
          <w:tcPr>
            <w:tcW w:w="985" w:type="pct"/>
            <w:vMerge w:val="continue"/>
            <w:tcBorders>
              <w:right w:val="single" w:color="auto" w:sz="12" w:space="0"/>
            </w:tcBorders>
            <w:tcMar>
              <w:top w:w="0" w:type="dxa"/>
              <w:left w:w="105" w:type="dxa"/>
              <w:bottom w:w="0" w:type="dxa"/>
              <w:right w:w="105" w:type="dxa"/>
            </w:tcMar>
            <w:vAlign w:val="center"/>
          </w:tcPr>
          <w:p w14:paraId="29B555A0">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p>
        </w:tc>
      </w:tr>
      <w:tr w14:paraId="4F27CB72">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44" w:type="pct"/>
            <w:tcBorders>
              <w:left w:val="single" w:color="auto" w:sz="12" w:space="0"/>
            </w:tcBorders>
            <w:tcMar>
              <w:top w:w="0" w:type="dxa"/>
              <w:left w:w="105" w:type="dxa"/>
              <w:bottom w:w="0" w:type="dxa"/>
              <w:right w:w="105" w:type="dxa"/>
            </w:tcMar>
            <w:vAlign w:val="center"/>
          </w:tcPr>
          <w:p w14:paraId="33872F16">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8</w:t>
            </w:r>
          </w:p>
        </w:tc>
        <w:tc>
          <w:tcPr>
            <w:tcW w:w="399" w:type="pct"/>
            <w:vMerge w:val="continue"/>
            <w:vAlign w:val="center"/>
          </w:tcPr>
          <w:p w14:paraId="276A41FA">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933" w:type="pct"/>
            <w:tcMar>
              <w:top w:w="0" w:type="dxa"/>
              <w:left w:w="105" w:type="dxa"/>
              <w:bottom w:w="0" w:type="dxa"/>
              <w:right w:w="105" w:type="dxa"/>
            </w:tcMar>
            <w:vAlign w:val="center"/>
          </w:tcPr>
          <w:p w14:paraId="1EE3616A">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机箱抱箍</w:t>
            </w:r>
          </w:p>
        </w:tc>
        <w:tc>
          <w:tcPr>
            <w:tcW w:w="2337" w:type="pct"/>
            <w:tcBorders>
              <w:right w:val="single" w:color="auto" w:sz="4" w:space="0"/>
            </w:tcBorders>
            <w:tcMar>
              <w:top w:w="0" w:type="dxa"/>
              <w:left w:w="105" w:type="dxa"/>
              <w:bottom w:w="0" w:type="dxa"/>
              <w:right w:w="105" w:type="dxa"/>
            </w:tcMar>
            <w:vAlign w:val="center"/>
          </w:tcPr>
          <w:p w14:paraId="0E3F6A53">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有无锈蚀.断裂，是否需要重新加固</w:t>
            </w:r>
          </w:p>
        </w:tc>
        <w:tc>
          <w:tcPr>
            <w:tcW w:w="985" w:type="pct"/>
            <w:vMerge w:val="continue"/>
            <w:tcBorders>
              <w:right w:val="single" w:color="auto" w:sz="12" w:space="0"/>
            </w:tcBorders>
            <w:tcMar>
              <w:top w:w="0" w:type="dxa"/>
              <w:left w:w="105" w:type="dxa"/>
              <w:bottom w:w="0" w:type="dxa"/>
              <w:right w:w="105" w:type="dxa"/>
            </w:tcMar>
            <w:vAlign w:val="center"/>
          </w:tcPr>
          <w:p w14:paraId="674C758B">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p>
        </w:tc>
      </w:tr>
      <w:tr w14:paraId="30F8DB23">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44" w:type="pct"/>
            <w:tcBorders>
              <w:left w:val="single" w:color="auto" w:sz="12" w:space="0"/>
            </w:tcBorders>
            <w:tcMar>
              <w:top w:w="0" w:type="dxa"/>
              <w:left w:w="105" w:type="dxa"/>
              <w:bottom w:w="0" w:type="dxa"/>
              <w:right w:w="105" w:type="dxa"/>
            </w:tcMar>
            <w:vAlign w:val="center"/>
          </w:tcPr>
          <w:p w14:paraId="7ABE148B">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9</w:t>
            </w:r>
          </w:p>
        </w:tc>
        <w:tc>
          <w:tcPr>
            <w:tcW w:w="399" w:type="pct"/>
            <w:vMerge w:val="continue"/>
            <w:vAlign w:val="center"/>
          </w:tcPr>
          <w:p w14:paraId="5F750317">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933" w:type="pct"/>
            <w:tcMar>
              <w:top w:w="0" w:type="dxa"/>
              <w:left w:w="105" w:type="dxa"/>
              <w:bottom w:w="0" w:type="dxa"/>
              <w:right w:w="105" w:type="dxa"/>
            </w:tcMar>
            <w:vAlign w:val="center"/>
          </w:tcPr>
          <w:p w14:paraId="1F08F144">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机箱内部</w:t>
            </w:r>
          </w:p>
        </w:tc>
        <w:tc>
          <w:tcPr>
            <w:tcW w:w="2337" w:type="pct"/>
            <w:tcBorders>
              <w:right w:val="single" w:color="auto" w:sz="4" w:space="0"/>
            </w:tcBorders>
            <w:tcMar>
              <w:top w:w="0" w:type="dxa"/>
              <w:left w:w="105" w:type="dxa"/>
              <w:bottom w:w="0" w:type="dxa"/>
              <w:right w:w="105" w:type="dxa"/>
            </w:tcMar>
            <w:vAlign w:val="center"/>
          </w:tcPr>
          <w:p w14:paraId="011D6245">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清灰处理，数据线和电源线绑扎.防护牢靠</w:t>
            </w:r>
          </w:p>
        </w:tc>
        <w:tc>
          <w:tcPr>
            <w:tcW w:w="985" w:type="pct"/>
            <w:vMerge w:val="continue"/>
            <w:tcBorders>
              <w:right w:val="single" w:color="auto" w:sz="12" w:space="0"/>
            </w:tcBorders>
            <w:tcMar>
              <w:top w:w="0" w:type="dxa"/>
              <w:left w:w="105" w:type="dxa"/>
              <w:bottom w:w="0" w:type="dxa"/>
              <w:right w:w="105" w:type="dxa"/>
            </w:tcMar>
            <w:vAlign w:val="center"/>
          </w:tcPr>
          <w:p w14:paraId="253A6407">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p>
        </w:tc>
      </w:tr>
      <w:tr w14:paraId="754652FE">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4" w:type="pct"/>
            <w:tcBorders>
              <w:left w:val="single" w:color="auto" w:sz="12" w:space="0"/>
            </w:tcBorders>
            <w:tcMar>
              <w:top w:w="0" w:type="dxa"/>
              <w:left w:w="105" w:type="dxa"/>
              <w:bottom w:w="0" w:type="dxa"/>
              <w:right w:w="105" w:type="dxa"/>
            </w:tcMar>
            <w:vAlign w:val="center"/>
          </w:tcPr>
          <w:p w14:paraId="4DF11C69">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10</w:t>
            </w:r>
          </w:p>
        </w:tc>
        <w:tc>
          <w:tcPr>
            <w:tcW w:w="399" w:type="pct"/>
            <w:vMerge w:val="restart"/>
            <w:tcMar>
              <w:top w:w="0" w:type="dxa"/>
              <w:left w:w="105" w:type="dxa"/>
              <w:bottom w:w="0" w:type="dxa"/>
              <w:right w:w="105" w:type="dxa"/>
            </w:tcMar>
            <w:vAlign w:val="center"/>
          </w:tcPr>
          <w:p w14:paraId="6835D546">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杆件及基础</w:t>
            </w:r>
          </w:p>
        </w:tc>
        <w:tc>
          <w:tcPr>
            <w:tcW w:w="933" w:type="pct"/>
            <w:tcMar>
              <w:top w:w="0" w:type="dxa"/>
              <w:left w:w="105" w:type="dxa"/>
              <w:bottom w:w="0" w:type="dxa"/>
              <w:right w:w="105" w:type="dxa"/>
            </w:tcMar>
            <w:vAlign w:val="center"/>
          </w:tcPr>
          <w:p w14:paraId="27AB618E">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各杆件、中间件、连接件、螺丝</w:t>
            </w:r>
          </w:p>
        </w:tc>
        <w:tc>
          <w:tcPr>
            <w:tcW w:w="2337" w:type="pct"/>
            <w:tcBorders>
              <w:right w:val="single" w:color="auto" w:sz="4" w:space="0"/>
            </w:tcBorders>
            <w:tcMar>
              <w:top w:w="0" w:type="dxa"/>
              <w:left w:w="105" w:type="dxa"/>
              <w:bottom w:w="0" w:type="dxa"/>
              <w:right w:w="105" w:type="dxa"/>
            </w:tcMar>
            <w:vAlign w:val="center"/>
          </w:tcPr>
          <w:p w14:paraId="43445C30">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除尘、除锈、紧固</w:t>
            </w:r>
          </w:p>
        </w:tc>
        <w:tc>
          <w:tcPr>
            <w:tcW w:w="985" w:type="pct"/>
            <w:vMerge w:val="restart"/>
            <w:tcBorders>
              <w:right w:val="single" w:color="auto" w:sz="12" w:space="0"/>
            </w:tcBorders>
            <w:tcMar>
              <w:top w:w="0" w:type="dxa"/>
              <w:left w:w="105" w:type="dxa"/>
              <w:bottom w:w="0" w:type="dxa"/>
              <w:right w:w="105" w:type="dxa"/>
            </w:tcMar>
            <w:vAlign w:val="center"/>
          </w:tcPr>
          <w:p w14:paraId="4965C547">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杆件及基础正常，无开裂及错位</w:t>
            </w:r>
          </w:p>
        </w:tc>
      </w:tr>
      <w:tr w14:paraId="273D7C4E">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4" w:type="pct"/>
            <w:tcBorders>
              <w:left w:val="single" w:color="auto" w:sz="12" w:space="0"/>
            </w:tcBorders>
            <w:tcMar>
              <w:top w:w="0" w:type="dxa"/>
              <w:left w:w="105" w:type="dxa"/>
              <w:bottom w:w="0" w:type="dxa"/>
              <w:right w:w="105" w:type="dxa"/>
            </w:tcMar>
            <w:vAlign w:val="center"/>
          </w:tcPr>
          <w:p w14:paraId="3235B8E2">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11</w:t>
            </w:r>
          </w:p>
        </w:tc>
        <w:tc>
          <w:tcPr>
            <w:tcW w:w="399" w:type="pct"/>
            <w:vMerge w:val="continue"/>
            <w:vAlign w:val="center"/>
          </w:tcPr>
          <w:p w14:paraId="787F3328">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933" w:type="pct"/>
            <w:tcMar>
              <w:top w:w="0" w:type="dxa"/>
              <w:left w:w="105" w:type="dxa"/>
              <w:bottom w:w="0" w:type="dxa"/>
              <w:right w:w="105" w:type="dxa"/>
            </w:tcMar>
            <w:vAlign w:val="center"/>
          </w:tcPr>
          <w:p w14:paraId="19C4ABDE">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杆体</w:t>
            </w:r>
          </w:p>
        </w:tc>
        <w:tc>
          <w:tcPr>
            <w:tcW w:w="2337" w:type="pct"/>
            <w:tcBorders>
              <w:right w:val="single" w:color="auto" w:sz="4" w:space="0"/>
            </w:tcBorders>
            <w:tcMar>
              <w:top w:w="0" w:type="dxa"/>
              <w:left w:w="105" w:type="dxa"/>
              <w:bottom w:w="0" w:type="dxa"/>
              <w:right w:w="105" w:type="dxa"/>
            </w:tcMar>
            <w:vAlign w:val="center"/>
          </w:tcPr>
          <w:p w14:paraId="234F491F">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有无倾斜和破损，底部法兰固定螺丝是否紧固</w:t>
            </w:r>
          </w:p>
        </w:tc>
        <w:tc>
          <w:tcPr>
            <w:tcW w:w="985" w:type="pct"/>
            <w:vMerge w:val="continue"/>
            <w:tcBorders>
              <w:right w:val="single" w:color="auto" w:sz="12" w:space="0"/>
            </w:tcBorders>
            <w:tcMar>
              <w:top w:w="0" w:type="dxa"/>
              <w:left w:w="105" w:type="dxa"/>
              <w:bottom w:w="0" w:type="dxa"/>
              <w:right w:w="105" w:type="dxa"/>
            </w:tcMar>
            <w:vAlign w:val="center"/>
          </w:tcPr>
          <w:p w14:paraId="075B310E">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p>
        </w:tc>
      </w:tr>
      <w:tr w14:paraId="6DBA7BCC">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344" w:type="pct"/>
            <w:tcBorders>
              <w:left w:val="single" w:color="auto" w:sz="12" w:space="0"/>
              <w:bottom w:val="single" w:color="auto" w:sz="4" w:space="0"/>
            </w:tcBorders>
            <w:tcMar>
              <w:top w:w="0" w:type="dxa"/>
              <w:left w:w="105" w:type="dxa"/>
              <w:bottom w:w="0" w:type="dxa"/>
              <w:right w:w="105" w:type="dxa"/>
            </w:tcMar>
            <w:vAlign w:val="center"/>
          </w:tcPr>
          <w:p w14:paraId="3F5E6530">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12</w:t>
            </w:r>
          </w:p>
        </w:tc>
        <w:tc>
          <w:tcPr>
            <w:tcW w:w="399" w:type="pct"/>
            <w:vMerge w:val="continue"/>
            <w:tcBorders>
              <w:bottom w:val="single" w:color="auto" w:sz="4" w:space="0"/>
            </w:tcBorders>
            <w:vAlign w:val="center"/>
          </w:tcPr>
          <w:p w14:paraId="0D9BAA80">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933" w:type="pct"/>
            <w:tcBorders>
              <w:bottom w:val="single" w:color="auto" w:sz="4" w:space="0"/>
            </w:tcBorders>
            <w:tcMar>
              <w:top w:w="0" w:type="dxa"/>
              <w:left w:w="105" w:type="dxa"/>
              <w:bottom w:w="0" w:type="dxa"/>
              <w:right w:w="105" w:type="dxa"/>
            </w:tcMar>
            <w:vAlign w:val="center"/>
          </w:tcPr>
          <w:p w14:paraId="42AAC015">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检查监控杆或龙门架基础</w:t>
            </w:r>
          </w:p>
        </w:tc>
        <w:tc>
          <w:tcPr>
            <w:tcW w:w="2337" w:type="pct"/>
            <w:tcBorders>
              <w:bottom w:val="single" w:color="auto" w:sz="4" w:space="0"/>
              <w:right w:val="single" w:color="auto" w:sz="4" w:space="0"/>
            </w:tcBorders>
            <w:tcMar>
              <w:top w:w="0" w:type="dxa"/>
              <w:left w:w="105" w:type="dxa"/>
              <w:bottom w:w="0" w:type="dxa"/>
              <w:right w:w="105" w:type="dxa"/>
            </w:tcMar>
            <w:vAlign w:val="center"/>
          </w:tcPr>
          <w:p w14:paraId="2A09B766">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有无变化，基础是否牢靠，有无开裂和错位</w:t>
            </w:r>
          </w:p>
        </w:tc>
        <w:tc>
          <w:tcPr>
            <w:tcW w:w="985" w:type="pct"/>
            <w:vMerge w:val="continue"/>
            <w:tcBorders>
              <w:bottom w:val="single" w:color="auto" w:sz="4" w:space="0"/>
              <w:right w:val="single" w:color="auto" w:sz="12" w:space="0"/>
            </w:tcBorders>
            <w:tcMar>
              <w:top w:w="0" w:type="dxa"/>
              <w:left w:w="105" w:type="dxa"/>
              <w:bottom w:w="0" w:type="dxa"/>
              <w:right w:w="105" w:type="dxa"/>
            </w:tcMar>
            <w:vAlign w:val="center"/>
          </w:tcPr>
          <w:p w14:paraId="3DCC9167">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p>
        </w:tc>
      </w:tr>
      <w:tr w14:paraId="246545DE">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44" w:type="pct"/>
            <w:tcBorders>
              <w:top w:val="single" w:color="auto" w:sz="4" w:space="0"/>
              <w:left w:val="single" w:color="auto" w:sz="12" w:space="0"/>
              <w:bottom w:val="single" w:color="auto" w:sz="4" w:space="0"/>
            </w:tcBorders>
            <w:tcMar>
              <w:top w:w="0" w:type="dxa"/>
              <w:left w:w="105" w:type="dxa"/>
              <w:bottom w:w="0" w:type="dxa"/>
              <w:right w:w="105" w:type="dxa"/>
            </w:tcMar>
            <w:vAlign w:val="center"/>
          </w:tcPr>
          <w:p w14:paraId="7987CAEC">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13</w:t>
            </w:r>
          </w:p>
        </w:tc>
        <w:tc>
          <w:tcPr>
            <w:tcW w:w="399" w:type="pct"/>
            <w:vMerge w:val="restart"/>
            <w:tcBorders>
              <w:top w:val="single" w:color="auto" w:sz="4" w:space="0"/>
              <w:bottom w:val="single" w:color="auto" w:sz="4" w:space="0"/>
            </w:tcBorders>
            <w:tcMar>
              <w:top w:w="0" w:type="dxa"/>
              <w:left w:w="105" w:type="dxa"/>
              <w:bottom w:w="0" w:type="dxa"/>
              <w:right w:w="105" w:type="dxa"/>
            </w:tcMar>
            <w:vAlign w:val="center"/>
          </w:tcPr>
          <w:p w14:paraId="19AB0047">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线路</w:t>
            </w:r>
          </w:p>
        </w:tc>
        <w:tc>
          <w:tcPr>
            <w:tcW w:w="933" w:type="pct"/>
            <w:tcBorders>
              <w:top w:val="single" w:color="auto" w:sz="4" w:space="0"/>
              <w:bottom w:val="single" w:color="auto" w:sz="4" w:space="0"/>
            </w:tcBorders>
            <w:tcMar>
              <w:top w:w="0" w:type="dxa"/>
              <w:left w:w="105" w:type="dxa"/>
              <w:bottom w:w="0" w:type="dxa"/>
              <w:right w:w="105" w:type="dxa"/>
            </w:tcMar>
            <w:vAlign w:val="center"/>
          </w:tcPr>
          <w:p w14:paraId="22C9BDBB">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供电线路</w:t>
            </w:r>
          </w:p>
        </w:tc>
        <w:tc>
          <w:tcPr>
            <w:tcW w:w="2337" w:type="pct"/>
            <w:tcBorders>
              <w:top w:val="single" w:color="auto" w:sz="4" w:space="0"/>
              <w:bottom w:val="single" w:color="auto" w:sz="4" w:space="0"/>
              <w:right w:val="single" w:color="auto" w:sz="4" w:space="0"/>
            </w:tcBorders>
            <w:tcMar>
              <w:top w:w="0" w:type="dxa"/>
              <w:left w:w="105" w:type="dxa"/>
              <w:bottom w:w="0" w:type="dxa"/>
              <w:right w:w="105" w:type="dxa"/>
            </w:tcMar>
            <w:vAlign w:val="center"/>
          </w:tcPr>
          <w:p w14:paraId="47153F8A">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主电线路有无破损、外露</w:t>
            </w:r>
          </w:p>
        </w:tc>
        <w:tc>
          <w:tcPr>
            <w:tcW w:w="985" w:type="pct"/>
            <w:vMerge w:val="restart"/>
            <w:tcBorders>
              <w:top w:val="single" w:color="auto" w:sz="4" w:space="0"/>
              <w:bottom w:val="single" w:color="auto" w:sz="4" w:space="0"/>
              <w:right w:val="single" w:color="auto" w:sz="12" w:space="0"/>
            </w:tcBorders>
            <w:tcMar>
              <w:top w:w="0" w:type="dxa"/>
              <w:left w:w="105" w:type="dxa"/>
              <w:bottom w:w="0" w:type="dxa"/>
              <w:right w:w="105" w:type="dxa"/>
            </w:tcMar>
            <w:vAlign w:val="center"/>
          </w:tcPr>
          <w:p w14:paraId="56A16CA0">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线路无破损，未发现有偷电、借电，电压指标正常</w:t>
            </w:r>
          </w:p>
        </w:tc>
      </w:tr>
      <w:tr w14:paraId="248DD886">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44" w:type="pct"/>
            <w:tcBorders>
              <w:top w:val="single" w:color="auto" w:sz="4" w:space="0"/>
              <w:left w:val="single" w:color="auto" w:sz="12" w:space="0"/>
              <w:bottom w:val="single" w:color="auto" w:sz="4" w:space="0"/>
            </w:tcBorders>
            <w:tcMar>
              <w:top w:w="0" w:type="dxa"/>
              <w:left w:w="105" w:type="dxa"/>
              <w:bottom w:w="0" w:type="dxa"/>
              <w:right w:w="105" w:type="dxa"/>
            </w:tcMar>
            <w:vAlign w:val="center"/>
          </w:tcPr>
          <w:p w14:paraId="46B69919">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14</w:t>
            </w:r>
          </w:p>
        </w:tc>
        <w:tc>
          <w:tcPr>
            <w:tcW w:w="399" w:type="pct"/>
            <w:vMerge w:val="continue"/>
            <w:tcBorders>
              <w:top w:val="single" w:color="auto" w:sz="4" w:space="0"/>
              <w:bottom w:val="single" w:color="auto" w:sz="4" w:space="0"/>
            </w:tcBorders>
            <w:vAlign w:val="center"/>
          </w:tcPr>
          <w:p w14:paraId="0A37ADE6">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933" w:type="pct"/>
            <w:tcBorders>
              <w:top w:val="single" w:color="auto" w:sz="4" w:space="0"/>
              <w:bottom w:val="single" w:color="auto" w:sz="4" w:space="0"/>
            </w:tcBorders>
            <w:tcMar>
              <w:top w:w="0" w:type="dxa"/>
              <w:left w:w="105" w:type="dxa"/>
              <w:bottom w:w="0" w:type="dxa"/>
              <w:right w:w="105" w:type="dxa"/>
            </w:tcMar>
            <w:vAlign w:val="center"/>
          </w:tcPr>
          <w:p w14:paraId="4F7624BE">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取电位置</w:t>
            </w:r>
          </w:p>
        </w:tc>
        <w:tc>
          <w:tcPr>
            <w:tcW w:w="2337" w:type="pct"/>
            <w:tcBorders>
              <w:top w:val="single" w:color="auto" w:sz="4" w:space="0"/>
              <w:bottom w:val="single" w:color="auto" w:sz="4" w:space="0"/>
              <w:right w:val="single" w:color="auto" w:sz="4" w:space="0"/>
            </w:tcBorders>
            <w:tcMar>
              <w:top w:w="0" w:type="dxa"/>
              <w:left w:w="105" w:type="dxa"/>
              <w:bottom w:w="0" w:type="dxa"/>
              <w:right w:w="105" w:type="dxa"/>
            </w:tcMar>
            <w:vAlign w:val="center"/>
          </w:tcPr>
          <w:p w14:paraId="78BDF59D">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电表线路是否有虚接，是否存有借电、偷电现象</w:t>
            </w:r>
          </w:p>
        </w:tc>
        <w:tc>
          <w:tcPr>
            <w:tcW w:w="985" w:type="pct"/>
            <w:vMerge w:val="continue"/>
            <w:tcBorders>
              <w:top w:val="single" w:color="auto" w:sz="4" w:space="0"/>
              <w:bottom w:val="single" w:color="auto" w:sz="4" w:space="0"/>
              <w:right w:val="single" w:color="auto" w:sz="12" w:space="0"/>
            </w:tcBorders>
            <w:tcMar>
              <w:top w:w="0" w:type="dxa"/>
              <w:left w:w="105" w:type="dxa"/>
              <w:bottom w:w="0" w:type="dxa"/>
              <w:right w:w="105" w:type="dxa"/>
            </w:tcMar>
            <w:vAlign w:val="center"/>
          </w:tcPr>
          <w:p w14:paraId="65FC5D84">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p>
        </w:tc>
      </w:tr>
      <w:tr w14:paraId="4E0E7686">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44" w:type="pct"/>
            <w:tcBorders>
              <w:top w:val="single" w:color="auto" w:sz="4" w:space="0"/>
              <w:left w:val="single" w:color="auto" w:sz="12" w:space="0"/>
              <w:bottom w:val="single" w:color="auto" w:sz="4" w:space="0"/>
            </w:tcBorders>
            <w:tcMar>
              <w:top w:w="0" w:type="dxa"/>
              <w:left w:w="105" w:type="dxa"/>
              <w:bottom w:w="0" w:type="dxa"/>
              <w:right w:w="105" w:type="dxa"/>
            </w:tcMar>
            <w:vAlign w:val="center"/>
          </w:tcPr>
          <w:p w14:paraId="03D4B767">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15</w:t>
            </w:r>
          </w:p>
        </w:tc>
        <w:tc>
          <w:tcPr>
            <w:tcW w:w="399" w:type="pct"/>
            <w:vMerge w:val="continue"/>
            <w:tcBorders>
              <w:top w:val="single" w:color="auto" w:sz="4" w:space="0"/>
              <w:bottom w:val="single" w:color="auto" w:sz="4" w:space="0"/>
            </w:tcBorders>
            <w:vAlign w:val="center"/>
          </w:tcPr>
          <w:p w14:paraId="4861A827">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p>
        </w:tc>
        <w:tc>
          <w:tcPr>
            <w:tcW w:w="933" w:type="pct"/>
            <w:tcBorders>
              <w:top w:val="single" w:color="auto" w:sz="4" w:space="0"/>
              <w:bottom w:val="single" w:color="auto" w:sz="4" w:space="0"/>
            </w:tcBorders>
            <w:tcMar>
              <w:top w:w="0" w:type="dxa"/>
              <w:left w:w="105" w:type="dxa"/>
              <w:bottom w:w="0" w:type="dxa"/>
              <w:right w:w="105" w:type="dxa"/>
            </w:tcMar>
            <w:vAlign w:val="center"/>
          </w:tcPr>
          <w:p w14:paraId="69318EBA">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电气性能检测</w:t>
            </w:r>
          </w:p>
        </w:tc>
        <w:tc>
          <w:tcPr>
            <w:tcW w:w="2337" w:type="pct"/>
            <w:tcBorders>
              <w:top w:val="single" w:color="auto" w:sz="4" w:space="0"/>
              <w:bottom w:val="single" w:color="auto" w:sz="4" w:space="0"/>
              <w:right w:val="single" w:color="auto" w:sz="4" w:space="0"/>
            </w:tcBorders>
            <w:tcMar>
              <w:top w:w="0" w:type="dxa"/>
              <w:left w:w="105" w:type="dxa"/>
              <w:bottom w:w="0" w:type="dxa"/>
              <w:right w:w="105" w:type="dxa"/>
            </w:tcMar>
            <w:vAlign w:val="center"/>
          </w:tcPr>
          <w:p w14:paraId="4DB14792">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交流电接入检查，测量接入电压，偏差应在-10%-+7以内，各断路器断电实验良好。</w:t>
            </w:r>
          </w:p>
        </w:tc>
        <w:tc>
          <w:tcPr>
            <w:tcW w:w="985" w:type="pct"/>
            <w:vMerge w:val="continue"/>
            <w:tcBorders>
              <w:top w:val="single" w:color="auto" w:sz="4" w:space="0"/>
              <w:bottom w:val="single" w:color="auto" w:sz="4" w:space="0"/>
              <w:right w:val="single" w:color="auto" w:sz="12" w:space="0"/>
            </w:tcBorders>
            <w:shd w:val="clear" w:color="auto" w:fill="auto"/>
            <w:tcMar>
              <w:top w:w="0" w:type="dxa"/>
              <w:left w:w="105" w:type="dxa"/>
              <w:bottom w:w="0" w:type="dxa"/>
              <w:right w:w="105" w:type="dxa"/>
            </w:tcMar>
            <w:vAlign w:val="center"/>
          </w:tcPr>
          <w:p w14:paraId="71189495">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kern w:val="2"/>
                <w:sz w:val="21"/>
                <w:szCs w:val="21"/>
                <w:highlight w:val="none"/>
                <w:lang w:val="en-US" w:eastAsia="zh-CN" w:bidi="ar-SA"/>
              </w:rPr>
            </w:pPr>
          </w:p>
        </w:tc>
      </w:tr>
      <w:tr w14:paraId="37E30C82">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44" w:type="pct"/>
            <w:tcBorders>
              <w:top w:val="single" w:color="auto" w:sz="4" w:space="0"/>
              <w:left w:val="single" w:color="auto" w:sz="12" w:space="0"/>
              <w:bottom w:val="single" w:color="auto" w:sz="12" w:space="0"/>
            </w:tcBorders>
            <w:tcMar>
              <w:top w:w="0" w:type="dxa"/>
              <w:left w:w="105" w:type="dxa"/>
              <w:bottom w:w="0" w:type="dxa"/>
              <w:right w:w="105" w:type="dxa"/>
            </w:tcMar>
            <w:vAlign w:val="center"/>
          </w:tcPr>
          <w:p w14:paraId="74311FCB">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16</w:t>
            </w:r>
          </w:p>
        </w:tc>
        <w:tc>
          <w:tcPr>
            <w:tcW w:w="399" w:type="pct"/>
            <w:tcBorders>
              <w:top w:val="single" w:color="auto" w:sz="4" w:space="0"/>
              <w:bottom w:val="single" w:color="auto" w:sz="12" w:space="0"/>
            </w:tcBorders>
            <w:tcMar>
              <w:top w:w="0" w:type="dxa"/>
              <w:left w:w="105" w:type="dxa"/>
              <w:bottom w:w="0" w:type="dxa"/>
              <w:right w:w="105" w:type="dxa"/>
            </w:tcMar>
            <w:vAlign w:val="center"/>
          </w:tcPr>
          <w:p w14:paraId="4E08637F">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现场</w:t>
            </w:r>
          </w:p>
          <w:p w14:paraId="4EE2DBB7">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环境</w:t>
            </w:r>
          </w:p>
        </w:tc>
        <w:tc>
          <w:tcPr>
            <w:tcW w:w="933" w:type="pct"/>
            <w:tcBorders>
              <w:top w:val="single" w:color="auto" w:sz="4" w:space="0"/>
              <w:bottom w:val="single" w:color="auto" w:sz="12" w:space="0"/>
            </w:tcBorders>
            <w:tcMar>
              <w:top w:w="0" w:type="dxa"/>
              <w:left w:w="105" w:type="dxa"/>
              <w:bottom w:w="0" w:type="dxa"/>
              <w:right w:w="105" w:type="dxa"/>
            </w:tcMar>
            <w:vAlign w:val="center"/>
          </w:tcPr>
          <w:p w14:paraId="017F1A52">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站点运行环境</w:t>
            </w:r>
          </w:p>
        </w:tc>
        <w:tc>
          <w:tcPr>
            <w:tcW w:w="2337" w:type="pct"/>
            <w:tcBorders>
              <w:top w:val="single" w:color="auto" w:sz="4" w:space="0"/>
              <w:bottom w:val="single" w:color="auto" w:sz="12" w:space="0"/>
              <w:right w:val="single" w:color="auto" w:sz="4" w:space="0"/>
            </w:tcBorders>
            <w:tcMar>
              <w:top w:w="0" w:type="dxa"/>
              <w:left w:w="105" w:type="dxa"/>
              <w:bottom w:w="0" w:type="dxa"/>
              <w:right w:w="105" w:type="dxa"/>
            </w:tcMar>
            <w:vAlign w:val="center"/>
          </w:tcPr>
          <w:p w14:paraId="3E5421E2">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是否正常；周围无明显遮挡；设备整体性（含杆件、采集设备、电箱、气象传感器均无破坏痕迹）。</w:t>
            </w:r>
          </w:p>
        </w:tc>
        <w:tc>
          <w:tcPr>
            <w:tcW w:w="985" w:type="pct"/>
            <w:tcBorders>
              <w:top w:val="single" w:color="auto" w:sz="4" w:space="0"/>
              <w:bottom w:val="single" w:color="auto" w:sz="12" w:space="0"/>
              <w:right w:val="single" w:color="auto" w:sz="12" w:space="0"/>
            </w:tcBorders>
            <w:tcMar>
              <w:top w:w="0" w:type="dxa"/>
              <w:left w:w="105" w:type="dxa"/>
              <w:bottom w:w="0" w:type="dxa"/>
              <w:right w:w="105" w:type="dxa"/>
            </w:tcMar>
            <w:vAlign w:val="center"/>
          </w:tcPr>
          <w:p w14:paraId="2AA6BE50">
            <w:pPr>
              <w:keepNext w:val="0"/>
              <w:keepLines w:val="0"/>
              <w:pageBreakBefore w:val="0"/>
              <w:widowControl w:val="0"/>
              <w:kinsoku/>
              <w:wordWrap/>
              <w:overflowPunct/>
              <w:topLinePunct w:val="0"/>
              <w:autoSpaceDE/>
              <w:autoSpaceDN/>
              <w:bidi w:val="0"/>
              <w:adjustRightInd/>
              <w:snapToGrid/>
              <w:spacing w:after="0" w:afterLines="0" w:line="240" w:lineRule="exact"/>
              <w:ind w:firstLine="0" w:firstLineChars="0"/>
              <w:jc w:val="left"/>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整体运行环境良好，无破坏痕迹。</w:t>
            </w:r>
          </w:p>
        </w:tc>
      </w:tr>
    </w:tbl>
    <w:p w14:paraId="3FE68F8A">
      <w:pPr>
        <w:pStyle w:val="5"/>
        <w:keepNext w:val="0"/>
        <w:keepLines w:val="0"/>
        <w:widowControl w:val="0"/>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（八）精度检查与调试</w:t>
      </w:r>
    </w:p>
    <w:p w14:paraId="4C121F24">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精度检查应使用《广东省公路交通情况调查子系统》进行视频下载，校验结果上传。数据对比视频应保留并通过U盘或硬盘等方式移交</w:t>
      </w:r>
      <w:r>
        <w:rPr>
          <w:rFonts w:hint="eastAsia" w:ascii="仿宋_GB2312" w:hAnsi="Times New Roman" w:eastAsia="仿宋_GB2312" w:cs="Times New Roman"/>
          <w:color w:val="auto"/>
          <w:sz w:val="21"/>
          <w:szCs w:val="21"/>
          <w:highlight w:val="none"/>
          <w:lang w:val="en-US" w:eastAsia="zh-CN"/>
        </w:rPr>
        <w:t>采购人</w:t>
      </w:r>
      <w:r>
        <w:rPr>
          <w:rFonts w:hint="eastAsia" w:ascii="仿宋_GB2312" w:hAnsi="Times New Roman" w:eastAsia="仿宋_GB2312" w:cs="Times New Roman"/>
          <w:color w:val="auto"/>
          <w:sz w:val="21"/>
          <w:szCs w:val="21"/>
          <w:highlight w:val="none"/>
        </w:rPr>
        <w:t>。</w:t>
      </w:r>
    </w:p>
    <w:p w14:paraId="65D67709">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1.进行视频数据与机器数据对比</w:t>
      </w:r>
      <w:r>
        <w:rPr>
          <w:rFonts w:hint="eastAsia" w:ascii="仿宋_GB2312" w:hAnsi="Times New Roman" w:eastAsia="仿宋_GB2312" w:cs="Times New Roman"/>
          <w:color w:val="auto"/>
          <w:sz w:val="21"/>
          <w:szCs w:val="21"/>
          <w:highlight w:val="none"/>
          <w:lang w:eastAsia="zh-CN"/>
        </w:rPr>
        <w:t>。</w:t>
      </w:r>
    </w:p>
    <w:p w14:paraId="57B01D79">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2.按上行断面、下行断面分别测试，取高峰、平峰、夜间三个时段的数据（自然数超过1000辆，各车型数量超过50辆）</w:t>
      </w:r>
      <w:r>
        <w:rPr>
          <w:rFonts w:hint="eastAsia" w:ascii="仿宋_GB2312" w:hAnsi="Times New Roman" w:eastAsia="仿宋_GB2312" w:cs="Times New Roman"/>
          <w:color w:val="auto"/>
          <w:sz w:val="21"/>
          <w:szCs w:val="21"/>
          <w:highlight w:val="none"/>
          <w:lang w:eastAsia="zh-CN"/>
        </w:rPr>
        <w:t>。</w:t>
      </w:r>
    </w:p>
    <w:p w14:paraId="4C598D80">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3.单类车型相对误差不大于10%；流量数据相对误差不大于5%</w:t>
      </w:r>
      <w:r>
        <w:rPr>
          <w:rFonts w:hint="eastAsia" w:ascii="仿宋_GB2312" w:hAnsi="Times New Roman" w:eastAsia="仿宋_GB2312" w:cs="Times New Roman"/>
          <w:color w:val="auto"/>
          <w:sz w:val="21"/>
          <w:szCs w:val="21"/>
          <w:highlight w:val="none"/>
          <w:lang w:eastAsia="zh-CN"/>
        </w:rPr>
        <w:t>。</w:t>
      </w:r>
    </w:p>
    <w:p w14:paraId="02B2D9E1">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4.如检查发现精度不合格，应安排技术人员调试，直</w:t>
      </w:r>
      <w:r>
        <w:rPr>
          <w:rFonts w:hint="eastAsia" w:ascii="仿宋_GB2312" w:hAnsi="Times New Roman" w:eastAsia="仿宋_GB2312" w:cs="Times New Roman"/>
          <w:color w:val="auto"/>
          <w:sz w:val="21"/>
          <w:szCs w:val="21"/>
          <w:highlight w:val="none"/>
          <w:lang w:val="en-US" w:eastAsia="zh-CN"/>
        </w:rPr>
        <w:t>至</w:t>
      </w:r>
      <w:r>
        <w:rPr>
          <w:rFonts w:hint="eastAsia" w:ascii="仿宋_GB2312" w:hAnsi="Times New Roman" w:eastAsia="仿宋_GB2312" w:cs="Times New Roman"/>
          <w:color w:val="auto"/>
          <w:sz w:val="21"/>
          <w:szCs w:val="21"/>
          <w:highlight w:val="none"/>
        </w:rPr>
        <w:t>合格为止。</w:t>
      </w:r>
    </w:p>
    <w:p w14:paraId="2C54A624">
      <w:pPr>
        <w:pStyle w:val="5"/>
        <w:keepNext w:val="0"/>
        <w:keepLines w:val="0"/>
        <w:widowControl w:val="0"/>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（九）数据、视频接入</w:t>
      </w:r>
    </w:p>
    <w:p w14:paraId="1FEDE170">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各站点数据</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视频接入《广东省公路交通情况调查子系统》</w:t>
      </w:r>
      <w:r>
        <w:rPr>
          <w:rFonts w:hint="eastAsia" w:ascii="仿宋_GB2312" w:hAnsi="Times New Roman" w:eastAsia="仿宋_GB2312" w:cs="Times New Roman"/>
          <w:color w:val="auto"/>
          <w:sz w:val="21"/>
          <w:szCs w:val="21"/>
          <w:highlight w:val="none"/>
          <w:lang w:val="en-US" w:eastAsia="zh-CN"/>
        </w:rPr>
        <w:t>和</w:t>
      </w:r>
      <w:r>
        <w:rPr>
          <w:rFonts w:hint="eastAsia" w:ascii="仿宋_GB2312" w:hAnsi="Times New Roman" w:eastAsia="仿宋_GB2312" w:cs="Times New Roman"/>
          <w:color w:val="auto"/>
          <w:sz w:val="21"/>
          <w:szCs w:val="21"/>
          <w:highlight w:val="none"/>
        </w:rPr>
        <w:t>《广东省普通国省干线公路网监测与应急协调子系统》，保障视频应用和路网监测。</w:t>
      </w:r>
    </w:p>
    <w:p w14:paraId="68520192">
      <w:pPr>
        <w:pStyle w:val="5"/>
        <w:keepNext w:val="0"/>
        <w:keepLines w:val="0"/>
        <w:widowControl w:val="0"/>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（十）故障维修</w:t>
      </w:r>
    </w:p>
    <w:p w14:paraId="44D5C5B1">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故障件维修、更换：采集传感模块和数据处理模块各部件。设备硬件故障更换的备品备件，应满足原设备的技术标准。</w:t>
      </w:r>
    </w:p>
    <w:p w14:paraId="4BC5AF75">
      <w:pPr>
        <w:pStyle w:val="5"/>
        <w:keepNext w:val="0"/>
        <w:keepLines w:val="0"/>
        <w:widowControl w:val="0"/>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（十一）数据维护</w:t>
      </w:r>
    </w:p>
    <w:p w14:paraId="7EF4C8F9">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保证站点断面数据的连续性，确保数据月度完整性达到98%或以上。</w:t>
      </w:r>
    </w:p>
    <w:p w14:paraId="509387AA">
      <w:pPr>
        <w:pStyle w:val="5"/>
        <w:keepNext w:val="0"/>
        <w:keepLines w:val="0"/>
        <w:widowControl w:val="0"/>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（十二）日常维护</w:t>
      </w:r>
    </w:p>
    <w:p w14:paraId="0BDD4AC7">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1.检查维护设备中</w:t>
      </w:r>
      <w:r>
        <w:rPr>
          <w:rFonts w:hint="eastAsia" w:ascii="仿宋_GB2312" w:hAnsi="Times New Roman" w:eastAsia="仿宋_GB2312" w:cs="Times New Roman"/>
          <w:color w:val="auto"/>
          <w:sz w:val="21"/>
          <w:szCs w:val="21"/>
          <w:highlight w:val="none"/>
          <w:lang w:eastAsia="zh-CN"/>
        </w:rPr>
        <w:t>的</w:t>
      </w:r>
      <w:r>
        <w:rPr>
          <w:rFonts w:hint="eastAsia" w:ascii="仿宋_GB2312" w:hAnsi="Times New Roman" w:eastAsia="仿宋_GB2312" w:cs="Times New Roman"/>
          <w:color w:val="auto"/>
          <w:sz w:val="21"/>
          <w:szCs w:val="21"/>
          <w:highlight w:val="none"/>
        </w:rPr>
        <w:t>软件运行状况，包括设备专用嵌入式软件、操作系统、专用通信软件、专用数据软件、信息安全类软件等</w:t>
      </w:r>
      <w:r>
        <w:rPr>
          <w:rFonts w:hint="eastAsia" w:ascii="仿宋_GB2312" w:hAnsi="Times New Roman" w:eastAsia="仿宋_GB2312" w:cs="Times New Roman"/>
          <w:color w:val="auto"/>
          <w:sz w:val="21"/>
          <w:szCs w:val="21"/>
          <w:highlight w:val="none"/>
          <w:lang w:eastAsia="zh-CN"/>
        </w:rPr>
        <w:t>。</w:t>
      </w:r>
    </w:p>
    <w:p w14:paraId="74890FCA">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2.因外力使设备基础、线路受损，影响数据采集</w:t>
      </w:r>
      <w:r>
        <w:rPr>
          <w:rFonts w:hint="eastAsia" w:ascii="仿宋_GB2312" w:hAnsi="Times New Roman" w:eastAsia="仿宋_GB2312" w:cs="Times New Roman"/>
          <w:color w:val="auto"/>
          <w:sz w:val="21"/>
          <w:szCs w:val="21"/>
          <w:highlight w:val="none"/>
          <w:lang w:eastAsia="zh-CN"/>
        </w:rPr>
        <w:t>的，</w:t>
      </w:r>
      <w:r>
        <w:rPr>
          <w:rFonts w:hint="eastAsia" w:ascii="仿宋_GB2312" w:hAnsi="Times New Roman" w:eastAsia="仿宋_GB2312" w:cs="Times New Roman"/>
          <w:color w:val="auto"/>
          <w:sz w:val="21"/>
          <w:szCs w:val="21"/>
          <w:highlight w:val="none"/>
        </w:rPr>
        <w:t>应尽快采取措施，恢复数据采集</w:t>
      </w:r>
      <w:r>
        <w:rPr>
          <w:rFonts w:hint="eastAsia" w:ascii="仿宋_GB2312" w:hAnsi="Times New Roman" w:eastAsia="仿宋_GB2312" w:cs="Times New Roman"/>
          <w:color w:val="auto"/>
          <w:sz w:val="21"/>
          <w:szCs w:val="21"/>
          <w:highlight w:val="none"/>
          <w:lang w:eastAsia="zh-CN"/>
        </w:rPr>
        <w:t>。</w:t>
      </w:r>
    </w:p>
    <w:p w14:paraId="60F9ACC7">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3.设备日常监控：24小时故障及设备离线提醒；24小时数据传输质量监控；维护日志实时跟踪、记录</w:t>
      </w:r>
      <w:r>
        <w:rPr>
          <w:rFonts w:hint="eastAsia" w:ascii="仿宋_GB2312" w:hAnsi="Times New Roman" w:eastAsia="仿宋_GB2312" w:cs="Times New Roman"/>
          <w:color w:val="auto"/>
          <w:sz w:val="21"/>
          <w:szCs w:val="21"/>
          <w:highlight w:val="none"/>
          <w:lang w:eastAsia="zh-CN"/>
        </w:rPr>
        <w:t>。</w:t>
      </w:r>
    </w:p>
    <w:p w14:paraId="34589A45">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4.电源、网络状态24小时提醒、反馈</w:t>
      </w:r>
      <w:r>
        <w:rPr>
          <w:rFonts w:hint="eastAsia" w:ascii="仿宋_GB2312" w:hAnsi="Times New Roman" w:eastAsia="仿宋_GB2312" w:cs="Times New Roman"/>
          <w:color w:val="auto"/>
          <w:sz w:val="21"/>
          <w:szCs w:val="21"/>
          <w:highlight w:val="none"/>
          <w:lang w:eastAsia="zh-CN"/>
        </w:rPr>
        <w:t>。</w:t>
      </w:r>
    </w:p>
    <w:p w14:paraId="4D209F8B">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5.受理报修、问询、回访，及数据质量监测、故障派工及进度跟踪，巡检资料整理及存档等</w:t>
      </w:r>
      <w:r>
        <w:rPr>
          <w:rFonts w:hint="eastAsia" w:ascii="仿宋_GB2312" w:hAnsi="Times New Roman" w:eastAsia="仿宋_GB2312" w:cs="Times New Roman"/>
          <w:color w:val="auto"/>
          <w:sz w:val="21"/>
          <w:szCs w:val="21"/>
          <w:highlight w:val="none"/>
          <w:lang w:eastAsia="zh-CN"/>
        </w:rPr>
        <w:t>。</w:t>
      </w:r>
    </w:p>
    <w:p w14:paraId="6DC814D3">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6.在《广东省公路交通情况调查子系统》接收维护需求，跟踪维护处理进度，记录处理过程及结果。</w:t>
      </w:r>
    </w:p>
    <w:p w14:paraId="18FA58AE">
      <w:pPr>
        <w:pStyle w:val="5"/>
        <w:keepNext w:val="0"/>
        <w:keepLines w:val="0"/>
        <w:widowControl w:val="0"/>
        <w:adjustRightInd/>
        <w:snapToGrid/>
        <w:spacing w:line="340" w:lineRule="exact"/>
        <w:ind w:firstLine="422"/>
        <w:rPr>
          <w:rFonts w:ascii="楷体_GB2312" w:eastAsia="楷体_GB2312"/>
          <w:color w:val="auto"/>
          <w:sz w:val="21"/>
          <w:szCs w:val="21"/>
          <w:highlight w:val="none"/>
        </w:rPr>
      </w:pPr>
      <w:r>
        <w:rPr>
          <w:rFonts w:hint="eastAsia" w:ascii="楷体_GB2312" w:eastAsia="楷体_GB2312"/>
          <w:color w:val="auto"/>
          <w:sz w:val="21"/>
          <w:szCs w:val="21"/>
          <w:highlight w:val="none"/>
        </w:rPr>
        <w:t>（十三）巡检流程</w:t>
      </w:r>
    </w:p>
    <w:p w14:paraId="70F9050A">
      <w:pPr>
        <w:spacing w:line="340" w:lineRule="exact"/>
        <w:ind w:firstLine="422"/>
        <w:rPr>
          <w:rFonts w:ascii="仿宋_GB2312" w:hAnsi="Times New Roman" w:eastAsia="仿宋_GB2312" w:cs="Times New Roman"/>
          <w:b/>
          <w:bCs/>
          <w:color w:val="auto"/>
          <w:sz w:val="21"/>
          <w:szCs w:val="21"/>
          <w:highlight w:val="none"/>
        </w:rPr>
      </w:pPr>
      <w:r>
        <w:rPr>
          <w:rFonts w:hint="eastAsia" w:ascii="仿宋_GB2312" w:hAnsi="Times New Roman" w:eastAsia="仿宋_GB2312" w:cs="Times New Roman"/>
          <w:b/>
          <w:bCs/>
          <w:color w:val="auto"/>
          <w:sz w:val="21"/>
          <w:szCs w:val="21"/>
          <w:highlight w:val="none"/>
        </w:rPr>
        <w:t>整体流程参见下图4。</w:t>
      </w:r>
    </w:p>
    <w:p w14:paraId="2AD01F3F">
      <w:pPr>
        <w:spacing w:line="340" w:lineRule="exact"/>
        <w:ind w:firstLine="420"/>
        <w:rPr>
          <w:rFonts w:hint="eastAsia" w:ascii="仿宋_GB2312" w:hAnsi="Times New Roman" w:eastAsia="仿宋_GB2312" w:cs="Times New Roman"/>
          <w:color w:val="auto"/>
          <w:sz w:val="21"/>
          <w:szCs w:val="21"/>
          <w:highlight w:val="none"/>
          <w:lang w:eastAsia="zh-CN"/>
        </w:rPr>
      </w:pPr>
      <w:r>
        <w:rPr>
          <w:rFonts w:hint="eastAsia" w:ascii="仿宋_GB2312" w:hAnsi="Times New Roman" w:eastAsia="仿宋_GB2312" w:cs="Times New Roman"/>
          <w:color w:val="auto"/>
          <w:sz w:val="21"/>
          <w:szCs w:val="21"/>
          <w:highlight w:val="none"/>
        </w:rPr>
        <w:t>1.运维单位申请《广东省公路交通情况调查子系统》账号</w:t>
      </w:r>
      <w:r>
        <w:rPr>
          <w:rFonts w:hint="eastAsia" w:ascii="仿宋_GB2312" w:hAnsi="Times New Roman" w:eastAsia="仿宋_GB2312" w:cs="Times New Roman"/>
          <w:color w:val="auto"/>
          <w:sz w:val="21"/>
          <w:szCs w:val="21"/>
          <w:highlight w:val="none"/>
          <w:lang w:eastAsia="zh-CN"/>
        </w:rPr>
        <w:t>。</w:t>
      </w:r>
    </w:p>
    <w:p w14:paraId="6A9992FB">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2.运维单位发起任务。巡检前，需提前在《广东省公路交通情况调查子系统》录入巡检计划表，</w:t>
      </w:r>
      <w:r>
        <w:rPr>
          <w:rFonts w:hint="eastAsia" w:ascii="仿宋_GB2312" w:hAnsi="Times New Roman" w:eastAsia="仿宋_GB2312" w:cs="Times New Roman"/>
          <w:color w:val="auto"/>
          <w:sz w:val="21"/>
          <w:szCs w:val="21"/>
          <w:highlight w:val="none"/>
          <w:lang w:val="en-US" w:eastAsia="zh-CN"/>
        </w:rPr>
        <w:t>其</w:t>
      </w:r>
      <w:r>
        <w:rPr>
          <w:rFonts w:hint="eastAsia" w:ascii="仿宋_GB2312" w:hAnsi="Times New Roman" w:eastAsia="仿宋_GB2312" w:cs="Times New Roman"/>
          <w:color w:val="auto"/>
          <w:sz w:val="21"/>
          <w:szCs w:val="21"/>
          <w:highlight w:val="none"/>
        </w:rPr>
        <w:t>后10个工作日内，完成外场设备、线路、杆件等巡查任务，并录入现场巡检图片至《广东省公路交通情况调查子系统》</w:t>
      </w:r>
      <w:r>
        <w:rPr>
          <w:rFonts w:hint="eastAsia" w:ascii="仿宋_GB2312" w:hAnsi="Times New Roman" w:eastAsia="仿宋_GB2312" w:cs="Times New Roman"/>
          <w:color w:val="auto"/>
          <w:sz w:val="21"/>
          <w:szCs w:val="21"/>
          <w:highlight w:val="none"/>
          <w:lang w:eastAsia="zh-CN"/>
        </w:rPr>
        <w:t>。</w:t>
      </w:r>
    </w:p>
    <w:p w14:paraId="39BFFAD2">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3.运维单位完成巡检任务，提交任务至采购人：含巡检基础信息表、现场巡检图片</w:t>
      </w:r>
      <w:r>
        <w:rPr>
          <w:rFonts w:hint="eastAsia" w:ascii="仿宋_GB2312" w:hAnsi="Times New Roman" w:eastAsia="仿宋_GB2312" w:cs="Times New Roman"/>
          <w:color w:val="auto"/>
          <w:sz w:val="21"/>
          <w:szCs w:val="21"/>
          <w:highlight w:val="none"/>
          <w:lang w:eastAsia="zh-CN"/>
        </w:rPr>
        <w:t>。</w:t>
      </w:r>
    </w:p>
    <w:p w14:paraId="73C19A85">
      <w:pPr>
        <w:spacing w:line="340" w:lineRule="exact"/>
        <w:ind w:firstLine="420"/>
        <w:rPr>
          <w:rFonts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4.采购人审批核查精度报告、数据质量结果是否满足要求。</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lang w:val="en-US" w:eastAsia="zh-CN"/>
        </w:rPr>
        <w:t>1</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外场巡检10个工作日内，采购人核查站点自然数流量精度需不低于95%；</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lang w:val="en-US" w:eastAsia="zh-CN"/>
        </w:rPr>
        <w:t>2</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核查数据质量报告连续10天均要求达到优秀指标</w:t>
      </w:r>
      <w:r>
        <w:rPr>
          <w:rFonts w:hint="eastAsia" w:ascii="仿宋_GB2312" w:hAnsi="Times New Roman" w:eastAsia="仿宋_GB2312" w:cs="Times New Roman"/>
          <w:color w:val="auto"/>
          <w:sz w:val="21"/>
          <w:szCs w:val="21"/>
          <w:highlight w:val="none"/>
          <w:lang w:val="en-US" w:eastAsia="zh-CN"/>
        </w:rPr>
        <w:t>.</w:t>
      </w:r>
    </w:p>
    <w:p w14:paraId="7960C552">
      <w:pPr>
        <w:spacing w:line="400" w:lineRule="exact"/>
        <w:ind w:firstLine="422"/>
        <w:rPr>
          <w:rFonts w:hint="eastAsia"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5.满足则批准，进入请款；若不满足则退回，重新回到流程3整改，全部合格再提交至采购人</w:t>
      </w:r>
      <w:r>
        <w:rPr>
          <w:rFonts w:hint="eastAsia" w:ascii="仿宋_GB2312" w:hAnsi="Times New Roman" w:eastAsia="仿宋_GB2312" w:cs="Times New Roman"/>
          <w:color w:val="auto"/>
          <w:sz w:val="21"/>
          <w:szCs w:val="21"/>
          <w:highlight w:val="none"/>
          <w:lang w:val="en-US" w:eastAsia="zh-CN"/>
        </w:rPr>
        <w:t>申请</w:t>
      </w:r>
      <w:r>
        <w:rPr>
          <w:rFonts w:hint="eastAsia" w:ascii="仿宋_GB2312" w:hAnsi="Times New Roman" w:eastAsia="仿宋_GB2312" w:cs="Times New Roman"/>
          <w:color w:val="auto"/>
          <w:sz w:val="21"/>
          <w:szCs w:val="21"/>
          <w:highlight w:val="none"/>
        </w:rPr>
        <w:t>审批。</w:t>
      </w:r>
    </w:p>
    <w:p w14:paraId="5307DBC9">
      <w:pPr>
        <w:spacing w:line="400" w:lineRule="exact"/>
        <w:ind w:firstLine="422"/>
        <w:rPr>
          <w:rFonts w:hint="eastAsia" w:ascii="仿宋_GB2312" w:hAnsi="Times New Roman" w:eastAsia="仿宋_GB2312" w:cs="Times New Roman"/>
          <w:color w:val="auto"/>
          <w:sz w:val="21"/>
          <w:szCs w:val="21"/>
          <w:highlight w:val="none"/>
        </w:rPr>
      </w:pPr>
      <w:r>
        <w:rPr>
          <w:rFonts w:hint="eastAsia" w:ascii="仿宋_GB2312" w:hAnsi="Times New Roman" w:eastAsia="仿宋_GB2312" w:cs="Times New Roman"/>
          <w:b w:val="0"/>
          <w:bCs w:val="0"/>
          <w:color w:val="auto"/>
          <w:sz w:val="21"/>
          <w:szCs w:val="21"/>
          <w:highlight w:val="none"/>
          <w:lang w:val="en-US" w:eastAsia="zh-CN"/>
        </w:rPr>
        <w:t>其中，</w:t>
      </w:r>
      <w:r>
        <w:rPr>
          <w:rFonts w:hint="eastAsia" w:ascii="仿宋_GB2312" w:hAnsi="Times New Roman" w:eastAsia="仿宋_GB2312" w:cs="Times New Roman"/>
          <w:b w:val="0"/>
          <w:bCs w:val="0"/>
          <w:color w:val="auto"/>
          <w:sz w:val="21"/>
          <w:szCs w:val="21"/>
          <w:highlight w:val="none"/>
        </w:rPr>
        <w:t>巡检记录</w:t>
      </w:r>
      <w:r>
        <w:rPr>
          <w:rFonts w:hint="eastAsia" w:ascii="仿宋_GB2312" w:hAnsi="Times New Roman" w:eastAsia="仿宋_GB2312" w:cs="Times New Roman"/>
          <w:color w:val="auto"/>
          <w:sz w:val="21"/>
          <w:szCs w:val="21"/>
          <w:highlight w:val="none"/>
        </w:rPr>
        <w:t>包含：巡检计划表即巡检基础信息表（含站点基础信息、硬件及软件巡检内容）</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现场巡检照片</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数据质量情况（巡检后连续10个日历日的分日数据质量评价）</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精度核查报告。</w:t>
      </w:r>
    </w:p>
    <w:p w14:paraId="04CE4DC8">
      <w:pPr>
        <w:spacing w:line="400" w:lineRule="exact"/>
        <w:ind w:firstLine="0" w:firstLineChars="0"/>
        <w:jc w:val="both"/>
        <w:rPr>
          <w:color w:val="auto"/>
          <w:highlight w:val="none"/>
        </w:rPr>
      </w:pPr>
    </w:p>
    <w:p w14:paraId="20C6D81F">
      <w:pPr>
        <w:spacing w:line="400" w:lineRule="exact"/>
        <w:ind w:firstLine="0" w:firstLineChars="0"/>
        <w:jc w:val="both"/>
        <w:rPr>
          <w:color w:val="auto"/>
          <w:highlight w:val="none"/>
        </w:rPr>
      </w:pPr>
      <w:r>
        <w:rPr>
          <w:b/>
          <w:bCs/>
          <w:color w:val="auto"/>
          <w:sz w:val="21"/>
          <w:szCs w:val="21"/>
          <w:highlight w:val="none"/>
        </w:rPr>
        <w:drawing>
          <wp:anchor distT="0" distB="0" distL="0" distR="0" simplePos="0" relativeHeight="251662336" behindDoc="0" locked="0" layoutInCell="1" allowOverlap="1">
            <wp:simplePos x="0" y="0"/>
            <wp:positionH relativeFrom="column">
              <wp:posOffset>1583055</wp:posOffset>
            </wp:positionH>
            <wp:positionV relativeFrom="paragraph">
              <wp:posOffset>80645</wp:posOffset>
            </wp:positionV>
            <wp:extent cx="2581275" cy="2775585"/>
            <wp:effectExtent l="0" t="0" r="9525" b="13335"/>
            <wp:wrapNone/>
            <wp:docPr id="8"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1" descr="img"/>
                    <pic:cNvPicPr>
                      <a:picLocks noChangeAspect="1"/>
                    </pic:cNvPicPr>
                  </pic:nvPicPr>
                  <pic:blipFill>
                    <a:blip r:embed="rId20"/>
                    <a:stretch>
                      <a:fillRect/>
                    </a:stretch>
                  </pic:blipFill>
                  <pic:spPr>
                    <a:xfrm>
                      <a:off x="0" y="0"/>
                      <a:ext cx="2581275" cy="2775585"/>
                    </a:xfrm>
                    <a:prstGeom prst="rect">
                      <a:avLst/>
                    </a:prstGeom>
                  </pic:spPr>
                </pic:pic>
              </a:graphicData>
            </a:graphic>
          </wp:anchor>
        </w:drawing>
      </w:r>
    </w:p>
    <w:p w14:paraId="438A320E">
      <w:pPr>
        <w:spacing w:line="400" w:lineRule="exact"/>
        <w:ind w:firstLine="0" w:firstLineChars="0"/>
        <w:rPr>
          <w:color w:val="auto"/>
          <w:highlight w:val="none"/>
        </w:rPr>
      </w:pPr>
    </w:p>
    <w:p w14:paraId="51FC2677">
      <w:pPr>
        <w:spacing w:line="400" w:lineRule="exact"/>
        <w:ind w:firstLine="0" w:firstLineChars="0"/>
        <w:jc w:val="both"/>
        <w:rPr>
          <w:rFonts w:hint="eastAsia" w:ascii="仿宋_GB2312" w:hAnsi="仿宋_GB2312" w:eastAsia="仿宋_GB2312" w:cs="仿宋_GB2312"/>
          <w:color w:val="auto"/>
          <w:sz w:val="21"/>
          <w:highlight w:val="none"/>
        </w:rPr>
      </w:pPr>
    </w:p>
    <w:p w14:paraId="58088056">
      <w:pPr>
        <w:spacing w:line="400" w:lineRule="exact"/>
        <w:ind w:firstLine="0" w:firstLineChars="0"/>
        <w:jc w:val="both"/>
        <w:rPr>
          <w:rFonts w:hint="eastAsia" w:ascii="仿宋_GB2312" w:hAnsi="仿宋_GB2312" w:eastAsia="仿宋_GB2312" w:cs="仿宋_GB2312"/>
          <w:color w:val="auto"/>
          <w:sz w:val="21"/>
          <w:highlight w:val="none"/>
        </w:rPr>
      </w:pPr>
    </w:p>
    <w:p w14:paraId="3C213EF0">
      <w:pPr>
        <w:spacing w:line="400" w:lineRule="exact"/>
        <w:ind w:firstLine="0" w:firstLineChars="0"/>
        <w:jc w:val="both"/>
        <w:rPr>
          <w:rFonts w:hint="eastAsia" w:ascii="仿宋_GB2312" w:hAnsi="仿宋_GB2312" w:eastAsia="仿宋_GB2312" w:cs="仿宋_GB2312"/>
          <w:color w:val="auto"/>
          <w:sz w:val="21"/>
          <w:highlight w:val="none"/>
        </w:rPr>
      </w:pPr>
    </w:p>
    <w:p w14:paraId="53F1F55A">
      <w:pPr>
        <w:spacing w:line="400" w:lineRule="exact"/>
        <w:ind w:firstLine="0" w:firstLineChars="0"/>
        <w:jc w:val="both"/>
        <w:rPr>
          <w:rFonts w:hint="eastAsia" w:ascii="仿宋_GB2312" w:hAnsi="仿宋_GB2312" w:eastAsia="仿宋_GB2312" w:cs="仿宋_GB2312"/>
          <w:color w:val="auto"/>
          <w:sz w:val="21"/>
          <w:highlight w:val="none"/>
        </w:rPr>
      </w:pPr>
    </w:p>
    <w:p w14:paraId="5CCECEA7">
      <w:pPr>
        <w:spacing w:line="400" w:lineRule="exact"/>
        <w:ind w:firstLine="0" w:firstLineChars="0"/>
        <w:jc w:val="center"/>
        <w:rPr>
          <w:rFonts w:hint="eastAsia" w:ascii="仿宋_GB2312" w:hAnsi="仿宋_GB2312" w:eastAsia="仿宋_GB2312" w:cs="仿宋_GB2312"/>
          <w:color w:val="auto"/>
          <w:sz w:val="21"/>
          <w:highlight w:val="none"/>
        </w:rPr>
      </w:pPr>
    </w:p>
    <w:p w14:paraId="2F41D6DE">
      <w:pPr>
        <w:spacing w:line="400" w:lineRule="exact"/>
        <w:ind w:firstLine="0" w:firstLineChars="0"/>
        <w:jc w:val="center"/>
        <w:rPr>
          <w:rFonts w:hint="eastAsia" w:ascii="仿宋_GB2312" w:hAnsi="仿宋_GB2312" w:eastAsia="仿宋_GB2312" w:cs="仿宋_GB2312"/>
          <w:color w:val="auto"/>
          <w:sz w:val="21"/>
          <w:highlight w:val="none"/>
        </w:rPr>
      </w:pPr>
    </w:p>
    <w:p w14:paraId="09869478">
      <w:pPr>
        <w:spacing w:line="400" w:lineRule="exact"/>
        <w:ind w:firstLine="0" w:firstLineChars="0"/>
        <w:jc w:val="center"/>
        <w:rPr>
          <w:rFonts w:hint="eastAsia" w:ascii="仿宋_GB2312" w:hAnsi="仿宋_GB2312" w:eastAsia="仿宋_GB2312" w:cs="仿宋_GB2312"/>
          <w:color w:val="auto"/>
          <w:sz w:val="21"/>
          <w:highlight w:val="none"/>
        </w:rPr>
      </w:pPr>
    </w:p>
    <w:p w14:paraId="284073D1">
      <w:pPr>
        <w:spacing w:line="400" w:lineRule="exact"/>
        <w:ind w:firstLine="0" w:firstLineChars="0"/>
        <w:jc w:val="center"/>
        <w:rPr>
          <w:rFonts w:hint="eastAsia" w:ascii="仿宋_GB2312" w:hAnsi="仿宋_GB2312" w:eastAsia="仿宋_GB2312" w:cs="仿宋_GB2312"/>
          <w:color w:val="auto"/>
          <w:sz w:val="21"/>
          <w:highlight w:val="none"/>
        </w:rPr>
      </w:pPr>
    </w:p>
    <w:p w14:paraId="169F814A">
      <w:pPr>
        <w:spacing w:line="400" w:lineRule="exact"/>
        <w:ind w:firstLine="0" w:firstLineChars="0"/>
        <w:jc w:val="both"/>
        <w:rPr>
          <w:rFonts w:hint="eastAsia" w:ascii="仿宋_GB2312" w:hAnsi="仿宋_GB2312" w:eastAsia="仿宋_GB2312" w:cs="仿宋_GB2312"/>
          <w:color w:val="auto"/>
          <w:sz w:val="21"/>
          <w:highlight w:val="none"/>
        </w:rPr>
      </w:pPr>
    </w:p>
    <w:p w14:paraId="02A4E493">
      <w:pPr>
        <w:spacing w:line="400" w:lineRule="exact"/>
        <w:ind w:firstLine="0" w:firstLineChars="0"/>
        <w:jc w:val="both"/>
        <w:rPr>
          <w:rFonts w:hint="eastAsia" w:ascii="仿宋_GB2312" w:hAnsi="仿宋_GB2312" w:eastAsia="仿宋_GB2312" w:cs="仿宋_GB2312"/>
          <w:color w:val="auto"/>
          <w:sz w:val="21"/>
          <w:highlight w:val="none"/>
        </w:rPr>
      </w:pPr>
    </w:p>
    <w:p w14:paraId="0A4C2756">
      <w:pPr>
        <w:spacing w:line="400" w:lineRule="exact"/>
        <w:ind w:firstLine="0" w:firstLineChars="0"/>
        <w:jc w:val="center"/>
        <w:rPr>
          <w:rFonts w:ascii="仿宋_GB2312" w:hAnsi="Times New Roman" w:eastAsia="仿宋_GB2312" w:cs="Times New Roman"/>
          <w:color w:val="auto"/>
          <w:sz w:val="21"/>
          <w:szCs w:val="21"/>
          <w:highlight w:val="none"/>
        </w:rPr>
      </w:pPr>
      <w:r>
        <w:rPr>
          <w:rFonts w:hint="eastAsia" w:ascii="仿宋_GB2312" w:hAnsi="仿宋_GB2312" w:eastAsia="仿宋_GB2312" w:cs="仿宋_GB2312"/>
          <w:color w:val="auto"/>
          <w:sz w:val="21"/>
          <w:highlight w:val="none"/>
        </w:rPr>
        <w:t>图</w:t>
      </w:r>
      <w:r>
        <w:rPr>
          <w:rFonts w:ascii="仿宋_GB2312" w:hAnsi="仿宋_GB2312" w:eastAsia="仿宋_GB2312" w:cs="仿宋_GB2312"/>
          <w:color w:val="auto"/>
          <w:sz w:val="21"/>
          <w:highlight w:val="none"/>
        </w:rPr>
        <w:t xml:space="preserve">4  </w:t>
      </w:r>
      <w:r>
        <w:rPr>
          <w:rFonts w:hint="eastAsia" w:ascii="仿宋_GB2312" w:hAnsi="仿宋_GB2312" w:eastAsia="仿宋_GB2312" w:cs="仿宋_GB2312"/>
          <w:color w:val="auto"/>
          <w:sz w:val="21"/>
          <w:highlight w:val="none"/>
          <w:lang w:eastAsia="zh-CN"/>
        </w:rPr>
        <w:t>广东省普通国道</w:t>
      </w:r>
      <w:r>
        <w:rPr>
          <w:rFonts w:hint="eastAsia" w:ascii="仿宋_GB2312" w:hAnsi="仿宋_GB2312" w:eastAsia="仿宋_GB2312" w:cs="仿宋_GB2312"/>
          <w:color w:val="auto"/>
          <w:sz w:val="21"/>
          <w:highlight w:val="none"/>
        </w:rPr>
        <w:t>交通调查站点</w:t>
      </w:r>
      <w:r>
        <w:rPr>
          <w:rFonts w:hint="eastAsia"/>
          <w:color w:val="auto"/>
          <w:sz w:val="21"/>
          <w:highlight w:val="none"/>
        </w:rPr>
        <w:t>巡检整体流程图</w:t>
      </w:r>
    </w:p>
    <w:p w14:paraId="27F8EFBC">
      <w:pPr>
        <w:spacing w:line="340" w:lineRule="exact"/>
        <w:ind w:firstLine="420"/>
        <w:rPr>
          <w:color w:val="auto"/>
          <w:highlight w:val="none"/>
        </w:rPr>
      </w:pPr>
      <w:r>
        <w:rPr>
          <w:rFonts w:hint="eastAsia"/>
          <w:color w:val="auto"/>
          <w:highlight w:val="none"/>
        </w:rPr>
        <w:br w:type="page"/>
      </w:r>
    </w:p>
    <w:p w14:paraId="3036D6EA">
      <w:pPr>
        <w:pStyle w:val="3"/>
        <w:widowControl/>
        <w:spacing w:line="240" w:lineRule="auto"/>
        <w:ind w:firstLine="0" w:firstLineChars="0"/>
        <w:jc w:val="center"/>
        <w:rPr>
          <w:color w:val="auto"/>
          <w:highlight w:val="none"/>
        </w:rPr>
      </w:pPr>
      <w:r>
        <w:rPr>
          <w:rFonts w:hint="eastAsia"/>
          <w:color w:val="auto"/>
          <w:highlight w:val="none"/>
        </w:rPr>
        <w:t>六、</w:t>
      </w:r>
      <w:r>
        <w:rPr>
          <w:rFonts w:hint="eastAsia"/>
          <w:color w:val="auto"/>
          <w:highlight w:val="none"/>
          <w:lang w:eastAsia="zh-CN"/>
        </w:rPr>
        <w:t>《广东省普通国道基础设施数字化转型升级示范工程公路交通情况调查设备采购》</w:t>
      </w:r>
      <w:r>
        <w:rPr>
          <w:rFonts w:hint="eastAsia"/>
          <w:color w:val="auto"/>
          <w:highlight w:val="none"/>
        </w:rPr>
        <w:t>评分表</w:t>
      </w:r>
    </w:p>
    <w:tbl>
      <w:tblPr>
        <w:tblStyle w:val="1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361"/>
        <w:gridCol w:w="6095"/>
      </w:tblGrid>
      <w:tr w14:paraId="7A41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41" w:type="dxa"/>
            <w:tcBorders>
              <w:top w:val="single" w:color="auto" w:sz="12" w:space="0"/>
              <w:left w:val="single" w:color="auto" w:sz="12" w:space="0"/>
              <w:bottom w:val="double" w:color="auto" w:sz="4" w:space="0"/>
            </w:tcBorders>
            <w:vAlign w:val="center"/>
          </w:tcPr>
          <w:p w14:paraId="6EE3AC94">
            <w:pPr>
              <w:adjustRightInd/>
              <w:snapToGrid/>
              <w:spacing w:line="340" w:lineRule="exact"/>
              <w:ind w:firstLine="0" w:firstLineChars="0"/>
              <w:jc w:val="center"/>
              <w:rPr>
                <w:rFonts w:hint="eastAsia" w:ascii="楷体_GB2312" w:hAnsi="楷体_GB2312" w:eastAsia="楷体_GB2312" w:cs="楷体_GB2312"/>
                <w:b/>
                <w:bCs/>
                <w:color w:val="auto"/>
                <w:sz w:val="28"/>
                <w:szCs w:val="28"/>
                <w:highlight w:val="none"/>
              </w:rPr>
            </w:pPr>
            <w:bookmarkStart w:id="1" w:name="_Hlk210679116"/>
            <w:r>
              <w:rPr>
                <w:rFonts w:hint="eastAsia" w:ascii="楷体_GB2312" w:hAnsi="楷体_GB2312" w:eastAsia="楷体_GB2312" w:cs="楷体_GB2312"/>
                <w:b/>
                <w:bCs/>
                <w:color w:val="auto"/>
                <w:sz w:val="28"/>
                <w:szCs w:val="28"/>
                <w:highlight w:val="none"/>
              </w:rPr>
              <w:t>评审因素</w:t>
            </w:r>
          </w:p>
        </w:tc>
        <w:tc>
          <w:tcPr>
            <w:tcW w:w="7456" w:type="dxa"/>
            <w:gridSpan w:val="2"/>
            <w:tcBorders>
              <w:top w:val="single" w:color="auto" w:sz="12" w:space="0"/>
              <w:bottom w:val="double" w:color="auto" w:sz="4" w:space="0"/>
              <w:right w:val="single" w:color="auto" w:sz="12" w:space="0"/>
            </w:tcBorders>
            <w:vAlign w:val="center"/>
          </w:tcPr>
          <w:p w14:paraId="541E6BC3">
            <w:pPr>
              <w:adjustRightInd/>
              <w:snapToGrid/>
              <w:spacing w:line="340" w:lineRule="exact"/>
              <w:ind w:firstLine="0" w:firstLineChars="0"/>
              <w:jc w:val="center"/>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评审标准</w:t>
            </w:r>
          </w:p>
        </w:tc>
      </w:tr>
      <w:tr w14:paraId="59C3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double" w:color="auto" w:sz="4" w:space="0"/>
              <w:left w:val="single" w:color="auto" w:sz="12" w:space="0"/>
              <w:bottom w:val="single" w:color="auto" w:sz="4" w:space="0"/>
            </w:tcBorders>
            <w:vAlign w:val="center"/>
          </w:tcPr>
          <w:p w14:paraId="4CCF3F2C">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分值构成</w:t>
            </w:r>
          </w:p>
        </w:tc>
        <w:tc>
          <w:tcPr>
            <w:tcW w:w="7456" w:type="dxa"/>
            <w:gridSpan w:val="2"/>
            <w:tcBorders>
              <w:top w:val="double" w:color="auto" w:sz="4" w:space="0"/>
              <w:bottom w:val="single" w:color="auto" w:sz="4" w:space="0"/>
              <w:right w:val="single" w:color="auto" w:sz="12" w:space="0"/>
            </w:tcBorders>
            <w:vAlign w:val="center"/>
          </w:tcPr>
          <w:p w14:paraId="2697D925">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技术部分</w:t>
            </w:r>
            <w:r>
              <w:rPr>
                <w:rFonts w:hint="eastAsia" w:ascii="仿宋_GB2312" w:hAnsi="仿宋" w:eastAsia="仿宋_GB2312" w:cs="Times New Roman"/>
                <w:color w:val="auto"/>
                <w:sz w:val="21"/>
                <w:szCs w:val="21"/>
                <w:highlight w:val="none"/>
                <w:lang w:val="en-US" w:eastAsia="zh-CN"/>
              </w:rPr>
              <w:t>4</w:t>
            </w:r>
            <w:r>
              <w:rPr>
                <w:rFonts w:hint="eastAsia" w:ascii="仿宋_GB2312" w:hAnsi="仿宋" w:eastAsia="仿宋_GB2312" w:cs="Times New Roman"/>
                <w:color w:val="auto"/>
                <w:sz w:val="21"/>
                <w:szCs w:val="21"/>
                <w:highlight w:val="none"/>
              </w:rPr>
              <w:t>0分，商务部分</w:t>
            </w: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0分，报价部分30分</w:t>
            </w:r>
          </w:p>
        </w:tc>
      </w:tr>
      <w:tr w14:paraId="4105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restart"/>
            <w:tcBorders>
              <w:top w:val="single" w:color="auto" w:sz="4" w:space="0"/>
              <w:left w:val="single" w:color="auto" w:sz="12" w:space="0"/>
              <w:bottom w:val="single" w:color="auto" w:sz="4" w:space="0"/>
            </w:tcBorders>
            <w:vAlign w:val="center"/>
          </w:tcPr>
          <w:p w14:paraId="26EBABE1">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技术部分</w:t>
            </w:r>
          </w:p>
          <w:p w14:paraId="56C26E59">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4</w:t>
            </w:r>
            <w:r>
              <w:rPr>
                <w:rFonts w:hint="eastAsia" w:ascii="仿宋_GB2312" w:hAnsi="仿宋" w:eastAsia="仿宋_GB2312" w:cs="Times New Roman"/>
                <w:color w:val="auto"/>
                <w:sz w:val="21"/>
                <w:szCs w:val="21"/>
                <w:highlight w:val="none"/>
              </w:rPr>
              <w:t>0分）</w:t>
            </w:r>
          </w:p>
        </w:tc>
        <w:tc>
          <w:tcPr>
            <w:tcW w:w="1361" w:type="dxa"/>
            <w:tcBorders>
              <w:top w:val="single" w:color="auto" w:sz="4" w:space="0"/>
              <w:bottom w:val="single" w:color="auto" w:sz="4" w:space="0"/>
            </w:tcBorders>
            <w:vAlign w:val="center"/>
          </w:tcPr>
          <w:p w14:paraId="28C6660C">
            <w:pPr>
              <w:spacing w:line="340" w:lineRule="exact"/>
              <w:ind w:firstLine="0" w:firstLineChars="0"/>
              <w:jc w:val="center"/>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技术参数</w:t>
            </w:r>
          </w:p>
          <w:p w14:paraId="1E1AECE5">
            <w:pPr>
              <w:spacing w:line="340" w:lineRule="exact"/>
              <w:ind w:firstLine="0" w:firstLineChars="0"/>
              <w:jc w:val="center"/>
              <w:rPr>
                <w:color w:val="auto"/>
                <w:sz w:val="21"/>
                <w:highlight w:val="none"/>
              </w:rPr>
            </w:pPr>
            <w:r>
              <w:rPr>
                <w:rFonts w:hint="eastAsia" w:ascii="仿宋_GB2312" w:hAnsi="仿宋_GB2312" w:eastAsia="仿宋_GB2312" w:cs="仿宋_GB2312"/>
                <w:color w:val="auto"/>
                <w:sz w:val="21"/>
                <w:highlight w:val="none"/>
              </w:rPr>
              <w:t>响应情况（</w:t>
            </w:r>
            <w:r>
              <w:rPr>
                <w:rFonts w:hint="eastAsia" w:ascii="仿宋_GB2312" w:hAnsi="仿宋_GB2312" w:eastAsia="仿宋_GB2312" w:cs="仿宋_GB2312"/>
                <w:color w:val="auto"/>
                <w:sz w:val="21"/>
                <w:highlight w:val="none"/>
                <w:lang w:val="en-US" w:eastAsia="zh-CN"/>
              </w:rPr>
              <w:t>17</w:t>
            </w:r>
            <w:r>
              <w:rPr>
                <w:rFonts w:hint="eastAsia" w:ascii="仿宋_GB2312" w:hAnsi="仿宋_GB2312" w:eastAsia="仿宋_GB2312" w:cs="仿宋_GB2312"/>
                <w:color w:val="auto"/>
                <w:sz w:val="21"/>
                <w:highlight w:val="none"/>
              </w:rPr>
              <w:t>分）</w:t>
            </w:r>
          </w:p>
        </w:tc>
        <w:tc>
          <w:tcPr>
            <w:tcW w:w="6095" w:type="dxa"/>
            <w:tcBorders>
              <w:top w:val="single" w:color="auto" w:sz="4" w:space="0"/>
              <w:bottom w:val="single" w:color="auto" w:sz="4" w:space="0"/>
              <w:right w:val="single" w:color="auto" w:sz="12" w:space="0"/>
            </w:tcBorders>
          </w:tcPr>
          <w:p w14:paraId="321278E5">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根据投标人所投产品对采购文件“《采购</w:t>
            </w:r>
            <w:r>
              <w:rPr>
                <w:rFonts w:hint="eastAsia" w:ascii="仿宋_GB2312" w:hAnsi="仿宋" w:eastAsia="仿宋_GB2312" w:cs="Times New Roman"/>
                <w:color w:val="auto"/>
                <w:sz w:val="21"/>
                <w:szCs w:val="21"/>
                <w:highlight w:val="none"/>
                <w:lang w:val="en-US" w:eastAsia="zh-CN"/>
              </w:rPr>
              <w:t>人</w:t>
            </w:r>
            <w:r>
              <w:rPr>
                <w:rFonts w:hint="eastAsia" w:ascii="仿宋_GB2312" w:hAnsi="仿宋" w:eastAsia="仿宋_GB2312" w:cs="Times New Roman"/>
                <w:color w:val="auto"/>
                <w:sz w:val="21"/>
                <w:szCs w:val="21"/>
                <w:highlight w:val="none"/>
              </w:rPr>
              <w:t>需求》”-“四、技术要求”-“（一）交调系统数据采集所需设备及要求”除“★”外所有技术参数响应情况进行评审，满分为</w:t>
            </w:r>
            <w:r>
              <w:rPr>
                <w:rFonts w:hint="eastAsia" w:ascii="仿宋_GB2312" w:hAnsi="仿宋" w:eastAsia="仿宋_GB2312" w:cs="Times New Roman"/>
                <w:color w:val="auto"/>
                <w:sz w:val="21"/>
                <w:szCs w:val="21"/>
                <w:highlight w:val="none"/>
                <w:lang w:val="en-US" w:eastAsia="zh-CN"/>
              </w:rPr>
              <w:t>17</w:t>
            </w:r>
            <w:r>
              <w:rPr>
                <w:rFonts w:hint="eastAsia" w:ascii="仿宋_GB2312" w:hAnsi="仿宋" w:eastAsia="仿宋_GB2312" w:cs="Times New Roman"/>
                <w:color w:val="auto"/>
                <w:sz w:val="21"/>
                <w:szCs w:val="21"/>
                <w:highlight w:val="none"/>
              </w:rPr>
              <w:t>分</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其中：</w:t>
            </w:r>
          </w:p>
          <w:p w14:paraId="0E8A94FC">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1.“▲”参数每有一项未响应或响应为“负偏离”的，扣</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分,扣完为止</w:t>
            </w:r>
            <w:r>
              <w:rPr>
                <w:rFonts w:hint="eastAsia" w:ascii="仿宋_GB2312" w:hAnsi="仿宋" w:eastAsia="仿宋_GB2312" w:cs="Times New Roman"/>
                <w:color w:val="auto"/>
                <w:sz w:val="21"/>
                <w:szCs w:val="21"/>
                <w:highlight w:val="none"/>
                <w:lang w:eastAsia="zh-CN"/>
              </w:rPr>
              <w:t>。</w:t>
            </w:r>
          </w:p>
          <w:p w14:paraId="46C84636">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2.一般参数每有一项未响应或响应为“负偏离”的，扣0.</w:t>
            </w:r>
            <w:r>
              <w:rPr>
                <w:rFonts w:hint="default" w:ascii="仿宋_GB2312" w:hAnsi="仿宋" w:eastAsia="仿宋_GB2312" w:cs="Times New Roman"/>
                <w:color w:val="auto"/>
                <w:sz w:val="21"/>
                <w:szCs w:val="21"/>
                <w:highlight w:val="none"/>
                <w:lang w:val="en-US"/>
              </w:rPr>
              <w:t>1</w:t>
            </w:r>
            <w:r>
              <w:rPr>
                <w:rFonts w:hint="eastAsia" w:ascii="仿宋_GB2312" w:hAnsi="仿宋" w:eastAsia="仿宋_GB2312" w:cs="Times New Roman"/>
                <w:color w:val="auto"/>
                <w:sz w:val="21"/>
                <w:szCs w:val="21"/>
                <w:highlight w:val="none"/>
              </w:rPr>
              <w:t>分，直到扣完为止。</w:t>
            </w:r>
          </w:p>
          <w:p w14:paraId="4F3B96BE">
            <w:pPr>
              <w:adjustRightInd/>
              <w:snapToGrid/>
              <w:spacing w:line="340" w:lineRule="exact"/>
              <w:ind w:firstLine="0" w:firstLineChars="0"/>
              <w:rPr>
                <w:rFonts w:hint="default" w:eastAsia="仿宋_GB2312"/>
                <w:color w:val="auto"/>
                <w:sz w:val="21"/>
                <w:highlight w:val="none"/>
                <w:lang w:val="en-US" w:eastAsia="zh-CN"/>
              </w:rPr>
            </w:pPr>
            <w:r>
              <w:rPr>
                <w:rFonts w:hint="eastAsia" w:ascii="仿宋_GB2312" w:hAnsi="仿宋" w:eastAsia="仿宋_GB2312" w:cs="Times New Roman"/>
                <w:color w:val="auto"/>
                <w:sz w:val="21"/>
                <w:szCs w:val="21"/>
                <w:highlight w:val="none"/>
              </w:rPr>
              <w:t>注：投标人须根据所投产品</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按要求如实填写《技术和服务要求响应表》，逐项对应</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未对应填写的视为未响应。如需求有明确要求提供的材料应按需求提供</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未按要求提供该项不得分。</w:t>
            </w:r>
          </w:p>
        </w:tc>
      </w:tr>
      <w:tr w14:paraId="4EF5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Borders>
              <w:top w:val="single" w:color="auto" w:sz="4" w:space="0"/>
              <w:left w:val="single" w:color="auto" w:sz="12" w:space="0"/>
              <w:bottom w:val="single" w:color="auto" w:sz="4" w:space="0"/>
            </w:tcBorders>
            <w:vAlign w:val="center"/>
          </w:tcPr>
          <w:p w14:paraId="4DA55545">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p>
        </w:tc>
        <w:tc>
          <w:tcPr>
            <w:tcW w:w="1361" w:type="dxa"/>
            <w:tcBorders>
              <w:top w:val="single" w:color="auto" w:sz="4" w:space="0"/>
              <w:bottom w:val="single" w:color="auto" w:sz="4" w:space="0"/>
            </w:tcBorders>
            <w:vAlign w:val="center"/>
          </w:tcPr>
          <w:p w14:paraId="4B559296">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总体实施</w:t>
            </w:r>
          </w:p>
          <w:p w14:paraId="4099C4E4">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方案</w:t>
            </w:r>
          </w:p>
          <w:p w14:paraId="448169CA">
            <w:pPr>
              <w:adjustRightInd/>
              <w:snapToGrid/>
              <w:spacing w:line="340" w:lineRule="exact"/>
              <w:ind w:firstLine="0" w:firstLineChars="0"/>
              <w:jc w:val="center"/>
              <w:rPr>
                <w:color w:val="auto"/>
                <w:sz w:val="21"/>
                <w:highlight w:val="none"/>
              </w:rPr>
            </w:pP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6</w:t>
            </w:r>
            <w:r>
              <w:rPr>
                <w:rFonts w:hint="eastAsia" w:ascii="仿宋_GB2312" w:hAnsi="仿宋" w:eastAsia="仿宋_GB2312" w:cs="Times New Roman"/>
                <w:color w:val="auto"/>
                <w:sz w:val="21"/>
                <w:szCs w:val="21"/>
                <w:highlight w:val="none"/>
              </w:rPr>
              <w:t>分）</w:t>
            </w:r>
          </w:p>
        </w:tc>
        <w:tc>
          <w:tcPr>
            <w:tcW w:w="6095" w:type="dxa"/>
            <w:tcBorders>
              <w:top w:val="single" w:color="auto" w:sz="4" w:space="0"/>
              <w:bottom w:val="single" w:color="auto" w:sz="4" w:space="0"/>
              <w:right w:val="single" w:color="auto" w:sz="12" w:space="0"/>
            </w:tcBorders>
          </w:tcPr>
          <w:p w14:paraId="0EE7090C">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包括工程实施计划、管理方案、质量安全保证措施，设备安装、调试等工期控制的科学合理性。综合评审标准如下：</w:t>
            </w:r>
          </w:p>
          <w:p w14:paraId="463ADA70">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1.方案科学可行，各项内容完整详细，承诺保障性强，超需求预期：得</w:t>
            </w:r>
            <w:r>
              <w:rPr>
                <w:rFonts w:hint="eastAsia" w:ascii="仿宋_GB2312" w:hAnsi="仿宋" w:eastAsia="仿宋_GB2312" w:cs="Times New Roman"/>
                <w:color w:val="auto"/>
                <w:sz w:val="21"/>
                <w:szCs w:val="21"/>
                <w:highlight w:val="none"/>
                <w:lang w:val="en-US" w:eastAsia="zh-CN"/>
              </w:rPr>
              <w:t>6</w:t>
            </w:r>
            <w:r>
              <w:rPr>
                <w:rFonts w:hint="eastAsia" w:ascii="仿宋_GB2312" w:hAnsi="仿宋" w:eastAsia="仿宋_GB2312" w:cs="Times New Roman"/>
                <w:color w:val="auto"/>
                <w:sz w:val="21"/>
                <w:szCs w:val="21"/>
                <w:highlight w:val="none"/>
              </w:rPr>
              <w:t>分</w:t>
            </w:r>
            <w:r>
              <w:rPr>
                <w:rFonts w:hint="eastAsia" w:ascii="仿宋_GB2312" w:hAnsi="仿宋" w:eastAsia="仿宋_GB2312" w:cs="Times New Roman"/>
                <w:color w:val="auto"/>
                <w:sz w:val="21"/>
                <w:szCs w:val="21"/>
                <w:highlight w:val="none"/>
                <w:lang w:eastAsia="zh-CN"/>
              </w:rPr>
              <w:t>。</w:t>
            </w:r>
          </w:p>
          <w:p w14:paraId="76B1132D">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2.方案较科学可行，各项内容均有响应，提供了保障措施，满足需求：得</w:t>
            </w:r>
            <w:r>
              <w:rPr>
                <w:rFonts w:hint="eastAsia" w:ascii="仿宋_GB2312" w:hAnsi="仿宋" w:eastAsia="仿宋_GB2312" w:cs="Times New Roman"/>
                <w:color w:val="auto"/>
                <w:sz w:val="21"/>
                <w:szCs w:val="21"/>
                <w:highlight w:val="none"/>
                <w:lang w:val="en-US" w:eastAsia="zh-CN"/>
              </w:rPr>
              <w:t>4</w:t>
            </w:r>
            <w:r>
              <w:rPr>
                <w:rFonts w:hint="eastAsia" w:ascii="仿宋_GB2312" w:hAnsi="仿宋" w:eastAsia="仿宋_GB2312" w:cs="Times New Roman"/>
                <w:color w:val="auto"/>
                <w:sz w:val="21"/>
                <w:szCs w:val="21"/>
                <w:highlight w:val="none"/>
              </w:rPr>
              <w:t>分</w:t>
            </w:r>
            <w:r>
              <w:rPr>
                <w:rFonts w:hint="eastAsia" w:ascii="仿宋_GB2312" w:hAnsi="仿宋" w:eastAsia="仿宋_GB2312" w:cs="Times New Roman"/>
                <w:color w:val="auto"/>
                <w:sz w:val="21"/>
                <w:szCs w:val="21"/>
                <w:highlight w:val="none"/>
                <w:lang w:eastAsia="zh-CN"/>
              </w:rPr>
              <w:t>。</w:t>
            </w:r>
          </w:p>
          <w:p w14:paraId="027810F5">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3.方案科学性、合理性一般，不能完全满足需求：得</w:t>
            </w: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分</w:t>
            </w:r>
            <w:r>
              <w:rPr>
                <w:rFonts w:hint="eastAsia" w:ascii="仿宋_GB2312" w:hAnsi="仿宋" w:eastAsia="仿宋_GB2312" w:cs="Times New Roman"/>
                <w:color w:val="auto"/>
                <w:sz w:val="21"/>
                <w:szCs w:val="21"/>
                <w:highlight w:val="none"/>
                <w:lang w:eastAsia="zh-CN"/>
              </w:rPr>
              <w:t>。</w:t>
            </w:r>
          </w:p>
          <w:p w14:paraId="479DEC01">
            <w:pPr>
              <w:adjustRightInd/>
              <w:snapToGrid/>
              <w:spacing w:line="340" w:lineRule="exact"/>
              <w:ind w:firstLine="0" w:firstLineChars="0"/>
              <w:rPr>
                <w:color w:val="auto"/>
                <w:sz w:val="21"/>
                <w:szCs w:val="21"/>
                <w:highlight w:val="none"/>
              </w:rPr>
            </w:pPr>
            <w:r>
              <w:rPr>
                <w:rFonts w:hint="eastAsia" w:ascii="仿宋_GB2312" w:hAnsi="仿宋" w:eastAsia="仿宋_GB2312" w:cs="Times New Roman"/>
                <w:color w:val="auto"/>
                <w:sz w:val="21"/>
                <w:szCs w:val="21"/>
                <w:highlight w:val="none"/>
              </w:rPr>
              <w:t>4.无方案或方案不合理，严重偏离需求：得0分。</w:t>
            </w:r>
          </w:p>
        </w:tc>
      </w:tr>
      <w:tr w14:paraId="311C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441" w:type="dxa"/>
            <w:vMerge w:val="continue"/>
            <w:tcBorders>
              <w:top w:val="single" w:color="auto" w:sz="4" w:space="0"/>
              <w:left w:val="single" w:color="auto" w:sz="12" w:space="0"/>
              <w:bottom w:val="single" w:color="auto" w:sz="4" w:space="0"/>
            </w:tcBorders>
            <w:vAlign w:val="center"/>
          </w:tcPr>
          <w:p w14:paraId="7C302A1D">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p>
        </w:tc>
        <w:tc>
          <w:tcPr>
            <w:tcW w:w="1361" w:type="dxa"/>
            <w:tcBorders>
              <w:top w:val="single" w:color="auto" w:sz="4" w:space="0"/>
              <w:bottom w:val="single" w:color="auto" w:sz="4" w:space="0"/>
            </w:tcBorders>
            <w:vAlign w:val="center"/>
          </w:tcPr>
          <w:p w14:paraId="0EED37F9">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设计方案（</w:t>
            </w:r>
            <w:r>
              <w:rPr>
                <w:rFonts w:hint="eastAsia" w:ascii="仿宋_GB2312" w:hAnsi="仿宋" w:eastAsia="仿宋_GB2312" w:cs="Times New Roman"/>
                <w:color w:val="auto"/>
                <w:sz w:val="21"/>
                <w:szCs w:val="21"/>
                <w:highlight w:val="none"/>
                <w:lang w:val="en-US" w:eastAsia="zh-CN"/>
              </w:rPr>
              <w:t>6</w:t>
            </w:r>
            <w:r>
              <w:rPr>
                <w:rFonts w:hint="eastAsia" w:ascii="仿宋_GB2312" w:hAnsi="仿宋" w:eastAsia="仿宋_GB2312" w:cs="Times New Roman"/>
                <w:color w:val="auto"/>
                <w:sz w:val="21"/>
                <w:szCs w:val="21"/>
                <w:highlight w:val="none"/>
              </w:rPr>
              <w:t>分）</w:t>
            </w:r>
          </w:p>
        </w:tc>
        <w:tc>
          <w:tcPr>
            <w:tcW w:w="6095" w:type="dxa"/>
            <w:tcBorders>
              <w:top w:val="single" w:color="auto" w:sz="4" w:space="0"/>
              <w:bottom w:val="single" w:color="auto" w:sz="4" w:space="0"/>
              <w:right w:val="single" w:color="auto" w:sz="12" w:space="0"/>
            </w:tcBorders>
          </w:tcPr>
          <w:p w14:paraId="6A04A750">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根据投标人针对本项目技术要求编制的方案设计进行综合评审：</w:t>
            </w:r>
          </w:p>
          <w:p w14:paraId="6C22DECB">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1.设计方案完全满足需求，设计思路清晰合理，各功能模块均有详细的技术分析，可操作性强，得</w:t>
            </w:r>
            <w:r>
              <w:rPr>
                <w:rFonts w:hint="eastAsia" w:ascii="仿宋_GB2312" w:hAnsi="仿宋" w:eastAsia="仿宋_GB2312" w:cs="Times New Roman"/>
                <w:color w:val="auto"/>
                <w:sz w:val="21"/>
                <w:szCs w:val="21"/>
                <w:highlight w:val="none"/>
                <w:lang w:val="en-US" w:eastAsia="zh-CN"/>
              </w:rPr>
              <w:t>6</w:t>
            </w:r>
            <w:r>
              <w:rPr>
                <w:rFonts w:hint="eastAsia" w:ascii="仿宋_GB2312" w:hAnsi="仿宋" w:eastAsia="仿宋_GB2312" w:cs="Times New Roman"/>
                <w:color w:val="auto"/>
                <w:sz w:val="21"/>
                <w:szCs w:val="21"/>
                <w:highlight w:val="none"/>
              </w:rPr>
              <w:t>分</w:t>
            </w:r>
            <w:r>
              <w:rPr>
                <w:rFonts w:hint="eastAsia" w:ascii="仿宋_GB2312" w:hAnsi="仿宋" w:eastAsia="仿宋_GB2312" w:cs="Times New Roman"/>
                <w:color w:val="auto"/>
                <w:sz w:val="21"/>
                <w:szCs w:val="21"/>
                <w:highlight w:val="none"/>
                <w:lang w:eastAsia="zh-CN"/>
              </w:rPr>
              <w:t>。</w:t>
            </w:r>
          </w:p>
          <w:p w14:paraId="461E5A9B">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2.设计方案内容完整，基本满足需求，技术分析和操作性描述不足，得</w:t>
            </w:r>
            <w:r>
              <w:rPr>
                <w:rFonts w:hint="eastAsia" w:ascii="仿宋_GB2312" w:hAnsi="仿宋" w:eastAsia="仿宋_GB2312" w:cs="Times New Roman"/>
                <w:color w:val="auto"/>
                <w:sz w:val="21"/>
                <w:szCs w:val="21"/>
                <w:highlight w:val="none"/>
                <w:lang w:val="en-US" w:eastAsia="zh-CN"/>
              </w:rPr>
              <w:t>4</w:t>
            </w:r>
            <w:r>
              <w:rPr>
                <w:rFonts w:hint="eastAsia" w:ascii="仿宋_GB2312" w:hAnsi="仿宋" w:eastAsia="仿宋_GB2312" w:cs="Times New Roman"/>
                <w:color w:val="auto"/>
                <w:sz w:val="21"/>
                <w:szCs w:val="21"/>
                <w:highlight w:val="none"/>
              </w:rPr>
              <w:t>分</w:t>
            </w:r>
            <w:r>
              <w:rPr>
                <w:rFonts w:hint="eastAsia" w:ascii="仿宋_GB2312" w:hAnsi="仿宋" w:eastAsia="仿宋_GB2312" w:cs="Times New Roman"/>
                <w:color w:val="auto"/>
                <w:sz w:val="21"/>
                <w:szCs w:val="21"/>
                <w:highlight w:val="none"/>
                <w:lang w:eastAsia="zh-CN"/>
              </w:rPr>
              <w:t>。</w:t>
            </w:r>
          </w:p>
          <w:p w14:paraId="44318B5F">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3.设计方案简略，对投入本项目的技术方案未作详细分析，可操作性不强或不能满足采购需求，得</w:t>
            </w: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分</w:t>
            </w:r>
            <w:r>
              <w:rPr>
                <w:rFonts w:hint="eastAsia" w:ascii="仿宋_GB2312" w:hAnsi="仿宋" w:eastAsia="仿宋_GB2312" w:cs="Times New Roman"/>
                <w:color w:val="auto"/>
                <w:sz w:val="21"/>
                <w:szCs w:val="21"/>
                <w:highlight w:val="none"/>
                <w:lang w:eastAsia="zh-CN"/>
              </w:rPr>
              <w:t>。</w:t>
            </w:r>
          </w:p>
          <w:p w14:paraId="5ACB85A7">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4.无方案，得0分。</w:t>
            </w:r>
          </w:p>
        </w:tc>
      </w:tr>
      <w:tr w14:paraId="6AAD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441" w:type="dxa"/>
            <w:vMerge w:val="continue"/>
            <w:tcBorders>
              <w:top w:val="single" w:color="auto" w:sz="4" w:space="0"/>
              <w:left w:val="single" w:color="auto" w:sz="12" w:space="0"/>
            </w:tcBorders>
            <w:vAlign w:val="center"/>
          </w:tcPr>
          <w:p w14:paraId="63B5C4DF">
            <w:pPr>
              <w:adjustRightInd/>
              <w:snapToGrid/>
              <w:spacing w:line="340" w:lineRule="exact"/>
              <w:ind w:firstLine="0" w:firstLineChars="0"/>
              <w:rPr>
                <w:color w:val="auto"/>
                <w:highlight w:val="none"/>
              </w:rPr>
            </w:pPr>
          </w:p>
        </w:tc>
        <w:tc>
          <w:tcPr>
            <w:tcW w:w="1361" w:type="dxa"/>
            <w:tcBorders>
              <w:top w:val="single" w:color="auto" w:sz="4" w:space="0"/>
            </w:tcBorders>
            <w:vAlign w:val="center"/>
          </w:tcPr>
          <w:p w14:paraId="1C1E1525">
            <w:pPr>
              <w:adjustRightInd/>
              <w:snapToGrid/>
              <w:spacing w:line="340" w:lineRule="exact"/>
              <w:ind w:firstLine="0" w:firstLineChars="0"/>
              <w:rPr>
                <w:rFonts w:hint="default"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现场演示及述标</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6分）</w:t>
            </w:r>
          </w:p>
        </w:tc>
        <w:tc>
          <w:tcPr>
            <w:tcW w:w="6095" w:type="dxa"/>
            <w:tcBorders>
              <w:top w:val="single" w:color="auto" w:sz="4" w:space="0"/>
              <w:right w:val="single" w:color="auto" w:sz="12" w:space="0"/>
            </w:tcBorders>
          </w:tcPr>
          <w:p w14:paraId="4ECF2605">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投标人根据“多功能交调软件”要求提供演示文件及现场述标：1.演示：针对需求所列功能进行演示，每缺少一项的，扣0.5分，最多扣3分</w:t>
            </w:r>
            <w:r>
              <w:rPr>
                <w:rFonts w:hint="eastAsia" w:ascii="仿宋_GB2312" w:hAnsi="仿宋" w:eastAsia="仿宋_GB2312" w:cs="Times New Roman"/>
                <w:color w:val="auto"/>
                <w:sz w:val="21"/>
                <w:szCs w:val="21"/>
                <w:highlight w:val="none"/>
                <w:lang w:eastAsia="zh-CN"/>
              </w:rPr>
              <w:t>。</w:t>
            </w:r>
          </w:p>
          <w:p w14:paraId="70BA4C6D">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2.述标：投标人根据自身所提供的软件对</w:t>
            </w:r>
            <w:r>
              <w:rPr>
                <w:rFonts w:hint="eastAsia" w:ascii="仿宋_GB2312" w:hAnsi="仿宋" w:eastAsia="仿宋_GB2312" w:cs="Times New Roman"/>
                <w:color w:val="auto"/>
                <w:sz w:val="21"/>
                <w:szCs w:val="21"/>
                <w:highlight w:val="none"/>
                <w:lang w:val="en-US" w:eastAsia="zh-CN"/>
              </w:rPr>
              <w:t>普通国道</w:t>
            </w:r>
            <w:r>
              <w:rPr>
                <w:rFonts w:hint="eastAsia" w:ascii="仿宋_GB2312" w:hAnsi="仿宋" w:eastAsia="仿宋_GB2312" w:cs="Times New Roman"/>
                <w:color w:val="auto"/>
                <w:sz w:val="21"/>
                <w:szCs w:val="21"/>
                <w:highlight w:val="none"/>
              </w:rPr>
              <w:t>基础设施数字化转型的后续技术开发方向、升级方案及对采购人后续采购可提供的技术支持进行阐述：</w:t>
            </w:r>
          </w:p>
          <w:p w14:paraId="26489C7C">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（1）阐述详细，贴合</w:t>
            </w:r>
            <w:r>
              <w:rPr>
                <w:rFonts w:hint="eastAsia" w:ascii="仿宋_GB2312" w:hAnsi="仿宋" w:eastAsia="仿宋_GB2312" w:cs="Times New Roman"/>
                <w:color w:val="auto"/>
                <w:sz w:val="21"/>
                <w:szCs w:val="21"/>
                <w:highlight w:val="none"/>
                <w:lang w:val="en-US" w:eastAsia="zh-CN"/>
              </w:rPr>
              <w:t>普通国道</w:t>
            </w:r>
            <w:r>
              <w:rPr>
                <w:rFonts w:hint="eastAsia" w:ascii="仿宋_GB2312" w:hAnsi="仿宋" w:eastAsia="仿宋_GB2312" w:cs="Times New Roman"/>
                <w:color w:val="auto"/>
                <w:sz w:val="21"/>
                <w:szCs w:val="21"/>
                <w:highlight w:val="none"/>
              </w:rPr>
              <w:t>基础设施数字化转型要求，有科学可行的开发方向、升级方案及后续采购的技术支持要点及承诺的，得</w:t>
            </w: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分</w:t>
            </w:r>
            <w:r>
              <w:rPr>
                <w:rFonts w:hint="eastAsia" w:ascii="仿宋_GB2312" w:hAnsi="仿宋" w:eastAsia="仿宋_GB2312" w:cs="Times New Roman"/>
                <w:color w:val="auto"/>
                <w:sz w:val="21"/>
                <w:szCs w:val="21"/>
                <w:highlight w:val="none"/>
                <w:lang w:eastAsia="zh-CN"/>
              </w:rPr>
              <w:t>。</w:t>
            </w:r>
          </w:p>
          <w:p w14:paraId="478DF457">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（2）阐述内容完整，开发方向、升级方案及后续采购的技术支持基本符合</w:t>
            </w:r>
            <w:r>
              <w:rPr>
                <w:rFonts w:hint="eastAsia" w:ascii="仿宋_GB2312" w:hAnsi="仿宋" w:eastAsia="仿宋_GB2312" w:cs="Times New Roman"/>
                <w:color w:val="auto"/>
                <w:sz w:val="21"/>
                <w:szCs w:val="21"/>
                <w:highlight w:val="none"/>
                <w:lang w:val="en-US" w:eastAsia="zh-CN"/>
              </w:rPr>
              <w:t>普通国道</w:t>
            </w:r>
            <w:r>
              <w:rPr>
                <w:rFonts w:hint="eastAsia" w:ascii="仿宋_GB2312" w:hAnsi="仿宋" w:eastAsia="仿宋_GB2312" w:cs="Times New Roman"/>
                <w:color w:val="auto"/>
                <w:sz w:val="21"/>
                <w:szCs w:val="21"/>
                <w:highlight w:val="none"/>
              </w:rPr>
              <w:t>基础设施数字化转型要求，得2分</w:t>
            </w:r>
            <w:r>
              <w:rPr>
                <w:rFonts w:hint="eastAsia" w:ascii="仿宋_GB2312" w:hAnsi="仿宋" w:eastAsia="仿宋_GB2312" w:cs="Times New Roman"/>
                <w:color w:val="auto"/>
                <w:sz w:val="21"/>
                <w:szCs w:val="21"/>
                <w:highlight w:val="none"/>
                <w:lang w:eastAsia="zh-CN"/>
              </w:rPr>
              <w:t>。</w:t>
            </w:r>
          </w:p>
          <w:p w14:paraId="00A7BDFB">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（3）阐述内容简略，开发方向、升级方案及后续采购的技术支持可行性差，得1分</w:t>
            </w:r>
            <w:r>
              <w:rPr>
                <w:rFonts w:hint="eastAsia" w:ascii="仿宋_GB2312" w:hAnsi="仿宋" w:eastAsia="仿宋_GB2312" w:cs="Times New Roman"/>
                <w:color w:val="auto"/>
                <w:sz w:val="21"/>
                <w:szCs w:val="21"/>
                <w:highlight w:val="none"/>
                <w:lang w:eastAsia="zh-CN"/>
              </w:rPr>
              <w:t>。</w:t>
            </w:r>
          </w:p>
          <w:p w14:paraId="4FDF47E7">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（4）未提供</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得0分。</w:t>
            </w:r>
          </w:p>
          <w:p w14:paraId="6CD0C799">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备注：投标人须同时提供现场演示及述标，未提供或只提供其中一项的，本大项均不得分。现场演示及述标时间控制在5分钟内，超出时间的，评标委员会</w:t>
            </w:r>
            <w:r>
              <w:rPr>
                <w:rFonts w:hint="eastAsia" w:ascii="仿宋_GB2312" w:hAnsi="仿宋" w:eastAsia="仿宋_GB2312" w:cs="Times New Roman"/>
                <w:color w:val="auto"/>
                <w:sz w:val="21"/>
                <w:szCs w:val="21"/>
                <w:highlight w:val="none"/>
                <w:lang w:val="en-US" w:eastAsia="zh-CN"/>
              </w:rPr>
              <w:t>即</w:t>
            </w:r>
            <w:r>
              <w:rPr>
                <w:rFonts w:hint="eastAsia" w:ascii="仿宋_GB2312" w:hAnsi="仿宋" w:eastAsia="仿宋_GB2312" w:cs="Times New Roman"/>
                <w:color w:val="auto"/>
                <w:sz w:val="21"/>
                <w:szCs w:val="21"/>
                <w:highlight w:val="none"/>
              </w:rPr>
              <w:t>终止述标。投标人兼投多个包组的，只需进行一次述标，后续包组评审同一投标人</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演示述标分值不作调整。</w:t>
            </w:r>
          </w:p>
        </w:tc>
      </w:tr>
      <w:tr w14:paraId="3021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1441" w:type="dxa"/>
            <w:vMerge w:val="continue"/>
            <w:tcBorders>
              <w:left w:val="single" w:color="auto" w:sz="12" w:space="0"/>
            </w:tcBorders>
            <w:vAlign w:val="center"/>
          </w:tcPr>
          <w:p w14:paraId="32C954D0">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p>
        </w:tc>
        <w:tc>
          <w:tcPr>
            <w:tcW w:w="1361" w:type="dxa"/>
            <w:vAlign w:val="center"/>
          </w:tcPr>
          <w:p w14:paraId="486FE2CF">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售后服务</w:t>
            </w:r>
          </w:p>
          <w:p w14:paraId="7FAFAF06">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方案</w:t>
            </w:r>
          </w:p>
          <w:p w14:paraId="029196CA">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5</w:t>
            </w:r>
            <w:r>
              <w:rPr>
                <w:rFonts w:hint="eastAsia" w:ascii="仿宋_GB2312" w:hAnsi="仿宋" w:eastAsia="仿宋_GB2312" w:cs="Times New Roman"/>
                <w:color w:val="auto"/>
                <w:sz w:val="21"/>
                <w:szCs w:val="21"/>
                <w:highlight w:val="none"/>
              </w:rPr>
              <w:t>分）</w:t>
            </w:r>
          </w:p>
        </w:tc>
        <w:tc>
          <w:tcPr>
            <w:tcW w:w="6095" w:type="dxa"/>
            <w:tcBorders>
              <w:right w:val="single" w:color="auto" w:sz="12" w:space="0"/>
            </w:tcBorders>
          </w:tcPr>
          <w:p w14:paraId="4B59166E">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根据投标人售后服务方案（包含对站点运行状况、跟踪服务能力及应急措施、技术保障、培训方案等以及投标人具有的售后服务场所（或生产场所））进行综合评分：</w:t>
            </w:r>
          </w:p>
          <w:p w14:paraId="6365A496">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1.售后服务方案包含所有要素，完善有针对性，有售后服务场所（或生产场所）且维修条件、备件齐全，优于需求，得</w:t>
            </w:r>
            <w:r>
              <w:rPr>
                <w:rFonts w:hint="eastAsia" w:ascii="仿宋_GB2312" w:hAnsi="仿宋" w:eastAsia="仿宋_GB2312" w:cs="Times New Roman"/>
                <w:color w:val="auto"/>
                <w:sz w:val="21"/>
                <w:szCs w:val="21"/>
                <w:highlight w:val="none"/>
                <w:lang w:val="en-US" w:eastAsia="zh-CN"/>
              </w:rPr>
              <w:t>5</w:t>
            </w:r>
            <w:r>
              <w:rPr>
                <w:rFonts w:hint="eastAsia" w:ascii="仿宋_GB2312" w:hAnsi="仿宋" w:eastAsia="仿宋_GB2312" w:cs="Times New Roman"/>
                <w:color w:val="auto"/>
                <w:sz w:val="21"/>
                <w:szCs w:val="21"/>
                <w:highlight w:val="none"/>
              </w:rPr>
              <w:t>分</w:t>
            </w:r>
            <w:r>
              <w:rPr>
                <w:rFonts w:hint="eastAsia" w:ascii="仿宋_GB2312" w:hAnsi="仿宋" w:eastAsia="仿宋_GB2312" w:cs="Times New Roman"/>
                <w:color w:val="auto"/>
                <w:sz w:val="21"/>
                <w:szCs w:val="21"/>
                <w:highlight w:val="none"/>
                <w:lang w:eastAsia="zh-CN"/>
              </w:rPr>
              <w:t>。</w:t>
            </w:r>
          </w:p>
          <w:p w14:paraId="66149662">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2.售后服务方案完整、有售后服务场所（或生产场所），维修条件、备件情况满足需求，得</w:t>
            </w: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分</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 xml:space="preserve"> </w:t>
            </w:r>
          </w:p>
          <w:p w14:paraId="0FB0BCB8">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3.有售后服务方案、售后服务场所（或生产场所），维修条件、备件情况简陋，不能完全满足需求，得</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分</w:t>
            </w:r>
            <w:r>
              <w:rPr>
                <w:rFonts w:hint="eastAsia" w:ascii="仿宋_GB2312" w:hAnsi="仿宋" w:eastAsia="仿宋_GB2312" w:cs="Times New Roman"/>
                <w:color w:val="auto"/>
                <w:sz w:val="21"/>
                <w:szCs w:val="21"/>
                <w:highlight w:val="none"/>
                <w:lang w:eastAsia="zh-CN"/>
              </w:rPr>
              <w:t>。</w:t>
            </w:r>
          </w:p>
          <w:p w14:paraId="37DF6A9B">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4.未提供售后服务方案的，得0分。</w:t>
            </w:r>
          </w:p>
          <w:p w14:paraId="68AE889F">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注：投标人须提供售后服务方案、投标人的有效售后服务场所（或生产场所）证明材料（营业执照、房产证或已备案的租赁合同）及图片（含维修车间、备件仓库）</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不提供或证明文件不齐全，不得分。</w:t>
            </w:r>
          </w:p>
        </w:tc>
      </w:tr>
      <w:tr w14:paraId="6979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restart"/>
            <w:tcBorders>
              <w:left w:val="single" w:color="auto" w:sz="12" w:space="0"/>
            </w:tcBorders>
            <w:vAlign w:val="center"/>
          </w:tcPr>
          <w:p w14:paraId="1A93C2F1">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商务部分</w:t>
            </w:r>
          </w:p>
          <w:p w14:paraId="5DC5316D">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3</w:t>
            </w:r>
            <w:r>
              <w:rPr>
                <w:rFonts w:hint="eastAsia" w:ascii="仿宋_GB2312" w:hAnsi="仿宋" w:eastAsia="仿宋_GB2312" w:cs="Times New Roman"/>
                <w:color w:val="auto"/>
                <w:sz w:val="21"/>
                <w:szCs w:val="21"/>
                <w:highlight w:val="none"/>
              </w:rPr>
              <w:t>0分）</w:t>
            </w:r>
          </w:p>
        </w:tc>
        <w:tc>
          <w:tcPr>
            <w:tcW w:w="1361" w:type="dxa"/>
            <w:vAlign w:val="center"/>
          </w:tcPr>
          <w:p w14:paraId="5B44906B">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企业认证</w:t>
            </w:r>
          </w:p>
          <w:p w14:paraId="56E3AB7D">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6</w:t>
            </w:r>
            <w:r>
              <w:rPr>
                <w:rFonts w:hint="eastAsia" w:ascii="仿宋_GB2312" w:hAnsi="仿宋" w:eastAsia="仿宋_GB2312" w:cs="Times New Roman"/>
                <w:color w:val="auto"/>
                <w:sz w:val="21"/>
                <w:szCs w:val="21"/>
                <w:highlight w:val="none"/>
              </w:rPr>
              <w:t>分）</w:t>
            </w:r>
          </w:p>
        </w:tc>
        <w:tc>
          <w:tcPr>
            <w:tcW w:w="6095" w:type="dxa"/>
            <w:tcBorders>
              <w:right w:val="single" w:color="auto" w:sz="12" w:space="0"/>
            </w:tcBorders>
            <w:vAlign w:val="top"/>
          </w:tcPr>
          <w:p w14:paraId="18E7734F">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1.投标人具有有效的质量管理体系认证证书的，得</w:t>
            </w: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分</w:t>
            </w:r>
            <w:r>
              <w:rPr>
                <w:rFonts w:hint="eastAsia" w:ascii="仿宋_GB2312" w:hAnsi="仿宋" w:eastAsia="仿宋_GB2312" w:cs="Times New Roman"/>
                <w:color w:val="auto"/>
                <w:sz w:val="21"/>
                <w:szCs w:val="21"/>
                <w:highlight w:val="none"/>
                <w:lang w:eastAsia="zh-CN"/>
              </w:rPr>
              <w:t>。</w:t>
            </w:r>
          </w:p>
          <w:p w14:paraId="0D0C15EC">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2.投标人具有有效的信息安全管理体系认证证书，得</w:t>
            </w: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分</w:t>
            </w:r>
            <w:r>
              <w:rPr>
                <w:rFonts w:hint="eastAsia" w:ascii="仿宋_GB2312" w:hAnsi="仿宋" w:eastAsia="仿宋_GB2312" w:cs="Times New Roman"/>
                <w:color w:val="auto"/>
                <w:sz w:val="21"/>
                <w:szCs w:val="21"/>
                <w:highlight w:val="none"/>
                <w:lang w:eastAsia="zh-CN"/>
              </w:rPr>
              <w:t>。</w:t>
            </w:r>
          </w:p>
          <w:p w14:paraId="4A5A513C">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3.投标人具有有效的信息技术服务管理体系认证证书，得</w:t>
            </w: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rPr>
              <w:t>分。</w:t>
            </w:r>
          </w:p>
          <w:p w14:paraId="2B321427">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本项最高得</w:t>
            </w:r>
            <w:r>
              <w:rPr>
                <w:rFonts w:hint="eastAsia" w:ascii="仿宋_GB2312" w:hAnsi="仿宋" w:eastAsia="仿宋_GB2312" w:cs="Times New Roman"/>
                <w:color w:val="auto"/>
                <w:sz w:val="21"/>
                <w:szCs w:val="21"/>
                <w:highlight w:val="none"/>
                <w:lang w:eastAsia="zh-CN"/>
              </w:rPr>
              <w:t>6</w:t>
            </w:r>
            <w:r>
              <w:rPr>
                <w:rFonts w:hint="eastAsia" w:ascii="仿宋_GB2312" w:hAnsi="仿宋" w:eastAsia="仿宋_GB2312" w:cs="Times New Roman"/>
                <w:color w:val="auto"/>
                <w:sz w:val="21"/>
                <w:szCs w:val="21"/>
                <w:highlight w:val="none"/>
              </w:rPr>
              <w:t>分。</w:t>
            </w:r>
          </w:p>
          <w:p w14:paraId="65DAF712">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注：需提供上述相关证书的扫描件及由国家认证认可监督管理委员会官方公布的网页截图并加盖供应商公章作为证明材料，不提供不得分。新设立企业如因成立时间原因（不足3个月）未能获得的，且投标人提供书面说明的，可对应得分。</w:t>
            </w:r>
          </w:p>
        </w:tc>
      </w:tr>
      <w:tr w14:paraId="1A6B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Borders>
              <w:left w:val="single" w:color="auto" w:sz="12" w:space="0"/>
            </w:tcBorders>
            <w:vAlign w:val="center"/>
          </w:tcPr>
          <w:p w14:paraId="020B3BE2">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p>
        </w:tc>
        <w:tc>
          <w:tcPr>
            <w:tcW w:w="1361" w:type="dxa"/>
            <w:vAlign w:val="center"/>
          </w:tcPr>
          <w:p w14:paraId="18D9510A">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同类项目</w:t>
            </w:r>
          </w:p>
          <w:p w14:paraId="12038A77">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业绩</w:t>
            </w:r>
          </w:p>
          <w:p w14:paraId="5C03A73D">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10</w:t>
            </w:r>
            <w:r>
              <w:rPr>
                <w:rFonts w:hint="eastAsia" w:ascii="仿宋_GB2312" w:hAnsi="仿宋" w:eastAsia="仿宋_GB2312" w:cs="Times New Roman"/>
                <w:color w:val="auto"/>
                <w:sz w:val="21"/>
                <w:szCs w:val="21"/>
                <w:highlight w:val="none"/>
              </w:rPr>
              <w:t>分）</w:t>
            </w:r>
          </w:p>
        </w:tc>
        <w:tc>
          <w:tcPr>
            <w:tcW w:w="6095" w:type="dxa"/>
            <w:tcBorders>
              <w:right w:val="single" w:color="auto" w:sz="12" w:space="0"/>
            </w:tcBorders>
          </w:tcPr>
          <w:p w14:paraId="4FA1B504">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rPr>
              <w:t>1.自2021年1月1日（合同签订时间为准）至今，投标人承担包含公路交通情况调查站点或公路网运行监测管理信息化或公路非现场执法的同类建设项目业绩。每提供一项合同业绩得</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分，最高得</w:t>
            </w:r>
            <w:r>
              <w:rPr>
                <w:rFonts w:hint="eastAsia" w:ascii="仿宋_GB2312" w:hAnsi="仿宋" w:eastAsia="仿宋_GB2312" w:cs="Times New Roman"/>
                <w:color w:val="auto"/>
                <w:sz w:val="21"/>
                <w:szCs w:val="21"/>
                <w:highlight w:val="none"/>
                <w:lang w:val="en-US" w:eastAsia="zh-CN"/>
              </w:rPr>
              <w:t>6</w:t>
            </w:r>
            <w:r>
              <w:rPr>
                <w:rFonts w:hint="eastAsia" w:ascii="仿宋_GB2312" w:hAnsi="仿宋" w:eastAsia="仿宋_GB2312" w:cs="Times New Roman"/>
                <w:color w:val="auto"/>
                <w:sz w:val="21"/>
                <w:szCs w:val="21"/>
                <w:highlight w:val="none"/>
              </w:rPr>
              <w:t>分</w:t>
            </w:r>
            <w:r>
              <w:rPr>
                <w:rFonts w:hint="eastAsia" w:ascii="仿宋_GB2312" w:hAnsi="仿宋" w:eastAsia="仿宋_GB2312" w:cs="Times New Roman"/>
                <w:color w:val="auto"/>
                <w:sz w:val="21"/>
                <w:szCs w:val="21"/>
                <w:highlight w:val="none"/>
                <w:lang w:eastAsia="zh-CN"/>
              </w:rPr>
              <w:t>；</w:t>
            </w:r>
          </w:p>
          <w:p w14:paraId="3FE864EA">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2.自2021年1月1日（合同签订时间为准）至今，投标人承担包含公路交通情况调查站点或公路网运行监测管理信息化或公路非现场执法的同类维护项目业绩。每提供一项合同业绩得</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分，最高得</w:t>
            </w:r>
            <w:r>
              <w:rPr>
                <w:rFonts w:hint="eastAsia" w:ascii="仿宋_GB2312" w:hAnsi="仿宋" w:eastAsia="仿宋_GB2312" w:cs="Times New Roman"/>
                <w:color w:val="auto"/>
                <w:sz w:val="21"/>
                <w:szCs w:val="21"/>
                <w:highlight w:val="none"/>
                <w:lang w:val="en-US" w:eastAsia="zh-CN"/>
              </w:rPr>
              <w:t>4</w:t>
            </w:r>
            <w:r>
              <w:rPr>
                <w:rFonts w:hint="eastAsia" w:ascii="仿宋_GB2312" w:hAnsi="仿宋" w:eastAsia="仿宋_GB2312" w:cs="Times New Roman"/>
                <w:color w:val="auto"/>
                <w:sz w:val="21"/>
                <w:szCs w:val="21"/>
                <w:highlight w:val="none"/>
              </w:rPr>
              <w:t>分。</w:t>
            </w:r>
          </w:p>
          <w:p w14:paraId="40AAD8C1">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注：须同时提供合同关键页（包括合同双方的单位名称、合同金额、服务内容、签订日期、双方签署页和盖章页</w:t>
            </w:r>
            <w:r>
              <w:rPr>
                <w:rFonts w:hint="eastAsia" w:ascii="仿宋_GB2312" w:hAnsi="仿宋" w:eastAsia="仿宋_GB2312" w:cs="Times New Roman"/>
                <w:color w:val="auto"/>
                <w:sz w:val="21"/>
                <w:szCs w:val="21"/>
                <w:highlight w:val="none"/>
                <w:lang w:val="en-US" w:eastAsia="zh-CN"/>
              </w:rPr>
              <w:t>等</w:t>
            </w:r>
            <w:r>
              <w:rPr>
                <w:rFonts w:hint="eastAsia" w:ascii="仿宋_GB2312" w:hAnsi="仿宋" w:eastAsia="仿宋_GB2312" w:cs="Times New Roman"/>
                <w:color w:val="auto"/>
                <w:sz w:val="21"/>
                <w:szCs w:val="21"/>
                <w:highlight w:val="none"/>
              </w:rPr>
              <w:t>信息），不提供或提供不完整不得分。如同一项目包含建设及维护的，可同时得分</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投标人须</w:t>
            </w:r>
            <w:r>
              <w:rPr>
                <w:rFonts w:hint="eastAsia" w:ascii="仿宋_GB2312" w:hAnsi="仿宋" w:eastAsia="仿宋_GB2312" w:cs="Times New Roman"/>
                <w:color w:val="auto"/>
                <w:sz w:val="21"/>
                <w:szCs w:val="21"/>
                <w:highlight w:val="none"/>
                <w:lang w:eastAsia="zh-CN"/>
              </w:rPr>
              <w:t>在</w:t>
            </w:r>
            <w:r>
              <w:rPr>
                <w:rFonts w:hint="eastAsia" w:ascii="仿宋_GB2312" w:hAnsi="仿宋" w:eastAsia="仿宋_GB2312" w:cs="Times New Roman"/>
                <w:color w:val="auto"/>
                <w:sz w:val="21"/>
                <w:szCs w:val="21"/>
                <w:highlight w:val="none"/>
              </w:rPr>
              <w:t>合同</w:t>
            </w:r>
            <w:r>
              <w:rPr>
                <w:rFonts w:hint="eastAsia" w:ascii="仿宋_GB2312" w:hAnsi="仿宋" w:eastAsia="仿宋_GB2312" w:cs="Times New Roman"/>
                <w:color w:val="auto"/>
                <w:sz w:val="21"/>
                <w:szCs w:val="21"/>
                <w:highlight w:val="none"/>
                <w:lang w:val="en-US" w:eastAsia="zh-CN"/>
              </w:rPr>
              <w:t>页</w:t>
            </w:r>
            <w:r>
              <w:rPr>
                <w:rFonts w:hint="eastAsia" w:ascii="仿宋_GB2312" w:hAnsi="仿宋" w:eastAsia="仿宋_GB2312" w:cs="Times New Roman"/>
                <w:color w:val="auto"/>
                <w:sz w:val="21"/>
                <w:szCs w:val="21"/>
                <w:highlight w:val="none"/>
              </w:rPr>
              <w:t>标记相关内容。业绩证明可包含分公司或分支机构业绩，不包含母、子公司业绩。</w:t>
            </w:r>
          </w:p>
        </w:tc>
      </w:tr>
      <w:tr w14:paraId="42FF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0" w:hRule="atLeast"/>
        </w:trPr>
        <w:tc>
          <w:tcPr>
            <w:tcW w:w="1441" w:type="dxa"/>
            <w:vMerge w:val="continue"/>
            <w:tcBorders>
              <w:left w:val="single" w:color="auto" w:sz="12" w:space="0"/>
            </w:tcBorders>
            <w:vAlign w:val="center"/>
          </w:tcPr>
          <w:p w14:paraId="5A40B604">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p>
        </w:tc>
        <w:tc>
          <w:tcPr>
            <w:tcW w:w="1361" w:type="dxa"/>
            <w:vAlign w:val="center"/>
          </w:tcPr>
          <w:p w14:paraId="75BD2FA3">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拟派项目</w:t>
            </w:r>
          </w:p>
          <w:p w14:paraId="3D386487">
            <w:pPr>
              <w:adjustRightInd/>
              <w:snapToGrid/>
              <w:spacing w:line="340" w:lineRule="exact"/>
              <w:ind w:firstLine="0" w:firstLineChars="0"/>
              <w:jc w:val="center"/>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val="en-US" w:eastAsia="zh-CN"/>
              </w:rPr>
              <w:t>经理</w:t>
            </w:r>
          </w:p>
          <w:p w14:paraId="4D5C50FD">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（3分）</w:t>
            </w:r>
          </w:p>
        </w:tc>
        <w:tc>
          <w:tcPr>
            <w:tcW w:w="6095" w:type="dxa"/>
            <w:tcBorders>
              <w:right w:val="single" w:color="auto" w:sz="12" w:space="0"/>
            </w:tcBorders>
          </w:tcPr>
          <w:p w14:paraId="0519DB02">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投标人拟投入本项的项目经理拥有以下证书：</w:t>
            </w:r>
          </w:p>
          <w:p w14:paraId="3D259A3A">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具备包括公路交通情况调查站点或公路网运行监测管理信息化或公路非现场执法的同类建设维护项目从业经验</w:t>
            </w:r>
            <w:r>
              <w:rPr>
                <w:rFonts w:hint="eastAsia" w:ascii="仿宋_GB2312" w:hAnsi="仿宋" w:eastAsia="仿宋_GB2312" w:cs="Times New Roman"/>
                <w:color w:val="auto"/>
                <w:sz w:val="21"/>
                <w:szCs w:val="21"/>
                <w:highlight w:val="none"/>
                <w:lang w:val="en-US" w:eastAsia="zh-CN"/>
              </w:rPr>
              <w:t>5</w:t>
            </w:r>
            <w:r>
              <w:rPr>
                <w:rFonts w:hint="eastAsia" w:ascii="仿宋_GB2312" w:hAnsi="仿宋" w:eastAsia="仿宋_GB2312" w:cs="Times New Roman"/>
                <w:color w:val="auto"/>
                <w:sz w:val="21"/>
                <w:szCs w:val="21"/>
                <w:highlight w:val="none"/>
              </w:rPr>
              <w:t>年</w:t>
            </w:r>
            <w:r>
              <w:rPr>
                <w:rFonts w:hint="eastAsia" w:ascii="仿宋_GB2312" w:hAnsi="仿宋" w:eastAsia="仿宋_GB2312" w:cs="Times New Roman"/>
                <w:color w:val="auto"/>
                <w:sz w:val="21"/>
                <w:szCs w:val="21"/>
                <w:highlight w:val="none"/>
                <w:lang w:val="en-US" w:eastAsia="zh-CN"/>
              </w:rPr>
              <w:t>或</w:t>
            </w:r>
            <w:r>
              <w:rPr>
                <w:rFonts w:hint="eastAsia" w:ascii="仿宋_GB2312" w:hAnsi="仿宋" w:eastAsia="仿宋_GB2312" w:cs="Times New Roman"/>
                <w:color w:val="auto"/>
                <w:sz w:val="21"/>
                <w:szCs w:val="21"/>
                <w:highlight w:val="none"/>
              </w:rPr>
              <w:t>以上的，得1分；从业经验时间按202</w:t>
            </w:r>
            <w:r>
              <w:rPr>
                <w:rFonts w:hint="eastAsia" w:ascii="仿宋_GB2312" w:hAnsi="仿宋" w:eastAsia="仿宋_GB2312" w:cs="Times New Roman"/>
                <w:color w:val="auto"/>
                <w:sz w:val="21"/>
                <w:szCs w:val="21"/>
                <w:highlight w:val="none"/>
                <w:lang w:val="en-US" w:eastAsia="zh-CN"/>
              </w:rPr>
              <w:t>0</w:t>
            </w:r>
            <w:r>
              <w:rPr>
                <w:rFonts w:hint="eastAsia" w:ascii="仿宋_GB2312" w:hAnsi="仿宋" w:eastAsia="仿宋_GB2312" w:cs="Times New Roman"/>
                <w:color w:val="auto"/>
                <w:sz w:val="21"/>
                <w:szCs w:val="21"/>
                <w:highlight w:val="none"/>
              </w:rPr>
              <w:t>年1</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月</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1日前的同类项目合同签订时间计算</w:t>
            </w:r>
            <w:r>
              <w:rPr>
                <w:rFonts w:hint="eastAsia" w:ascii="仿宋_GB2312" w:hAnsi="仿宋" w:eastAsia="仿宋_GB2312" w:cs="Times New Roman"/>
                <w:color w:val="auto"/>
                <w:sz w:val="21"/>
                <w:szCs w:val="21"/>
                <w:highlight w:val="none"/>
                <w:lang w:val="en-US" w:eastAsia="zh-CN"/>
              </w:rPr>
              <w:t>。</w:t>
            </w:r>
            <w:r>
              <w:rPr>
                <w:rFonts w:hint="eastAsia" w:ascii="仿宋_GB2312" w:hAnsi="仿宋" w:eastAsia="仿宋_GB2312" w:cs="Times New Roman"/>
                <w:color w:val="auto"/>
                <w:sz w:val="21"/>
                <w:szCs w:val="21"/>
                <w:highlight w:val="none"/>
              </w:rPr>
              <w:t>提供项目</w:t>
            </w:r>
            <w:r>
              <w:rPr>
                <w:rFonts w:hint="eastAsia" w:ascii="仿宋_GB2312" w:hAnsi="仿宋" w:eastAsia="仿宋_GB2312" w:cs="Times New Roman"/>
                <w:color w:val="auto"/>
                <w:sz w:val="21"/>
                <w:szCs w:val="21"/>
                <w:highlight w:val="none"/>
                <w:lang w:eastAsia="zh-CN"/>
              </w:rPr>
              <w:t>经理</w:t>
            </w:r>
            <w:r>
              <w:rPr>
                <w:rFonts w:hint="eastAsia" w:ascii="仿宋_GB2312" w:hAnsi="仿宋" w:eastAsia="仿宋_GB2312" w:cs="Times New Roman"/>
                <w:color w:val="auto"/>
                <w:sz w:val="21"/>
                <w:szCs w:val="21"/>
                <w:highlight w:val="none"/>
              </w:rPr>
              <w:t>参与同类项目的合同扫描件，合同未标注项目</w:t>
            </w:r>
            <w:r>
              <w:rPr>
                <w:rFonts w:hint="eastAsia" w:ascii="仿宋_GB2312" w:hAnsi="仿宋" w:eastAsia="仿宋_GB2312" w:cs="Times New Roman"/>
                <w:color w:val="auto"/>
                <w:sz w:val="21"/>
                <w:szCs w:val="21"/>
                <w:highlight w:val="none"/>
                <w:lang w:eastAsia="zh-CN"/>
              </w:rPr>
              <w:t>经理</w:t>
            </w:r>
            <w:r>
              <w:rPr>
                <w:rFonts w:hint="eastAsia" w:ascii="仿宋_GB2312" w:hAnsi="仿宋" w:eastAsia="仿宋_GB2312" w:cs="Times New Roman"/>
                <w:color w:val="auto"/>
                <w:sz w:val="21"/>
                <w:szCs w:val="21"/>
                <w:highlight w:val="none"/>
              </w:rPr>
              <w:t>信息的，需附上项目</w:t>
            </w:r>
            <w:r>
              <w:rPr>
                <w:rFonts w:hint="eastAsia" w:ascii="仿宋_GB2312" w:hAnsi="仿宋" w:eastAsia="仿宋_GB2312" w:cs="Times New Roman"/>
                <w:color w:val="auto"/>
                <w:sz w:val="21"/>
                <w:szCs w:val="21"/>
                <w:highlight w:val="none"/>
                <w:lang w:eastAsia="zh-CN"/>
              </w:rPr>
              <w:t>经理</w:t>
            </w:r>
            <w:r>
              <w:rPr>
                <w:rFonts w:hint="eastAsia" w:ascii="仿宋_GB2312" w:hAnsi="仿宋" w:eastAsia="仿宋_GB2312" w:cs="Times New Roman"/>
                <w:color w:val="auto"/>
                <w:sz w:val="21"/>
                <w:szCs w:val="21"/>
                <w:highlight w:val="none"/>
              </w:rPr>
              <w:t>参与该项目的证明文件（如业主单位出具的证明文件或项目验收报告等），否则不得分</w:t>
            </w:r>
            <w:r>
              <w:rPr>
                <w:rFonts w:hint="eastAsia" w:ascii="仿宋_GB2312" w:hAnsi="仿宋" w:eastAsia="仿宋_GB2312" w:cs="Times New Roman"/>
                <w:color w:val="auto"/>
                <w:sz w:val="21"/>
                <w:szCs w:val="21"/>
                <w:highlight w:val="none"/>
                <w:lang w:eastAsia="zh-CN"/>
              </w:rPr>
              <w:t>。</w:t>
            </w:r>
          </w:p>
          <w:p w14:paraId="4CE05F00">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具备由人力资源和社会保障部（或工业和信息化部）颁发的高级计算机技术与软件专业技术资格证书的，得2分；由人力资源和社会保障部（或工业和信息化部）颁发的中级计算机技术与软件专业技术资格证书的，得1分</w:t>
            </w:r>
            <w:r>
              <w:rPr>
                <w:rFonts w:hint="eastAsia" w:ascii="仿宋_GB2312" w:hAnsi="仿宋" w:eastAsia="仿宋_GB2312" w:cs="Times New Roman"/>
                <w:color w:val="auto"/>
                <w:sz w:val="21"/>
                <w:szCs w:val="21"/>
                <w:highlight w:val="none"/>
                <w:lang w:val="en-US" w:eastAsia="zh-CN"/>
              </w:rPr>
              <w:t>。</w:t>
            </w:r>
            <w:r>
              <w:rPr>
                <w:rFonts w:hint="eastAsia" w:ascii="仿宋_GB2312" w:hAnsi="仿宋" w:eastAsia="仿宋_GB2312" w:cs="Times New Roman"/>
                <w:color w:val="auto"/>
                <w:sz w:val="21"/>
                <w:szCs w:val="21"/>
                <w:highlight w:val="none"/>
              </w:rPr>
              <w:t>不重复计分，按最高一档计算，最高得2分</w:t>
            </w:r>
            <w:r>
              <w:rPr>
                <w:rFonts w:hint="eastAsia" w:ascii="仿宋_GB2312" w:hAnsi="仿宋" w:eastAsia="仿宋_GB2312" w:cs="Times New Roman"/>
                <w:color w:val="auto"/>
                <w:sz w:val="21"/>
                <w:szCs w:val="21"/>
                <w:highlight w:val="none"/>
                <w:lang w:eastAsia="zh-CN"/>
              </w:rPr>
              <w:t>。</w:t>
            </w:r>
          </w:p>
          <w:p w14:paraId="0A672BC5">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注：提供相应人员（限一人）的身份证、资格证书等有效期内的相关证明文件扫描件及与</w:t>
            </w:r>
            <w:r>
              <w:rPr>
                <w:rFonts w:hint="eastAsia" w:ascii="仿宋_GB2312" w:hAnsi="仿宋" w:eastAsia="仿宋_GB2312" w:cs="Times New Roman"/>
                <w:color w:val="auto"/>
                <w:sz w:val="21"/>
                <w:szCs w:val="21"/>
                <w:highlight w:val="none"/>
                <w:lang w:val="en-US" w:eastAsia="zh-CN"/>
              </w:rPr>
              <w:t>投标人</w:t>
            </w:r>
            <w:r>
              <w:rPr>
                <w:rFonts w:hint="eastAsia" w:ascii="仿宋_GB2312" w:hAnsi="仿宋" w:eastAsia="仿宋_GB2312" w:cs="Times New Roman"/>
                <w:color w:val="auto"/>
                <w:sz w:val="21"/>
                <w:szCs w:val="21"/>
                <w:highlight w:val="none"/>
              </w:rPr>
              <w:t>名称一致的开标前3个月任意一个月社保证明并加盖</w:t>
            </w:r>
            <w:r>
              <w:rPr>
                <w:rFonts w:hint="eastAsia" w:ascii="仿宋_GB2312" w:hAnsi="仿宋" w:eastAsia="仿宋_GB2312" w:cs="Times New Roman"/>
                <w:color w:val="auto"/>
                <w:sz w:val="21"/>
                <w:szCs w:val="21"/>
                <w:highlight w:val="none"/>
                <w:lang w:val="en-US" w:eastAsia="zh-CN"/>
              </w:rPr>
              <w:t>投标人</w:t>
            </w:r>
            <w:r>
              <w:rPr>
                <w:rFonts w:hint="eastAsia" w:ascii="仿宋_GB2312" w:hAnsi="仿宋" w:eastAsia="仿宋_GB2312" w:cs="Times New Roman"/>
                <w:color w:val="auto"/>
                <w:sz w:val="21"/>
                <w:szCs w:val="21"/>
                <w:highlight w:val="none"/>
              </w:rPr>
              <w:t>公章作为证明材料</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否则不得分。</w:t>
            </w:r>
          </w:p>
        </w:tc>
      </w:tr>
      <w:tr w14:paraId="09C8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Borders>
              <w:left w:val="single" w:color="auto" w:sz="12" w:space="0"/>
            </w:tcBorders>
            <w:vAlign w:val="center"/>
          </w:tcPr>
          <w:p w14:paraId="5414204C">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p>
        </w:tc>
        <w:tc>
          <w:tcPr>
            <w:tcW w:w="1361" w:type="dxa"/>
            <w:vAlign w:val="center"/>
          </w:tcPr>
          <w:p w14:paraId="60D04AA3">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拟派项目</w:t>
            </w:r>
          </w:p>
          <w:p w14:paraId="11F82671">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人员</w:t>
            </w:r>
          </w:p>
          <w:p w14:paraId="536D6D47">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w:t>
            </w:r>
            <w:r>
              <w:rPr>
                <w:rFonts w:hint="eastAsia" w:ascii="仿宋_GB2312" w:hAnsi="仿宋" w:eastAsia="仿宋_GB2312" w:cs="Times New Roman"/>
                <w:color w:val="auto"/>
                <w:sz w:val="21"/>
                <w:szCs w:val="21"/>
                <w:highlight w:val="none"/>
                <w:lang w:val="en-US" w:eastAsia="zh-CN"/>
              </w:rPr>
              <w:t>11</w:t>
            </w:r>
            <w:r>
              <w:rPr>
                <w:rFonts w:hint="eastAsia" w:ascii="仿宋_GB2312" w:hAnsi="仿宋" w:eastAsia="仿宋_GB2312" w:cs="Times New Roman"/>
                <w:color w:val="auto"/>
                <w:sz w:val="21"/>
                <w:szCs w:val="21"/>
                <w:highlight w:val="none"/>
              </w:rPr>
              <w:t>分）</w:t>
            </w:r>
          </w:p>
        </w:tc>
        <w:tc>
          <w:tcPr>
            <w:tcW w:w="6095" w:type="dxa"/>
            <w:tcBorders>
              <w:right w:val="single" w:color="auto" w:sz="12" w:space="0"/>
            </w:tcBorders>
          </w:tcPr>
          <w:p w14:paraId="21B8E036">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1.投标人拟投入本项目的技术负责人（限一人，不得与项目</w:t>
            </w:r>
            <w:r>
              <w:rPr>
                <w:rFonts w:hint="eastAsia" w:ascii="仿宋_GB2312" w:hAnsi="仿宋" w:eastAsia="仿宋_GB2312" w:cs="Times New Roman"/>
                <w:color w:val="auto"/>
                <w:sz w:val="21"/>
                <w:szCs w:val="21"/>
                <w:highlight w:val="none"/>
                <w:lang w:val="en-US" w:eastAsia="zh-CN"/>
              </w:rPr>
              <w:t>经理</w:t>
            </w:r>
            <w:r>
              <w:rPr>
                <w:rFonts w:hint="eastAsia" w:ascii="仿宋_GB2312" w:hAnsi="仿宋" w:eastAsia="仿宋_GB2312" w:cs="Times New Roman"/>
                <w:color w:val="auto"/>
                <w:sz w:val="21"/>
                <w:szCs w:val="21"/>
                <w:highlight w:val="none"/>
              </w:rPr>
              <w:t>为同一人）具备以下条件：</w:t>
            </w:r>
          </w:p>
          <w:p w14:paraId="6A672DB8">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具备包括公路交通情况调查站点或公路网运行监测管理信息化或公路非现场执法的同类建设维护项目从业经验</w:t>
            </w:r>
            <w:r>
              <w:rPr>
                <w:rFonts w:hint="eastAsia" w:ascii="仿宋_GB2312" w:hAnsi="仿宋" w:eastAsia="仿宋_GB2312" w:cs="Times New Roman"/>
                <w:color w:val="auto"/>
                <w:sz w:val="21"/>
                <w:szCs w:val="21"/>
                <w:highlight w:val="none"/>
                <w:lang w:val="en-US" w:eastAsia="zh-CN"/>
              </w:rPr>
              <w:t>5</w:t>
            </w:r>
            <w:r>
              <w:rPr>
                <w:rFonts w:hint="eastAsia" w:ascii="仿宋_GB2312" w:hAnsi="仿宋" w:eastAsia="仿宋_GB2312" w:cs="Times New Roman"/>
                <w:color w:val="auto"/>
                <w:sz w:val="21"/>
                <w:szCs w:val="21"/>
                <w:highlight w:val="none"/>
              </w:rPr>
              <w:t>年</w:t>
            </w:r>
            <w:r>
              <w:rPr>
                <w:rFonts w:hint="eastAsia" w:ascii="仿宋_GB2312" w:hAnsi="仿宋" w:eastAsia="仿宋_GB2312" w:cs="Times New Roman"/>
                <w:color w:val="auto"/>
                <w:sz w:val="21"/>
                <w:szCs w:val="21"/>
                <w:highlight w:val="none"/>
                <w:lang w:val="en-US" w:eastAsia="zh-CN"/>
              </w:rPr>
              <w:t>或</w:t>
            </w:r>
            <w:r>
              <w:rPr>
                <w:rFonts w:hint="eastAsia" w:ascii="仿宋_GB2312" w:hAnsi="仿宋" w:eastAsia="仿宋_GB2312" w:cs="Times New Roman"/>
                <w:color w:val="auto"/>
                <w:sz w:val="21"/>
                <w:szCs w:val="21"/>
                <w:highlight w:val="none"/>
              </w:rPr>
              <w:t>以上的，得1分</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从业经验时间按202</w:t>
            </w:r>
            <w:r>
              <w:rPr>
                <w:rFonts w:hint="eastAsia" w:ascii="仿宋_GB2312" w:hAnsi="仿宋" w:eastAsia="仿宋_GB2312" w:cs="Times New Roman"/>
                <w:color w:val="auto"/>
                <w:sz w:val="21"/>
                <w:szCs w:val="21"/>
                <w:highlight w:val="none"/>
                <w:lang w:val="en-US" w:eastAsia="zh-CN"/>
              </w:rPr>
              <w:t>0</w:t>
            </w:r>
            <w:r>
              <w:rPr>
                <w:rFonts w:hint="eastAsia" w:ascii="仿宋_GB2312" w:hAnsi="仿宋" w:eastAsia="仿宋_GB2312" w:cs="Times New Roman"/>
                <w:color w:val="auto"/>
                <w:sz w:val="21"/>
                <w:szCs w:val="21"/>
                <w:highlight w:val="none"/>
              </w:rPr>
              <w:t>年1</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月</w:t>
            </w:r>
            <w:r>
              <w:rPr>
                <w:rFonts w:hint="eastAsia" w:ascii="仿宋_GB2312" w:hAnsi="仿宋" w:eastAsia="仿宋_GB2312" w:cs="Times New Roman"/>
                <w:color w:val="auto"/>
                <w:sz w:val="21"/>
                <w:szCs w:val="21"/>
                <w:highlight w:val="none"/>
                <w:lang w:val="en-US" w:eastAsia="zh-CN"/>
              </w:rPr>
              <w:t>1</w:t>
            </w:r>
            <w:r>
              <w:rPr>
                <w:rFonts w:hint="eastAsia" w:ascii="仿宋_GB2312" w:hAnsi="仿宋" w:eastAsia="仿宋_GB2312" w:cs="Times New Roman"/>
                <w:color w:val="auto"/>
                <w:sz w:val="21"/>
                <w:szCs w:val="21"/>
                <w:highlight w:val="none"/>
              </w:rPr>
              <w:t>1日前的同类项目合同签订时间计算</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提供技术负责人参与同类项目的合同扫描件，合同未标注技术负责人信息的，需附上技术负责人参与该项目的证明文件（如业主单位出具的证明文件或项目验收报告等），否则不得分</w:t>
            </w:r>
            <w:r>
              <w:rPr>
                <w:rFonts w:hint="eastAsia" w:ascii="仿宋_GB2312" w:hAnsi="仿宋" w:eastAsia="仿宋_GB2312" w:cs="Times New Roman"/>
                <w:color w:val="auto"/>
                <w:sz w:val="21"/>
                <w:szCs w:val="21"/>
                <w:highlight w:val="none"/>
                <w:lang w:eastAsia="zh-CN"/>
              </w:rPr>
              <w:t>。</w:t>
            </w:r>
          </w:p>
          <w:p w14:paraId="54D58F19">
            <w:pPr>
              <w:adjustRightInd/>
              <w:snapToGrid/>
              <w:spacing w:line="340" w:lineRule="exact"/>
              <w:ind w:firstLine="0" w:firstLineChars="0"/>
              <w:rPr>
                <w:rFonts w:hint="eastAsia" w:ascii="仿宋_GB2312" w:hAnsi="仿宋" w:eastAsia="仿宋_GB2312" w:cs="Times New Roman"/>
                <w:color w:val="auto"/>
                <w:sz w:val="21"/>
                <w:szCs w:val="21"/>
                <w:highlight w:val="none"/>
                <w:lang w:eastAsia="zh-CN"/>
              </w:rPr>
            </w:pP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lang w:val="en-US" w:eastAsia="zh-CN"/>
              </w:rPr>
              <w:t>2</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具备由人力资源和社会保障部（或工业和信息化部）颁发的高级计算机技术与软件专业技术资格证书的，得2分；由人力资源和社会保障部（或工业和信息化部）颁发的中级计算机技术与软件专业技术资格证书的，得1分</w:t>
            </w:r>
            <w:r>
              <w:rPr>
                <w:rFonts w:hint="eastAsia" w:ascii="仿宋_GB2312" w:hAnsi="仿宋" w:eastAsia="仿宋_GB2312" w:cs="Times New Roman"/>
                <w:color w:val="auto"/>
                <w:sz w:val="21"/>
                <w:szCs w:val="21"/>
                <w:highlight w:val="none"/>
                <w:lang w:val="en-US" w:eastAsia="zh-CN"/>
              </w:rPr>
              <w:t>。</w:t>
            </w:r>
            <w:r>
              <w:rPr>
                <w:rFonts w:hint="eastAsia" w:ascii="仿宋_GB2312" w:hAnsi="仿宋" w:eastAsia="仿宋_GB2312" w:cs="Times New Roman"/>
                <w:color w:val="auto"/>
                <w:sz w:val="21"/>
                <w:szCs w:val="21"/>
                <w:highlight w:val="none"/>
              </w:rPr>
              <w:t>不重复计分，按最高一档计算，最高得2分</w:t>
            </w:r>
            <w:r>
              <w:rPr>
                <w:rFonts w:hint="eastAsia" w:ascii="仿宋_GB2312" w:hAnsi="仿宋" w:eastAsia="仿宋_GB2312" w:cs="Times New Roman"/>
                <w:color w:val="auto"/>
                <w:sz w:val="21"/>
                <w:szCs w:val="21"/>
                <w:highlight w:val="none"/>
                <w:lang w:eastAsia="zh-CN"/>
              </w:rPr>
              <w:t>。</w:t>
            </w:r>
          </w:p>
          <w:p w14:paraId="3529A656">
            <w:pPr>
              <w:adjustRightInd/>
              <w:snapToGrid/>
              <w:spacing w:line="340" w:lineRule="exact"/>
              <w:ind w:firstLine="0" w:firstLineChars="0"/>
              <w:rPr>
                <w:rFonts w:hint="default" w:ascii="仿宋_GB2312" w:hAnsi="仿宋" w:eastAsia="仿宋_GB2312" w:cs="Times New Roman"/>
                <w:color w:val="auto"/>
                <w:sz w:val="21"/>
                <w:szCs w:val="21"/>
                <w:highlight w:val="none"/>
                <w:lang w:val="en-US" w:eastAsia="zh-CN"/>
              </w:rPr>
            </w:pPr>
            <w:r>
              <w:rPr>
                <w:rFonts w:hint="eastAsia" w:ascii="仿宋_GB2312" w:hAnsi="仿宋" w:eastAsia="仿宋_GB2312" w:cs="Times New Roman"/>
                <w:color w:val="auto"/>
                <w:sz w:val="21"/>
                <w:szCs w:val="21"/>
                <w:highlight w:val="none"/>
              </w:rPr>
              <w:t>2.为项目拟派的技术运维人员具备：人力资源和社会保障部（或工业和信息化部）颁发的中级或以上计算机技术与软件专业技术资格证书的</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每人得1分</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本小项最高得</w:t>
            </w:r>
            <w:r>
              <w:rPr>
                <w:rFonts w:hint="eastAsia" w:ascii="仿宋_GB2312" w:hAnsi="仿宋" w:eastAsia="仿宋_GB2312" w:cs="Times New Roman"/>
                <w:color w:val="auto"/>
                <w:sz w:val="21"/>
                <w:szCs w:val="21"/>
                <w:highlight w:val="none"/>
                <w:lang w:val="en-US" w:eastAsia="zh-CN"/>
              </w:rPr>
              <w:t>6</w:t>
            </w:r>
            <w:r>
              <w:rPr>
                <w:rFonts w:hint="eastAsia" w:ascii="仿宋_GB2312" w:hAnsi="仿宋" w:eastAsia="仿宋_GB2312" w:cs="Times New Roman"/>
                <w:color w:val="auto"/>
                <w:sz w:val="21"/>
                <w:szCs w:val="21"/>
                <w:highlight w:val="none"/>
              </w:rPr>
              <w:t>分。同一人不重复得分。</w:t>
            </w:r>
            <w:r>
              <w:rPr>
                <w:rFonts w:hint="eastAsia" w:ascii="仿宋_GB2312" w:hAnsi="仿宋" w:eastAsia="仿宋_GB2312" w:cs="Times New Roman"/>
                <w:color w:val="auto"/>
                <w:sz w:val="21"/>
                <w:szCs w:val="21"/>
                <w:highlight w:val="none"/>
                <w:lang w:val="en-US" w:eastAsia="zh-CN"/>
              </w:rPr>
              <w:t>投入的技术运维人员不足6人，本项整体不得分。</w:t>
            </w:r>
          </w:p>
          <w:p w14:paraId="29BF3CF4">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3.为</w:t>
            </w:r>
            <w:r>
              <w:rPr>
                <w:rFonts w:hint="eastAsia" w:ascii="仿宋_GB2312" w:hAnsi="仿宋" w:eastAsia="仿宋_GB2312" w:cs="Times New Roman"/>
                <w:color w:val="auto"/>
                <w:sz w:val="21"/>
                <w:szCs w:val="21"/>
                <w:highlight w:val="none"/>
                <w:lang w:val="en-US" w:eastAsia="zh-CN"/>
              </w:rPr>
              <w:t>本</w:t>
            </w:r>
            <w:r>
              <w:rPr>
                <w:rFonts w:hint="eastAsia" w:ascii="仿宋_GB2312" w:hAnsi="仿宋" w:eastAsia="仿宋_GB2312" w:cs="Times New Roman"/>
                <w:color w:val="auto"/>
                <w:sz w:val="21"/>
                <w:szCs w:val="21"/>
                <w:highlight w:val="none"/>
              </w:rPr>
              <w:t>项目每拟派1名大学</w:t>
            </w:r>
            <w:r>
              <w:rPr>
                <w:rFonts w:hint="eastAsia" w:ascii="仿宋_GB2312" w:hAnsi="仿宋" w:eastAsia="仿宋_GB2312" w:cs="Times New Roman"/>
                <w:color w:val="auto"/>
                <w:sz w:val="21"/>
                <w:szCs w:val="21"/>
                <w:highlight w:val="none"/>
                <w:lang w:val="en-US" w:eastAsia="zh-CN"/>
              </w:rPr>
              <w:t>本科或</w:t>
            </w:r>
            <w:r>
              <w:rPr>
                <w:rFonts w:hint="eastAsia" w:ascii="仿宋_GB2312" w:hAnsi="仿宋" w:eastAsia="仿宋_GB2312" w:cs="Times New Roman"/>
                <w:color w:val="auto"/>
                <w:sz w:val="21"/>
                <w:szCs w:val="21"/>
                <w:highlight w:val="none"/>
              </w:rPr>
              <w:t>以上学历的交调数据复核人员，得1分</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最高得2分。</w:t>
            </w:r>
            <w:r>
              <w:rPr>
                <w:rFonts w:hint="eastAsia" w:ascii="仿宋_GB2312" w:hAnsi="仿宋" w:eastAsia="仿宋_GB2312" w:cs="Times New Roman"/>
                <w:color w:val="auto"/>
                <w:sz w:val="21"/>
                <w:szCs w:val="21"/>
                <w:highlight w:val="none"/>
                <w:lang w:eastAsia="zh-CN"/>
              </w:rPr>
              <w:t>如</w:t>
            </w:r>
            <w:r>
              <w:rPr>
                <w:rFonts w:hint="eastAsia" w:ascii="仿宋_GB2312" w:hAnsi="仿宋" w:eastAsia="仿宋_GB2312" w:cs="Times New Roman"/>
                <w:color w:val="auto"/>
                <w:sz w:val="21"/>
                <w:szCs w:val="21"/>
                <w:highlight w:val="none"/>
                <w:lang w:val="en-US" w:eastAsia="zh-CN"/>
              </w:rPr>
              <w:t>投入的</w:t>
            </w:r>
            <w:r>
              <w:rPr>
                <w:rFonts w:hint="eastAsia" w:ascii="仿宋_GB2312" w:hAnsi="仿宋" w:eastAsia="仿宋_GB2312" w:cs="Times New Roman"/>
                <w:color w:val="auto"/>
                <w:sz w:val="21"/>
                <w:szCs w:val="21"/>
                <w:highlight w:val="none"/>
              </w:rPr>
              <w:t>交调数据复核人员</w:t>
            </w:r>
            <w:r>
              <w:rPr>
                <w:rFonts w:hint="eastAsia" w:ascii="仿宋_GB2312" w:hAnsi="仿宋" w:eastAsia="仿宋_GB2312" w:cs="Times New Roman"/>
                <w:color w:val="auto"/>
                <w:sz w:val="21"/>
                <w:szCs w:val="21"/>
                <w:highlight w:val="none"/>
                <w:lang w:val="en-US" w:eastAsia="zh-CN"/>
              </w:rPr>
              <w:t>不足2人，本项整体不得分。</w:t>
            </w:r>
          </w:p>
          <w:p w14:paraId="66688237">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注：拟派人员不得兼任。提供拟派项目人员名单、相应人员的身份证、资格证书、学历证书等有效期内相关证明文件扫描件及与投标人名称一致的开标前3个月任意一个月社保证明并加盖投标人公章作为证明材料，否则不得分。</w:t>
            </w:r>
          </w:p>
        </w:tc>
      </w:tr>
      <w:tr w14:paraId="728D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left w:val="single" w:color="auto" w:sz="12" w:space="0"/>
              <w:bottom w:val="single" w:color="auto" w:sz="12" w:space="0"/>
            </w:tcBorders>
            <w:vAlign w:val="center"/>
          </w:tcPr>
          <w:p w14:paraId="5D6DF9AA">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投标报价</w:t>
            </w:r>
          </w:p>
          <w:p w14:paraId="62FD6A77">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（30分）</w:t>
            </w:r>
          </w:p>
        </w:tc>
        <w:tc>
          <w:tcPr>
            <w:tcW w:w="1361" w:type="dxa"/>
            <w:tcBorders>
              <w:bottom w:val="single" w:color="auto" w:sz="12" w:space="0"/>
            </w:tcBorders>
            <w:vAlign w:val="center"/>
          </w:tcPr>
          <w:p w14:paraId="4969459C">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投标报价</w:t>
            </w:r>
          </w:p>
          <w:p w14:paraId="693129FD">
            <w:pPr>
              <w:adjustRightInd/>
              <w:snapToGrid/>
              <w:spacing w:line="3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计分</w:t>
            </w:r>
          </w:p>
        </w:tc>
        <w:tc>
          <w:tcPr>
            <w:tcW w:w="6095" w:type="dxa"/>
            <w:tcBorders>
              <w:bottom w:val="single" w:color="auto" w:sz="12" w:space="0"/>
              <w:right w:val="single" w:color="auto" w:sz="12" w:space="0"/>
            </w:tcBorders>
          </w:tcPr>
          <w:p w14:paraId="7814E8ED">
            <w:pPr>
              <w:adjustRightInd/>
              <w:snapToGrid/>
              <w:spacing w:line="340" w:lineRule="exact"/>
              <w:ind w:firstLine="0" w:firstLineChars="0"/>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投标报价计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bookmarkEnd w:id="1"/>
    </w:tbl>
    <w:p w14:paraId="7C6CFAE5">
      <w:pPr>
        <w:pStyle w:val="22"/>
        <w:outlineLvl w:val="3"/>
        <w:rPr>
          <w:rFonts w:hint="eastAsia" w:ascii="仿宋_GB2312" w:hAnsi="仿宋_GB2312" w:eastAsia="仿宋_GB2312" w:cs="仿宋_GB2312"/>
          <w:b/>
          <w:color w:val="auto"/>
          <w:sz w:val="21"/>
          <w:szCs w:val="21"/>
          <w:highlight w:val="none"/>
          <w:lang w:val="en-US" w:eastAsia="zh-CN"/>
        </w:rPr>
      </w:pPr>
    </w:p>
    <w:p w14:paraId="6E9C9A90">
      <w:pPr>
        <w:pStyle w:val="22"/>
        <w:outlineLvl w:val="3"/>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另外，</w:t>
      </w:r>
      <w:r>
        <w:rPr>
          <w:rFonts w:ascii="仿宋_GB2312" w:hAnsi="仿宋_GB2312" w:eastAsia="仿宋_GB2312" w:cs="仿宋_GB2312"/>
          <w:b/>
          <w:color w:val="auto"/>
          <w:sz w:val="21"/>
          <w:szCs w:val="21"/>
          <w:highlight w:val="none"/>
        </w:rPr>
        <w:t>价格扣除相关要求</w:t>
      </w:r>
      <w:r>
        <w:rPr>
          <w:rFonts w:hint="eastAsia" w:ascii="仿宋_GB2312" w:hAnsi="仿宋_GB2312" w:eastAsia="仿宋_GB2312" w:cs="仿宋_GB2312"/>
          <w:b/>
          <w:color w:val="auto"/>
          <w:sz w:val="21"/>
          <w:szCs w:val="21"/>
          <w:highlight w:val="none"/>
          <w:lang w:val="en-US" w:eastAsia="zh-CN"/>
        </w:rPr>
        <w:t>如下：</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8"/>
        <w:gridCol w:w="1648"/>
        <w:gridCol w:w="1278"/>
        <w:gridCol w:w="1070"/>
        <w:gridCol w:w="3994"/>
      </w:tblGrid>
      <w:tr w14:paraId="62EC6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0" w:hRule="atLeast"/>
        </w:trPr>
        <w:tc>
          <w:tcPr>
            <w:tcW w:w="796" w:type="dxa"/>
            <w:tcBorders>
              <w:top w:val="single" w:color="auto" w:sz="12" w:space="0"/>
              <w:left w:val="single" w:color="auto" w:sz="12" w:space="0"/>
              <w:bottom w:val="double" w:color="auto" w:sz="4" w:space="0"/>
              <w:right w:val="single" w:color="auto" w:sz="2" w:space="0"/>
            </w:tcBorders>
            <w:vAlign w:val="center"/>
          </w:tcPr>
          <w:p w14:paraId="0088578B">
            <w:pPr>
              <w:spacing w:line="240" w:lineRule="exact"/>
              <w:ind w:firstLine="0" w:firstLineChars="0"/>
              <w:jc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序号</w:t>
            </w:r>
          </w:p>
        </w:tc>
        <w:tc>
          <w:tcPr>
            <w:tcW w:w="1669" w:type="dxa"/>
            <w:tcBorders>
              <w:top w:val="single" w:color="auto" w:sz="12" w:space="0"/>
              <w:left w:val="single" w:color="auto" w:sz="2" w:space="0"/>
              <w:bottom w:val="double" w:color="auto" w:sz="4" w:space="0"/>
              <w:right w:val="single" w:color="auto" w:sz="2" w:space="0"/>
            </w:tcBorders>
            <w:vAlign w:val="center"/>
          </w:tcPr>
          <w:p w14:paraId="2E040AF1">
            <w:pPr>
              <w:spacing w:line="240" w:lineRule="exact"/>
              <w:ind w:firstLine="0" w:firstLineChars="0"/>
              <w:jc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情形</w:t>
            </w:r>
          </w:p>
        </w:tc>
        <w:tc>
          <w:tcPr>
            <w:tcW w:w="1282" w:type="dxa"/>
            <w:tcBorders>
              <w:top w:val="single" w:color="auto" w:sz="12" w:space="0"/>
              <w:left w:val="single" w:color="auto" w:sz="2" w:space="0"/>
              <w:bottom w:val="double" w:color="auto" w:sz="4" w:space="0"/>
              <w:right w:val="single" w:color="auto" w:sz="2" w:space="0"/>
            </w:tcBorders>
            <w:vAlign w:val="center"/>
          </w:tcPr>
          <w:p w14:paraId="66767F3C">
            <w:pPr>
              <w:adjustRightInd/>
              <w:snapToGrid/>
              <w:spacing w:line="240" w:lineRule="exact"/>
              <w:ind w:firstLine="0" w:firstLineChars="0"/>
              <w:jc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适用对象</w:t>
            </w:r>
          </w:p>
        </w:tc>
        <w:tc>
          <w:tcPr>
            <w:tcW w:w="1081" w:type="dxa"/>
            <w:tcBorders>
              <w:top w:val="single" w:color="auto" w:sz="12" w:space="0"/>
              <w:left w:val="single" w:color="auto" w:sz="2" w:space="0"/>
              <w:bottom w:val="double" w:color="auto" w:sz="4" w:space="0"/>
              <w:right w:val="single" w:color="auto" w:sz="2" w:space="0"/>
            </w:tcBorders>
            <w:vAlign w:val="center"/>
          </w:tcPr>
          <w:p w14:paraId="490F68D3">
            <w:pPr>
              <w:spacing w:line="240" w:lineRule="exact"/>
              <w:ind w:firstLine="0" w:firstLineChars="0"/>
              <w:jc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价格扣除比例</w:t>
            </w:r>
          </w:p>
        </w:tc>
        <w:tc>
          <w:tcPr>
            <w:tcW w:w="4053" w:type="dxa"/>
            <w:tcBorders>
              <w:top w:val="single" w:color="auto" w:sz="12" w:space="0"/>
              <w:left w:val="single" w:color="auto" w:sz="2" w:space="0"/>
              <w:bottom w:val="double" w:color="auto" w:sz="4" w:space="0"/>
              <w:right w:val="single" w:color="auto" w:sz="12" w:space="0"/>
            </w:tcBorders>
            <w:vAlign w:val="center"/>
          </w:tcPr>
          <w:p w14:paraId="40DF6655">
            <w:pPr>
              <w:spacing w:line="240" w:lineRule="exact"/>
              <w:ind w:firstLine="0" w:firstLineChars="0"/>
              <w:jc w:val="center"/>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计算公式</w:t>
            </w:r>
          </w:p>
        </w:tc>
      </w:tr>
      <w:tr w14:paraId="763B8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48" w:hRule="atLeast"/>
        </w:trPr>
        <w:tc>
          <w:tcPr>
            <w:tcW w:w="796" w:type="dxa"/>
            <w:tcBorders>
              <w:top w:val="double" w:color="auto" w:sz="4" w:space="0"/>
              <w:left w:val="single" w:color="auto" w:sz="12" w:space="0"/>
              <w:bottom w:val="single" w:color="auto" w:sz="2" w:space="0"/>
              <w:right w:val="single" w:color="auto" w:sz="2" w:space="0"/>
            </w:tcBorders>
            <w:vAlign w:val="center"/>
          </w:tcPr>
          <w:p w14:paraId="1C7A619F">
            <w:pPr>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w:t>
            </w:r>
          </w:p>
        </w:tc>
        <w:tc>
          <w:tcPr>
            <w:tcW w:w="1669" w:type="dxa"/>
            <w:tcBorders>
              <w:top w:val="double" w:color="auto" w:sz="4" w:space="0"/>
              <w:left w:val="single" w:color="auto" w:sz="2" w:space="0"/>
              <w:bottom w:val="single" w:color="auto" w:sz="2" w:space="0"/>
              <w:right w:val="single" w:color="auto" w:sz="2" w:space="0"/>
            </w:tcBorders>
            <w:vAlign w:val="center"/>
          </w:tcPr>
          <w:p w14:paraId="108C5FC2">
            <w:pPr>
              <w:spacing w:line="240" w:lineRule="exact"/>
              <w:ind w:firstLine="0" w:firstLineChars="0"/>
              <w:jc w:val="both"/>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小型、微型企业，监狱企业，残疾人福利性单位</w:t>
            </w:r>
          </w:p>
        </w:tc>
        <w:tc>
          <w:tcPr>
            <w:tcW w:w="1282" w:type="dxa"/>
            <w:tcBorders>
              <w:top w:val="double" w:color="auto" w:sz="4" w:space="0"/>
              <w:left w:val="single" w:color="auto" w:sz="2" w:space="0"/>
              <w:bottom w:val="single" w:color="auto" w:sz="2" w:space="0"/>
              <w:right w:val="single" w:color="auto" w:sz="2" w:space="0"/>
            </w:tcBorders>
            <w:vAlign w:val="center"/>
          </w:tcPr>
          <w:p w14:paraId="53C5A9D9">
            <w:pPr>
              <w:spacing w:line="240" w:lineRule="exact"/>
              <w:ind w:firstLine="0" w:firstLineChars="0"/>
              <w:jc w:val="both"/>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货物由小微企业制造</w:t>
            </w:r>
          </w:p>
        </w:tc>
        <w:tc>
          <w:tcPr>
            <w:tcW w:w="1081" w:type="dxa"/>
            <w:tcBorders>
              <w:top w:val="double" w:color="auto" w:sz="4" w:space="0"/>
              <w:left w:val="single" w:color="auto" w:sz="2" w:space="0"/>
              <w:bottom w:val="single" w:color="auto" w:sz="2" w:space="0"/>
              <w:right w:val="single" w:color="auto" w:sz="2" w:space="0"/>
            </w:tcBorders>
            <w:vAlign w:val="center"/>
          </w:tcPr>
          <w:p w14:paraId="2EE24FBD">
            <w:pPr>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10%</w:t>
            </w:r>
          </w:p>
        </w:tc>
        <w:tc>
          <w:tcPr>
            <w:tcW w:w="4053" w:type="dxa"/>
            <w:tcBorders>
              <w:top w:val="double" w:color="auto" w:sz="4" w:space="0"/>
              <w:left w:val="single" w:color="auto" w:sz="2" w:space="0"/>
              <w:bottom w:val="single" w:color="auto" w:sz="2" w:space="0"/>
              <w:right w:val="single" w:color="auto" w:sz="12" w:space="0"/>
            </w:tcBorders>
            <w:vAlign w:val="center"/>
          </w:tcPr>
          <w:p w14:paraId="7B717343">
            <w:pPr>
              <w:spacing w:line="240" w:lineRule="exact"/>
              <w:ind w:firstLine="420" w:firstLineChars="200"/>
              <w:jc w:val="both"/>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货物由小微企业制造，即货物由小微企业生产且使用该小微企业商号或者注册商标时，给予价格扣除C1</w:t>
            </w:r>
            <w:r>
              <w:rPr>
                <w:rFonts w:hint="eastAsia" w:ascii="仿宋_GB2312" w:hAnsi="仿宋" w:eastAsia="仿宋_GB2312" w:cs="Times New Roman"/>
                <w:color w:val="auto"/>
                <w:sz w:val="21"/>
                <w:szCs w:val="21"/>
                <w:highlight w:val="none"/>
                <w:lang w:eastAsia="zh-CN"/>
              </w:rPr>
              <w:t>。</w:t>
            </w:r>
            <w:r>
              <w:rPr>
                <w:rFonts w:hint="eastAsia" w:ascii="仿宋_GB2312" w:hAnsi="仿宋" w:eastAsia="仿宋_GB2312" w:cs="Times New Roman"/>
                <w:color w:val="auto"/>
                <w:sz w:val="21"/>
                <w:szCs w:val="21"/>
                <w:highlight w:val="none"/>
              </w:rPr>
              <w:t>即：评标价=投标报价×（1-C1）;监狱企业与残疾人福利性单位视同小型、微型企业，享受同等价格扣除，当企业属性重复时，不重复价格扣除。</w:t>
            </w:r>
          </w:p>
        </w:tc>
      </w:tr>
      <w:tr w14:paraId="77F82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796" w:type="dxa"/>
            <w:tcBorders>
              <w:top w:val="single" w:color="auto" w:sz="2" w:space="0"/>
              <w:left w:val="single" w:color="auto" w:sz="12" w:space="0"/>
              <w:bottom w:val="single" w:color="auto" w:sz="12" w:space="0"/>
              <w:right w:val="single" w:color="auto" w:sz="2" w:space="0"/>
            </w:tcBorders>
            <w:vAlign w:val="center"/>
          </w:tcPr>
          <w:p w14:paraId="05F5F541">
            <w:pPr>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2</w:t>
            </w:r>
          </w:p>
        </w:tc>
        <w:tc>
          <w:tcPr>
            <w:tcW w:w="1669" w:type="dxa"/>
            <w:tcBorders>
              <w:top w:val="single" w:color="auto" w:sz="2" w:space="0"/>
              <w:left w:val="single" w:color="auto" w:sz="2" w:space="0"/>
              <w:bottom w:val="single" w:color="auto" w:sz="12" w:space="0"/>
              <w:right w:val="single" w:color="auto" w:sz="2" w:space="0"/>
            </w:tcBorders>
            <w:vAlign w:val="center"/>
          </w:tcPr>
          <w:p w14:paraId="79ACFECB">
            <w:pPr>
              <w:spacing w:line="240" w:lineRule="exact"/>
              <w:ind w:firstLine="0" w:firstLineChars="0"/>
              <w:jc w:val="both"/>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节能、环保产品</w:t>
            </w:r>
          </w:p>
        </w:tc>
        <w:tc>
          <w:tcPr>
            <w:tcW w:w="1282" w:type="dxa"/>
            <w:tcBorders>
              <w:top w:val="single" w:color="auto" w:sz="2" w:space="0"/>
              <w:left w:val="single" w:color="auto" w:sz="2" w:space="0"/>
              <w:bottom w:val="single" w:color="auto" w:sz="12" w:space="0"/>
              <w:right w:val="single" w:color="auto" w:sz="2" w:space="0"/>
            </w:tcBorders>
            <w:vAlign w:val="center"/>
          </w:tcPr>
          <w:p w14:paraId="2779DB8E">
            <w:pPr>
              <w:spacing w:line="240" w:lineRule="exact"/>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w:t>
            </w:r>
          </w:p>
        </w:tc>
        <w:tc>
          <w:tcPr>
            <w:tcW w:w="1081" w:type="dxa"/>
            <w:tcBorders>
              <w:top w:val="single" w:color="auto" w:sz="2" w:space="0"/>
              <w:left w:val="single" w:color="auto" w:sz="2" w:space="0"/>
              <w:bottom w:val="single" w:color="auto" w:sz="12" w:space="0"/>
              <w:right w:val="single" w:color="auto" w:sz="2" w:space="0"/>
            </w:tcBorders>
            <w:vAlign w:val="center"/>
          </w:tcPr>
          <w:p w14:paraId="73CA4FFC">
            <w:pPr>
              <w:spacing w:line="240" w:lineRule="exact"/>
              <w:ind w:firstLine="0" w:firstLineChars="0"/>
              <w:jc w:val="center"/>
              <w:rPr>
                <w:rFonts w:hint="eastAsia" w:ascii="仿宋_GB2312" w:hAnsi="仿宋" w:eastAsia="仿宋_GB2312" w:cs="Times New Roman"/>
                <w:color w:val="auto"/>
                <w:sz w:val="21"/>
                <w:szCs w:val="21"/>
                <w:highlight w:val="none"/>
              </w:rPr>
            </w:pPr>
            <w:r>
              <w:rPr>
                <w:rFonts w:hint="eastAsia" w:ascii="仿宋_GB2312" w:hAnsi="仿宋" w:eastAsia="仿宋_GB2312" w:cs="Times New Roman"/>
                <w:color w:val="auto"/>
                <w:sz w:val="21"/>
                <w:szCs w:val="21"/>
                <w:highlight w:val="none"/>
              </w:rPr>
              <w:t>1%</w:t>
            </w:r>
          </w:p>
        </w:tc>
        <w:tc>
          <w:tcPr>
            <w:tcW w:w="4053" w:type="dxa"/>
            <w:tcBorders>
              <w:top w:val="single" w:color="auto" w:sz="2" w:space="0"/>
              <w:left w:val="single" w:color="auto" w:sz="2" w:space="0"/>
              <w:bottom w:val="single" w:color="auto" w:sz="12" w:space="0"/>
              <w:right w:val="single" w:color="auto" w:sz="12" w:space="0"/>
            </w:tcBorders>
            <w:vAlign w:val="center"/>
          </w:tcPr>
          <w:p w14:paraId="123909AC">
            <w:pPr>
              <w:pStyle w:val="22"/>
              <w:widowControl w:val="0"/>
              <w:spacing w:line="240" w:lineRule="exact"/>
              <w:ind w:firstLine="420" w:firstLineChars="200"/>
              <w:jc w:val="both"/>
              <w:rPr>
                <w:rFonts w:hint="default"/>
                <w:color w:val="auto"/>
                <w:highlight w:val="none"/>
              </w:rPr>
            </w:pPr>
            <w:r>
              <w:rPr>
                <w:rFonts w:ascii="仿宋_GB2312" w:hAnsi="仿宋" w:eastAsia="仿宋_GB2312" w:cs="Times New Roman"/>
                <w:color w:val="auto"/>
                <w:kern w:val="2"/>
                <w:sz w:val="21"/>
                <w:szCs w:val="21"/>
                <w:highlight w:val="none"/>
                <w:lang w:eastAsia="zh-CN"/>
              </w:rPr>
              <w:t>获得节能产品认证证书或环境标志产品认证证书的</w:t>
            </w:r>
            <w:r>
              <w:rPr>
                <w:rFonts w:hint="eastAsia" w:ascii="仿宋_GB2312" w:hAnsi="仿宋" w:eastAsia="仿宋_GB2312" w:cs="Times New Roman"/>
                <w:color w:val="auto"/>
                <w:kern w:val="2"/>
                <w:sz w:val="21"/>
                <w:szCs w:val="21"/>
                <w:highlight w:val="none"/>
                <w:lang w:val="en-US" w:eastAsia="zh-CN"/>
              </w:rPr>
              <w:t>投标货物报价占总报价30%以上的</w:t>
            </w:r>
            <w:r>
              <w:rPr>
                <w:rFonts w:ascii="仿宋_GB2312" w:hAnsi="仿宋" w:eastAsia="仿宋_GB2312" w:cs="Times New Roman"/>
                <w:color w:val="auto"/>
                <w:kern w:val="2"/>
                <w:sz w:val="21"/>
                <w:szCs w:val="21"/>
                <w:highlight w:val="none"/>
                <w:lang w:eastAsia="zh-CN"/>
              </w:rPr>
              <w:t>，给予1%的价格扣除。</w:t>
            </w:r>
          </w:p>
        </w:tc>
      </w:tr>
    </w:tbl>
    <w:p w14:paraId="3739A6E3">
      <w:pPr>
        <w:ind w:firstLine="0" w:firstLineChars="0"/>
        <w:rPr>
          <w:rFonts w:hint="eastAsia" w:ascii="仿宋_GB2312" w:hAnsi="仿宋_GB2312" w:eastAsia="仿宋_GB2312" w:cs="仿宋_GB2312"/>
          <w:color w:val="auto"/>
          <w:szCs w:val="32"/>
          <w:highlight w:val="none"/>
        </w:rPr>
      </w:pPr>
    </w:p>
    <w:p w14:paraId="451BF2C2">
      <w:pP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52242667">
      <w:pPr>
        <w:kinsoku w:val="0"/>
        <w:autoSpaceDE w:val="0"/>
        <w:autoSpaceDN w:val="0"/>
        <w:adjustRightInd w:val="0"/>
        <w:snapToGrid w:val="0"/>
        <w:spacing w:before="48" w:line="219" w:lineRule="auto"/>
        <w:ind w:left="6384"/>
        <w:jc w:val="left"/>
        <w:textAlignment w:val="baseline"/>
        <w:rPr>
          <w:rFonts w:hint="eastAsia" w:ascii="仿宋_GB2312" w:hAnsi="仿宋_GB2312" w:eastAsia="仿宋_GB2312" w:cs="仿宋_GB2312"/>
          <w:snapToGrid w:val="0"/>
          <w:color w:val="auto"/>
          <w:kern w:val="0"/>
          <w:sz w:val="32"/>
          <w:szCs w:val="32"/>
          <w:highlight w:val="none"/>
          <w:lang w:val="en-US" w:eastAsia="en-US" w:bidi="ar-SA"/>
        </w:rPr>
      </w:pPr>
      <w:r>
        <w:rPr>
          <w:rFonts w:hint="eastAsia" w:ascii="仿宋_GB2312" w:hAnsi="仿宋_GB2312" w:eastAsia="仿宋_GB2312" w:cs="仿宋_GB2312"/>
          <w:snapToGrid w:val="0"/>
          <w:color w:val="auto"/>
          <w:spacing w:val="-3"/>
          <w:kern w:val="0"/>
          <w:sz w:val="32"/>
          <w:szCs w:val="32"/>
          <w:highlight w:val="none"/>
          <w:lang w:val="en-US" w:eastAsia="en-US" w:bidi="ar-SA"/>
        </w:rPr>
        <w:t>合同编号：</w:t>
      </w:r>
    </w:p>
    <w:p w14:paraId="01EE43D3">
      <w:pPr>
        <w:widowControl/>
        <w:kinsoku w:val="0"/>
        <w:autoSpaceDE w:val="0"/>
        <w:autoSpaceDN w:val="0"/>
        <w:spacing w:line="279" w:lineRule="auto"/>
        <w:ind w:firstLine="0" w:firstLineChars="0"/>
        <w:jc w:val="left"/>
        <w:textAlignment w:val="baseline"/>
        <w:rPr>
          <w:rFonts w:hint="eastAsia" w:ascii="仿宋_GB2312" w:hAnsi="仿宋_GB2312" w:eastAsia="仿宋_GB2312" w:cs="仿宋_GB2312"/>
          <w:snapToGrid w:val="0"/>
          <w:color w:val="auto"/>
          <w:kern w:val="0"/>
          <w:sz w:val="32"/>
          <w:szCs w:val="32"/>
          <w:highlight w:val="none"/>
          <w:lang w:eastAsia="en-US"/>
        </w:rPr>
      </w:pPr>
    </w:p>
    <w:p w14:paraId="1448D3B8">
      <w:pPr>
        <w:widowControl/>
        <w:kinsoku w:val="0"/>
        <w:autoSpaceDE w:val="0"/>
        <w:autoSpaceDN w:val="0"/>
        <w:spacing w:line="279" w:lineRule="auto"/>
        <w:ind w:firstLine="0" w:firstLineChars="0"/>
        <w:jc w:val="left"/>
        <w:textAlignment w:val="baseline"/>
        <w:rPr>
          <w:rFonts w:hint="eastAsia" w:ascii="仿宋_GB2312" w:hAnsi="仿宋_GB2312" w:eastAsia="仿宋_GB2312" w:cs="仿宋_GB2312"/>
          <w:snapToGrid w:val="0"/>
          <w:color w:val="auto"/>
          <w:kern w:val="0"/>
          <w:sz w:val="32"/>
          <w:szCs w:val="32"/>
          <w:highlight w:val="none"/>
          <w:lang w:eastAsia="en-US"/>
        </w:rPr>
      </w:pPr>
    </w:p>
    <w:p w14:paraId="1C18E4E1">
      <w:pPr>
        <w:widowControl/>
        <w:kinsoku w:val="0"/>
        <w:autoSpaceDE w:val="0"/>
        <w:autoSpaceDN w:val="0"/>
        <w:spacing w:line="279" w:lineRule="auto"/>
        <w:ind w:firstLine="0" w:firstLineChars="0"/>
        <w:jc w:val="left"/>
        <w:textAlignment w:val="baseline"/>
        <w:rPr>
          <w:rFonts w:hint="eastAsia" w:ascii="仿宋_GB2312" w:hAnsi="仿宋_GB2312" w:eastAsia="仿宋_GB2312" w:cs="仿宋_GB2312"/>
          <w:snapToGrid w:val="0"/>
          <w:color w:val="auto"/>
          <w:kern w:val="0"/>
          <w:sz w:val="32"/>
          <w:szCs w:val="32"/>
          <w:highlight w:val="none"/>
          <w:lang w:eastAsia="en-US"/>
        </w:rPr>
      </w:pPr>
    </w:p>
    <w:p w14:paraId="73B056E2">
      <w:pPr>
        <w:widowControl/>
        <w:kinsoku w:val="0"/>
        <w:autoSpaceDE w:val="0"/>
        <w:autoSpaceDN w:val="0"/>
        <w:spacing w:line="279" w:lineRule="auto"/>
        <w:ind w:firstLine="0" w:firstLineChars="0"/>
        <w:jc w:val="left"/>
        <w:textAlignment w:val="baseline"/>
        <w:rPr>
          <w:rFonts w:hint="eastAsia" w:ascii="仿宋_GB2312" w:hAnsi="仿宋_GB2312" w:eastAsia="仿宋_GB2312" w:cs="仿宋_GB2312"/>
          <w:snapToGrid w:val="0"/>
          <w:color w:val="auto"/>
          <w:kern w:val="0"/>
          <w:sz w:val="32"/>
          <w:szCs w:val="32"/>
          <w:highlight w:val="none"/>
          <w:lang w:eastAsia="en-US"/>
        </w:rPr>
      </w:pPr>
    </w:p>
    <w:p w14:paraId="1F334CEC">
      <w:pPr>
        <w:widowControl/>
        <w:kinsoku w:val="0"/>
        <w:autoSpaceDE w:val="0"/>
        <w:autoSpaceDN w:val="0"/>
        <w:spacing w:line="279" w:lineRule="auto"/>
        <w:ind w:firstLine="0" w:firstLineChars="0"/>
        <w:jc w:val="left"/>
        <w:textAlignment w:val="baseline"/>
        <w:rPr>
          <w:rFonts w:hint="eastAsia" w:ascii="仿宋_GB2312" w:hAnsi="仿宋_GB2312" w:eastAsia="仿宋_GB2312" w:cs="仿宋_GB2312"/>
          <w:snapToGrid w:val="0"/>
          <w:color w:val="auto"/>
          <w:kern w:val="0"/>
          <w:sz w:val="32"/>
          <w:szCs w:val="32"/>
          <w:highlight w:val="none"/>
          <w:lang w:eastAsia="en-US"/>
        </w:rPr>
      </w:pPr>
    </w:p>
    <w:p w14:paraId="3B87C87F">
      <w:pPr>
        <w:kinsoku w:val="0"/>
        <w:autoSpaceDE w:val="0"/>
        <w:autoSpaceDN w:val="0"/>
        <w:adjustRightInd w:val="0"/>
        <w:snapToGrid w:val="0"/>
        <w:spacing w:before="0" w:line="800" w:lineRule="exact"/>
        <w:ind w:left="0" w:leftChars="0" w:firstLine="0" w:firstLineChars="0"/>
        <w:jc w:val="center"/>
        <w:textAlignment w:val="baseline"/>
        <w:rPr>
          <w:rFonts w:hint="eastAsia" w:ascii="方正小标宋简体" w:hAnsi="方正小标宋简体" w:eastAsia="方正小标宋简体" w:cs="方正小标宋简体"/>
          <w:b/>
          <w:bCs/>
          <w:snapToGrid w:val="0"/>
          <w:color w:val="auto"/>
          <w:spacing w:val="2"/>
          <w:kern w:val="0"/>
          <w:sz w:val="44"/>
          <w:szCs w:val="44"/>
          <w:highlight w:val="none"/>
          <w:lang w:val="en-US" w:eastAsia="en-US" w:bidi="ar-SA"/>
        </w:rPr>
      </w:pPr>
      <w:r>
        <w:rPr>
          <w:rFonts w:hint="eastAsia" w:ascii="方正小标宋简体" w:hAnsi="方正小标宋简体" w:eastAsia="方正小标宋简体" w:cs="方正小标宋简体"/>
          <w:b/>
          <w:bCs/>
          <w:snapToGrid w:val="0"/>
          <w:color w:val="auto"/>
          <w:spacing w:val="2"/>
          <w:kern w:val="0"/>
          <w:sz w:val="44"/>
          <w:szCs w:val="44"/>
          <w:highlight w:val="none"/>
          <w:lang w:val="en-US" w:eastAsia="en-US" w:bidi="ar-SA"/>
        </w:rPr>
        <w:t>广东省普通国道基础设施数字化转型升级</w:t>
      </w:r>
    </w:p>
    <w:p w14:paraId="049992DB">
      <w:pPr>
        <w:widowControl/>
        <w:kinsoku w:val="0"/>
        <w:autoSpaceDE w:val="0"/>
        <w:autoSpaceDN w:val="0"/>
        <w:spacing w:before="179" w:line="222" w:lineRule="auto"/>
        <w:ind w:firstLine="0" w:firstLineChars="0"/>
        <w:jc w:val="center"/>
        <w:textAlignment w:val="baseline"/>
        <w:rPr>
          <w:rFonts w:hint="eastAsia" w:ascii="方正小标宋简体" w:hAnsi="方正小标宋简体" w:eastAsia="方正小标宋简体" w:cs="方正小标宋简体"/>
          <w:snapToGrid w:val="0"/>
          <w:color w:val="auto"/>
          <w:kern w:val="0"/>
          <w:sz w:val="44"/>
          <w:szCs w:val="44"/>
          <w:highlight w:val="none"/>
          <w:lang w:eastAsia="en-US"/>
        </w:rPr>
      </w:pPr>
      <w:r>
        <w:rPr>
          <w:rFonts w:hint="eastAsia" w:ascii="方正小标宋简体" w:hAnsi="方正小标宋简体" w:eastAsia="方正小标宋简体" w:cs="方正小标宋简体"/>
          <w:b/>
          <w:bCs/>
          <w:snapToGrid w:val="0"/>
          <w:color w:val="auto"/>
          <w:spacing w:val="2"/>
          <w:kern w:val="0"/>
          <w:sz w:val="44"/>
          <w:szCs w:val="44"/>
          <w:highlight w:val="none"/>
          <w:lang w:val="en-US" w:eastAsia="en-US" w:bidi="ar-SA"/>
        </w:rPr>
        <w:t>示范工程公路交通情况调查设备采购</w:t>
      </w:r>
    </w:p>
    <w:p w14:paraId="220EDAEE">
      <w:pPr>
        <w:kinsoku w:val="0"/>
        <w:autoSpaceDE w:val="0"/>
        <w:autoSpaceDN w:val="0"/>
        <w:adjustRightInd w:val="0"/>
        <w:snapToGrid w:val="0"/>
        <w:spacing w:before="179" w:line="222" w:lineRule="auto"/>
        <w:ind w:firstLine="0" w:firstLineChars="0"/>
        <w:jc w:val="center"/>
        <w:textAlignment w:val="baseline"/>
        <w:rPr>
          <w:rFonts w:hint="eastAsia" w:ascii="方正小标宋简体" w:hAnsi="方正小标宋简体" w:eastAsia="方正小标宋简体" w:cs="方正小标宋简体"/>
          <w:snapToGrid w:val="0"/>
          <w:color w:val="auto"/>
          <w:kern w:val="0"/>
          <w:sz w:val="44"/>
          <w:szCs w:val="44"/>
          <w:highlight w:val="none"/>
          <w:lang w:val="en-US" w:eastAsia="en-US" w:bidi="ar-SA"/>
        </w:rPr>
      </w:pPr>
      <w:r>
        <w:rPr>
          <w:rFonts w:hint="eastAsia" w:ascii="方正小标宋简体" w:hAnsi="方正小标宋简体" w:eastAsia="方正小标宋简体" w:cs="方正小标宋简体"/>
          <w:b/>
          <w:bCs/>
          <w:snapToGrid w:val="0"/>
          <w:color w:val="auto"/>
          <w:spacing w:val="-4"/>
          <w:kern w:val="0"/>
          <w:sz w:val="44"/>
          <w:szCs w:val="44"/>
          <w:highlight w:val="none"/>
          <w:lang w:val="en-US" w:eastAsia="en-US" w:bidi="ar-SA"/>
        </w:rPr>
        <w:t>合同书</w:t>
      </w:r>
    </w:p>
    <w:p w14:paraId="3CA7A4DB">
      <w:pPr>
        <w:widowControl/>
        <w:kinsoku w:val="0"/>
        <w:autoSpaceDE w:val="0"/>
        <w:autoSpaceDN w:val="0"/>
        <w:spacing w:line="256" w:lineRule="auto"/>
        <w:ind w:firstLine="0" w:firstLineChars="0"/>
        <w:jc w:val="both"/>
        <w:textAlignment w:val="baseline"/>
        <w:rPr>
          <w:rFonts w:hint="eastAsia" w:ascii="仿宋_GB2312" w:hAnsi="仿宋_GB2312" w:eastAsia="仿宋_GB2312" w:cs="仿宋_GB2312"/>
          <w:snapToGrid w:val="0"/>
          <w:color w:val="auto"/>
          <w:kern w:val="0"/>
          <w:sz w:val="32"/>
          <w:szCs w:val="32"/>
          <w:highlight w:val="none"/>
          <w:lang w:eastAsia="en-US"/>
        </w:rPr>
      </w:pPr>
    </w:p>
    <w:p w14:paraId="2751E975">
      <w:pPr>
        <w:widowControl/>
        <w:kinsoku w:val="0"/>
        <w:autoSpaceDE w:val="0"/>
        <w:autoSpaceDN w:val="0"/>
        <w:spacing w:line="256" w:lineRule="auto"/>
        <w:ind w:firstLine="0" w:firstLineChars="0"/>
        <w:jc w:val="center"/>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lang w:val="en-US" w:eastAsia="zh-CN"/>
        </w:rPr>
        <w:t>适用包组1、2、3</w:t>
      </w:r>
      <w:r>
        <w:rPr>
          <w:rFonts w:hint="eastAsia" w:ascii="仿宋_GB2312" w:hAnsi="仿宋_GB2312" w:eastAsia="仿宋_GB2312" w:cs="仿宋_GB2312"/>
          <w:snapToGrid w:val="0"/>
          <w:color w:val="auto"/>
          <w:kern w:val="0"/>
          <w:sz w:val="32"/>
          <w:szCs w:val="32"/>
          <w:highlight w:val="none"/>
          <w:lang w:eastAsia="zh-CN"/>
        </w:rPr>
        <w:t>）</w:t>
      </w:r>
    </w:p>
    <w:p w14:paraId="5518818E">
      <w:pPr>
        <w:widowControl/>
        <w:kinsoku w:val="0"/>
        <w:autoSpaceDE w:val="0"/>
        <w:autoSpaceDN w:val="0"/>
        <w:spacing w:line="256" w:lineRule="auto"/>
        <w:ind w:firstLine="0" w:firstLineChars="0"/>
        <w:jc w:val="both"/>
        <w:textAlignment w:val="baseline"/>
        <w:rPr>
          <w:rFonts w:hint="eastAsia" w:ascii="仿宋_GB2312" w:hAnsi="仿宋_GB2312" w:eastAsia="仿宋_GB2312" w:cs="仿宋_GB2312"/>
          <w:snapToGrid w:val="0"/>
          <w:color w:val="auto"/>
          <w:kern w:val="0"/>
          <w:sz w:val="32"/>
          <w:szCs w:val="32"/>
          <w:highlight w:val="none"/>
          <w:lang w:eastAsia="en-US"/>
        </w:rPr>
      </w:pPr>
    </w:p>
    <w:p w14:paraId="5CB332B5">
      <w:pPr>
        <w:widowControl/>
        <w:kinsoku w:val="0"/>
        <w:autoSpaceDE w:val="0"/>
        <w:autoSpaceDN w:val="0"/>
        <w:spacing w:line="256" w:lineRule="auto"/>
        <w:ind w:firstLine="0" w:firstLineChars="0"/>
        <w:jc w:val="both"/>
        <w:textAlignment w:val="baseline"/>
        <w:rPr>
          <w:rFonts w:hint="eastAsia" w:ascii="仿宋_GB2312" w:hAnsi="仿宋_GB2312" w:eastAsia="仿宋_GB2312" w:cs="仿宋_GB2312"/>
          <w:snapToGrid w:val="0"/>
          <w:color w:val="auto"/>
          <w:kern w:val="0"/>
          <w:sz w:val="32"/>
          <w:szCs w:val="32"/>
          <w:highlight w:val="none"/>
          <w:lang w:eastAsia="en-US"/>
        </w:rPr>
      </w:pPr>
    </w:p>
    <w:p w14:paraId="0C82D789">
      <w:pPr>
        <w:widowControl/>
        <w:kinsoku w:val="0"/>
        <w:autoSpaceDE w:val="0"/>
        <w:autoSpaceDN w:val="0"/>
        <w:spacing w:line="257" w:lineRule="auto"/>
        <w:ind w:firstLine="0" w:firstLineChars="0"/>
        <w:jc w:val="both"/>
        <w:textAlignment w:val="baseline"/>
        <w:rPr>
          <w:rFonts w:hint="eastAsia" w:ascii="仿宋_GB2312" w:hAnsi="仿宋_GB2312" w:eastAsia="仿宋_GB2312" w:cs="仿宋_GB2312"/>
          <w:snapToGrid w:val="0"/>
          <w:color w:val="auto"/>
          <w:kern w:val="0"/>
          <w:sz w:val="32"/>
          <w:szCs w:val="32"/>
          <w:highlight w:val="none"/>
          <w:lang w:eastAsia="en-US"/>
        </w:rPr>
      </w:pPr>
    </w:p>
    <w:p w14:paraId="005D4788">
      <w:pPr>
        <w:widowControl/>
        <w:kinsoku w:val="0"/>
        <w:autoSpaceDE w:val="0"/>
        <w:autoSpaceDN w:val="0"/>
        <w:spacing w:line="257" w:lineRule="auto"/>
        <w:ind w:firstLine="0" w:firstLineChars="0"/>
        <w:jc w:val="both"/>
        <w:textAlignment w:val="baseline"/>
        <w:rPr>
          <w:rFonts w:hint="eastAsia" w:ascii="仿宋_GB2312" w:hAnsi="仿宋_GB2312" w:eastAsia="仿宋_GB2312" w:cs="仿宋_GB2312"/>
          <w:snapToGrid w:val="0"/>
          <w:color w:val="auto"/>
          <w:kern w:val="0"/>
          <w:sz w:val="32"/>
          <w:szCs w:val="32"/>
          <w:highlight w:val="none"/>
          <w:lang w:eastAsia="en-US"/>
        </w:rPr>
      </w:pPr>
    </w:p>
    <w:p w14:paraId="7A2942AC">
      <w:pPr>
        <w:widowControl/>
        <w:kinsoku w:val="0"/>
        <w:autoSpaceDE w:val="0"/>
        <w:autoSpaceDN w:val="0"/>
        <w:spacing w:line="257" w:lineRule="auto"/>
        <w:ind w:firstLine="0" w:firstLineChars="0"/>
        <w:jc w:val="both"/>
        <w:textAlignment w:val="baseline"/>
        <w:rPr>
          <w:rFonts w:hint="eastAsia" w:ascii="仿宋_GB2312" w:hAnsi="仿宋_GB2312" w:eastAsia="仿宋_GB2312" w:cs="仿宋_GB2312"/>
          <w:snapToGrid w:val="0"/>
          <w:color w:val="auto"/>
          <w:kern w:val="0"/>
          <w:sz w:val="32"/>
          <w:szCs w:val="32"/>
          <w:highlight w:val="none"/>
          <w:lang w:eastAsia="en-US"/>
        </w:rPr>
      </w:pPr>
    </w:p>
    <w:p w14:paraId="5F5C5F86">
      <w:pPr>
        <w:tabs>
          <w:tab w:val="left" w:pos="1280"/>
        </w:tabs>
        <w:kinsoku w:val="0"/>
        <w:autoSpaceDE w:val="0"/>
        <w:autoSpaceDN w:val="0"/>
        <w:adjustRightInd w:val="0"/>
        <w:snapToGrid w:val="0"/>
        <w:spacing w:before="100" w:line="225" w:lineRule="auto"/>
        <w:ind w:left="0" w:firstLine="0" w:firstLineChars="0"/>
        <w:jc w:val="left"/>
        <w:textAlignment w:val="baseline"/>
        <w:rPr>
          <w:rFonts w:hint="eastAsia" w:ascii="仿宋_GB2312" w:hAnsi="仿宋_GB2312" w:eastAsia="仿宋_GB2312" w:cs="仿宋_GB2312"/>
          <w:snapToGrid w:val="0"/>
          <w:color w:val="auto"/>
          <w:kern w:val="0"/>
          <w:sz w:val="32"/>
          <w:szCs w:val="32"/>
          <w:highlight w:val="none"/>
          <w:lang w:val="en-US" w:eastAsia="en-US" w:bidi="ar-SA"/>
        </w:rPr>
      </w:pPr>
      <w:r>
        <w:rPr>
          <w:rFonts w:hint="eastAsia" w:ascii="仿宋_GB2312" w:hAnsi="仿宋_GB2312" w:eastAsia="仿宋_GB2312" w:cs="仿宋_GB2312"/>
          <w:snapToGrid w:val="0"/>
          <w:color w:val="auto"/>
          <w:spacing w:val="-22"/>
          <w:kern w:val="0"/>
          <w:sz w:val="32"/>
          <w:szCs w:val="32"/>
          <w:highlight w:val="none"/>
          <w:lang w:val="en-US" w:eastAsia="zh-CN" w:bidi="ar-SA"/>
        </w:rPr>
        <w:tab/>
      </w:r>
      <w:r>
        <w:rPr>
          <w:rFonts w:hint="eastAsia" w:ascii="仿宋_GB2312" w:hAnsi="仿宋_GB2312" w:eastAsia="仿宋_GB2312" w:cs="仿宋_GB2312"/>
          <w:snapToGrid w:val="0"/>
          <w:color w:val="auto"/>
          <w:spacing w:val="-22"/>
          <w:kern w:val="0"/>
          <w:sz w:val="32"/>
          <w:szCs w:val="32"/>
          <w:highlight w:val="none"/>
          <w:lang w:val="en-US" w:eastAsia="en-US" w:bidi="ar-SA"/>
        </w:rPr>
        <w:t>项目名称：</w:t>
      </w:r>
      <w:r>
        <w:rPr>
          <w:rFonts w:hint="eastAsia" w:ascii="仿宋_GB2312" w:hAnsi="仿宋_GB2312" w:eastAsia="仿宋_GB2312" w:cs="仿宋_GB2312"/>
          <w:snapToGrid w:val="0"/>
          <w:color w:val="auto"/>
          <w:kern w:val="0"/>
          <w:sz w:val="32"/>
          <w:szCs w:val="32"/>
          <w:highlight w:val="none"/>
          <w:u w:val="single" w:color="auto"/>
          <w:lang w:val="en-US" w:eastAsia="en-US" w:bidi="ar-SA"/>
        </w:rPr>
        <w:t xml:space="preserve">                          </w:t>
      </w:r>
      <w:r>
        <w:rPr>
          <w:rFonts w:hint="eastAsia" w:ascii="仿宋_GB2312" w:hAnsi="仿宋_GB2312" w:eastAsia="仿宋_GB2312" w:cs="仿宋_GB2312"/>
          <w:snapToGrid w:val="0"/>
          <w:color w:val="auto"/>
          <w:kern w:val="0"/>
          <w:sz w:val="32"/>
          <w:szCs w:val="32"/>
          <w:highlight w:val="none"/>
          <w:u w:val="single" w:color="auto"/>
          <w:lang w:val="en-US" w:eastAsia="zh-CN" w:bidi="ar-SA"/>
        </w:rPr>
        <w:t xml:space="preserve"> </w:t>
      </w:r>
      <w:r>
        <w:rPr>
          <w:rFonts w:hint="eastAsia" w:ascii="仿宋_GB2312" w:hAnsi="仿宋_GB2312" w:eastAsia="仿宋_GB2312" w:cs="仿宋_GB2312"/>
          <w:snapToGrid w:val="0"/>
          <w:color w:val="auto"/>
          <w:kern w:val="0"/>
          <w:sz w:val="32"/>
          <w:szCs w:val="32"/>
          <w:highlight w:val="none"/>
          <w:u w:val="single" w:color="auto"/>
          <w:lang w:val="en-US" w:eastAsia="en-US" w:bidi="ar-SA"/>
        </w:rPr>
        <w:t xml:space="preserve">   </w:t>
      </w:r>
    </w:p>
    <w:p w14:paraId="664C31B5">
      <w:pPr>
        <w:tabs>
          <w:tab w:val="left" w:pos="1280"/>
        </w:tabs>
        <w:kinsoku w:val="0"/>
        <w:autoSpaceDE w:val="0"/>
        <w:autoSpaceDN w:val="0"/>
        <w:adjustRightInd w:val="0"/>
        <w:snapToGrid w:val="0"/>
        <w:spacing w:before="300" w:line="226" w:lineRule="auto"/>
        <w:ind w:left="0" w:firstLine="0" w:firstLineChars="0"/>
        <w:jc w:val="left"/>
        <w:textAlignment w:val="baseline"/>
        <w:rPr>
          <w:rFonts w:hint="eastAsia" w:ascii="仿宋_GB2312" w:hAnsi="仿宋_GB2312" w:eastAsia="仿宋_GB2312" w:cs="仿宋_GB2312"/>
          <w:snapToGrid w:val="0"/>
          <w:color w:val="auto"/>
          <w:kern w:val="0"/>
          <w:sz w:val="32"/>
          <w:szCs w:val="32"/>
          <w:highlight w:val="none"/>
          <w:u w:val="single" w:color="auto"/>
          <w:lang w:val="en-US" w:eastAsia="en-US" w:bidi="ar-SA"/>
        </w:rPr>
      </w:pPr>
      <w:r>
        <w:rPr>
          <w:rFonts w:hint="eastAsia" w:ascii="仿宋_GB2312" w:hAnsi="仿宋_GB2312" w:eastAsia="仿宋_GB2312" w:cs="仿宋_GB2312"/>
          <w:snapToGrid w:val="0"/>
          <w:color w:val="auto"/>
          <w:spacing w:val="1"/>
          <w:kern w:val="0"/>
          <w:sz w:val="32"/>
          <w:szCs w:val="32"/>
          <w:highlight w:val="none"/>
          <w:lang w:val="en-US" w:eastAsia="zh-CN" w:bidi="ar-SA"/>
        </w:rPr>
        <w:tab/>
      </w:r>
      <w:r>
        <w:rPr>
          <w:rFonts w:hint="eastAsia" w:ascii="仿宋_GB2312" w:hAnsi="仿宋_GB2312" w:eastAsia="仿宋_GB2312" w:cs="仿宋_GB2312"/>
          <w:snapToGrid w:val="0"/>
          <w:color w:val="auto"/>
          <w:spacing w:val="1"/>
          <w:kern w:val="0"/>
          <w:sz w:val="32"/>
          <w:szCs w:val="32"/>
          <w:highlight w:val="none"/>
          <w:lang w:val="en-US" w:eastAsia="en-US" w:bidi="ar-SA"/>
        </w:rPr>
        <w:t>甲方</w:t>
      </w:r>
      <w:r>
        <w:rPr>
          <w:rFonts w:hint="eastAsia" w:ascii="仿宋_GB2312" w:hAnsi="仿宋_GB2312" w:eastAsia="仿宋_GB2312" w:cs="仿宋_GB2312"/>
          <w:snapToGrid w:val="0"/>
          <w:color w:val="auto"/>
          <w:spacing w:val="1"/>
          <w:kern w:val="0"/>
          <w:sz w:val="32"/>
          <w:szCs w:val="32"/>
          <w:highlight w:val="none"/>
          <w:lang w:val="en-US" w:eastAsia="zh-CN" w:bidi="ar-SA"/>
        </w:rPr>
        <w:t>：</w:t>
      </w:r>
      <w:r>
        <w:rPr>
          <w:rFonts w:hint="eastAsia" w:ascii="仿宋_GB2312" w:hAnsi="仿宋_GB2312" w:eastAsia="仿宋_GB2312" w:cs="仿宋_GB2312"/>
          <w:snapToGrid w:val="0"/>
          <w:color w:val="auto"/>
          <w:kern w:val="0"/>
          <w:sz w:val="32"/>
          <w:szCs w:val="32"/>
          <w:highlight w:val="none"/>
          <w:u w:val="single" w:color="auto"/>
          <w:lang w:val="en-US" w:eastAsia="en-US" w:bidi="ar-SA"/>
        </w:rPr>
        <w:t xml:space="preserve">                 </w:t>
      </w:r>
      <w:r>
        <w:rPr>
          <w:rFonts w:hint="eastAsia" w:ascii="仿宋_GB2312" w:hAnsi="仿宋_GB2312" w:eastAsia="仿宋_GB2312" w:cs="仿宋_GB2312"/>
          <w:snapToGrid w:val="0"/>
          <w:color w:val="auto"/>
          <w:kern w:val="0"/>
          <w:sz w:val="32"/>
          <w:szCs w:val="32"/>
          <w:highlight w:val="none"/>
          <w:u w:val="single" w:color="auto"/>
          <w:lang w:val="en-US" w:eastAsia="zh-CN" w:bidi="ar-SA"/>
        </w:rPr>
        <w:t xml:space="preserve">    </w:t>
      </w:r>
      <w:r>
        <w:rPr>
          <w:rFonts w:hint="eastAsia" w:ascii="仿宋_GB2312" w:hAnsi="仿宋_GB2312" w:eastAsia="仿宋_GB2312" w:cs="仿宋_GB2312"/>
          <w:snapToGrid w:val="0"/>
          <w:color w:val="auto"/>
          <w:kern w:val="0"/>
          <w:sz w:val="32"/>
          <w:szCs w:val="32"/>
          <w:highlight w:val="none"/>
          <w:u w:val="single" w:color="auto"/>
          <w:lang w:val="en-US" w:eastAsia="en-US" w:bidi="ar-SA"/>
        </w:rPr>
        <w:t xml:space="preserve">     </w:t>
      </w:r>
      <w:r>
        <w:rPr>
          <w:rFonts w:hint="eastAsia" w:ascii="仿宋_GB2312" w:hAnsi="仿宋_GB2312" w:eastAsia="仿宋_GB2312" w:cs="仿宋_GB2312"/>
          <w:snapToGrid w:val="0"/>
          <w:color w:val="auto"/>
          <w:kern w:val="0"/>
          <w:sz w:val="32"/>
          <w:szCs w:val="32"/>
          <w:highlight w:val="none"/>
          <w:u w:val="single" w:color="auto"/>
          <w:lang w:val="en-US" w:eastAsia="zh-CN" w:bidi="ar-SA"/>
        </w:rPr>
        <w:t xml:space="preserve"> </w:t>
      </w:r>
      <w:r>
        <w:rPr>
          <w:rFonts w:hint="eastAsia" w:ascii="仿宋_GB2312" w:hAnsi="仿宋_GB2312" w:eastAsia="仿宋_GB2312" w:cs="仿宋_GB2312"/>
          <w:snapToGrid w:val="0"/>
          <w:color w:val="auto"/>
          <w:kern w:val="0"/>
          <w:sz w:val="32"/>
          <w:szCs w:val="32"/>
          <w:highlight w:val="none"/>
          <w:u w:val="single" w:color="auto"/>
          <w:lang w:val="en-US" w:eastAsia="en-US" w:bidi="ar-SA"/>
        </w:rPr>
        <w:t xml:space="preserve">      </w:t>
      </w:r>
    </w:p>
    <w:p w14:paraId="09962BFB">
      <w:pPr>
        <w:tabs>
          <w:tab w:val="left" w:pos="1280"/>
        </w:tabs>
        <w:kinsoku w:val="0"/>
        <w:autoSpaceDE w:val="0"/>
        <w:autoSpaceDN w:val="0"/>
        <w:adjustRightInd w:val="0"/>
        <w:snapToGrid w:val="0"/>
        <w:spacing w:before="300" w:line="226" w:lineRule="auto"/>
        <w:ind w:left="0" w:firstLine="0" w:firstLineChars="0"/>
        <w:jc w:val="left"/>
        <w:textAlignment w:val="baseline"/>
        <w:rPr>
          <w:rFonts w:hint="eastAsia" w:ascii="仿宋_GB2312" w:hAnsi="仿宋_GB2312" w:eastAsia="仿宋_GB2312" w:cs="仿宋_GB2312"/>
          <w:snapToGrid w:val="0"/>
          <w:color w:val="auto"/>
          <w:kern w:val="0"/>
          <w:sz w:val="32"/>
          <w:szCs w:val="32"/>
          <w:highlight w:val="none"/>
          <w:lang w:val="en-US" w:eastAsia="en-US" w:bidi="ar-SA"/>
        </w:rPr>
      </w:pPr>
      <w:r>
        <w:rPr>
          <w:rFonts w:hint="eastAsia" w:ascii="仿宋_GB2312" w:hAnsi="仿宋_GB2312" w:eastAsia="仿宋_GB2312" w:cs="仿宋_GB2312"/>
          <w:snapToGrid w:val="0"/>
          <w:color w:val="auto"/>
          <w:spacing w:val="19"/>
          <w:kern w:val="0"/>
          <w:sz w:val="32"/>
          <w:szCs w:val="32"/>
          <w:highlight w:val="none"/>
          <w:lang w:val="en-US" w:eastAsia="zh-CN" w:bidi="ar-SA"/>
        </w:rPr>
        <w:tab/>
      </w:r>
      <w:r>
        <w:rPr>
          <w:rFonts w:hint="eastAsia" w:ascii="仿宋_GB2312" w:hAnsi="仿宋_GB2312" w:eastAsia="仿宋_GB2312" w:cs="仿宋_GB2312"/>
          <w:snapToGrid w:val="0"/>
          <w:color w:val="auto"/>
          <w:spacing w:val="19"/>
          <w:kern w:val="0"/>
          <w:sz w:val="32"/>
          <w:szCs w:val="32"/>
          <w:highlight w:val="none"/>
          <w:lang w:val="en-US" w:eastAsia="en-US" w:bidi="ar-SA"/>
        </w:rPr>
        <w:t>乙方</w:t>
      </w:r>
      <w:r>
        <w:rPr>
          <w:rFonts w:hint="eastAsia" w:ascii="仿宋_GB2312" w:hAnsi="仿宋_GB2312" w:eastAsia="仿宋_GB2312" w:cs="仿宋_GB2312"/>
          <w:snapToGrid w:val="0"/>
          <w:color w:val="auto"/>
          <w:spacing w:val="19"/>
          <w:kern w:val="0"/>
          <w:sz w:val="32"/>
          <w:szCs w:val="32"/>
          <w:highlight w:val="none"/>
          <w:lang w:val="en-US" w:eastAsia="zh-CN" w:bidi="ar-SA"/>
        </w:rPr>
        <w:t>：</w:t>
      </w:r>
      <w:r>
        <w:rPr>
          <w:rFonts w:hint="eastAsia" w:ascii="仿宋_GB2312" w:hAnsi="仿宋_GB2312" w:eastAsia="仿宋_GB2312" w:cs="仿宋_GB2312"/>
          <w:snapToGrid w:val="0"/>
          <w:color w:val="auto"/>
          <w:kern w:val="0"/>
          <w:sz w:val="32"/>
          <w:szCs w:val="32"/>
          <w:highlight w:val="none"/>
          <w:u w:val="single" w:color="auto"/>
          <w:lang w:val="en-US" w:eastAsia="en-US" w:bidi="ar-SA"/>
        </w:rPr>
        <w:t xml:space="preserve">                   </w:t>
      </w:r>
      <w:r>
        <w:rPr>
          <w:rFonts w:hint="eastAsia" w:ascii="仿宋_GB2312" w:hAnsi="仿宋_GB2312" w:eastAsia="仿宋_GB2312" w:cs="仿宋_GB2312"/>
          <w:snapToGrid w:val="0"/>
          <w:color w:val="auto"/>
          <w:kern w:val="0"/>
          <w:sz w:val="32"/>
          <w:szCs w:val="32"/>
          <w:highlight w:val="none"/>
          <w:u w:val="single" w:color="auto"/>
          <w:lang w:val="en-US" w:eastAsia="zh-CN" w:bidi="ar-SA"/>
        </w:rPr>
        <w:t xml:space="preserve">  </w:t>
      </w:r>
      <w:r>
        <w:rPr>
          <w:rFonts w:hint="eastAsia" w:ascii="仿宋_GB2312" w:hAnsi="仿宋_GB2312" w:eastAsia="仿宋_GB2312" w:cs="仿宋_GB2312"/>
          <w:snapToGrid w:val="0"/>
          <w:color w:val="auto"/>
          <w:kern w:val="0"/>
          <w:sz w:val="32"/>
          <w:szCs w:val="32"/>
          <w:highlight w:val="none"/>
          <w:u w:val="single" w:color="auto"/>
          <w:lang w:val="en-US" w:eastAsia="en-US" w:bidi="ar-SA"/>
        </w:rPr>
        <w:t xml:space="preserve">           </w:t>
      </w:r>
    </w:p>
    <w:p w14:paraId="0EB3845A">
      <w:pPr>
        <w:tabs>
          <w:tab w:val="left" w:pos="1280"/>
        </w:tabs>
        <w:kinsoku w:val="0"/>
        <w:autoSpaceDE w:val="0"/>
        <w:autoSpaceDN w:val="0"/>
        <w:adjustRightInd w:val="0"/>
        <w:snapToGrid w:val="0"/>
        <w:spacing w:before="299" w:line="225" w:lineRule="auto"/>
        <w:ind w:left="0" w:firstLine="0" w:firstLineChars="0"/>
        <w:jc w:val="left"/>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spacing w:val="-15"/>
          <w:kern w:val="0"/>
          <w:sz w:val="32"/>
          <w:szCs w:val="32"/>
          <w:highlight w:val="none"/>
          <w:lang w:val="en-US" w:eastAsia="zh-CN" w:bidi="ar-SA"/>
        </w:rPr>
        <w:tab/>
      </w:r>
      <w:r>
        <w:rPr>
          <w:rFonts w:hint="eastAsia" w:ascii="仿宋_GB2312" w:hAnsi="仿宋_GB2312" w:eastAsia="仿宋_GB2312" w:cs="仿宋_GB2312"/>
          <w:snapToGrid w:val="0"/>
          <w:color w:val="auto"/>
          <w:spacing w:val="-15"/>
          <w:kern w:val="0"/>
          <w:sz w:val="32"/>
          <w:szCs w:val="32"/>
          <w:highlight w:val="none"/>
          <w:lang w:val="en-US" w:eastAsia="en-US" w:bidi="ar-SA"/>
        </w:rPr>
        <w:t>签订日期：</w:t>
      </w:r>
      <w:r>
        <w:rPr>
          <w:rFonts w:hint="eastAsia" w:ascii="仿宋_GB2312" w:hAnsi="仿宋_GB2312" w:eastAsia="仿宋_GB2312" w:cs="仿宋_GB2312"/>
          <w:snapToGrid w:val="0"/>
          <w:color w:val="auto"/>
          <w:spacing w:val="5"/>
          <w:kern w:val="0"/>
          <w:sz w:val="32"/>
          <w:szCs w:val="32"/>
          <w:highlight w:val="none"/>
          <w:u w:val="single" w:color="auto"/>
          <w:lang w:val="en-US" w:eastAsia="en-US" w:bidi="ar-SA"/>
        </w:rPr>
        <w:t xml:space="preserve">    </w:t>
      </w:r>
      <w:r>
        <w:rPr>
          <w:rFonts w:hint="eastAsia" w:ascii="仿宋_GB2312" w:hAnsi="仿宋_GB2312" w:eastAsia="仿宋_GB2312" w:cs="仿宋_GB2312"/>
          <w:snapToGrid w:val="0"/>
          <w:color w:val="auto"/>
          <w:spacing w:val="-140"/>
          <w:kern w:val="0"/>
          <w:sz w:val="32"/>
          <w:szCs w:val="32"/>
          <w:highlight w:val="none"/>
          <w:lang w:val="en-US" w:eastAsia="en-US" w:bidi="ar-SA"/>
        </w:rPr>
        <w:t xml:space="preserve"> </w:t>
      </w:r>
      <w:r>
        <w:rPr>
          <w:rFonts w:hint="eastAsia" w:ascii="仿宋_GB2312" w:hAnsi="仿宋_GB2312" w:eastAsia="仿宋_GB2312" w:cs="仿宋_GB2312"/>
          <w:snapToGrid w:val="0"/>
          <w:color w:val="auto"/>
          <w:spacing w:val="-15"/>
          <w:kern w:val="0"/>
          <w:sz w:val="32"/>
          <w:szCs w:val="32"/>
          <w:highlight w:val="none"/>
          <w:lang w:val="en-US" w:eastAsia="en-US" w:bidi="ar-SA"/>
        </w:rPr>
        <w:t>年</w:t>
      </w:r>
      <w:r>
        <w:rPr>
          <w:rFonts w:hint="eastAsia" w:ascii="仿宋_GB2312" w:hAnsi="仿宋_GB2312" w:eastAsia="仿宋_GB2312" w:cs="仿宋_GB2312"/>
          <w:snapToGrid w:val="0"/>
          <w:color w:val="auto"/>
          <w:spacing w:val="31"/>
          <w:kern w:val="0"/>
          <w:sz w:val="32"/>
          <w:szCs w:val="32"/>
          <w:highlight w:val="none"/>
          <w:u w:val="single" w:color="auto"/>
          <w:lang w:val="en-US" w:eastAsia="en-US" w:bidi="ar-SA"/>
        </w:rPr>
        <w:t xml:space="preserve">   </w:t>
      </w:r>
      <w:r>
        <w:rPr>
          <w:rFonts w:hint="eastAsia" w:ascii="仿宋_GB2312" w:hAnsi="仿宋_GB2312" w:eastAsia="仿宋_GB2312" w:cs="仿宋_GB2312"/>
          <w:snapToGrid w:val="0"/>
          <w:color w:val="auto"/>
          <w:spacing w:val="-134"/>
          <w:kern w:val="0"/>
          <w:sz w:val="32"/>
          <w:szCs w:val="32"/>
          <w:highlight w:val="none"/>
          <w:lang w:val="en-US" w:eastAsia="en-US" w:bidi="ar-SA"/>
        </w:rPr>
        <w:t xml:space="preserve"> </w:t>
      </w:r>
      <w:r>
        <w:rPr>
          <w:rFonts w:hint="eastAsia" w:ascii="仿宋_GB2312" w:hAnsi="仿宋_GB2312" w:eastAsia="仿宋_GB2312" w:cs="仿宋_GB2312"/>
          <w:snapToGrid w:val="0"/>
          <w:color w:val="auto"/>
          <w:spacing w:val="-15"/>
          <w:kern w:val="0"/>
          <w:sz w:val="32"/>
          <w:szCs w:val="32"/>
          <w:highlight w:val="none"/>
          <w:lang w:val="en-US" w:eastAsia="en-US" w:bidi="ar-SA"/>
        </w:rPr>
        <w:t>月</w:t>
      </w:r>
      <w:r>
        <w:rPr>
          <w:rFonts w:hint="eastAsia" w:ascii="仿宋_GB2312" w:hAnsi="仿宋_GB2312" w:eastAsia="仿宋_GB2312" w:cs="仿宋_GB2312"/>
          <w:snapToGrid w:val="0"/>
          <w:color w:val="auto"/>
          <w:spacing w:val="-15"/>
          <w:kern w:val="0"/>
          <w:sz w:val="32"/>
          <w:szCs w:val="32"/>
          <w:highlight w:val="none"/>
          <w:u w:val="single" w:color="auto"/>
          <w:lang w:val="en-US" w:eastAsia="en-US" w:bidi="ar-SA"/>
        </w:rPr>
        <w:t xml:space="preserve">     </w:t>
      </w:r>
      <w:r>
        <w:rPr>
          <w:rFonts w:hint="eastAsia" w:ascii="仿宋_GB2312" w:hAnsi="仿宋_GB2312" w:eastAsia="仿宋_GB2312" w:cs="仿宋_GB2312"/>
          <w:snapToGrid w:val="0"/>
          <w:color w:val="auto"/>
          <w:spacing w:val="-15"/>
          <w:kern w:val="0"/>
          <w:sz w:val="32"/>
          <w:szCs w:val="32"/>
          <w:highlight w:val="none"/>
          <w:u w:val="none" w:color="auto"/>
          <w:lang w:val="en-US" w:eastAsia="zh-CN" w:bidi="ar-SA"/>
        </w:rPr>
        <w:t>日</w:t>
      </w:r>
    </w:p>
    <w:p w14:paraId="0112D8E2">
      <w:pPr>
        <w:tabs>
          <w:tab w:val="left" w:pos="1280"/>
        </w:tabs>
        <w:kinsoku w:val="0"/>
        <w:autoSpaceDE w:val="0"/>
        <w:autoSpaceDN w:val="0"/>
        <w:adjustRightInd w:val="0"/>
        <w:snapToGrid w:val="0"/>
        <w:spacing w:before="301" w:line="225" w:lineRule="auto"/>
        <w:ind w:left="0" w:firstLine="0" w:firstLineChars="0"/>
        <w:jc w:val="left"/>
        <w:textAlignment w:val="baseline"/>
        <w:rPr>
          <w:rFonts w:hint="eastAsia" w:ascii="仿宋_GB2312" w:hAnsi="仿宋_GB2312" w:eastAsia="仿宋_GB2312" w:cs="仿宋_GB2312"/>
          <w:snapToGrid w:val="0"/>
          <w:color w:val="auto"/>
          <w:kern w:val="0"/>
          <w:sz w:val="32"/>
          <w:szCs w:val="32"/>
          <w:highlight w:val="none"/>
          <w:lang w:val="en-US" w:eastAsia="en-US" w:bidi="ar-SA"/>
        </w:rPr>
      </w:pPr>
      <w:r>
        <w:rPr>
          <w:rFonts w:hint="eastAsia" w:ascii="仿宋_GB2312" w:hAnsi="仿宋_GB2312" w:eastAsia="仿宋_GB2312" w:cs="仿宋_GB2312"/>
          <w:snapToGrid w:val="0"/>
          <w:color w:val="auto"/>
          <w:spacing w:val="-11"/>
          <w:kern w:val="0"/>
          <w:sz w:val="32"/>
          <w:szCs w:val="32"/>
          <w:highlight w:val="none"/>
          <w:lang w:val="en-US" w:eastAsia="zh-CN" w:bidi="ar-SA"/>
        </w:rPr>
        <w:tab/>
      </w:r>
      <w:r>
        <w:rPr>
          <w:rFonts w:hint="eastAsia" w:ascii="仿宋_GB2312" w:hAnsi="仿宋_GB2312" w:eastAsia="仿宋_GB2312" w:cs="仿宋_GB2312"/>
          <w:snapToGrid w:val="0"/>
          <w:color w:val="auto"/>
          <w:spacing w:val="-11"/>
          <w:kern w:val="0"/>
          <w:sz w:val="32"/>
          <w:szCs w:val="32"/>
          <w:highlight w:val="none"/>
          <w:lang w:val="en-US" w:eastAsia="en-US" w:bidi="ar-SA"/>
        </w:rPr>
        <w:t>签订地点：</w:t>
      </w:r>
      <w:r>
        <w:rPr>
          <w:rFonts w:hint="eastAsia" w:ascii="仿宋_GB2312" w:hAnsi="仿宋_GB2312" w:eastAsia="仿宋_GB2312" w:cs="仿宋_GB2312"/>
          <w:snapToGrid w:val="0"/>
          <w:color w:val="auto"/>
          <w:spacing w:val="5"/>
          <w:kern w:val="0"/>
          <w:sz w:val="32"/>
          <w:szCs w:val="32"/>
          <w:highlight w:val="none"/>
          <w:u w:val="single" w:color="auto"/>
          <w:lang w:val="en-US" w:eastAsia="en-US" w:bidi="ar-SA"/>
        </w:rPr>
        <w:t xml:space="preserve">   </w:t>
      </w:r>
      <w:r>
        <w:rPr>
          <w:rFonts w:hint="eastAsia" w:ascii="仿宋_GB2312" w:hAnsi="仿宋_GB2312" w:eastAsia="仿宋_GB2312" w:cs="仿宋_GB2312"/>
          <w:snapToGrid w:val="0"/>
          <w:color w:val="auto"/>
          <w:spacing w:val="-138"/>
          <w:kern w:val="0"/>
          <w:sz w:val="32"/>
          <w:szCs w:val="32"/>
          <w:highlight w:val="none"/>
          <w:lang w:val="en-US" w:eastAsia="en-US" w:bidi="ar-SA"/>
        </w:rPr>
        <w:t xml:space="preserve"> </w:t>
      </w:r>
      <w:r>
        <w:rPr>
          <w:rFonts w:hint="eastAsia" w:ascii="仿宋_GB2312" w:hAnsi="仿宋_GB2312" w:eastAsia="仿宋_GB2312" w:cs="仿宋_GB2312"/>
          <w:snapToGrid w:val="0"/>
          <w:color w:val="auto"/>
          <w:spacing w:val="-11"/>
          <w:kern w:val="0"/>
          <w:sz w:val="32"/>
          <w:szCs w:val="32"/>
          <w:highlight w:val="none"/>
          <w:lang w:val="en-US" w:eastAsia="en-US" w:bidi="ar-SA"/>
        </w:rPr>
        <w:t>省</w:t>
      </w:r>
      <w:r>
        <w:rPr>
          <w:rFonts w:hint="eastAsia" w:ascii="仿宋_GB2312" w:hAnsi="仿宋_GB2312" w:eastAsia="仿宋_GB2312" w:cs="仿宋_GB2312"/>
          <w:snapToGrid w:val="0"/>
          <w:color w:val="auto"/>
          <w:spacing w:val="5"/>
          <w:kern w:val="0"/>
          <w:sz w:val="32"/>
          <w:szCs w:val="32"/>
          <w:highlight w:val="none"/>
          <w:u w:val="single" w:color="auto"/>
          <w:lang w:val="en-US" w:eastAsia="en-US" w:bidi="ar-SA"/>
        </w:rPr>
        <w:t xml:space="preserve">   </w:t>
      </w:r>
      <w:r>
        <w:rPr>
          <w:rFonts w:hint="eastAsia" w:ascii="仿宋_GB2312" w:hAnsi="仿宋_GB2312" w:eastAsia="仿宋_GB2312" w:cs="仿宋_GB2312"/>
          <w:snapToGrid w:val="0"/>
          <w:color w:val="auto"/>
          <w:spacing w:val="-133"/>
          <w:kern w:val="0"/>
          <w:sz w:val="32"/>
          <w:szCs w:val="32"/>
          <w:highlight w:val="none"/>
          <w:lang w:val="en-US" w:eastAsia="en-US" w:bidi="ar-SA"/>
        </w:rPr>
        <w:t xml:space="preserve"> </w:t>
      </w:r>
      <w:r>
        <w:rPr>
          <w:rFonts w:hint="eastAsia" w:ascii="仿宋_GB2312" w:hAnsi="仿宋_GB2312" w:eastAsia="仿宋_GB2312" w:cs="仿宋_GB2312"/>
          <w:snapToGrid w:val="0"/>
          <w:color w:val="auto"/>
          <w:spacing w:val="-11"/>
          <w:kern w:val="0"/>
          <w:sz w:val="32"/>
          <w:szCs w:val="32"/>
          <w:highlight w:val="none"/>
          <w:lang w:val="en-US" w:eastAsia="en-US" w:bidi="ar-SA"/>
        </w:rPr>
        <w:t>市</w:t>
      </w:r>
      <w:r>
        <w:rPr>
          <w:rFonts w:hint="eastAsia" w:ascii="仿宋_GB2312" w:hAnsi="仿宋_GB2312" w:eastAsia="仿宋_GB2312" w:cs="仿宋_GB2312"/>
          <w:snapToGrid w:val="0"/>
          <w:color w:val="auto"/>
          <w:spacing w:val="-153"/>
          <w:kern w:val="0"/>
          <w:sz w:val="32"/>
          <w:szCs w:val="32"/>
          <w:highlight w:val="none"/>
          <w:lang w:val="en-US" w:eastAsia="en-US" w:bidi="ar-SA"/>
        </w:rPr>
        <w:t xml:space="preserve"> </w:t>
      </w:r>
      <w:r>
        <w:rPr>
          <w:rFonts w:hint="eastAsia" w:ascii="仿宋_GB2312" w:hAnsi="仿宋_GB2312" w:eastAsia="仿宋_GB2312" w:cs="仿宋_GB2312"/>
          <w:snapToGrid w:val="0"/>
          <w:color w:val="auto"/>
          <w:spacing w:val="5"/>
          <w:kern w:val="0"/>
          <w:sz w:val="32"/>
          <w:szCs w:val="32"/>
          <w:highlight w:val="none"/>
          <w:u w:val="single" w:color="auto"/>
          <w:lang w:val="en-US" w:eastAsia="en-US" w:bidi="ar-SA"/>
        </w:rPr>
        <w:t xml:space="preserve">   </w:t>
      </w:r>
      <w:r>
        <w:rPr>
          <w:rFonts w:hint="eastAsia" w:ascii="仿宋_GB2312" w:hAnsi="仿宋_GB2312" w:eastAsia="仿宋_GB2312" w:cs="仿宋_GB2312"/>
          <w:snapToGrid w:val="0"/>
          <w:color w:val="auto"/>
          <w:spacing w:val="5"/>
          <w:kern w:val="0"/>
          <w:sz w:val="32"/>
          <w:szCs w:val="32"/>
          <w:highlight w:val="none"/>
          <w:u w:val="single" w:color="auto"/>
          <w:lang w:val="en-US" w:eastAsia="zh-CN" w:bidi="ar-SA"/>
        </w:rPr>
        <w:t xml:space="preserve"> </w:t>
      </w:r>
      <w:r>
        <w:rPr>
          <w:rFonts w:hint="eastAsia" w:ascii="仿宋_GB2312" w:hAnsi="仿宋_GB2312" w:eastAsia="仿宋_GB2312" w:cs="仿宋_GB2312"/>
          <w:snapToGrid w:val="0"/>
          <w:color w:val="auto"/>
          <w:spacing w:val="-119"/>
          <w:kern w:val="0"/>
          <w:sz w:val="32"/>
          <w:szCs w:val="32"/>
          <w:highlight w:val="none"/>
          <w:lang w:val="en-US" w:eastAsia="en-US" w:bidi="ar-SA"/>
        </w:rPr>
        <w:t xml:space="preserve"> </w:t>
      </w:r>
      <w:r>
        <w:rPr>
          <w:rFonts w:hint="eastAsia" w:ascii="仿宋_GB2312" w:hAnsi="仿宋_GB2312" w:eastAsia="仿宋_GB2312" w:cs="仿宋_GB2312"/>
          <w:snapToGrid w:val="0"/>
          <w:color w:val="auto"/>
          <w:spacing w:val="-11"/>
          <w:kern w:val="0"/>
          <w:sz w:val="32"/>
          <w:szCs w:val="32"/>
          <w:highlight w:val="none"/>
          <w:lang w:val="en-US" w:eastAsia="en-US" w:bidi="ar-SA"/>
        </w:rPr>
        <w:t>区</w:t>
      </w:r>
    </w:p>
    <w:p w14:paraId="09155DB2">
      <w:pPr>
        <w:widowControl/>
        <w:kinsoku w:val="0"/>
        <w:autoSpaceDE w:val="0"/>
        <w:autoSpaceDN w:val="0"/>
        <w:spacing w:line="268" w:lineRule="auto"/>
        <w:ind w:firstLine="0" w:firstLineChars="0"/>
        <w:jc w:val="both"/>
        <w:textAlignment w:val="baseline"/>
        <w:rPr>
          <w:rFonts w:hint="eastAsia" w:ascii="仿宋_GB2312" w:hAnsi="仿宋_GB2312" w:eastAsia="仿宋_GB2312" w:cs="仿宋_GB2312"/>
          <w:snapToGrid w:val="0"/>
          <w:color w:val="auto"/>
          <w:kern w:val="0"/>
          <w:sz w:val="32"/>
          <w:szCs w:val="32"/>
          <w:highlight w:val="none"/>
          <w:lang w:eastAsia="en-US"/>
        </w:rPr>
      </w:pPr>
    </w:p>
    <w:p w14:paraId="07A61A77">
      <w:pPr>
        <w:widowControl/>
        <w:kinsoku w:val="0"/>
        <w:autoSpaceDE w:val="0"/>
        <w:autoSpaceDN w:val="0"/>
        <w:spacing w:line="269" w:lineRule="auto"/>
        <w:ind w:firstLine="0" w:firstLineChars="0"/>
        <w:jc w:val="both"/>
        <w:textAlignment w:val="baseline"/>
        <w:rPr>
          <w:rFonts w:hint="eastAsia" w:ascii="仿宋_GB2312" w:hAnsi="仿宋_GB2312" w:eastAsia="仿宋_GB2312" w:cs="仿宋_GB2312"/>
          <w:snapToGrid w:val="0"/>
          <w:color w:val="auto"/>
          <w:kern w:val="0"/>
          <w:sz w:val="32"/>
          <w:szCs w:val="32"/>
          <w:highlight w:val="none"/>
          <w:lang w:eastAsia="en-US"/>
        </w:rPr>
      </w:pPr>
    </w:p>
    <w:p w14:paraId="2DD602C6">
      <w:pPr>
        <w:widowControl/>
        <w:kinsoku w:val="0"/>
        <w:autoSpaceDE w:val="0"/>
        <w:autoSpaceDN w:val="0"/>
        <w:spacing w:line="269" w:lineRule="auto"/>
        <w:ind w:firstLine="0" w:firstLineChars="0"/>
        <w:jc w:val="both"/>
        <w:textAlignment w:val="baseline"/>
        <w:rPr>
          <w:rFonts w:hint="eastAsia" w:ascii="仿宋_GB2312" w:hAnsi="仿宋_GB2312" w:eastAsia="仿宋_GB2312" w:cs="仿宋_GB2312"/>
          <w:snapToGrid w:val="0"/>
          <w:color w:val="auto"/>
          <w:kern w:val="0"/>
          <w:sz w:val="32"/>
          <w:szCs w:val="32"/>
          <w:highlight w:val="none"/>
          <w:lang w:eastAsia="en-US"/>
        </w:rPr>
      </w:pPr>
    </w:p>
    <w:p w14:paraId="595195AC">
      <w:pPr>
        <w:widowControl/>
        <w:kinsoku w:val="0"/>
        <w:autoSpaceDE w:val="0"/>
        <w:autoSpaceDN w:val="0"/>
        <w:spacing w:line="250" w:lineRule="auto"/>
        <w:ind w:firstLine="0" w:firstLineChars="0"/>
        <w:jc w:val="both"/>
        <w:textAlignment w:val="baseline"/>
        <w:rPr>
          <w:rFonts w:hint="eastAsia" w:ascii="仿宋_GB2312" w:hAnsi="仿宋_GB2312" w:eastAsia="仿宋_GB2312" w:cs="仿宋_GB2312"/>
          <w:snapToGrid w:val="0"/>
          <w:color w:val="auto"/>
          <w:kern w:val="0"/>
          <w:sz w:val="32"/>
          <w:szCs w:val="32"/>
          <w:highlight w:val="none"/>
          <w:lang w:eastAsia="en-US"/>
        </w:rPr>
      </w:pPr>
    </w:p>
    <w:p w14:paraId="02447102">
      <w:pPr>
        <w:widowControl/>
        <w:kinsoku w:val="0"/>
        <w:autoSpaceDE w:val="0"/>
        <w:autoSpaceDN w:val="0"/>
        <w:spacing w:line="240" w:lineRule="auto"/>
        <w:ind w:firstLine="0" w:firstLineChars="0"/>
        <w:jc w:val="left"/>
        <w:textAlignment w:val="baseline"/>
        <w:rPr>
          <w:rFonts w:ascii="Arial" w:hAnsi="Arial" w:eastAsia="Arial" w:cs="Arial"/>
          <w:b/>
          <w:bCs/>
          <w:snapToGrid w:val="0"/>
          <w:color w:val="auto"/>
          <w:spacing w:val="6"/>
          <w:kern w:val="0"/>
          <w:sz w:val="20"/>
          <w:szCs w:val="20"/>
          <w:highlight w:val="none"/>
          <w:lang w:eastAsia="en-US"/>
        </w:rPr>
      </w:pPr>
      <w:r>
        <w:rPr>
          <w:rFonts w:ascii="Arial" w:hAnsi="Arial" w:eastAsia="Arial" w:cs="Arial"/>
          <w:b/>
          <w:bCs/>
          <w:snapToGrid w:val="0"/>
          <w:color w:val="auto"/>
          <w:spacing w:val="6"/>
          <w:kern w:val="0"/>
          <w:sz w:val="20"/>
          <w:szCs w:val="20"/>
          <w:highlight w:val="none"/>
          <w:lang w:eastAsia="en-US"/>
        </w:rPr>
        <w:br w:type="page"/>
      </w:r>
    </w:p>
    <w:p w14:paraId="089F4EE2">
      <w:pPr>
        <w:widowControl/>
        <w:kinsoku w:val="0"/>
        <w:autoSpaceDE/>
        <w:autoSpaceDN/>
        <w:spacing w:line="540" w:lineRule="exact"/>
        <w:ind w:firstLine="0" w:firstLineChars="0"/>
        <w:jc w:val="center"/>
        <w:textAlignment w:val="baseline"/>
        <w:outlineLvl w:val="0"/>
        <w:rPr>
          <w:rFonts w:ascii="Arial" w:hAnsi="Arial" w:eastAsia="Arial" w:cs="Arial"/>
          <w:snapToGrid w:val="0"/>
          <w:color w:val="auto"/>
          <w:kern w:val="0"/>
          <w:sz w:val="21"/>
          <w:szCs w:val="21"/>
          <w:highlight w:val="none"/>
          <w:lang w:eastAsia="en-US"/>
        </w:rPr>
      </w:pPr>
      <w:r>
        <w:rPr>
          <w:rFonts w:hint="eastAsia" w:ascii="方正小标宋简体" w:hAnsi="方正小标宋简体" w:eastAsia="方正小标宋简体" w:cs="方正小标宋简体"/>
          <w:b/>
          <w:bCs/>
          <w:snapToGrid w:val="0"/>
          <w:color w:val="auto"/>
          <w:spacing w:val="6"/>
          <w:kern w:val="0"/>
          <w:sz w:val="44"/>
          <w:szCs w:val="44"/>
          <w:highlight w:val="none"/>
          <w:lang w:val="en-US" w:eastAsia="en-US" w:bidi="ar-SA"/>
        </w:rPr>
        <w:t>第一章</w:t>
      </w:r>
      <w:r>
        <w:rPr>
          <w:rFonts w:hint="eastAsia" w:ascii="方正小标宋简体" w:hAnsi="方正小标宋简体" w:eastAsia="方正小标宋简体" w:cs="方正小标宋简体"/>
          <w:b/>
          <w:bCs/>
          <w:snapToGrid w:val="0"/>
          <w:color w:val="auto"/>
          <w:spacing w:val="6"/>
          <w:kern w:val="0"/>
          <w:sz w:val="44"/>
          <w:szCs w:val="44"/>
          <w:highlight w:val="none"/>
          <w:lang w:val="en-US" w:eastAsia="zh-CN" w:bidi="ar-SA"/>
        </w:rPr>
        <w:t xml:space="preserve">  </w:t>
      </w:r>
      <w:r>
        <w:rPr>
          <w:rFonts w:hint="eastAsia" w:ascii="方正小标宋简体" w:hAnsi="方正小标宋简体" w:eastAsia="方正小标宋简体" w:cs="方正小标宋简体"/>
          <w:b/>
          <w:bCs/>
          <w:snapToGrid w:val="0"/>
          <w:color w:val="auto"/>
          <w:spacing w:val="6"/>
          <w:kern w:val="0"/>
          <w:sz w:val="44"/>
          <w:szCs w:val="44"/>
          <w:highlight w:val="none"/>
          <w:lang w:val="en-US" w:eastAsia="en-US" w:bidi="ar-SA"/>
        </w:rPr>
        <w:t>总则</w:t>
      </w:r>
    </w:p>
    <w:p w14:paraId="13BBAF75">
      <w:pPr>
        <w:kinsoku/>
        <w:autoSpaceDE/>
        <w:autoSpaceDN/>
        <w:adjustRightInd/>
        <w:snapToGrid/>
        <w:spacing w:before="65" w:line="540" w:lineRule="exact"/>
        <w:ind w:left="27" w:firstLine="562"/>
        <w:jc w:val="both"/>
        <w:textAlignment w:val="auto"/>
        <w:outlineLvl w:val="0"/>
        <w:rPr>
          <w:rFonts w:hint="eastAsia" w:ascii="仿宋_GB2312" w:hAnsi="仿宋_GB2312" w:eastAsia="仿宋_GB2312" w:cs="仿宋_GB2312"/>
          <w:b/>
          <w:bCs/>
          <w:snapToGrid/>
          <w:color w:val="auto"/>
          <w:spacing w:val="0"/>
          <w:kern w:val="2"/>
          <w:sz w:val="28"/>
          <w:szCs w:val="28"/>
          <w:highlight w:val="none"/>
          <w:lang w:val="en-US" w:eastAsia="zh-CN" w:bidi="ar-SA"/>
        </w:rPr>
      </w:pPr>
    </w:p>
    <w:p w14:paraId="2E0FEEEE">
      <w:pPr>
        <w:kinsoku/>
        <w:autoSpaceDE/>
        <w:autoSpaceDN/>
        <w:adjustRightInd/>
        <w:snapToGrid/>
        <w:spacing w:before="65" w:line="540" w:lineRule="exact"/>
        <w:ind w:left="27" w:firstLine="562"/>
        <w:jc w:val="both"/>
        <w:textAlignment w:val="auto"/>
        <w:outlineLvl w:val="0"/>
        <w:rPr>
          <w:rFonts w:hint="eastAsia" w:ascii="黑体" w:hAnsi="黑体" w:eastAsia="黑体" w:cs="黑体"/>
          <w:b/>
          <w:bCs/>
          <w:snapToGrid/>
          <w:color w:val="auto"/>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zh-CN" w:bidi="ar-SA"/>
        </w:rPr>
        <w:t>一、</w:t>
      </w:r>
      <w:r>
        <w:rPr>
          <w:rFonts w:hint="eastAsia" w:ascii="黑体" w:hAnsi="黑体" w:eastAsia="黑体" w:cs="黑体"/>
          <w:b/>
          <w:bCs/>
          <w:snapToGrid/>
          <w:color w:val="auto"/>
          <w:spacing w:val="0"/>
          <w:kern w:val="2"/>
          <w:sz w:val="28"/>
          <w:szCs w:val="28"/>
          <w:highlight w:val="none"/>
          <w:lang w:val="en-US" w:eastAsia="en-US" w:bidi="ar-SA"/>
        </w:rPr>
        <w:t>相关术语的定义和解释</w:t>
      </w:r>
    </w:p>
    <w:p w14:paraId="0D73F28E">
      <w:pPr>
        <w:pStyle w:val="5"/>
        <w:kinsoku/>
        <w:autoSpaceDE/>
        <w:autoSpaceDN/>
        <w:adjustRightInd/>
        <w:snapToGrid/>
        <w:spacing w:before="65" w:line="540" w:lineRule="exact"/>
        <w:ind w:left="27" w:firstLine="907"/>
        <w:jc w:val="both"/>
        <w:textAlignment w:val="auto"/>
        <w:outlineLvl w:val="1"/>
        <w:rPr>
          <w:rFonts w:hint="eastAsia" w:ascii="楷体_GB2312" w:hAnsi="Times New Roman" w:eastAsia="楷体_GB2312" w:cs="Times New Roman"/>
          <w:snapToGrid/>
          <w:color w:val="auto"/>
          <w:kern w:val="2"/>
          <w:sz w:val="28"/>
          <w:szCs w:val="28"/>
          <w:highlight w:val="none"/>
          <w:lang w:val="en-US" w:eastAsia="en-US" w:bidi="ar-SA"/>
        </w:rPr>
      </w:pPr>
      <w:r>
        <w:rPr>
          <w:rFonts w:hint="eastAsia" w:ascii="楷体_GB2312" w:hAnsi="Times New Roman" w:eastAsia="楷体_GB2312" w:cs="Times New Roman"/>
          <w:b/>
          <w:bCs w:val="0"/>
          <w:snapToGrid/>
          <w:color w:val="auto"/>
          <w:kern w:val="2"/>
          <w:sz w:val="28"/>
          <w:szCs w:val="28"/>
          <w:highlight w:val="none"/>
          <w:lang w:val="en-US" w:eastAsia="zh-CN" w:bidi="ar-SA"/>
        </w:rPr>
        <w:t>（一）</w:t>
      </w:r>
      <w:r>
        <w:rPr>
          <w:rFonts w:hint="eastAsia" w:ascii="楷体_GB2312" w:hAnsi="Times New Roman" w:eastAsia="楷体_GB2312" w:cs="Times New Roman"/>
          <w:b/>
          <w:bCs w:val="0"/>
          <w:snapToGrid/>
          <w:color w:val="auto"/>
          <w:kern w:val="2"/>
          <w:sz w:val="28"/>
          <w:szCs w:val="28"/>
          <w:highlight w:val="none"/>
          <w:lang w:val="en-US" w:eastAsia="en-US" w:bidi="ar-SA"/>
        </w:rPr>
        <w:t>定义</w:t>
      </w:r>
    </w:p>
    <w:p w14:paraId="1400F81E">
      <w:pPr>
        <w:kinsoku/>
        <w:autoSpaceDE/>
        <w:autoSpaceDN/>
        <w:adjustRightInd/>
        <w:snapToGrid/>
        <w:spacing w:before="0" w:line="540" w:lineRule="exact"/>
        <w:ind w:left="0" w:firstLine="907"/>
        <w:jc w:val="both"/>
        <w:textAlignment w:val="auto"/>
        <w:rPr>
          <w:rFonts w:hint="eastAsia" w:ascii="仿宋_GB2312" w:hAnsi="仿宋_GB2312" w:eastAsia="仿宋_GB2312" w:cs="仿宋_GB2312"/>
          <w:snapToGrid/>
          <w:color w:val="auto"/>
          <w:kern w:val="2"/>
          <w:sz w:val="28"/>
          <w:szCs w:val="28"/>
          <w:highlight w:val="none"/>
          <w:lang w:val="en-US" w:eastAsia="en-US" w:bidi="ar-SA"/>
        </w:rPr>
      </w:pPr>
      <w:r>
        <w:rPr>
          <w:rFonts w:hint="eastAsia" w:ascii="仿宋_GB2312" w:hAnsi="仿宋_GB2312" w:eastAsia="仿宋_GB2312" w:cs="仿宋_GB2312"/>
          <w:snapToGrid/>
          <w:color w:val="auto"/>
          <w:spacing w:val="0"/>
          <w:kern w:val="2"/>
          <w:sz w:val="28"/>
          <w:szCs w:val="28"/>
          <w:highlight w:val="none"/>
          <w:lang w:val="en-US" w:eastAsia="zh-CN" w:bidi="ar-SA"/>
        </w:rPr>
        <w:t>1.</w:t>
      </w:r>
      <w:r>
        <w:rPr>
          <w:rFonts w:hint="eastAsia" w:ascii="仿宋_GB2312" w:hAnsi="仿宋_GB2312" w:eastAsia="仿宋_GB2312" w:cs="仿宋_GB2312"/>
          <w:snapToGrid/>
          <w:color w:val="auto"/>
          <w:spacing w:val="0"/>
          <w:kern w:val="2"/>
          <w:sz w:val="28"/>
          <w:szCs w:val="28"/>
          <w:highlight w:val="none"/>
          <w:lang w:val="en-US" w:eastAsia="en-US" w:bidi="ar-SA"/>
        </w:rPr>
        <w:t>本项目：</w:t>
      </w:r>
      <w:r>
        <w:rPr>
          <w:rFonts w:hint="eastAsia" w:ascii="仿宋_GB2312" w:hAnsi="仿宋_GB2312" w:eastAsia="仿宋_GB2312" w:cs="仿宋_GB2312"/>
          <w:snapToGrid/>
          <w:color w:val="auto"/>
          <w:spacing w:val="0"/>
          <w:kern w:val="2"/>
          <w:sz w:val="28"/>
          <w:szCs w:val="28"/>
          <w:highlight w:val="none"/>
          <w:u w:val="single" w:color="auto"/>
          <w:lang w:val="en-US" w:eastAsia="en-US" w:bidi="ar-SA"/>
        </w:rPr>
        <w:t xml:space="preserve">                     </w:t>
      </w:r>
      <w:r>
        <w:rPr>
          <w:rFonts w:hint="eastAsia" w:ascii="仿宋_GB2312" w:hAnsi="仿宋_GB2312" w:eastAsia="仿宋_GB2312" w:cs="仿宋_GB2312"/>
          <w:snapToGrid/>
          <w:spacing w:val="0"/>
          <w:kern w:val="2"/>
          <w:sz w:val="28"/>
          <w:szCs w:val="28"/>
          <w:highlight w:val="none"/>
          <w:u w:val="single"/>
          <w:lang w:val="en-US" w:eastAsia="zh-CN" w:bidi="ar-SA"/>
        </w:rPr>
        <w:t xml:space="preserve">     </w:t>
      </w:r>
      <w:r>
        <w:rPr>
          <w:rFonts w:hint="eastAsia" w:ascii="仿宋_GB2312" w:hAnsi="仿宋_GB2312" w:eastAsia="仿宋_GB2312" w:cs="仿宋_GB2312"/>
          <w:snapToGrid/>
          <w:color w:val="auto"/>
          <w:spacing w:val="0"/>
          <w:kern w:val="2"/>
          <w:sz w:val="28"/>
          <w:szCs w:val="28"/>
          <w:highlight w:val="none"/>
          <w:u w:val="none" w:color="auto"/>
          <w:lang w:val="en-US" w:eastAsia="en-US" w:bidi="ar-SA"/>
        </w:rPr>
        <w:t>（采购项目编号：</w:t>
      </w:r>
      <w:r>
        <w:rPr>
          <w:rFonts w:hint="eastAsia" w:ascii="仿宋_GB2312" w:hAnsi="仿宋_GB2312" w:eastAsia="仿宋_GB2312" w:cs="仿宋_GB2312"/>
          <w:snapToGrid/>
          <w:color w:val="auto"/>
          <w:spacing w:val="0"/>
          <w:kern w:val="2"/>
          <w:sz w:val="28"/>
          <w:szCs w:val="28"/>
          <w:highlight w:val="none"/>
          <w:u w:val="single" w:color="auto"/>
          <w:lang w:val="en-US" w:eastAsia="en-US" w:bidi="ar-SA"/>
        </w:rPr>
        <w:t xml:space="preserve">     </w:t>
      </w:r>
      <w:r>
        <w:rPr>
          <w:rFonts w:hint="eastAsia" w:ascii="仿宋_GB2312" w:hAnsi="仿宋_GB2312" w:eastAsia="仿宋_GB2312" w:cs="仿宋_GB2312"/>
          <w:snapToGrid/>
          <w:color w:val="auto"/>
          <w:spacing w:val="0"/>
          <w:kern w:val="2"/>
          <w:sz w:val="28"/>
          <w:szCs w:val="28"/>
          <w:highlight w:val="none"/>
          <w:u w:val="none" w:color="auto"/>
          <w:lang w:val="en-US" w:eastAsia="en-US" w:bidi="ar-SA"/>
        </w:rPr>
        <w:t>）。</w:t>
      </w:r>
    </w:p>
    <w:p w14:paraId="5B4DEF58">
      <w:pPr>
        <w:kinsoku/>
        <w:autoSpaceDE/>
        <w:autoSpaceDN/>
        <w:adjustRightInd/>
        <w:snapToGrid/>
        <w:spacing w:before="0" w:line="540" w:lineRule="exact"/>
        <w:ind w:left="0" w:firstLine="907"/>
        <w:jc w:val="both"/>
        <w:textAlignment w:val="auto"/>
        <w:rPr>
          <w:rFonts w:hint="eastAsia" w:ascii="仿宋_GB2312" w:hAnsi="仿宋_GB2312" w:eastAsia="仿宋_GB2312" w:cs="仿宋_GB2312"/>
          <w:snapToGrid/>
          <w:color w:val="auto"/>
          <w:kern w:val="2"/>
          <w:sz w:val="28"/>
          <w:szCs w:val="28"/>
          <w:highlight w:val="none"/>
          <w:lang w:val="en-US" w:eastAsia="en-US" w:bidi="ar-SA"/>
        </w:rPr>
      </w:pPr>
      <w:r>
        <w:rPr>
          <w:rFonts w:hint="eastAsia" w:ascii="仿宋_GB2312" w:hAnsi="仿宋_GB2312" w:eastAsia="仿宋_GB2312" w:cs="仿宋_GB2312"/>
          <w:snapToGrid/>
          <w:color w:val="auto"/>
          <w:spacing w:val="0"/>
          <w:kern w:val="2"/>
          <w:sz w:val="28"/>
          <w:szCs w:val="28"/>
          <w:highlight w:val="none"/>
          <w:lang w:val="en-US" w:eastAsia="zh-CN" w:bidi="ar-SA"/>
        </w:rPr>
        <w:t>2.</w:t>
      </w:r>
      <w:r>
        <w:rPr>
          <w:rFonts w:hint="eastAsia" w:ascii="仿宋_GB2312" w:hAnsi="仿宋_GB2312" w:eastAsia="仿宋_GB2312" w:cs="仿宋_GB2312"/>
          <w:snapToGrid/>
          <w:color w:val="auto"/>
          <w:spacing w:val="0"/>
          <w:kern w:val="2"/>
          <w:sz w:val="28"/>
          <w:szCs w:val="28"/>
          <w:highlight w:val="none"/>
          <w:lang w:val="en-US" w:eastAsia="en-US" w:bidi="ar-SA"/>
        </w:rPr>
        <w:t>甲方：本项目采购人。</w:t>
      </w:r>
    </w:p>
    <w:p w14:paraId="5B30C318">
      <w:pPr>
        <w:kinsoku/>
        <w:autoSpaceDE/>
        <w:autoSpaceDN/>
        <w:adjustRightInd/>
        <w:snapToGrid/>
        <w:spacing w:before="0" w:line="540" w:lineRule="exact"/>
        <w:ind w:left="0" w:firstLine="907"/>
        <w:jc w:val="both"/>
        <w:textAlignment w:val="auto"/>
        <w:rPr>
          <w:rFonts w:hint="eastAsia" w:ascii="仿宋_GB2312" w:hAnsi="仿宋_GB2312" w:eastAsia="仿宋_GB2312" w:cs="仿宋_GB2312"/>
          <w:snapToGrid/>
          <w:color w:val="auto"/>
          <w:spacing w:val="0"/>
          <w:kern w:val="2"/>
          <w:sz w:val="28"/>
          <w:szCs w:val="28"/>
          <w:highlight w:val="none"/>
          <w:lang w:val="en-US" w:eastAsia="en-US" w:bidi="ar-SA"/>
        </w:rPr>
      </w:pPr>
      <w:r>
        <w:rPr>
          <w:rFonts w:hint="eastAsia" w:ascii="仿宋_GB2312" w:hAnsi="仿宋_GB2312" w:eastAsia="仿宋_GB2312" w:cs="仿宋_GB2312"/>
          <w:snapToGrid/>
          <w:color w:val="auto"/>
          <w:spacing w:val="0"/>
          <w:kern w:val="2"/>
          <w:sz w:val="28"/>
          <w:szCs w:val="28"/>
          <w:highlight w:val="none"/>
          <w:lang w:val="en-US" w:eastAsia="zh-CN" w:bidi="ar-SA"/>
        </w:rPr>
        <w:t>3.</w:t>
      </w:r>
      <w:r>
        <w:rPr>
          <w:rFonts w:hint="eastAsia" w:ascii="仿宋_GB2312" w:hAnsi="仿宋_GB2312" w:eastAsia="仿宋_GB2312" w:cs="仿宋_GB2312"/>
          <w:snapToGrid/>
          <w:color w:val="auto"/>
          <w:spacing w:val="0"/>
          <w:kern w:val="2"/>
          <w:sz w:val="28"/>
          <w:szCs w:val="28"/>
          <w:highlight w:val="none"/>
          <w:lang w:val="en-US" w:eastAsia="en-US" w:bidi="ar-SA"/>
        </w:rPr>
        <w:t>乙方：本项目</w:t>
      </w:r>
      <w:r>
        <w:rPr>
          <w:rFonts w:hint="eastAsia" w:ascii="仿宋_GB2312" w:hAnsi="仿宋_GB2312" w:eastAsia="仿宋_GB2312" w:cs="仿宋_GB2312"/>
          <w:snapToGrid/>
          <w:color w:val="auto"/>
          <w:spacing w:val="0"/>
          <w:kern w:val="2"/>
          <w:sz w:val="28"/>
          <w:szCs w:val="28"/>
          <w:highlight w:val="none"/>
          <w:lang w:val="en-US" w:eastAsia="zh-CN" w:bidi="ar-SA"/>
        </w:rPr>
        <w:t>中标人</w:t>
      </w:r>
      <w:r>
        <w:rPr>
          <w:rFonts w:hint="eastAsia" w:ascii="仿宋_GB2312" w:hAnsi="仿宋_GB2312" w:eastAsia="仿宋_GB2312" w:cs="仿宋_GB2312"/>
          <w:snapToGrid/>
          <w:color w:val="auto"/>
          <w:spacing w:val="0"/>
          <w:kern w:val="2"/>
          <w:sz w:val="28"/>
          <w:szCs w:val="28"/>
          <w:highlight w:val="none"/>
          <w:lang w:val="en-US" w:eastAsia="en-US" w:bidi="ar-SA"/>
        </w:rPr>
        <w:t>。</w:t>
      </w:r>
    </w:p>
    <w:p w14:paraId="29831434">
      <w:pPr>
        <w:kinsoku/>
        <w:autoSpaceDE/>
        <w:autoSpaceDN/>
        <w:adjustRightInd/>
        <w:snapToGrid/>
        <w:spacing w:before="0" w:line="540" w:lineRule="exact"/>
        <w:ind w:left="0" w:firstLine="907"/>
        <w:jc w:val="both"/>
        <w:textAlignment w:val="auto"/>
        <w:rPr>
          <w:rFonts w:hint="eastAsia" w:ascii="仿宋_GB2312" w:hAnsi="仿宋_GB2312" w:eastAsia="仿宋_GB2312" w:cs="仿宋_GB2312"/>
          <w:snapToGrid/>
          <w:color w:val="auto"/>
          <w:spacing w:val="0"/>
          <w:kern w:val="2"/>
          <w:sz w:val="28"/>
          <w:szCs w:val="28"/>
          <w:highlight w:val="none"/>
          <w:lang w:val="en-US" w:eastAsia="en-US" w:bidi="ar-SA"/>
        </w:rPr>
      </w:pPr>
      <w:r>
        <w:rPr>
          <w:rFonts w:hint="eastAsia" w:ascii="仿宋_GB2312" w:hAnsi="仿宋_GB2312" w:eastAsia="仿宋_GB2312" w:cs="仿宋_GB2312"/>
          <w:snapToGrid/>
          <w:color w:val="auto"/>
          <w:spacing w:val="0"/>
          <w:kern w:val="2"/>
          <w:sz w:val="28"/>
          <w:szCs w:val="28"/>
          <w:highlight w:val="none"/>
          <w:lang w:val="en-US" w:eastAsia="zh-CN" w:bidi="ar-SA"/>
        </w:rPr>
        <w:t>4.</w:t>
      </w:r>
      <w:r>
        <w:rPr>
          <w:rFonts w:hint="eastAsia" w:ascii="仿宋_GB2312" w:hAnsi="仿宋_GB2312" w:eastAsia="仿宋_GB2312" w:cs="仿宋_GB2312"/>
          <w:snapToGrid/>
          <w:color w:val="auto"/>
          <w:spacing w:val="0"/>
          <w:kern w:val="2"/>
          <w:sz w:val="28"/>
          <w:szCs w:val="28"/>
          <w:highlight w:val="none"/>
          <w:lang w:val="en-US" w:eastAsia="en-US" w:bidi="ar-SA"/>
        </w:rPr>
        <w:t>咨询、监理单位：受甲方委托对本项目进行第三方咨询、监理的单位。</w:t>
      </w:r>
    </w:p>
    <w:p w14:paraId="2022878A">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auto"/>
          <w:spacing w:val="0"/>
          <w:kern w:val="2"/>
          <w:sz w:val="28"/>
          <w:szCs w:val="28"/>
          <w:highlight w:val="none"/>
          <w:lang w:val="en-US" w:eastAsia="en-US" w:bidi="ar-SA"/>
        </w:rPr>
      </w:pPr>
      <w:r>
        <w:rPr>
          <w:rFonts w:hint="eastAsia" w:ascii="仿宋_GB2312" w:hAnsi="仿宋_GB2312" w:eastAsia="仿宋_GB2312" w:cs="仿宋_GB2312"/>
          <w:snapToGrid/>
          <w:color w:val="auto"/>
          <w:spacing w:val="0"/>
          <w:kern w:val="2"/>
          <w:sz w:val="28"/>
          <w:szCs w:val="28"/>
          <w:highlight w:val="none"/>
          <w:lang w:val="en-US" w:eastAsia="zh-CN" w:bidi="ar-SA"/>
        </w:rPr>
        <w:t>5.</w:t>
      </w:r>
      <w:r>
        <w:rPr>
          <w:rFonts w:hint="eastAsia" w:ascii="仿宋_GB2312" w:hAnsi="仿宋_GB2312" w:eastAsia="仿宋_GB2312" w:cs="仿宋_GB2312"/>
          <w:snapToGrid/>
          <w:color w:val="auto"/>
          <w:spacing w:val="0"/>
          <w:kern w:val="2"/>
          <w:sz w:val="28"/>
          <w:szCs w:val="28"/>
          <w:highlight w:val="none"/>
          <w:lang w:val="en-US" w:eastAsia="en-US" w:bidi="ar-SA"/>
        </w:rPr>
        <w:t>省各有关单位：经广东省机构编制委员会批准设立的广东省行政事业单位，主要包括省政府办公厅、省政府组成部门、省政府直属特设机构、省政府直属机构、部门管理机构、其他机构、省政府直属事业单位、其他。</w:t>
      </w:r>
    </w:p>
    <w:p w14:paraId="66836793">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auto"/>
          <w:spacing w:val="0"/>
          <w:kern w:val="2"/>
          <w:sz w:val="28"/>
          <w:szCs w:val="28"/>
          <w:highlight w:val="none"/>
          <w:lang w:val="en-US" w:eastAsia="en-US" w:bidi="ar-SA"/>
        </w:rPr>
      </w:pPr>
      <w:r>
        <w:rPr>
          <w:rFonts w:hint="eastAsia" w:ascii="仿宋_GB2312" w:hAnsi="仿宋_GB2312" w:eastAsia="仿宋_GB2312" w:cs="仿宋_GB2312"/>
          <w:snapToGrid/>
          <w:color w:val="auto"/>
          <w:spacing w:val="0"/>
          <w:kern w:val="2"/>
          <w:sz w:val="28"/>
          <w:szCs w:val="28"/>
          <w:highlight w:val="none"/>
          <w:lang w:val="en-US" w:eastAsia="zh-CN" w:bidi="ar-SA"/>
        </w:rPr>
        <w:t>6.</w:t>
      </w:r>
      <w:r>
        <w:rPr>
          <w:rFonts w:hint="eastAsia" w:ascii="仿宋_GB2312" w:hAnsi="仿宋_GB2312" w:eastAsia="仿宋_GB2312" w:cs="仿宋_GB2312"/>
          <w:snapToGrid/>
          <w:color w:val="auto"/>
          <w:spacing w:val="0"/>
          <w:kern w:val="2"/>
          <w:sz w:val="28"/>
          <w:szCs w:val="28"/>
          <w:highlight w:val="none"/>
          <w:lang w:val="en-US" w:eastAsia="en-US" w:bidi="ar-SA"/>
        </w:rPr>
        <w:t>适用法律：指所有适用的中华人民共和国法律、法规、部门规章、地方性法规、司法解释、政府部门颁布的标准、规范或其他适用的强制性要求、有法律约束力的规范性文件等。除非另有特别约定或文意另有所指，本合同中提及的“法律 ”均包括适用法律的全部定义内容。</w:t>
      </w:r>
    </w:p>
    <w:p w14:paraId="5366D6FD">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auto"/>
          <w:spacing w:val="0"/>
          <w:kern w:val="2"/>
          <w:sz w:val="28"/>
          <w:szCs w:val="28"/>
          <w:highlight w:val="none"/>
          <w:lang w:val="en-US" w:eastAsia="en-US" w:bidi="ar-SA"/>
        </w:rPr>
      </w:pPr>
      <w:r>
        <w:rPr>
          <w:rFonts w:hint="eastAsia" w:ascii="仿宋_GB2312" w:hAnsi="仿宋_GB2312" w:eastAsia="仿宋_GB2312" w:cs="仿宋_GB2312"/>
          <w:snapToGrid/>
          <w:color w:val="auto"/>
          <w:spacing w:val="0"/>
          <w:kern w:val="2"/>
          <w:sz w:val="28"/>
          <w:szCs w:val="28"/>
          <w:highlight w:val="none"/>
          <w:lang w:val="en-US" w:eastAsia="zh-CN" w:bidi="ar-SA"/>
        </w:rPr>
        <w:t>7.</w:t>
      </w:r>
      <w:r>
        <w:rPr>
          <w:rFonts w:hint="eastAsia" w:ascii="仿宋_GB2312" w:hAnsi="仿宋_GB2312" w:eastAsia="仿宋_GB2312" w:cs="仿宋_GB2312"/>
          <w:snapToGrid/>
          <w:color w:val="auto"/>
          <w:spacing w:val="0"/>
          <w:kern w:val="2"/>
          <w:sz w:val="28"/>
          <w:szCs w:val="28"/>
          <w:highlight w:val="none"/>
          <w:lang w:val="en-US" w:eastAsia="en-US" w:bidi="ar-SA"/>
        </w:rPr>
        <w:t>法律变更：指在生效日后颁布、修订、废止或重新解释的任何适用法律导致甲方或乙方在本合同项下的权利义务发生实质性变化。</w:t>
      </w:r>
    </w:p>
    <w:p w14:paraId="439DF56E">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auto"/>
          <w:kern w:val="2"/>
          <w:sz w:val="28"/>
          <w:szCs w:val="28"/>
          <w:highlight w:val="none"/>
          <w:lang w:val="en-US" w:eastAsia="en-US" w:bidi="ar-SA"/>
        </w:rPr>
      </w:pPr>
      <w:r>
        <w:rPr>
          <w:rFonts w:hint="eastAsia" w:ascii="仿宋_GB2312" w:hAnsi="仿宋_GB2312" w:eastAsia="仿宋_GB2312" w:cs="仿宋_GB2312"/>
          <w:snapToGrid/>
          <w:color w:val="auto"/>
          <w:spacing w:val="0"/>
          <w:kern w:val="2"/>
          <w:sz w:val="28"/>
          <w:szCs w:val="28"/>
          <w:highlight w:val="none"/>
          <w:lang w:val="en-US" w:eastAsia="zh-CN" w:bidi="ar-SA"/>
        </w:rPr>
        <w:t>8.</w:t>
      </w:r>
      <w:r>
        <w:rPr>
          <w:rFonts w:hint="eastAsia" w:ascii="仿宋_GB2312" w:hAnsi="仿宋_GB2312" w:eastAsia="仿宋_GB2312" w:cs="仿宋_GB2312"/>
          <w:snapToGrid/>
          <w:color w:val="auto"/>
          <w:spacing w:val="0"/>
          <w:kern w:val="2"/>
          <w:sz w:val="28"/>
          <w:szCs w:val="28"/>
          <w:highlight w:val="none"/>
          <w:lang w:val="en-US" w:eastAsia="en-US" w:bidi="ar-SA"/>
        </w:rPr>
        <w:t>批准：指为了使乙方能够履行其在本合同项下的义务和行使其在本合同项下的权利，乙方必须从甲方或省</w:t>
      </w:r>
      <w:r>
        <w:rPr>
          <w:rFonts w:hint="eastAsia" w:ascii="仿宋_GB2312" w:hAnsi="仿宋_GB2312" w:eastAsia="仿宋_GB2312" w:cs="仿宋_GB2312"/>
          <w:snapToGrid/>
          <w:color w:val="auto"/>
          <w:spacing w:val="0"/>
          <w:kern w:val="2"/>
          <w:sz w:val="28"/>
          <w:szCs w:val="28"/>
          <w:highlight w:val="none"/>
          <w:lang w:val="en-US" w:eastAsia="zh-CN" w:bidi="ar-SA"/>
        </w:rPr>
        <w:t>市</w:t>
      </w:r>
      <w:r>
        <w:rPr>
          <w:rFonts w:hint="eastAsia" w:ascii="仿宋_GB2312" w:hAnsi="仿宋_GB2312" w:eastAsia="仿宋_GB2312" w:cs="仿宋_GB2312"/>
          <w:snapToGrid/>
          <w:color w:val="auto"/>
          <w:spacing w:val="0"/>
          <w:kern w:val="2"/>
          <w:sz w:val="28"/>
          <w:szCs w:val="28"/>
          <w:highlight w:val="none"/>
          <w:lang w:val="en-US" w:eastAsia="en-US" w:bidi="ar-SA"/>
        </w:rPr>
        <w:t>各有关单位依法获得的为乙方的建设、运营、运维所需要的任何许可、同意、授权等。</w:t>
      </w:r>
    </w:p>
    <w:p w14:paraId="5A5E2ABB">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auto"/>
          <w:spacing w:val="0"/>
          <w:kern w:val="2"/>
          <w:sz w:val="28"/>
          <w:szCs w:val="28"/>
          <w:highlight w:val="none"/>
          <w:lang w:val="en-US" w:eastAsia="en-US" w:bidi="ar-SA"/>
        </w:rPr>
      </w:pPr>
      <w:r>
        <w:rPr>
          <w:rFonts w:hint="eastAsia" w:ascii="仿宋_GB2312" w:hAnsi="仿宋_GB2312" w:eastAsia="仿宋_GB2312" w:cs="仿宋_GB2312"/>
          <w:snapToGrid/>
          <w:color w:val="auto"/>
          <w:spacing w:val="0"/>
          <w:kern w:val="2"/>
          <w:sz w:val="28"/>
          <w:szCs w:val="28"/>
          <w:highlight w:val="none"/>
          <w:lang w:val="en-US" w:eastAsia="zh-CN" w:bidi="ar-SA"/>
        </w:rPr>
        <w:t>9.</w:t>
      </w:r>
      <w:r>
        <w:rPr>
          <w:rFonts w:hint="eastAsia" w:ascii="仿宋_GB2312" w:hAnsi="仿宋_GB2312" w:eastAsia="仿宋_GB2312" w:cs="仿宋_GB2312"/>
          <w:snapToGrid/>
          <w:color w:val="auto"/>
          <w:spacing w:val="0"/>
          <w:kern w:val="2"/>
          <w:sz w:val="28"/>
          <w:szCs w:val="28"/>
          <w:highlight w:val="none"/>
          <w:lang w:val="en-US" w:eastAsia="en-US" w:bidi="ar-SA"/>
        </w:rPr>
        <w:t>生效日：指本合同甲乙双方盖章并由双方法定代表人或授权代表人签字之日。如依照适用法律需要履行审批程序的，则在有权部门审批后生效。</w:t>
      </w:r>
    </w:p>
    <w:p w14:paraId="6B488CF0">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auto"/>
          <w:spacing w:val="0"/>
          <w:kern w:val="2"/>
          <w:sz w:val="28"/>
          <w:szCs w:val="28"/>
          <w:highlight w:val="none"/>
          <w:lang w:val="en-US" w:eastAsia="en-US" w:bidi="ar-SA"/>
        </w:rPr>
      </w:pPr>
      <w:r>
        <w:rPr>
          <w:rFonts w:hint="eastAsia" w:ascii="仿宋_GB2312" w:hAnsi="仿宋_GB2312" w:eastAsia="仿宋_GB2312" w:cs="仿宋_GB2312"/>
          <w:snapToGrid/>
          <w:color w:val="auto"/>
          <w:spacing w:val="0"/>
          <w:kern w:val="2"/>
          <w:sz w:val="28"/>
          <w:szCs w:val="28"/>
          <w:highlight w:val="none"/>
          <w:lang w:val="en-US" w:eastAsia="zh-CN" w:bidi="ar-SA"/>
        </w:rPr>
        <w:t>10.项目</w:t>
      </w:r>
      <w:r>
        <w:rPr>
          <w:rFonts w:hint="eastAsia" w:ascii="仿宋_GB2312" w:hAnsi="仿宋_GB2312" w:eastAsia="仿宋_GB2312" w:cs="仿宋_GB2312"/>
          <w:snapToGrid/>
          <w:color w:val="auto"/>
          <w:spacing w:val="0"/>
          <w:kern w:val="2"/>
          <w:sz w:val="28"/>
          <w:szCs w:val="28"/>
          <w:highlight w:val="none"/>
          <w:lang w:val="en-US" w:eastAsia="en-US" w:bidi="ar-SA"/>
        </w:rPr>
        <w:t>实施：指乙方根据本合同开展</w:t>
      </w:r>
      <w:r>
        <w:rPr>
          <w:rFonts w:hint="eastAsia" w:ascii="仿宋_GB2312" w:hAnsi="仿宋_GB2312" w:eastAsia="仿宋_GB2312" w:cs="仿宋_GB2312"/>
          <w:snapToGrid/>
          <w:color w:val="auto"/>
          <w:spacing w:val="0"/>
          <w:kern w:val="2"/>
          <w:sz w:val="28"/>
          <w:szCs w:val="28"/>
          <w:highlight w:val="none"/>
          <w:lang w:val="en-US" w:eastAsia="zh-CN" w:bidi="ar-SA"/>
        </w:rPr>
        <w:t>建设、维护</w:t>
      </w:r>
      <w:r>
        <w:rPr>
          <w:rFonts w:hint="eastAsia" w:ascii="仿宋_GB2312" w:hAnsi="仿宋_GB2312" w:eastAsia="仿宋_GB2312" w:cs="仿宋_GB2312"/>
          <w:snapToGrid/>
          <w:color w:val="auto"/>
          <w:spacing w:val="0"/>
          <w:kern w:val="2"/>
          <w:sz w:val="28"/>
          <w:szCs w:val="28"/>
          <w:highlight w:val="none"/>
          <w:lang w:val="en-US" w:eastAsia="en-US" w:bidi="ar-SA"/>
        </w:rPr>
        <w:t>、收尾等开展的工作。</w:t>
      </w:r>
    </w:p>
    <w:p w14:paraId="146AA95A">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auto"/>
          <w:spacing w:val="0"/>
          <w:kern w:val="2"/>
          <w:sz w:val="28"/>
          <w:szCs w:val="28"/>
          <w:highlight w:val="none"/>
          <w:lang w:val="en-US" w:eastAsia="en-US" w:bidi="ar-SA"/>
        </w:rPr>
      </w:pPr>
      <w:r>
        <w:rPr>
          <w:rFonts w:hint="eastAsia" w:ascii="仿宋_GB2312" w:hAnsi="仿宋_GB2312" w:eastAsia="仿宋_GB2312" w:cs="仿宋_GB2312"/>
          <w:snapToGrid/>
          <w:color w:val="auto"/>
          <w:spacing w:val="0"/>
          <w:kern w:val="2"/>
          <w:sz w:val="28"/>
          <w:szCs w:val="28"/>
          <w:highlight w:val="none"/>
          <w:lang w:val="en-US" w:eastAsia="zh-CN" w:bidi="ar-SA"/>
        </w:rPr>
        <w:t>11.项目</w:t>
      </w:r>
      <w:r>
        <w:rPr>
          <w:rFonts w:hint="eastAsia" w:ascii="仿宋_GB2312" w:hAnsi="仿宋_GB2312" w:eastAsia="仿宋_GB2312" w:cs="仿宋_GB2312"/>
          <w:snapToGrid/>
          <w:color w:val="auto"/>
          <w:spacing w:val="0"/>
          <w:kern w:val="2"/>
          <w:sz w:val="28"/>
          <w:szCs w:val="28"/>
          <w:highlight w:val="none"/>
          <w:lang w:val="en-US" w:eastAsia="en-US" w:bidi="ar-SA"/>
        </w:rPr>
        <w:t>交付：指乙方根据本合同提交交付验收申请，经甲方组织验收后确认交付的过程。</w:t>
      </w:r>
    </w:p>
    <w:p w14:paraId="47CFB1E4">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auto"/>
          <w:spacing w:val="0"/>
          <w:kern w:val="2"/>
          <w:sz w:val="28"/>
          <w:szCs w:val="28"/>
          <w:highlight w:val="none"/>
          <w:lang w:val="en-US" w:eastAsia="en-US" w:bidi="ar-SA"/>
        </w:rPr>
      </w:pPr>
      <w:r>
        <w:rPr>
          <w:rFonts w:hint="eastAsia" w:ascii="仿宋_GB2312" w:hAnsi="仿宋_GB2312" w:eastAsia="仿宋_GB2312" w:cs="仿宋_GB2312"/>
          <w:snapToGrid/>
          <w:color w:val="auto"/>
          <w:spacing w:val="0"/>
          <w:kern w:val="2"/>
          <w:sz w:val="28"/>
          <w:szCs w:val="28"/>
          <w:highlight w:val="none"/>
          <w:lang w:val="en-US" w:eastAsia="zh-CN" w:bidi="ar-SA"/>
        </w:rPr>
        <w:t>12.</w:t>
      </w:r>
      <w:r>
        <w:rPr>
          <w:rFonts w:hint="eastAsia" w:ascii="仿宋_GB2312" w:hAnsi="仿宋_GB2312" w:eastAsia="仿宋_GB2312" w:cs="仿宋_GB2312"/>
          <w:snapToGrid/>
          <w:color w:val="auto"/>
          <w:spacing w:val="0"/>
          <w:kern w:val="2"/>
          <w:sz w:val="28"/>
          <w:szCs w:val="28"/>
          <w:highlight w:val="none"/>
          <w:lang w:val="en-US" w:eastAsia="en-US" w:bidi="ar-SA"/>
        </w:rPr>
        <w:t>设备验收：指对</w:t>
      </w:r>
      <w:r>
        <w:rPr>
          <w:rFonts w:hint="eastAsia" w:ascii="仿宋_GB2312" w:hAnsi="仿宋_GB2312" w:eastAsia="仿宋_GB2312" w:cs="仿宋_GB2312"/>
          <w:snapToGrid/>
          <w:color w:val="auto"/>
          <w:spacing w:val="0"/>
          <w:kern w:val="2"/>
          <w:sz w:val="28"/>
          <w:szCs w:val="28"/>
          <w:highlight w:val="none"/>
          <w:lang w:val="en-US" w:eastAsia="zh-CN" w:bidi="ar-SA"/>
        </w:rPr>
        <w:t>乙方按合同约定提交的设备</w:t>
      </w:r>
      <w:r>
        <w:rPr>
          <w:rFonts w:hint="eastAsia" w:ascii="仿宋_GB2312" w:hAnsi="仿宋_GB2312" w:eastAsia="仿宋_GB2312" w:cs="仿宋_GB2312"/>
          <w:snapToGrid/>
          <w:color w:val="auto"/>
          <w:spacing w:val="0"/>
          <w:kern w:val="2"/>
          <w:sz w:val="28"/>
          <w:szCs w:val="28"/>
          <w:highlight w:val="none"/>
          <w:lang w:val="en-US" w:eastAsia="en-US" w:bidi="ar-SA"/>
        </w:rPr>
        <w:t>进行验收。</w:t>
      </w:r>
    </w:p>
    <w:p w14:paraId="63C0C879">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auto"/>
          <w:spacing w:val="0"/>
          <w:kern w:val="2"/>
          <w:sz w:val="28"/>
          <w:szCs w:val="28"/>
          <w:highlight w:val="none"/>
          <w:lang w:val="en-US" w:eastAsia="en-US" w:bidi="ar-SA"/>
        </w:rPr>
      </w:pPr>
      <w:r>
        <w:rPr>
          <w:rFonts w:hint="eastAsia" w:ascii="仿宋_GB2312" w:hAnsi="仿宋_GB2312" w:eastAsia="仿宋_GB2312" w:cs="仿宋_GB2312"/>
          <w:snapToGrid/>
          <w:color w:val="auto"/>
          <w:spacing w:val="0"/>
          <w:kern w:val="2"/>
          <w:sz w:val="28"/>
          <w:szCs w:val="28"/>
          <w:highlight w:val="none"/>
          <w:lang w:val="en-US" w:eastAsia="zh-CN" w:bidi="ar-SA"/>
        </w:rPr>
        <w:t>13.</w:t>
      </w:r>
      <w:r>
        <w:rPr>
          <w:rFonts w:hint="eastAsia" w:ascii="仿宋_GB2312" w:hAnsi="仿宋_GB2312" w:eastAsia="仿宋_GB2312" w:cs="仿宋_GB2312"/>
          <w:snapToGrid/>
          <w:color w:val="auto"/>
          <w:spacing w:val="0"/>
          <w:kern w:val="2"/>
          <w:sz w:val="28"/>
          <w:szCs w:val="28"/>
          <w:highlight w:val="none"/>
          <w:lang w:val="en-US" w:eastAsia="en-US" w:bidi="ar-SA"/>
        </w:rPr>
        <w:t>外场验收：指</w:t>
      </w:r>
      <w:r>
        <w:rPr>
          <w:rFonts w:hint="eastAsia" w:ascii="仿宋_GB2312" w:hAnsi="仿宋_GB2312" w:eastAsia="仿宋_GB2312" w:cs="仿宋_GB2312"/>
          <w:snapToGrid/>
          <w:color w:val="auto"/>
          <w:spacing w:val="0"/>
          <w:kern w:val="2"/>
          <w:sz w:val="28"/>
          <w:szCs w:val="28"/>
          <w:highlight w:val="none"/>
          <w:lang w:val="en-US" w:eastAsia="zh-CN" w:bidi="ar-SA"/>
        </w:rPr>
        <w:t>对乙方按合同约定进行的设备安装</w:t>
      </w:r>
      <w:r>
        <w:rPr>
          <w:rFonts w:hint="eastAsia" w:ascii="仿宋_GB2312" w:hAnsi="仿宋_GB2312" w:eastAsia="仿宋_GB2312" w:cs="仿宋_GB2312"/>
          <w:snapToGrid/>
          <w:color w:val="auto"/>
          <w:spacing w:val="0"/>
          <w:kern w:val="2"/>
          <w:sz w:val="28"/>
          <w:szCs w:val="28"/>
          <w:highlight w:val="none"/>
          <w:lang w:val="en-US" w:eastAsia="en-US" w:bidi="ar-SA"/>
        </w:rPr>
        <w:t>进行验收。</w:t>
      </w:r>
    </w:p>
    <w:p w14:paraId="1A8E10E1">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auto"/>
          <w:spacing w:val="0"/>
          <w:kern w:val="2"/>
          <w:sz w:val="28"/>
          <w:szCs w:val="28"/>
          <w:highlight w:val="none"/>
          <w:lang w:val="en-US" w:eastAsia="en-US" w:bidi="ar-SA"/>
        </w:rPr>
      </w:pPr>
      <w:r>
        <w:rPr>
          <w:rFonts w:hint="eastAsia" w:ascii="仿宋_GB2312" w:hAnsi="仿宋_GB2312" w:eastAsia="仿宋_GB2312" w:cs="仿宋_GB2312"/>
          <w:snapToGrid/>
          <w:color w:val="auto"/>
          <w:spacing w:val="0"/>
          <w:kern w:val="2"/>
          <w:sz w:val="28"/>
          <w:szCs w:val="28"/>
          <w:highlight w:val="none"/>
          <w:lang w:val="en-US" w:eastAsia="zh-CN" w:bidi="ar-SA"/>
        </w:rPr>
        <w:t>14.</w:t>
      </w:r>
      <w:r>
        <w:rPr>
          <w:rFonts w:hint="eastAsia" w:ascii="仿宋_GB2312" w:hAnsi="仿宋_GB2312" w:eastAsia="仿宋_GB2312" w:cs="仿宋_GB2312"/>
          <w:snapToGrid/>
          <w:color w:val="auto"/>
          <w:spacing w:val="0"/>
          <w:kern w:val="2"/>
          <w:sz w:val="28"/>
          <w:szCs w:val="28"/>
          <w:highlight w:val="none"/>
          <w:lang w:val="en-US" w:eastAsia="en-US" w:bidi="ar-SA"/>
        </w:rPr>
        <w:t>数据质量验收：指</w:t>
      </w:r>
      <w:r>
        <w:rPr>
          <w:rFonts w:hint="eastAsia" w:ascii="仿宋_GB2312" w:hAnsi="仿宋_GB2312" w:eastAsia="仿宋_GB2312" w:cs="仿宋_GB2312"/>
          <w:snapToGrid/>
          <w:color w:val="auto"/>
          <w:spacing w:val="0"/>
          <w:kern w:val="2"/>
          <w:sz w:val="28"/>
          <w:szCs w:val="28"/>
          <w:highlight w:val="none"/>
          <w:lang w:val="en-US" w:eastAsia="zh-CN" w:bidi="ar-SA"/>
        </w:rPr>
        <w:t>对乙方按合同约定采集的数据进行验收</w:t>
      </w:r>
      <w:r>
        <w:rPr>
          <w:rFonts w:hint="eastAsia" w:ascii="仿宋_GB2312" w:hAnsi="仿宋_GB2312" w:eastAsia="仿宋_GB2312" w:cs="仿宋_GB2312"/>
          <w:snapToGrid/>
          <w:color w:val="auto"/>
          <w:spacing w:val="0"/>
          <w:kern w:val="2"/>
          <w:sz w:val="28"/>
          <w:szCs w:val="28"/>
          <w:highlight w:val="none"/>
          <w:lang w:val="en-US" w:eastAsia="en-US" w:bidi="ar-SA"/>
        </w:rPr>
        <w:t>。</w:t>
      </w:r>
    </w:p>
    <w:p w14:paraId="4A2F702C">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auto"/>
          <w:spacing w:val="0"/>
          <w:kern w:val="2"/>
          <w:sz w:val="28"/>
          <w:szCs w:val="28"/>
          <w:highlight w:val="none"/>
          <w:lang w:val="en-US" w:eastAsia="en-US" w:bidi="ar-SA"/>
        </w:rPr>
      </w:pPr>
      <w:r>
        <w:rPr>
          <w:rFonts w:hint="eastAsia" w:ascii="仿宋_GB2312" w:hAnsi="仿宋_GB2312" w:eastAsia="仿宋_GB2312" w:cs="仿宋_GB2312"/>
          <w:snapToGrid/>
          <w:color w:val="auto"/>
          <w:spacing w:val="0"/>
          <w:kern w:val="2"/>
          <w:sz w:val="28"/>
          <w:szCs w:val="28"/>
          <w:highlight w:val="none"/>
          <w:lang w:val="en-US" w:eastAsia="zh-CN" w:bidi="ar-SA"/>
        </w:rPr>
        <w:t>15.</w:t>
      </w:r>
      <w:r>
        <w:rPr>
          <w:rFonts w:hint="eastAsia" w:ascii="仿宋_GB2312" w:hAnsi="仿宋_GB2312" w:eastAsia="仿宋_GB2312" w:cs="仿宋_GB2312"/>
          <w:snapToGrid/>
          <w:color w:val="auto"/>
          <w:spacing w:val="0"/>
          <w:kern w:val="2"/>
          <w:sz w:val="28"/>
          <w:szCs w:val="28"/>
          <w:highlight w:val="none"/>
          <w:lang w:val="en-US" w:eastAsia="en-US" w:bidi="ar-SA"/>
        </w:rPr>
        <w:t>最终验收：对项目整体验收。</w:t>
      </w:r>
    </w:p>
    <w:p w14:paraId="680E801D">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auto"/>
          <w:spacing w:val="0"/>
          <w:kern w:val="2"/>
          <w:sz w:val="28"/>
          <w:szCs w:val="28"/>
          <w:highlight w:val="none"/>
          <w:lang w:val="en-US" w:eastAsia="zh-CN" w:bidi="ar-SA"/>
        </w:rPr>
      </w:pPr>
      <w:r>
        <w:rPr>
          <w:rFonts w:hint="eastAsia" w:ascii="仿宋_GB2312" w:hAnsi="仿宋_GB2312" w:eastAsia="仿宋_GB2312" w:cs="仿宋_GB2312"/>
          <w:snapToGrid/>
          <w:color w:val="auto"/>
          <w:spacing w:val="0"/>
          <w:kern w:val="2"/>
          <w:sz w:val="28"/>
          <w:szCs w:val="28"/>
          <w:highlight w:val="none"/>
          <w:lang w:val="en-US" w:eastAsia="zh-CN" w:bidi="ar-SA"/>
        </w:rPr>
        <w:t>16.标的提供的时间：指本项目各个节点的周期、期限。</w:t>
      </w:r>
    </w:p>
    <w:p w14:paraId="76F4C263">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auto"/>
          <w:spacing w:val="0"/>
          <w:kern w:val="2"/>
          <w:sz w:val="28"/>
          <w:szCs w:val="28"/>
          <w:highlight w:val="none"/>
          <w:lang w:val="en-US" w:eastAsia="zh-CN" w:bidi="ar-SA"/>
        </w:rPr>
      </w:pPr>
      <w:r>
        <w:rPr>
          <w:rFonts w:hint="eastAsia" w:ascii="仿宋_GB2312" w:hAnsi="仿宋_GB2312" w:eastAsia="仿宋_GB2312" w:cs="仿宋_GB2312"/>
          <w:snapToGrid/>
          <w:color w:val="auto"/>
          <w:spacing w:val="0"/>
          <w:kern w:val="2"/>
          <w:sz w:val="28"/>
          <w:szCs w:val="28"/>
          <w:highlight w:val="none"/>
          <w:lang w:val="en-US" w:eastAsia="zh-CN" w:bidi="ar-SA"/>
        </w:rPr>
        <w:t>17.其他在本合同及相关附件中涉及的有关名词和技术术语，其定义和解释如下：</w:t>
      </w:r>
    </w:p>
    <w:p w14:paraId="152534EA">
      <w:pPr>
        <w:numPr>
          <w:ilvl w:val="0"/>
          <w:numId w:val="0"/>
        </w:numPr>
        <w:kinsoku/>
        <w:autoSpaceDE/>
        <w:autoSpaceDN/>
        <w:adjustRightInd/>
        <w:snapToGrid/>
        <w:spacing w:before="0" w:line="540" w:lineRule="exact"/>
        <w:ind w:left="0" w:leftChars="0" w:firstLine="0" w:firstLineChars="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w:t>
      </w:r>
    </w:p>
    <w:p w14:paraId="6C3488ED">
      <w:pPr>
        <w:numPr>
          <w:ilvl w:val="0"/>
          <w:numId w:val="0"/>
        </w:numPr>
        <w:kinsoku/>
        <w:autoSpaceDE/>
        <w:autoSpaceDN/>
        <w:adjustRightInd/>
        <w:snapToGrid/>
        <w:spacing w:before="0" w:line="540" w:lineRule="exact"/>
        <w:ind w:left="0" w:leftChars="0" w:firstLine="0" w:firstLineChars="0"/>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t>（2）</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w:t>
      </w:r>
    </w:p>
    <w:p w14:paraId="148097FC">
      <w:pPr>
        <w:pStyle w:val="5"/>
        <w:kinsoku/>
        <w:autoSpaceDE/>
        <w:autoSpaceDN/>
        <w:adjustRightInd/>
        <w:snapToGrid/>
        <w:spacing w:before="65" w:line="540" w:lineRule="exact"/>
        <w:ind w:left="27" w:firstLine="560"/>
        <w:jc w:val="both"/>
        <w:textAlignment w:val="auto"/>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（二）解释</w:t>
      </w:r>
    </w:p>
    <w:p w14:paraId="454C2314">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1.“工作日”是指国家所规定的节假日之外的所有的工作日，凡本合同所约定的工作日均指工作日，未指明工作日的日期指自然顺延的日期。</w:t>
      </w:r>
    </w:p>
    <w:p w14:paraId="1C6C9272">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2.日、月和年均指公历的日、月和年，其中一年以三百六十五日计，一个月以三十日计。</w:t>
      </w:r>
    </w:p>
    <w:p w14:paraId="59290253">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不可抗力”是指任何一方由于出现不可抗力事件使该方无法全部或部分履行其本合同项下的义务致使合同目的不能实现时，该方应有权中止履行本合同项下的义务，但应及时通知对方，以减轻可能给对方造成的损失，并应在合理期限内向对方提供不可抗力的证明。</w:t>
      </w:r>
    </w:p>
    <w:p w14:paraId="74DEEE5C">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4.“元”是指人民币元。</w:t>
      </w:r>
    </w:p>
    <w:p w14:paraId="53D9FB4D">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5.条款或附件：指本合同的条款或附件。</w:t>
      </w:r>
    </w:p>
    <w:p w14:paraId="432AF646">
      <w:pPr>
        <w:widowControl w:val="0"/>
        <w:kinsoku/>
        <w:autoSpaceDE/>
        <w:autoSpaceDN/>
        <w:adjustRightInd/>
        <w:snapToGrid/>
        <w:spacing w:line="540" w:lineRule="exact"/>
        <w:ind w:firstLine="560" w:firstLineChars="200"/>
        <w:jc w:val="both"/>
        <w:textAlignment w:val="auto"/>
        <w:rPr>
          <w:rFonts w:hint="eastAsia" w:ascii="仿宋_GB2312" w:hAnsi="仿宋_GB2312" w:eastAsia="仿宋_GB2312" w:cs="仿宋_GB2312"/>
          <w:snapToGrid/>
          <w:color w:val="000000" w:themeColor="text1"/>
          <w:kern w:val="2"/>
          <w:sz w:val="28"/>
          <w:szCs w:val="28"/>
          <w:highlight w:val="none"/>
          <w:lang w:eastAsia="zh-CN"/>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6.除非本合同另有明确约定，“包括”指包括但不限于；除本合同另有明确约定，“以上”、“以下”、“以内”或“内”均含本数，“超过”、“以外”不含本数。</w:t>
      </w:r>
    </w:p>
    <w:p w14:paraId="181E3DDF">
      <w:pPr>
        <w:kinsoku/>
        <w:autoSpaceDE/>
        <w:autoSpaceDN/>
        <w:adjustRightInd/>
        <w:snapToGrid/>
        <w:spacing w:before="65" w:line="540" w:lineRule="exact"/>
        <w:ind w:left="27" w:firstLine="562"/>
        <w:jc w:val="both"/>
        <w:textAlignment w:val="auto"/>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二、声明和保证</w:t>
      </w:r>
    </w:p>
    <w:p w14:paraId="6E33C541">
      <w:pPr>
        <w:pStyle w:val="5"/>
        <w:kinsoku/>
        <w:autoSpaceDE/>
        <w:autoSpaceDN/>
        <w:adjustRightInd/>
        <w:snapToGrid/>
        <w:spacing w:before="65" w:line="540" w:lineRule="exact"/>
        <w:ind w:left="27" w:firstLine="560"/>
        <w:jc w:val="both"/>
        <w:textAlignment w:val="auto"/>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（一）甲方的声明和保证</w:t>
      </w:r>
    </w:p>
    <w:p w14:paraId="40B16C38">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1.在本合同生效日前已获得了签订本合同所必需的授权，有权签署本合同。</w:t>
      </w:r>
    </w:p>
    <w:p w14:paraId="58580E15">
      <w:pPr>
        <w:widowControl/>
        <w:kinsoku/>
        <w:autoSpaceDE/>
        <w:autoSpaceDN/>
        <w:adjustRightInd/>
        <w:snapToGrid/>
        <w:spacing w:line="540" w:lineRule="exact"/>
        <w:ind w:firstLine="560" w:firstLineChars="200"/>
        <w:jc w:val="both"/>
        <w:textAlignment w:val="auto"/>
        <w:rPr>
          <w:rFonts w:ascii="Arial" w:hAnsi="Arial" w:eastAsia="Arial" w:cs="Arial"/>
          <w:snapToGrid w:val="0"/>
          <w:color w:val="auto"/>
          <w:kern w:val="0"/>
          <w:sz w:val="21"/>
          <w:szCs w:val="21"/>
          <w:highlight w:val="none"/>
          <w:lang w:eastAsia="en-US"/>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2.甲方应保证对向乙方提供的与本项目相关的材料、信息或数据的准确性、完整性或适宜性负责；甲方对向乙方提供的其他材料、信息或数据的准确性、完整性或适宜性，未作出任何保证。</w:t>
      </w:r>
    </w:p>
    <w:p w14:paraId="75B6D3EA">
      <w:pPr>
        <w:pStyle w:val="5"/>
        <w:kinsoku/>
        <w:autoSpaceDE/>
        <w:autoSpaceDN/>
        <w:adjustRightInd/>
        <w:snapToGrid/>
        <w:spacing w:before="65" w:line="540" w:lineRule="exact"/>
        <w:ind w:left="27" w:firstLine="560"/>
        <w:jc w:val="both"/>
        <w:textAlignment w:val="auto"/>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（二）乙方的声明和保证</w:t>
      </w:r>
    </w:p>
    <w:p w14:paraId="68F40DE0">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1.乙方是依据中国法律正式成立的企业法人或具有法人资格的事业单位和社会团体，具有签署和履行本合同的法人资格及履约能力。</w:t>
      </w:r>
    </w:p>
    <w:p w14:paraId="3050308B">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2.乙方为签署本合同已经依据适用法律及公司章程之规定完成所有必要的公司内部行为，其有权签署本合同并履行本合同项下的义务。</w:t>
      </w:r>
    </w:p>
    <w:p w14:paraId="12B93DFD">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3.乙方应保证在签订本合同前，已达到完整履约的能力，包括符合国家、广东省相关标准规范或行业标准规范。</w:t>
      </w:r>
    </w:p>
    <w:p w14:paraId="0B7FB015">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4.如果乙方的保证被证明在做出时存在不实或不能兑现，对甲方依本合同享有权利或承担义务造成实质性影响时，甲方有权提前终止本合同，并保留追究损失的权利。本合同各附件也随之自动终止。</w:t>
      </w:r>
    </w:p>
    <w:p w14:paraId="4A11DEAB">
      <w:pPr>
        <w:kinsoku/>
        <w:autoSpaceDE/>
        <w:autoSpaceDN/>
        <w:adjustRightInd/>
        <w:snapToGrid/>
        <w:spacing w:before="0" w:line="540" w:lineRule="exact"/>
        <w:ind w:left="0" w:leftChars="0" w:firstLine="560" w:firstLineChars="200"/>
        <w:jc w:val="left"/>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p>
    <w:p w14:paraId="241F721E">
      <w:pPr>
        <w:kinsoku w:val="0"/>
        <w:autoSpaceDE/>
        <w:autoSpaceDN/>
        <w:adjustRightInd w:val="0"/>
        <w:snapToGrid w:val="0"/>
        <w:spacing w:before="0" w:line="540" w:lineRule="exact"/>
        <w:ind w:left="0" w:firstLine="0" w:firstLineChars="0"/>
        <w:jc w:val="center"/>
        <w:textAlignment w:val="baseline"/>
        <w:outlineLvl w:val="0"/>
        <w:rPr>
          <w:rFonts w:hint="eastAsia" w:ascii="宋体" w:hAnsi="宋体" w:eastAsia="宋体" w:cs="宋体"/>
          <w:b/>
          <w:bCs/>
          <w:snapToGrid w:val="0"/>
          <w:color w:val="auto"/>
          <w:spacing w:val="6"/>
          <w:kern w:val="0"/>
          <w:sz w:val="24"/>
          <w:szCs w:val="24"/>
          <w:highlight w:val="none"/>
          <w:lang w:val="en-US" w:eastAsia="en-US" w:bidi="ar-SA"/>
        </w:rPr>
      </w:pP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第二章</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zh-CN" w:bidi="ar-SA"/>
        </w:rPr>
        <w:t xml:space="preserve">  </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合同主体的权利和义务</w:t>
      </w:r>
    </w:p>
    <w:p w14:paraId="103BFD19">
      <w:pPr>
        <w:kinsoku w:val="0"/>
        <w:autoSpaceDE/>
        <w:autoSpaceDN/>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p>
    <w:p w14:paraId="1BD56574">
      <w:pPr>
        <w:kinsoku w:val="0"/>
        <w:autoSpaceDE/>
        <w:autoSpaceDN/>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一、甲方</w:t>
      </w:r>
    </w:p>
    <w:p w14:paraId="1FD52F1C">
      <w:pPr>
        <w:pStyle w:val="5"/>
        <w:kinsoku w:val="0"/>
        <w:autoSpaceDE/>
        <w:autoSpaceDN/>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（一）权利</w:t>
      </w:r>
    </w:p>
    <w:p w14:paraId="72AAE1D9">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1.甲方有自行或委托第三方机构，对乙方提供的本项目的服务进行监管的权利。</w:t>
      </w:r>
    </w:p>
    <w:p w14:paraId="11B0162D">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2.甲方有自行或委托第三方机构，对乙方的建设、运维、管理、安全、质量、服务状况进行定期评估考核的权利。</w:t>
      </w:r>
    </w:p>
    <w:p w14:paraId="0DA0E3AC">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3.乙方因自身原因导致合同无法继续履行，则视为违约，甲方有权单方解除合同，并向乙方追偿损失。</w:t>
      </w:r>
    </w:p>
    <w:p w14:paraId="44B90240">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4.如因乙方原因导致甲方被行政处分或行政处罚，甲方保留向乙方追究法律责任、经济责任的权利。</w:t>
      </w:r>
    </w:p>
    <w:p w14:paraId="1B0B1F2F">
      <w:pPr>
        <w:widowControl/>
        <w:kinsoku/>
        <w:autoSpaceDE/>
        <w:autoSpaceDN/>
        <w:adjustRightInd/>
        <w:snapToGrid/>
        <w:spacing w:line="540" w:lineRule="exact"/>
        <w:ind w:firstLine="560" w:firstLineChars="200"/>
        <w:jc w:val="both"/>
        <w:textAlignment w:val="auto"/>
        <w:rPr>
          <w:rFonts w:hint="eastAsia" w:ascii="仿宋_GB2312" w:hAnsi="仿宋_GB2312" w:eastAsia="仿宋_GB2312" w:cs="仿宋_GB2312"/>
          <w:snapToGrid/>
          <w:color w:val="000000" w:themeColor="text1"/>
          <w:kern w:val="2"/>
          <w:sz w:val="28"/>
          <w:szCs w:val="28"/>
          <w:highlight w:val="none"/>
          <w:lang w:eastAsia="zh-CN"/>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5.法律、法规授予甲方的其他权利。</w:t>
      </w:r>
    </w:p>
    <w:p w14:paraId="77CE1D01">
      <w:pPr>
        <w:pStyle w:val="5"/>
        <w:kinsoku w:val="0"/>
        <w:autoSpaceDE/>
        <w:autoSpaceDN/>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（二）义务</w:t>
      </w:r>
    </w:p>
    <w:p w14:paraId="48062DC3">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1.依据乙方的书面申请，在不影响正常工作的前提下协助乙方及时获得本项目需要的合理、合法的条件。</w:t>
      </w:r>
    </w:p>
    <w:p w14:paraId="42E64122">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甲方应指派一名专职人员作为项目负责人，负责和乙方进行协调、监督，项目负责人应定期向甲方汇报，与乙方项目经理沟通，并负责本合同项下的验收组织工作。如乙方提供的服务达不到甲方要求的，甲方应及时将不符合要求的内容和原因通知乙方。</w:t>
      </w:r>
    </w:p>
    <w:p w14:paraId="4FDF5D06">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3.甲方应及时组织验收，对乙方提交的符合本合同约定的成果进行书面确认。</w:t>
      </w:r>
    </w:p>
    <w:p w14:paraId="4EF47F80">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4.按照本合同的约定向乙方支付合同金额。</w:t>
      </w:r>
    </w:p>
    <w:p w14:paraId="3EE32898">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5.若甲方在其他合同中为本项目指定监理单位，甲方应当将授予监理单位的监理权利及时通知乙方。</w:t>
      </w:r>
    </w:p>
    <w:p w14:paraId="0CF075A6">
      <w:pPr>
        <w:widowControl/>
        <w:kinsoku/>
        <w:autoSpaceDE/>
        <w:autoSpaceDN/>
        <w:adjustRightInd/>
        <w:snapToGrid/>
        <w:spacing w:line="540" w:lineRule="exact"/>
        <w:ind w:firstLine="560" w:firstLineChars="200"/>
        <w:jc w:val="both"/>
        <w:textAlignment w:val="auto"/>
        <w:rPr>
          <w:rFonts w:hint="eastAsia" w:ascii="仿宋_GB2312" w:hAnsi="仿宋_GB2312" w:eastAsia="仿宋_GB2312" w:cs="仿宋_GB2312"/>
          <w:snapToGrid/>
          <w:color w:val="000000" w:themeColor="text1"/>
          <w:kern w:val="2"/>
          <w:sz w:val="28"/>
          <w:szCs w:val="28"/>
          <w:highlight w:val="none"/>
          <w:lang w:eastAsia="zh-CN"/>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6.法律、法规规定的以及本合同项下的其他义务。</w:t>
      </w:r>
    </w:p>
    <w:p w14:paraId="647F9C72">
      <w:pPr>
        <w:kinsoku w:val="0"/>
        <w:autoSpaceDE/>
        <w:autoSpaceDN/>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二、乙方</w:t>
      </w:r>
    </w:p>
    <w:p w14:paraId="737A02A5">
      <w:pPr>
        <w:pStyle w:val="5"/>
        <w:kinsoku w:val="0"/>
        <w:autoSpaceDE/>
        <w:autoSpaceDN/>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（一）权利</w:t>
      </w:r>
    </w:p>
    <w:p w14:paraId="53B790C7">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1.要求甲方按本合同的约定支付合同金额的权利。</w:t>
      </w:r>
    </w:p>
    <w:p w14:paraId="63BBDE62">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如果因不可归责于乙方的原因导致乙方不能履约的，则乙方有权和甲方就有关事宜进行沟通，如经甲方确认确属不可归责于乙方的原因，且乙方已为避免此种情形采取必要的措施，则甲方出具相应的书面文件，确认不得以此作为对乙方考核不达标的依据，并不得追究乙方的违约责任。</w:t>
      </w:r>
    </w:p>
    <w:p w14:paraId="36ED53D8">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3.法律、法规规定以及本合同约定的其他权利。</w:t>
      </w:r>
    </w:p>
    <w:p w14:paraId="185F3C7B">
      <w:pPr>
        <w:pStyle w:val="5"/>
        <w:kinsoku w:val="0"/>
        <w:autoSpaceDE/>
        <w:autoSpaceDN/>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（二）义务</w:t>
      </w:r>
    </w:p>
    <w:p w14:paraId="42F76CC0">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1.按照本合同约定（包括进度、质量、安全标准）完成本项目。</w:t>
      </w:r>
    </w:p>
    <w:p w14:paraId="5AA0AC5C">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2.接受甲方或其指定的第三方机构对本项目的监管、评估考核等。</w:t>
      </w:r>
    </w:p>
    <w:p w14:paraId="68A743D5">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3.合同期内，如遇国家法律、法规及相关政策发生重大变化，对本合同的履行造成实质性的影响，乙方应积极与甲方协商解决，并采取合理措施避免各方的损失扩大。</w:t>
      </w:r>
    </w:p>
    <w:p w14:paraId="2A446066">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4.如政府审计部门或政府审计部门委托的第三方审计单位需对涉及本合同的事项进行审计时，乙方应按照政府审计有关法律法规和政策要求，支持、协助审计部门或其委托的跟踪审计单位开展工作。</w:t>
      </w:r>
    </w:p>
    <w:p w14:paraId="7B0BB352">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5.乙方应加强项目相关人员管理。向甲方书面提交本合同项目具体的人力资源计划及岗位职责手册（包括但不限于：本合同项目的管理、运维等服务人员的名单、岗位责任、组织架构等），如有变化乙方应及时更新，核心骨干人员（一般为项目经理、技术负责人）变化须应提前征得甲方事先同意，甲方认为乙方派出的人员不足以按期保质完成合同，乙方应按甲方要求更换，更换人员须经过甲方面试同意。如仍不能符合项目质量要求，采购人有权责令停止履约并整改或解除合同，乙方应对由此造成的损失负责。与本项目有关的制度规章以及过程有关资料，乙方应书面报甲方备案，并接受甲方定期或不定期的检查。应加强对驻场人员管理，遵守甲方工作管理要求，接受工作指导和统一安排。</w:t>
      </w:r>
    </w:p>
    <w:p w14:paraId="08598959">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6.乙方应保证所提供的产品或服务没有侵害任何第三方的知识产权或其他正当权益。如有第三方指控甲方接受乙方提供的产品或服务侵犯了该方的知识产权或其他合法权利，乙方应自费就上述指控为甲方辩护或进行妥善处理，并承担给甲方及第三方造成的一切损失（包括但不限于赔偿金、律师费、诉讼费等）。如乙方不为甲方辩护或不进行妥善处理，甲方可自行处理，对于甲方与第三方达成的和解协议或法院、仲裁机构作出的生效法律文书确定由甲方承担的责任和费用，及甲方自行处理所支出的合理费用（包括但不限于律师费、案件受理费、执行费、差旅费等），乙方同意全部承担，甲方有权在应付乙方的合同款项中直接扣减相应金额或另行向乙方进行追偿。</w:t>
      </w:r>
    </w:p>
    <w:p w14:paraId="10EA455C">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7.合同履行期内，如乙方的股东拟转让股权的，乙方应按《公司法》等法律法规及《公司章程》履行相应的决策、审批程序，并及时向甲方报备。</w:t>
      </w:r>
    </w:p>
    <w:p w14:paraId="75C37EEA">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8.合同履行期限届满后，或者按照本合同约定需要终止或解除合同的，乙方应配合甲方做好与项目相关的移交工作。</w:t>
      </w:r>
    </w:p>
    <w:p w14:paraId="54A50A24">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9.若甲方在其他合同中为本项目指定咨询、监理单位，乙方应无条件接受甲方或甲方指定的咨询、监理单位的统一管理和监督检查，并按要求完成相关配合工作。</w:t>
      </w:r>
    </w:p>
    <w:p w14:paraId="23354DFC">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10.若甲方在其他合同中为本项目指定第三方验收机构，乙方应无条件配合完成相关工作。</w:t>
      </w:r>
    </w:p>
    <w:p w14:paraId="620D9483">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11.乙方应对其履行本合同所雇佣、安排的全部人员的安全事故承担责任。由于乙方或乙方人员原因在甲方办公场所内及其毗邻造成的第三者人身伤亡和财产损失，由乙方负责赔偿，若造成甲方实际损失的，甲方有权向乙方全额追索。</w:t>
      </w:r>
    </w:p>
    <w:p w14:paraId="2C8D8C1B">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12.乙方按甲方要求，配合完成本项目关联系统的数据资产、数字化资产建档建卡，包括但不限于：系统登记、资产清查盘点、建立并完善资产信息卡等工作。具体建档建卡要素和格式须符合财政部《关于加强行政事业单位数据资产管理的通知》（财资〔2024〕1号）、财政部颁《固定资产等资产基础分类与代码（GB/T 14885-2022）》等国家和广东省相关政策，以及甲方内控制度的要求。乙方需保证其交付工作即数据资产信息的齐全性、准确性和真实性。</w:t>
      </w:r>
    </w:p>
    <w:p w14:paraId="09421DF1">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13.乙方须按甲方制定的项目质量管理要求开展服务，无条件接受甲方对项目质量管理要求落实情况的监督考核。包括但不限于：根据甲方提出的项目需重点解决问题清单提供解决方案，在项目实施过程中将问题予以解决，确保项目质量；根据甲方提出的项目管理制度清单，编制相应的项目管理制度文件，进一步规范项目实施过程；根据甲方提出服务团队岗位职责清单，制定岗位职责手册，定岗定人，确保各核心岗位均指派能胜任的专人提供服务。</w:t>
      </w:r>
    </w:p>
    <w:p w14:paraId="54C1B5B4">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14.乙方应当按照合同约定履行义务，完成中标项目。不得向他人转让中标项目，也不得将中标项目肢解后分别向他人转让。</w:t>
      </w:r>
    </w:p>
    <w:p w14:paraId="5067D241">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15.法律、法规规定的以及本合同项下的其他义务。</w:t>
      </w:r>
    </w:p>
    <w:p w14:paraId="6F6F4F6E">
      <w:pPr>
        <w:kinsoku w:val="0"/>
        <w:autoSpaceDE/>
        <w:autoSpaceDN/>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三、其他相关方（若有，如用户单位）</w:t>
      </w:r>
    </w:p>
    <w:p w14:paraId="02E790AE">
      <w:pPr>
        <w:pStyle w:val="5"/>
        <w:kinsoku w:val="0"/>
        <w:autoSpaceDE/>
        <w:autoSpaceDN/>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（一）权利</w:t>
      </w:r>
    </w:p>
    <w:p w14:paraId="58286E1B">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根据项目需要，甲方将部分以下权利授予相关方：</w:t>
      </w:r>
    </w:p>
    <w:p w14:paraId="59E087F3">
      <w:pPr>
        <w:numPr>
          <w:ilvl w:val="0"/>
          <w:numId w:val="0"/>
        </w:numPr>
        <w:kinsoku/>
        <w:autoSpaceDE/>
        <w:autoSpaceDN/>
        <w:adjustRightInd/>
        <w:snapToGrid/>
        <w:spacing w:before="0" w:line="540" w:lineRule="exact"/>
        <w:ind w:left="0" w:leftChars="0" w:firstLine="0" w:firstLineChars="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w:t>
      </w:r>
      <w:r>
        <w:rPr>
          <w:rFonts w:hint="eastAsia" w:ascii="仿宋_GB2312" w:hAnsi="仿宋_GB2312" w:eastAsia="仿宋_GB2312" w:cs="仿宋_GB2312"/>
          <w:snapToGrid/>
          <w:color w:val="000000" w:themeColor="text1"/>
          <w:spacing w:val="0"/>
          <w:kern w:val="2"/>
          <w:sz w:val="28"/>
          <w:szCs w:val="28"/>
          <w:highlight w:val="none"/>
          <w:u w:val="single" w:color="auto"/>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u w:val="single" w:color="auto"/>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w:t>
      </w:r>
    </w:p>
    <w:p w14:paraId="555850BE">
      <w:pPr>
        <w:numPr>
          <w:ilvl w:val="0"/>
          <w:numId w:val="0"/>
        </w:numPr>
        <w:kinsoku/>
        <w:autoSpaceDE/>
        <w:autoSpaceDN/>
        <w:adjustRightInd/>
        <w:snapToGrid/>
        <w:spacing w:before="0" w:line="540" w:lineRule="exact"/>
        <w:ind w:left="0" w:leftChars="0" w:firstLine="0" w:firstLineChars="0"/>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t>2。</w:t>
      </w:r>
      <w:r>
        <w:rPr>
          <w:rFonts w:hint="eastAsia" w:ascii="仿宋_GB2312" w:hAnsi="仿宋_GB2312" w:eastAsia="仿宋_GB2312" w:cs="仿宋_GB2312"/>
          <w:snapToGrid/>
          <w:color w:val="000000" w:themeColor="text1"/>
          <w:spacing w:val="0"/>
          <w:kern w:val="2"/>
          <w:sz w:val="28"/>
          <w:szCs w:val="28"/>
          <w:highlight w:val="none"/>
          <w:u w:val="single" w:color="auto"/>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u w:val="single" w:color="auto"/>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w:t>
      </w:r>
    </w:p>
    <w:p w14:paraId="7EFB49F8">
      <w:pPr>
        <w:numPr>
          <w:ilvl w:val="0"/>
          <w:numId w:val="0"/>
        </w:numPr>
        <w:kinsoku/>
        <w:autoSpaceDE/>
        <w:autoSpaceDN/>
        <w:adjustRightInd/>
        <w:snapToGrid/>
        <w:spacing w:before="0" w:line="540" w:lineRule="exact"/>
        <w:ind w:left="0" w:leftChars="0" w:firstLine="0" w:firstLineChars="0"/>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w:t>
      </w:r>
      <w:r>
        <w:rPr>
          <w:rFonts w:hint="eastAsia" w:ascii="仿宋_GB2312" w:hAnsi="仿宋_GB2312" w:eastAsia="仿宋_GB2312" w:cs="仿宋_GB2312"/>
          <w:snapToGrid/>
          <w:color w:val="000000" w:themeColor="text1"/>
          <w:spacing w:val="0"/>
          <w:kern w:val="2"/>
          <w:sz w:val="28"/>
          <w:szCs w:val="28"/>
          <w:highlight w:val="none"/>
          <w:u w:val="single" w:color="auto"/>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u w:val="single" w:color="auto"/>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w:t>
      </w:r>
    </w:p>
    <w:p w14:paraId="122A658E">
      <w:pPr>
        <w:kinsoku/>
        <w:autoSpaceDE/>
        <w:autoSpaceDN/>
        <w:adjustRightInd/>
        <w:snapToGrid/>
        <w:spacing w:before="0" w:line="540" w:lineRule="exact"/>
        <w:ind w:left="0" w:leftChars="0" w:firstLine="0" w:firstLineChars="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w:t>
      </w:r>
      <w:r>
        <w:rPr>
          <w:rFonts w:hint="eastAsia" w:ascii="仿宋_GB2312" w:hAnsi="仿宋_GB2312" w:eastAsia="仿宋_GB2312" w:cs="仿宋_GB2312"/>
          <w:snapToGrid/>
          <w:color w:val="000000" w:themeColor="text1"/>
          <w:spacing w:val="0"/>
          <w:kern w:val="2"/>
          <w:sz w:val="28"/>
          <w:szCs w:val="28"/>
          <w:highlight w:val="none"/>
          <w:u w:val="single" w:color="auto"/>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u w:val="single" w:color="auto"/>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w:t>
      </w:r>
    </w:p>
    <w:p w14:paraId="048C026E">
      <w:pPr>
        <w:tabs>
          <w:tab w:val="left" w:pos="640"/>
        </w:tabs>
        <w:kinsoku/>
        <w:autoSpaceDE/>
        <w:autoSpaceDN/>
        <w:adjustRightInd/>
        <w:snapToGrid/>
        <w:spacing w:before="0" w:line="540" w:lineRule="exact"/>
        <w:ind w:left="0" w:leftChars="0" w:firstLine="0" w:firstLineChars="0"/>
        <w:jc w:val="both"/>
        <w:textAlignment w:val="auto"/>
        <w:rPr>
          <w:rFonts w:hint="default"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5.</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w:t>
      </w:r>
    </w:p>
    <w:p w14:paraId="0C779231">
      <w:pPr>
        <w:pStyle w:val="5"/>
        <w:kinsoku w:val="0"/>
        <w:autoSpaceDE w:val="0"/>
        <w:autoSpaceDN w:val="0"/>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（二）义务</w:t>
      </w:r>
    </w:p>
    <w:p w14:paraId="192E5EDA">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伴随甲方授予的上述权利，相关方需履行以下义务：</w:t>
      </w:r>
    </w:p>
    <w:p w14:paraId="366F6B21">
      <w:pPr>
        <w:numPr>
          <w:ilvl w:val="0"/>
          <w:numId w:val="0"/>
        </w:numPr>
        <w:kinsoku/>
        <w:autoSpaceDE/>
        <w:autoSpaceDN/>
        <w:adjustRightInd/>
        <w:snapToGrid/>
        <w:spacing w:before="0" w:line="540" w:lineRule="exact"/>
        <w:ind w:left="0" w:leftChars="0" w:firstLine="0" w:firstLineChars="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w:t>
      </w:r>
    </w:p>
    <w:p w14:paraId="004563AE">
      <w:pPr>
        <w:numPr>
          <w:ilvl w:val="0"/>
          <w:numId w:val="0"/>
        </w:numPr>
        <w:kinsoku/>
        <w:autoSpaceDE/>
        <w:autoSpaceDN/>
        <w:adjustRightInd/>
        <w:snapToGrid/>
        <w:spacing w:before="0" w:line="540" w:lineRule="exact"/>
        <w:ind w:left="0" w:leftChars="0" w:firstLine="0" w:firstLineChars="0"/>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t>2.</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w:t>
      </w:r>
    </w:p>
    <w:p w14:paraId="12E1B037">
      <w:pPr>
        <w:numPr>
          <w:ilvl w:val="0"/>
          <w:numId w:val="0"/>
        </w:numPr>
        <w:kinsoku/>
        <w:autoSpaceDE/>
        <w:autoSpaceDN/>
        <w:adjustRightInd/>
        <w:snapToGrid/>
        <w:spacing w:before="0" w:line="540" w:lineRule="exact"/>
        <w:ind w:left="0" w:leftChars="0" w:firstLine="0" w:firstLineChars="0"/>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w:t>
      </w:r>
    </w:p>
    <w:p w14:paraId="76AA373E">
      <w:pPr>
        <w:kinsoku/>
        <w:autoSpaceDE/>
        <w:autoSpaceDN/>
        <w:adjustRightInd/>
        <w:snapToGrid/>
        <w:spacing w:before="0" w:line="540" w:lineRule="exact"/>
        <w:ind w:left="0" w:leftChars="0" w:firstLine="0" w:firstLineChars="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w:t>
      </w:r>
    </w:p>
    <w:p w14:paraId="466FF2F5">
      <w:pPr>
        <w:tabs>
          <w:tab w:val="left" w:pos="640"/>
        </w:tabs>
        <w:kinsoku/>
        <w:autoSpaceDE/>
        <w:autoSpaceDN/>
        <w:adjustRightInd/>
        <w:snapToGrid/>
        <w:spacing w:before="0" w:line="540" w:lineRule="exact"/>
        <w:ind w:left="0" w:leftChars="0" w:firstLine="0" w:firstLineChars="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5.</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w:t>
      </w:r>
    </w:p>
    <w:p w14:paraId="4D39B4D7">
      <w:pPr>
        <w:tabs>
          <w:tab w:val="left" w:pos="640"/>
        </w:tabs>
        <w:kinsoku/>
        <w:autoSpaceDE/>
        <w:autoSpaceDN/>
        <w:adjustRightInd/>
        <w:snapToGrid/>
        <w:spacing w:before="0" w:line="540" w:lineRule="exact"/>
        <w:ind w:left="0" w:leftChars="0" w:firstLine="0" w:firstLineChars="0"/>
        <w:jc w:val="both"/>
        <w:textAlignment w:val="auto"/>
        <w:rPr>
          <w:rFonts w:hint="default"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p>
    <w:p w14:paraId="6D2FC8E6">
      <w:pPr>
        <w:widowControl/>
        <w:kinsoku w:val="0"/>
        <w:autoSpaceDE/>
        <w:autoSpaceDN/>
        <w:spacing w:line="540" w:lineRule="exact"/>
        <w:ind w:firstLine="0" w:firstLineChars="0"/>
        <w:jc w:val="center"/>
        <w:textAlignment w:val="baseline"/>
        <w:outlineLvl w:val="0"/>
        <w:rPr>
          <w:rFonts w:hint="eastAsia" w:ascii="仿宋_GB2312" w:hAnsi="仿宋_GB2312" w:eastAsia="仿宋_GB2312" w:cs="仿宋_GB2312"/>
          <w:snapToGrid w:val="0"/>
          <w:color w:val="auto"/>
          <w:kern w:val="0"/>
          <w:sz w:val="28"/>
          <w:szCs w:val="28"/>
          <w:highlight w:val="none"/>
          <w:lang w:eastAsia="en-US"/>
        </w:rPr>
      </w:pP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第三章</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zh-CN" w:bidi="ar-SA"/>
        </w:rPr>
        <w:t xml:space="preserve">  </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项目内容及标的提供的时间及地点</w:t>
      </w:r>
    </w:p>
    <w:p w14:paraId="236C53E8">
      <w:pPr>
        <w:kinsoku w:val="0"/>
        <w:autoSpaceDE/>
        <w:autoSpaceDN/>
        <w:adjustRightInd/>
        <w:snapToGrid/>
        <w:spacing w:before="65" w:line="540" w:lineRule="exact"/>
        <w:ind w:left="27" w:firstLine="562"/>
        <w:jc w:val="both"/>
        <w:textAlignment w:val="baseline"/>
        <w:outlineLvl w:val="0"/>
        <w:rPr>
          <w:rFonts w:hint="eastAsia" w:ascii="仿宋_GB2312" w:hAnsi="仿宋_GB2312" w:eastAsia="仿宋_GB2312" w:cs="仿宋_GB2312"/>
          <w:b/>
          <w:bCs/>
          <w:snapToGrid/>
          <w:color w:val="auto"/>
          <w:spacing w:val="0"/>
          <w:kern w:val="2"/>
          <w:sz w:val="28"/>
          <w:szCs w:val="28"/>
          <w:highlight w:val="none"/>
          <w:lang w:val="en-US" w:eastAsia="en-US" w:bidi="ar-SA"/>
        </w:rPr>
      </w:pPr>
    </w:p>
    <w:p w14:paraId="5BC08F25">
      <w:pPr>
        <w:kinsoku w:val="0"/>
        <w:autoSpaceDE/>
        <w:autoSpaceDN/>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一、项目内容</w:t>
      </w:r>
    </w:p>
    <w:p w14:paraId="33052071">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1.完成广东省普通国道基础设施数字化转型升级示范工程公路交通情况调查设备采购（包组号：    ）所有交通调查站点的供货、安装、调试，并将交通情况调查采集站点数据实时接入《广东省公路交通情况调查子系统》，含3年的设备维护及数据采集服务。</w:t>
      </w:r>
    </w:p>
    <w:p w14:paraId="29FDF7DD">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乙方应通过每年2次以上的巡检任务，保障维护设备的安全稳定运行，减少设备故障率，从而提高传输至《广东省公路交通情况调查子系统》数据的完整性与实时性。设备故障后，如电话响应无法解决，乙方应在8小时内赶到现场以保证设备正常运行。在维护期内，应保证48小时内维修完毕，特殊情况下，乙方可以备用设备来满足相应交通调查站点正常需求；如乙方未能完成上述约定的维修义务，甲方可自行委托第三方进行维护，所产生的全部费用和损失由乙方承担。</w:t>
      </w:r>
    </w:p>
    <w:p w14:paraId="5213F835">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3.技术要求详见本合同附件。</w:t>
      </w:r>
    </w:p>
    <w:p w14:paraId="0D2F554F">
      <w:pPr>
        <w:kinsoku w:val="0"/>
        <w:autoSpaceDE/>
        <w:autoSpaceDN/>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二、标的提供的时间及地点</w:t>
      </w:r>
    </w:p>
    <w:p w14:paraId="451B3151">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合同签订之日起10个日历日内，将完成本项目所需的公路交通情况调查设备、终端管理设施、数据模块（工业级）、气象传感器、卡口抓拍摄像机、一体化补光灯、监控球型摄像机、后备电源、智能中控电箱等设备，完整送至甲方认可的仓储场地。</w:t>
      </w:r>
    </w:p>
    <w:p w14:paraId="05F95B36">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2.自合同生效之日起6个月内完成各站点数据的接入、设备的安装、调试。</w:t>
      </w:r>
    </w:p>
    <w:p w14:paraId="2BF748D1">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3.试运行满1个月后完成交工验收。所有站点自交工验收通过之日起，提供3年的设备维护及数据采集服务。</w:t>
      </w:r>
    </w:p>
    <w:p w14:paraId="2EF3A9B2">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4.若因乙方原因导致任一阶段延期，按“违约责任”条款承担违约金；若因甲方原因（如场地未协调、需求变更）导致延期，需书面通知乙方，工期相应顺延，甲方不承担违约责任。</w:t>
      </w:r>
    </w:p>
    <w:p w14:paraId="3F73B0E2">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5.标的提供的地点：广东省境内甲方指定地点。</w:t>
      </w:r>
    </w:p>
    <w:p w14:paraId="141D8E4A">
      <w:pPr>
        <w:widowControl/>
        <w:kinsoku/>
        <w:autoSpaceDE/>
        <w:autoSpaceDN/>
        <w:adjustRightInd/>
        <w:snapToGrid/>
        <w:spacing w:line="540" w:lineRule="exact"/>
        <w:ind w:firstLine="560" w:firstLineChars="200"/>
        <w:jc w:val="both"/>
        <w:textAlignment w:val="auto"/>
        <w:rPr>
          <w:rFonts w:hint="eastAsia" w:ascii="仿宋_GB2312" w:hAnsi="仿宋_GB2312" w:eastAsia="仿宋_GB2312" w:cs="仿宋_GB2312"/>
          <w:snapToGrid/>
          <w:color w:val="000000" w:themeColor="text1"/>
          <w:kern w:val="2"/>
          <w:sz w:val="28"/>
          <w:szCs w:val="28"/>
          <w:highlight w:val="none"/>
          <w:lang w:eastAsia="zh-CN"/>
          <w14:textFill>
            <w14:solidFill>
              <w14:schemeClr w14:val="tx1"/>
            </w14:solidFill>
          </w14:textFill>
        </w:rPr>
      </w:pPr>
    </w:p>
    <w:p w14:paraId="2DFF74B6">
      <w:pPr>
        <w:widowControl/>
        <w:kinsoku w:val="0"/>
        <w:autoSpaceDE/>
        <w:autoSpaceDN/>
        <w:spacing w:line="540" w:lineRule="exact"/>
        <w:ind w:firstLine="0" w:firstLineChars="0"/>
        <w:jc w:val="center"/>
        <w:textAlignment w:val="baseline"/>
        <w:outlineLvl w:val="0"/>
        <w:rPr>
          <w:rFonts w:ascii="Arial" w:hAnsi="Arial" w:eastAsia="Arial" w:cs="Arial"/>
          <w:snapToGrid w:val="0"/>
          <w:color w:val="auto"/>
          <w:kern w:val="0"/>
          <w:sz w:val="21"/>
          <w:szCs w:val="21"/>
          <w:highlight w:val="none"/>
          <w:lang w:eastAsia="en-US"/>
        </w:rPr>
      </w:pP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第四章</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zh-CN" w:bidi="ar-SA"/>
        </w:rPr>
        <w:t xml:space="preserve">  </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项目实施和验收</w:t>
      </w:r>
    </w:p>
    <w:p w14:paraId="4F218BFE">
      <w:pPr>
        <w:kinsoku w:val="0"/>
        <w:autoSpaceDE/>
        <w:autoSpaceDN/>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p>
    <w:p w14:paraId="4CD2CBDD">
      <w:pPr>
        <w:kinsoku w:val="0"/>
        <w:autoSpaceDE/>
        <w:autoSpaceDN/>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一、安装、调试、培训要求</w:t>
      </w:r>
    </w:p>
    <w:p w14:paraId="20274FCB">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1.设备的安装调试检测和维护应保持周边路段通行通畅，不得破坏路面。</w:t>
      </w:r>
    </w:p>
    <w:p w14:paraId="5FA697E6">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2.乙方应在合同规定的安装调试期内完成本项工作。如因乙方原因而造成的延期，所有由此而产生的费用由乙方负担。</w:t>
      </w:r>
    </w:p>
    <w:p w14:paraId="305CC318">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现场设备安装完成后，由乙方对甲方提供的指定人员进行现场培训。培训主要内容包括设备系统组成的使用和操作、检查和设备的一般维护。并向培训人员提供维护所需的特殊工具、口令、图件、软件及维护手册，使其能对设备进行日常的维护保养及一般故障进行处置。培训费用已包含在合同价中，甲方不再另行支付。</w:t>
      </w:r>
    </w:p>
    <w:p w14:paraId="010C08AC">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4.培训地点：甲方指定地点。</w:t>
      </w:r>
    </w:p>
    <w:p w14:paraId="74B50175">
      <w:pPr>
        <w:kinsoku w:val="0"/>
        <w:autoSpaceDE/>
        <w:autoSpaceDN/>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二、验收要求</w:t>
      </w:r>
    </w:p>
    <w:p w14:paraId="160FC1FC">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设备验收：乙方将完成本项目所需的设备（包括公路交通情况调查设备、终端管理设施、数据模块（工业级）、气象传感器、卡口抓拍摄像机、一体化补光灯、监控球型摄像机、后备电源、智能中控电箱等）供应到齐后，7日内完成设备验收。</w:t>
      </w:r>
    </w:p>
    <w:p w14:paraId="03B733D9">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外场验收：设备安装位置正确，处于正常运行状态。外场验收内容应包括（1）根据合同核对设备及配件工程量，外观检查；（2）杆件防雷设施、基础；（3）机箱标识尺寸、接线、线缆整理检查；（4）施工现场环境恢复。</w:t>
      </w:r>
    </w:p>
    <w:p w14:paraId="45FC2FFF">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数据质量验收：（1）站点采集的合格数据按部要求传输到《广东省公路交通情况调查子系统》，视频接入《广东省普通国省干线公路网监测与应急协调子系统》；（2）设备安装调试接入省《广东省公路交通情况调查子系统》后，试运行1个月，期间无质量问题，由甲方或甲方委托的第三方进行数据连续传输质量核查，并出具站点数据接入合格证明（包括设备运行报告、精度核查报告、数据质量报告）。</w:t>
      </w:r>
    </w:p>
    <w:p w14:paraId="011C9277">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4.乙方申请交工验收，由甲方7日内组织评审验收。</w:t>
      </w:r>
    </w:p>
    <w:p w14:paraId="5109EBD4">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5.交工验收且完成三年维护内容后，7日内组织项目整体验收。</w:t>
      </w:r>
    </w:p>
    <w:p w14:paraId="4609EEC6">
      <w:pPr>
        <w:kinsoku/>
        <w:autoSpaceDE/>
        <w:autoSpaceDN/>
        <w:adjustRightInd/>
        <w:snapToGrid/>
        <w:spacing w:before="0" w:line="540" w:lineRule="exact"/>
        <w:ind w:left="0" w:firstLine="907"/>
        <w:jc w:val="left"/>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p>
    <w:p w14:paraId="4699C062">
      <w:pPr>
        <w:widowControl/>
        <w:kinsoku w:val="0"/>
        <w:autoSpaceDE/>
        <w:autoSpaceDN/>
        <w:spacing w:line="540" w:lineRule="exact"/>
        <w:ind w:firstLine="0" w:firstLineChars="0"/>
        <w:jc w:val="center"/>
        <w:textAlignment w:val="baseline"/>
        <w:outlineLvl w:val="0"/>
        <w:rPr>
          <w:rFonts w:ascii="Arial" w:hAnsi="Arial" w:eastAsia="Arial" w:cs="Arial"/>
          <w:snapToGrid w:val="0"/>
          <w:color w:val="auto"/>
          <w:kern w:val="0"/>
          <w:sz w:val="21"/>
          <w:szCs w:val="21"/>
          <w:highlight w:val="none"/>
          <w:lang w:eastAsia="en-US"/>
        </w:rPr>
      </w:pP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第五章</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zh-CN" w:bidi="ar-SA"/>
        </w:rPr>
        <w:t xml:space="preserve">  </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合同金额与支付方式</w:t>
      </w:r>
    </w:p>
    <w:p w14:paraId="6AB886D9">
      <w:pPr>
        <w:kinsoku w:val="0"/>
        <w:autoSpaceDE w:val="0"/>
        <w:autoSpaceDN w:val="0"/>
        <w:adjustRightInd/>
        <w:snapToGrid/>
        <w:spacing w:before="65" w:line="540" w:lineRule="exact"/>
        <w:ind w:left="27" w:firstLine="562"/>
        <w:jc w:val="left"/>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一、合同金额</w:t>
      </w:r>
    </w:p>
    <w:p w14:paraId="09A617A7">
      <w:pPr>
        <w:widowControl/>
        <w:kinsoku/>
        <w:autoSpaceDE/>
        <w:autoSpaceDN/>
        <w:adjustRightInd/>
        <w:snapToGrid/>
        <w:spacing w:line="540" w:lineRule="exact"/>
        <w:ind w:firstLine="560" w:firstLineChars="200"/>
        <w:jc w:val="left"/>
        <w:textAlignment w:val="auto"/>
        <w:rPr>
          <w:rFonts w:ascii="Arial" w:hAnsi="Arial" w:eastAsia="Arial" w:cs="Arial"/>
          <w:snapToGrid w:val="0"/>
          <w:color w:val="auto"/>
          <w:kern w:val="0"/>
          <w:sz w:val="21"/>
          <w:szCs w:val="21"/>
          <w:highlight w:val="none"/>
          <w:lang w:eastAsia="en-US"/>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合同总金额（含税）：小写：</w:t>
      </w:r>
      <w:r>
        <w:rPr>
          <w:rFonts w:hint="eastAsia" w:ascii="仿宋_GB2312" w:hAnsi="仿宋_GB2312" w:eastAsia="仿宋_GB2312" w:cs="仿宋_GB2312"/>
          <w:snapToGrid/>
          <w:color w:val="000000" w:themeColor="text1"/>
          <w:spacing w:val="0"/>
          <w:kern w:val="2"/>
          <w:sz w:val="28"/>
          <w:szCs w:val="28"/>
          <w:highlight w:val="none"/>
          <w:u w:val="none"/>
          <w:lang w:val="en-US" w:eastAsia="zh-CN" w:bidi="ar-SA"/>
          <w14:textFill>
            <w14:solidFill>
              <w14:schemeClr w14:val="tx1"/>
            </w14:solidFill>
          </w14:textFill>
        </w:rPr>
        <w:t>¥</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；大写：人民币</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包括：现场勘察、安装、设备采购（含仓储运输）、调试、数据传输、验收、培训、维护期内的设备维护保养、巡检所需费用及各站点运行所需电费、数据采集服务、物联网卡流量等所有费用。设备送至甲方认可的地点后，在设备验收合格至安装完成前的仓储费用已包含在本合同价中，甲方不再另行支付任何费用。本合同金额为固定总价，除因“甲方书面确认的项目变更（含设备数量增减、技术标准调整）”外，乙方不得因市场价格波动、人工成本变化等理由要求调整价格。</w:t>
      </w:r>
    </w:p>
    <w:p w14:paraId="39B4A70E">
      <w:pPr>
        <w:kinsoku w:val="0"/>
        <w:autoSpaceDE w:val="0"/>
        <w:autoSpaceDN w:val="0"/>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二、支付方式</w:t>
      </w:r>
    </w:p>
    <w:p w14:paraId="2D30DC60">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1.预付款：支付比例60%,计人民币</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元。乙方将完成本项目所需的公路交通情况调查设备、终端管理设施、数据模块（工业级）、气象传感器、卡口抓拍摄像机、一体化补光灯、监控球型摄像机、后备电源、智能中控电箱等设备供应齐全后，经验收合格，甲方向乙方支付合同总价的60%。</w:t>
      </w:r>
    </w:p>
    <w:p w14:paraId="73992964">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2.进度款：支付比例28%,计人民币</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元。乙方完成本项目设备安装、接入和调试，并经试运行一个月后，获得站点数据接入合格证明（包括设备运行报告、精度核查报告、数据质量报告）后，甲方向乙方支付合同总价的28%。</w:t>
      </w:r>
    </w:p>
    <w:p w14:paraId="6D986C72">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3.维护款：支付比例12%,计人民币</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元（人民币</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元/年），维护期3年。维护期内应每年执行2次以上的设备巡检，数据精度达到部标，经甲方审核数据精度合格的，甲方每年向乙方支付合同总价的4%。</w:t>
      </w:r>
    </w:p>
    <w:p w14:paraId="0BE06B26">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国家和省财政资金下达后，甲方付款时间为向省政府采购支付部门提出办理财政支付申请手续的时间，不含政府财政支付部门审核的时间；在规定时间内提出支付申请手续后即视为甲方已经按期支付，乙方不得以此为理由拒绝或延误履约。</w:t>
      </w:r>
    </w:p>
    <w:p w14:paraId="667D5773">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5.除不可抗力情况外，若超过20%的站点数据精度报告连续3次不合格，甲方有权不予交工验收，单方面终止合同，并保留追究乙方相关责任的权利。</w:t>
      </w:r>
    </w:p>
    <w:p w14:paraId="39FAFA96">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6.乙方应在甲方办理付款手续之前7个工作日内，提供等额的有效发票给甲方以办理相应付款手续。</w:t>
      </w:r>
    </w:p>
    <w:p w14:paraId="3EFEB217">
      <w:pPr>
        <w:widowControl/>
        <w:kinsoku/>
        <w:autoSpaceDE/>
        <w:autoSpaceDN/>
        <w:adjustRightInd/>
        <w:snapToGrid/>
        <w:spacing w:line="540" w:lineRule="exact"/>
        <w:ind w:firstLine="560" w:firstLineChars="200"/>
        <w:jc w:val="left"/>
        <w:textAlignment w:val="auto"/>
        <w:rPr>
          <w:rFonts w:hint="eastAsia" w:ascii="仿宋_GB2312" w:hAnsi="仿宋_GB2312" w:eastAsia="仿宋_GB2312" w:cs="仿宋_GB2312"/>
          <w:snapToGrid/>
          <w:color w:val="000000" w:themeColor="text1"/>
          <w:kern w:val="2"/>
          <w:sz w:val="28"/>
          <w:szCs w:val="28"/>
          <w:highlight w:val="none"/>
          <w:lang w:eastAsia="zh-CN"/>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7.乙方需在维护期内按合同要求完成维护工作。若数据精度达不到部标要求，甲方有权追究乙方违约责任，禁止中标供应商后续5年内参与甲方相关的投标工作。</w:t>
      </w:r>
    </w:p>
    <w:p w14:paraId="7187519C">
      <w:pPr>
        <w:kinsoku w:val="0"/>
        <w:autoSpaceDE w:val="0"/>
        <w:autoSpaceDN w:val="0"/>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三、乙方账号信息</w:t>
      </w:r>
    </w:p>
    <w:p w14:paraId="6AAFC9D6">
      <w:pPr>
        <w:kinsoku/>
        <w:autoSpaceDE/>
        <w:autoSpaceDN/>
        <w:adjustRightInd/>
        <w:snapToGrid/>
        <w:spacing w:before="0" w:line="540" w:lineRule="exact"/>
        <w:ind w:left="0" w:firstLine="907"/>
        <w:jc w:val="both"/>
        <w:textAlignment w:val="auto"/>
        <w:rPr>
          <w:rFonts w:hint="eastAsia" w:ascii="仿宋_GB2312" w:hAnsi="仿宋_GB2312" w:eastAsia="仿宋_GB2312" w:cs="仿宋_GB2312"/>
          <w:snapToGrid/>
          <w:color w:val="000000" w:themeColor="text1"/>
          <w:kern w:val="2"/>
          <w:sz w:val="28"/>
          <w:szCs w:val="28"/>
          <w:highlight w:val="none"/>
          <w:u w:val="singl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开户名称：</w:t>
      </w:r>
      <w:r>
        <w:rPr>
          <w:rFonts w:hint="eastAsia" w:ascii="仿宋_GB2312" w:hAnsi="仿宋_GB2312" w:eastAsia="仿宋_GB2312" w:cs="仿宋_GB2312"/>
          <w:snapToGrid/>
          <w:color w:val="000000" w:themeColor="text1"/>
          <w:spacing w:val="0"/>
          <w:kern w:val="2"/>
          <w:sz w:val="28"/>
          <w:szCs w:val="28"/>
          <w:highlight w:val="none"/>
          <w:u w:val="single" w:color="auto"/>
          <w:lang w:val="en-US" w:eastAsia="zh-CN" w:bidi="ar-SA"/>
          <w14:textFill>
            <w14:solidFill>
              <w14:schemeClr w14:val="tx1"/>
            </w14:solidFill>
          </w14:textFill>
        </w:rPr>
        <w:t xml:space="preserve">                        </w:t>
      </w:r>
    </w:p>
    <w:p w14:paraId="7326C0E2">
      <w:pPr>
        <w:kinsoku/>
        <w:autoSpaceDE/>
        <w:autoSpaceDN/>
        <w:adjustRightInd/>
        <w:snapToGrid/>
        <w:spacing w:before="0" w:line="540" w:lineRule="exact"/>
        <w:ind w:left="0" w:firstLine="907"/>
        <w:jc w:val="both"/>
        <w:textAlignment w:val="auto"/>
        <w:rPr>
          <w:rFonts w:hint="eastAsia" w:ascii="仿宋_GB2312" w:hAnsi="仿宋_GB2312" w:eastAsia="仿宋_GB2312" w:cs="仿宋_GB2312"/>
          <w:snapToGrid/>
          <w:color w:val="000000" w:themeColor="text1"/>
          <w:kern w:val="2"/>
          <w:sz w:val="28"/>
          <w:szCs w:val="28"/>
          <w:highlight w:val="none"/>
          <w:u w:val="singl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开户银行：</w:t>
      </w:r>
      <w:r>
        <w:rPr>
          <w:rFonts w:hint="eastAsia" w:ascii="仿宋_GB2312" w:hAnsi="仿宋_GB2312" w:eastAsia="仿宋_GB2312" w:cs="仿宋_GB2312"/>
          <w:snapToGrid/>
          <w:color w:val="000000" w:themeColor="text1"/>
          <w:spacing w:val="0"/>
          <w:kern w:val="2"/>
          <w:sz w:val="28"/>
          <w:szCs w:val="28"/>
          <w:highlight w:val="none"/>
          <w:u w:val="single" w:color="auto"/>
          <w:lang w:val="en-US" w:eastAsia="zh-CN" w:bidi="ar-SA"/>
          <w14:textFill>
            <w14:solidFill>
              <w14:schemeClr w14:val="tx1"/>
            </w14:solidFill>
          </w14:textFill>
        </w:rPr>
        <w:t xml:space="preserve">                        </w:t>
      </w:r>
    </w:p>
    <w:p w14:paraId="481DAFFA">
      <w:pPr>
        <w:kinsoku/>
        <w:autoSpaceDE/>
        <w:autoSpaceDN/>
        <w:adjustRightInd/>
        <w:snapToGrid/>
        <w:spacing w:before="0" w:line="540" w:lineRule="exact"/>
        <w:ind w:left="0" w:firstLine="907"/>
        <w:jc w:val="both"/>
        <w:textAlignment w:val="auto"/>
        <w:rPr>
          <w:rFonts w:hint="eastAsia" w:ascii="仿宋_GB2312" w:hAnsi="仿宋_GB2312" w:eastAsia="仿宋_GB2312" w:cs="仿宋_GB2312"/>
          <w:snapToGrid/>
          <w:color w:val="000000" w:themeColor="text1"/>
          <w:kern w:val="2"/>
          <w:sz w:val="28"/>
          <w:szCs w:val="28"/>
          <w:highlight w:val="none"/>
          <w:u w:val="singl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银行账号：</w:t>
      </w:r>
      <w:r>
        <w:rPr>
          <w:rFonts w:hint="eastAsia" w:ascii="仿宋_GB2312" w:hAnsi="仿宋_GB2312" w:eastAsia="仿宋_GB2312" w:cs="仿宋_GB2312"/>
          <w:snapToGrid/>
          <w:color w:val="000000" w:themeColor="text1"/>
          <w:spacing w:val="0"/>
          <w:kern w:val="2"/>
          <w:sz w:val="28"/>
          <w:szCs w:val="28"/>
          <w:highlight w:val="none"/>
          <w:u w:val="single" w:color="auto"/>
          <w:lang w:val="en-US" w:eastAsia="zh-CN" w:bidi="ar-SA"/>
          <w14:textFill>
            <w14:solidFill>
              <w14:schemeClr w14:val="tx1"/>
            </w14:solidFill>
          </w14:textFill>
        </w:rPr>
        <w:t xml:space="preserve">                        </w:t>
      </w:r>
    </w:p>
    <w:p w14:paraId="39195680">
      <w:pPr>
        <w:kinsoku/>
        <w:autoSpaceDE/>
        <w:autoSpaceDN/>
        <w:adjustRightInd/>
        <w:snapToGrid/>
        <w:spacing w:before="0" w:line="540" w:lineRule="exact"/>
        <w:ind w:firstLine="436"/>
        <w:jc w:val="both"/>
        <w:textAlignment w:val="auto"/>
        <w:rPr>
          <w:rFonts w:hint="eastAsia" w:ascii="宋体" w:hAnsi="宋体" w:eastAsia="宋体" w:cs="宋体"/>
          <w:snapToGrid w:val="0"/>
          <w:color w:val="auto"/>
          <w:spacing w:val="4"/>
          <w:kern w:val="0"/>
          <w:sz w:val="21"/>
          <w:szCs w:val="21"/>
          <w:highlight w:val="none"/>
          <w:lang w:val="en-US" w:eastAsia="zh-CN" w:bidi="ar-SA"/>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在汇款过程中因乙方账户原因（包括但不限于账号被注销、被冻结等）导致其无法收取款项的，由乙方承担相应后果。甲方有权直接在应付款项中扣除乙方应承担的违约金或赔偿金等对应款项。</w:t>
      </w:r>
    </w:p>
    <w:p w14:paraId="209A7C11">
      <w:pPr>
        <w:kinsoku w:val="0"/>
        <w:autoSpaceDE w:val="0"/>
        <w:autoSpaceDN w:val="0"/>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四、其他</w:t>
      </w:r>
    </w:p>
    <w:p w14:paraId="237D5213">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除本合同明确约定的费用外，甲方无需对乙方支付任何额外费用和承担任何额外义务。在实际合同履行过程中，如果乙方未完全履行合同义务或履行的合同义务不符合约定的，则未履行或履行不符合合同约定的内容所对应的价款由甲方直接从上述约定的合同金额中扣除。</w:t>
      </w:r>
    </w:p>
    <w:p w14:paraId="689470E9">
      <w:pPr>
        <w:kinsoku/>
        <w:autoSpaceDE/>
        <w:autoSpaceDN/>
        <w:adjustRightInd/>
        <w:snapToGrid/>
        <w:spacing w:before="0" w:line="540" w:lineRule="exact"/>
        <w:ind w:firstLine="560"/>
        <w:jc w:val="left"/>
        <w:textAlignment w:val="auto"/>
        <w:outlineLvl w:val="9"/>
        <w:rPr>
          <w:rFonts w:hint="eastAsia" w:ascii="仿宋_GB2312" w:hAnsi="仿宋_GB2312" w:eastAsia="仿宋_GB2312" w:cs="仿宋_GB2312"/>
          <w:b w:val="0"/>
          <w:bCs w:val="0"/>
          <w:snapToGrid/>
          <w:color w:val="000000" w:themeColor="text1"/>
          <w:spacing w:val="0"/>
          <w:kern w:val="2"/>
          <w:sz w:val="28"/>
          <w:szCs w:val="28"/>
          <w:highlight w:val="none"/>
          <w:lang w:val="en-US" w:eastAsia="zh-CN" w:bidi="ar-SA"/>
          <w14:textFill>
            <w14:solidFill>
              <w14:schemeClr w14:val="tx1"/>
            </w14:solidFill>
          </w14:textFill>
        </w:rPr>
      </w:pPr>
    </w:p>
    <w:p w14:paraId="143DA1FA">
      <w:pPr>
        <w:widowControl/>
        <w:kinsoku w:val="0"/>
        <w:autoSpaceDE/>
        <w:autoSpaceDN/>
        <w:spacing w:line="540" w:lineRule="exact"/>
        <w:ind w:firstLine="0" w:firstLineChars="0"/>
        <w:jc w:val="center"/>
        <w:textAlignment w:val="baseline"/>
        <w:outlineLvl w:val="0"/>
        <w:rPr>
          <w:rFonts w:ascii="Arial" w:hAnsi="Arial" w:eastAsia="Arial" w:cs="Arial"/>
          <w:snapToGrid w:val="0"/>
          <w:color w:val="auto"/>
          <w:kern w:val="0"/>
          <w:sz w:val="21"/>
          <w:szCs w:val="21"/>
          <w:highlight w:val="none"/>
          <w:lang w:eastAsia="en-US"/>
        </w:rPr>
      </w:pP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第六章</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zh-CN" w:bidi="ar-SA"/>
        </w:rPr>
        <w:t xml:space="preserve">  </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不可抗力和法律变更</w:t>
      </w:r>
    </w:p>
    <w:p w14:paraId="3AD3F0E8">
      <w:pPr>
        <w:kinsoku w:val="0"/>
        <w:autoSpaceDE w:val="0"/>
        <w:autoSpaceDN w:val="0"/>
        <w:adjustRightInd/>
        <w:snapToGrid/>
        <w:spacing w:before="65" w:line="540" w:lineRule="exact"/>
        <w:ind w:left="27" w:firstLine="562"/>
        <w:jc w:val="left"/>
        <w:textAlignment w:val="baseline"/>
        <w:outlineLvl w:val="0"/>
        <w:rPr>
          <w:rFonts w:hint="eastAsia" w:ascii="仿宋_GB2312" w:hAnsi="仿宋_GB2312" w:eastAsia="仿宋_GB2312" w:cs="仿宋_GB2312"/>
          <w:b/>
          <w:bCs/>
          <w:snapToGrid/>
          <w:color w:val="auto"/>
          <w:spacing w:val="0"/>
          <w:kern w:val="2"/>
          <w:sz w:val="28"/>
          <w:szCs w:val="28"/>
          <w:highlight w:val="none"/>
          <w:lang w:val="en-US" w:eastAsia="en-US" w:bidi="ar-SA"/>
        </w:rPr>
      </w:pPr>
    </w:p>
    <w:p w14:paraId="3A2658E5">
      <w:pPr>
        <w:kinsoku w:val="0"/>
        <w:autoSpaceDE w:val="0"/>
        <w:autoSpaceDN w:val="0"/>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一、不可抗力事件</w:t>
      </w:r>
    </w:p>
    <w:p w14:paraId="3731581D">
      <w:pPr>
        <w:widowControl/>
        <w:kinsoku/>
        <w:autoSpaceDE/>
        <w:autoSpaceDN/>
        <w:adjustRightInd/>
        <w:snapToGrid/>
        <w:spacing w:line="540" w:lineRule="exact"/>
        <w:ind w:firstLine="560" w:firstLineChars="200"/>
        <w:jc w:val="both"/>
        <w:textAlignment w:val="auto"/>
        <w:rPr>
          <w:rFonts w:ascii="Arial" w:hAnsi="Arial" w:eastAsia="Arial" w:cs="Arial"/>
          <w:snapToGrid w:val="0"/>
          <w:color w:val="auto"/>
          <w:kern w:val="0"/>
          <w:sz w:val="21"/>
          <w:szCs w:val="21"/>
          <w:highlight w:val="none"/>
          <w:lang w:eastAsia="en-US"/>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不可抗力指任何一方无法预见、控制且经合理努力仍无法避免或克服的、导致其无法履行合同项下的义务的情形，包括但不限于：台风、地震、洪水等自然灾害；战争、罢工、骚乱等社会异常现象；征收征用等政府行为； 以及甲乙双方不能合理预见和控制的任何其他客观情形。</w:t>
      </w:r>
    </w:p>
    <w:p w14:paraId="139A68B6">
      <w:pPr>
        <w:kinsoku w:val="0"/>
        <w:autoSpaceDE w:val="0"/>
        <w:autoSpaceDN w:val="0"/>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二、不可抗力事件的认定和评估</w:t>
      </w:r>
    </w:p>
    <w:p w14:paraId="79FC65B5">
      <w:pPr>
        <w:pStyle w:val="5"/>
        <w:kinsoku w:val="0"/>
        <w:autoSpaceDE w:val="0"/>
        <w:autoSpaceDN w:val="0"/>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（一）认定和评估</w:t>
      </w:r>
    </w:p>
    <w:p w14:paraId="7F0A2FDD">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1.受到不可抗力事件影响的一方应在不可抗力事件发生后七日内书面通知另一方，详细描述不可抗力的发生情况、必要的证明文件和可能导致的后果，并及时采取措施减少损失范围。</w:t>
      </w:r>
    </w:p>
    <w:p w14:paraId="0ECA01C1">
      <w:pPr>
        <w:widowControl/>
        <w:kinsoku/>
        <w:autoSpaceDE/>
        <w:autoSpaceDN/>
        <w:adjustRightInd/>
        <w:snapToGrid/>
        <w:spacing w:line="540" w:lineRule="exact"/>
        <w:ind w:firstLine="560" w:firstLineChars="200"/>
        <w:jc w:val="both"/>
        <w:textAlignment w:val="auto"/>
        <w:rPr>
          <w:rFonts w:hint="eastAsia" w:ascii="仿宋_GB2312" w:hAnsi="仿宋_GB2312" w:eastAsia="仿宋_GB2312" w:cs="仿宋_GB2312"/>
          <w:snapToGrid/>
          <w:color w:val="000000" w:themeColor="text1"/>
          <w:kern w:val="2"/>
          <w:sz w:val="28"/>
          <w:szCs w:val="28"/>
          <w:highlight w:val="none"/>
          <w:lang w:eastAsia="zh-CN"/>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2.甲方组织双方协商，评估和认定不可抗力。</w:t>
      </w:r>
    </w:p>
    <w:p w14:paraId="3D5DAB72">
      <w:pPr>
        <w:pStyle w:val="5"/>
        <w:kinsoku w:val="0"/>
        <w:autoSpaceDE w:val="0"/>
        <w:autoSpaceDN w:val="0"/>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（二）例外情况</w:t>
      </w:r>
    </w:p>
    <w:p w14:paraId="023B9754">
      <w:pPr>
        <w:kinsoku/>
        <w:autoSpaceDE/>
        <w:autoSpaceDN/>
        <w:adjustRightInd/>
        <w:snapToGrid/>
        <w:spacing w:before="0" w:line="540" w:lineRule="exact"/>
        <w:ind w:left="0" w:firstLine="907"/>
        <w:jc w:val="both"/>
        <w:textAlignment w:val="auto"/>
        <w:outlineLvl w:val="9"/>
        <w:rPr>
          <w:rFonts w:hint="eastAsia" w:ascii="仿宋_GB2312" w:hAnsi="仿宋_GB2312" w:eastAsia="仿宋_GB2312" w:cs="仿宋_GB2312"/>
          <w:b/>
          <w:bCs/>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snapToGrid/>
          <w:color w:val="000000" w:themeColor="text1"/>
          <w:spacing w:val="0"/>
          <w:kern w:val="2"/>
          <w:sz w:val="28"/>
          <w:szCs w:val="28"/>
          <w:highlight w:val="none"/>
          <w:lang w:val="en-US" w:eastAsia="zh-CN" w:bidi="ar-SA"/>
          <w14:textFill>
            <w14:solidFill>
              <w14:schemeClr w14:val="tx1"/>
            </w14:solidFill>
          </w14:textFill>
        </w:rPr>
        <w:t>1.适用于乙方的例外情况</w:t>
      </w:r>
    </w:p>
    <w:p w14:paraId="151A2382">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乙方无权将下述情况视作不可抗力事件而终止、中止履行本合同或不完全履行本合同项下义务：</w:t>
      </w:r>
    </w:p>
    <w:p w14:paraId="700695AF">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（1）其他与乙方建立合同关系的第三方在履行合同方面发生延误；</w:t>
      </w:r>
    </w:p>
    <w:p w14:paraId="3D78DF12">
      <w:pPr>
        <w:widowControl/>
        <w:kinsoku/>
        <w:autoSpaceDE/>
        <w:autoSpaceDN/>
        <w:adjustRightInd/>
        <w:snapToGrid/>
        <w:spacing w:line="540" w:lineRule="exact"/>
        <w:ind w:firstLine="560" w:firstLineChars="200"/>
        <w:jc w:val="both"/>
        <w:textAlignment w:val="auto"/>
        <w:rPr>
          <w:rFonts w:hint="eastAsia" w:ascii="仿宋_GB2312" w:hAnsi="仿宋_GB2312" w:eastAsia="仿宋_GB2312" w:cs="仿宋_GB2312"/>
          <w:snapToGrid/>
          <w:color w:val="000000" w:themeColor="text1"/>
          <w:kern w:val="2"/>
          <w:sz w:val="28"/>
          <w:szCs w:val="28"/>
          <w:highlight w:val="none"/>
          <w:lang w:eastAsia="zh-CN"/>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（2）乙方提供服务的设施发生故障或正常磨损。</w:t>
      </w:r>
    </w:p>
    <w:p w14:paraId="13E30DCE">
      <w:pPr>
        <w:kinsoku/>
        <w:autoSpaceDE/>
        <w:autoSpaceDN/>
        <w:adjustRightInd/>
        <w:snapToGrid/>
        <w:spacing w:before="0" w:line="540" w:lineRule="exact"/>
        <w:ind w:left="0" w:firstLine="907"/>
        <w:jc w:val="both"/>
        <w:textAlignment w:val="auto"/>
        <w:outlineLvl w:val="9"/>
        <w:rPr>
          <w:rFonts w:hint="eastAsia" w:ascii="仿宋_GB2312" w:hAnsi="仿宋_GB2312" w:eastAsia="仿宋_GB2312" w:cs="仿宋_GB2312"/>
          <w:b/>
          <w:bCs/>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snapToGrid/>
          <w:color w:val="000000" w:themeColor="text1"/>
          <w:spacing w:val="0"/>
          <w:kern w:val="2"/>
          <w:sz w:val="28"/>
          <w:szCs w:val="28"/>
          <w:highlight w:val="none"/>
          <w:lang w:val="en-US" w:eastAsia="zh-CN" w:bidi="ar-SA"/>
          <w14:textFill>
            <w14:solidFill>
              <w14:schemeClr w14:val="tx1"/>
            </w14:solidFill>
          </w14:textFill>
        </w:rPr>
        <w:t>2.适用于甲方的例外情况</w:t>
      </w:r>
    </w:p>
    <w:p w14:paraId="27D8DFD1">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甲方无权将下述情况视作不可抗力事件而终止、中止履行或不完全履行本合同项下义务：甲方因机构改革发生变更。</w:t>
      </w:r>
    </w:p>
    <w:p w14:paraId="0DA169D4">
      <w:pPr>
        <w:kinsoku w:val="0"/>
        <w:autoSpaceDE w:val="0"/>
        <w:autoSpaceDN w:val="0"/>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三、不可抗力事件发生期间各方权利和义务</w:t>
      </w:r>
    </w:p>
    <w:p w14:paraId="767849C8">
      <w:pPr>
        <w:pStyle w:val="5"/>
        <w:kinsoku w:val="0"/>
        <w:autoSpaceDE w:val="0"/>
        <w:autoSpaceDN w:val="0"/>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（一）权利</w:t>
      </w:r>
    </w:p>
    <w:p w14:paraId="6E7F7D6A">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1.甲方有认定不可抗力事件对本合同影响的权利。</w:t>
      </w:r>
    </w:p>
    <w:p w14:paraId="15A40FEE">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2.乙方有权要求甲方按合同约定计量支付不可抗力事件发生前的合同金额。</w:t>
      </w:r>
    </w:p>
    <w:p w14:paraId="152CF5D2">
      <w:pPr>
        <w:pStyle w:val="5"/>
        <w:kinsoku w:val="0"/>
        <w:autoSpaceDE w:val="0"/>
        <w:autoSpaceDN w:val="0"/>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（二）义务</w:t>
      </w:r>
    </w:p>
    <w:p w14:paraId="093B160B">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1.受到不可抗力事件影响的一方按合同约定时限通知另一方。</w:t>
      </w:r>
    </w:p>
    <w:p w14:paraId="6B9AEE6F">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2.双方均应采取合理措施尽量避免和减少损失的扩大。</w:t>
      </w:r>
    </w:p>
    <w:p w14:paraId="63574976">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3.声称不可抗力的一方在不可抗力消除之后应尽快恢复履行本合同项下的义务。</w:t>
      </w:r>
    </w:p>
    <w:p w14:paraId="6C3ACE56">
      <w:pPr>
        <w:kinsoku w:val="0"/>
        <w:autoSpaceDE w:val="0"/>
        <w:autoSpaceDN w:val="0"/>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四、不可抗力事件的处理</w:t>
      </w:r>
    </w:p>
    <w:p w14:paraId="33D6DDCE">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1.发生不可抗力时，双方应各自承担由于不可抗力对其造成的损失。双方应协商采取合理的补救措施尽量减少不可抗力给各方带来的损失。</w:t>
      </w:r>
    </w:p>
    <w:p w14:paraId="033BB943">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2.不可抗力发生前已发生的合同金额应当按照合同约定进行计量支付。</w:t>
      </w:r>
    </w:p>
    <w:p w14:paraId="447DD3DA">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当不可抗力事件阻止一方履行其义务的时间持续九十日以上时，双方应协商决定继续履行本合同的条件或者终止本合同。如果自不可抗力发生后一百八十日之内双方不能就继续履行的条件或终止本合同达成一致意见，任何一方有权给予另一方书面通知后立即终止本合同。</w:t>
      </w:r>
    </w:p>
    <w:p w14:paraId="5765D3CE">
      <w:pPr>
        <w:kinsoku/>
        <w:autoSpaceDE/>
        <w:autoSpaceDN/>
        <w:adjustRightInd/>
        <w:snapToGrid/>
        <w:spacing w:before="0" w:line="540" w:lineRule="exact"/>
        <w:ind w:firstLine="560"/>
        <w:jc w:val="both"/>
        <w:textAlignment w:val="auto"/>
        <w:outlineLvl w:val="9"/>
        <w:rPr>
          <w:rFonts w:hint="eastAsia" w:ascii="仿宋_GB2312" w:hAnsi="仿宋_GB2312" w:eastAsia="仿宋_GB2312" w:cs="仿宋_GB2312"/>
          <w:b w:val="0"/>
          <w:bCs w:val="0"/>
          <w:snapToGrid/>
          <w:color w:val="000000" w:themeColor="text1"/>
          <w:spacing w:val="0"/>
          <w:kern w:val="2"/>
          <w:sz w:val="28"/>
          <w:szCs w:val="28"/>
          <w:highlight w:val="none"/>
          <w:lang w:val="en-US" w:eastAsia="zh-CN" w:bidi="ar-SA"/>
          <w14:textFill>
            <w14:solidFill>
              <w14:schemeClr w14:val="tx1"/>
            </w14:solidFill>
          </w14:textFill>
        </w:rPr>
      </w:pPr>
    </w:p>
    <w:p w14:paraId="1F4B88DB">
      <w:pPr>
        <w:widowControl/>
        <w:kinsoku w:val="0"/>
        <w:autoSpaceDE/>
        <w:autoSpaceDN/>
        <w:spacing w:line="540" w:lineRule="exact"/>
        <w:ind w:firstLine="0" w:firstLineChars="0"/>
        <w:jc w:val="center"/>
        <w:textAlignment w:val="baseline"/>
        <w:outlineLvl w:val="0"/>
        <w:rPr>
          <w:rFonts w:ascii="Arial" w:hAnsi="Arial" w:eastAsia="Arial" w:cs="Arial"/>
          <w:snapToGrid w:val="0"/>
          <w:color w:val="auto"/>
          <w:kern w:val="0"/>
          <w:sz w:val="21"/>
          <w:szCs w:val="21"/>
          <w:highlight w:val="none"/>
          <w:lang w:eastAsia="en-US"/>
        </w:rPr>
      </w:pP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第七章</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zh-CN" w:bidi="ar-SA"/>
        </w:rPr>
        <w:t xml:space="preserve">  </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合同解除</w:t>
      </w:r>
    </w:p>
    <w:p w14:paraId="37CA1A3B">
      <w:pPr>
        <w:kinsoku w:val="0"/>
        <w:autoSpaceDE w:val="0"/>
        <w:autoSpaceDN w:val="0"/>
        <w:adjustRightInd/>
        <w:snapToGrid/>
        <w:spacing w:before="65" w:line="540" w:lineRule="exact"/>
        <w:ind w:left="27" w:firstLine="562"/>
        <w:jc w:val="both"/>
        <w:textAlignment w:val="baseline"/>
        <w:outlineLvl w:val="0"/>
        <w:rPr>
          <w:rFonts w:hint="eastAsia" w:ascii="仿宋_GB2312" w:hAnsi="仿宋_GB2312" w:eastAsia="仿宋_GB2312" w:cs="仿宋_GB2312"/>
          <w:b/>
          <w:bCs/>
          <w:snapToGrid/>
          <w:color w:val="auto"/>
          <w:spacing w:val="0"/>
          <w:kern w:val="2"/>
          <w:sz w:val="28"/>
          <w:szCs w:val="28"/>
          <w:highlight w:val="none"/>
          <w:lang w:val="en-US" w:eastAsia="en-US" w:bidi="ar-SA"/>
        </w:rPr>
      </w:pPr>
    </w:p>
    <w:p w14:paraId="05403361">
      <w:pPr>
        <w:kinsoku w:val="0"/>
        <w:autoSpaceDE w:val="0"/>
        <w:autoSpaceDN w:val="0"/>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一、合同解除的事由</w:t>
      </w:r>
    </w:p>
    <w:p w14:paraId="791076C3">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1.甲方或乙方在本合同中的声明或保证在被证实存在虚假或未兑现，严重影响其履约能力。</w:t>
      </w:r>
    </w:p>
    <w:p w14:paraId="4AA9E3BF">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2.出现本合同约定的导致合同终止情形的。</w:t>
      </w:r>
    </w:p>
    <w:p w14:paraId="7312C45C">
      <w:pPr>
        <w:widowControl/>
        <w:kinsoku/>
        <w:autoSpaceDE/>
        <w:autoSpaceDN/>
        <w:adjustRightInd/>
        <w:snapToGrid/>
        <w:spacing w:line="540" w:lineRule="exact"/>
        <w:ind w:firstLine="560" w:firstLineChars="200"/>
        <w:jc w:val="both"/>
        <w:textAlignment w:val="auto"/>
        <w:rPr>
          <w:rFonts w:hint="eastAsia" w:ascii="仿宋_GB2312" w:hAnsi="仿宋_GB2312" w:eastAsia="仿宋_GB2312" w:cs="仿宋_GB2312"/>
          <w:snapToGrid/>
          <w:color w:val="000000" w:themeColor="text1"/>
          <w:kern w:val="2"/>
          <w:sz w:val="28"/>
          <w:szCs w:val="28"/>
          <w:highlight w:val="none"/>
          <w:lang w:eastAsia="zh-CN"/>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3.发生其他导致本合同无法继续履行情形的。</w:t>
      </w:r>
    </w:p>
    <w:p w14:paraId="3E62EEDE">
      <w:pPr>
        <w:kinsoku w:val="0"/>
        <w:autoSpaceDE w:val="0"/>
        <w:autoSpaceDN w:val="0"/>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二、合同解除程序</w:t>
      </w:r>
    </w:p>
    <w:p w14:paraId="79038C27">
      <w:pPr>
        <w:pStyle w:val="5"/>
        <w:kinsoku w:val="0"/>
        <w:autoSpaceDE w:val="0"/>
        <w:autoSpaceDN w:val="0"/>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（一）发出终止意向通知</w:t>
      </w:r>
    </w:p>
    <w:p w14:paraId="1D4296DF">
      <w:pPr>
        <w:kinsoku/>
        <w:autoSpaceDE/>
        <w:autoSpaceDN/>
        <w:adjustRightInd/>
        <w:snapToGrid/>
        <w:spacing w:before="0" w:line="540" w:lineRule="exact"/>
        <w:ind w:left="0" w:firstLine="907"/>
        <w:jc w:val="both"/>
        <w:textAlignment w:val="auto"/>
        <w:outlineLvl w:val="9"/>
        <w:rPr>
          <w:rFonts w:hint="eastAsia" w:ascii="仿宋_GB2312" w:hAnsi="仿宋_GB2312" w:eastAsia="仿宋_GB2312" w:cs="仿宋_GB2312"/>
          <w:b/>
          <w:bCs/>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snapToGrid/>
          <w:color w:val="000000" w:themeColor="text1"/>
          <w:spacing w:val="0"/>
          <w:kern w:val="2"/>
          <w:sz w:val="28"/>
          <w:szCs w:val="28"/>
          <w:highlight w:val="none"/>
          <w:lang w:val="en-US" w:eastAsia="zh-CN" w:bidi="ar-SA"/>
          <w14:textFill>
            <w14:solidFill>
              <w14:schemeClr w14:val="tx1"/>
            </w14:solidFill>
          </w14:textFill>
        </w:rPr>
        <w:t>1.甲方发出的终止</w:t>
      </w:r>
    </w:p>
    <w:p w14:paraId="5C176D90">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下述任一行为发生时，甲方有权立即发出终止意向通知：</w:t>
      </w:r>
    </w:p>
    <w:p w14:paraId="0A9A56B9">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（1）乙方在本合同中的声明或保证在被证实存在虚假或未兑现，严重影响其履约能力；</w:t>
      </w:r>
    </w:p>
    <w:p w14:paraId="1D857507">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（2）乙方出现本合同约定的导致合同终止情形的；</w:t>
      </w:r>
    </w:p>
    <w:p w14:paraId="78E0FF0E">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（3）乙方被依法吊销营业执照、责令停业、清算或破产；</w:t>
      </w:r>
    </w:p>
    <w:p w14:paraId="35B331A8">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（4）乙方未按时间节点完成本合同项下工作，逾期超过30日的；</w:t>
      </w:r>
    </w:p>
    <w:p w14:paraId="412932F6">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（5）乙方发生累计两次或以上违约行为；</w:t>
      </w:r>
    </w:p>
    <w:p w14:paraId="169A2E67">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（6）乙方履行义务不符合约定，经甲方提出后合理期限内仍未改正的；</w:t>
      </w:r>
    </w:p>
    <w:p w14:paraId="7D10A4AB">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（7）乙方出现将本合同项下全部或部分内容转包；</w:t>
      </w:r>
    </w:p>
    <w:p w14:paraId="6017D0AD">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（8）未经甲方书面同意，乙方将本合同项下属于甲方单方所有的成果作为己用或交付第三人使用的；</w:t>
      </w:r>
    </w:p>
    <w:p w14:paraId="232CF8BF">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（9）第三方指控并经有权机关认定甲方使用/接受乙方提供的产品/服务侵犯了该方的知识产权或其他权利，造成甲方损失的；</w:t>
      </w:r>
    </w:p>
    <w:p w14:paraId="0A0B66A4">
      <w:pPr>
        <w:kinsoku/>
        <w:autoSpaceDE/>
        <w:autoSpaceDN/>
        <w:adjustRightInd/>
        <w:snapToGrid/>
        <w:spacing w:before="0" w:line="540" w:lineRule="exact"/>
        <w:ind w:left="0" w:firstLine="907"/>
        <w:jc w:val="both"/>
        <w:textAlignment w:val="auto"/>
        <w:outlineLvl w:val="9"/>
        <w:rPr>
          <w:rFonts w:hint="eastAsia" w:ascii="仿宋_GB2312" w:hAnsi="仿宋_GB2312" w:eastAsia="仿宋_GB2312" w:cs="仿宋_GB2312"/>
          <w:b/>
          <w:bCs/>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snapToGrid/>
          <w:color w:val="000000" w:themeColor="text1"/>
          <w:spacing w:val="0"/>
          <w:kern w:val="2"/>
          <w:sz w:val="28"/>
          <w:szCs w:val="28"/>
          <w:highlight w:val="none"/>
          <w:lang w:val="en-US" w:eastAsia="zh-CN" w:bidi="ar-SA"/>
          <w14:textFill>
            <w14:solidFill>
              <w14:schemeClr w14:val="tx1"/>
            </w14:solidFill>
          </w14:textFill>
        </w:rPr>
        <w:t>2.乙方发出的终止</w:t>
      </w:r>
    </w:p>
    <w:p w14:paraId="6F581D28">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下述任一事件发生时，乙方有权立即发出终止意向通知：</w:t>
      </w:r>
    </w:p>
    <w:p w14:paraId="06ECE95B">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（1）甲方在本合同中的声明或保证在被证实是虚假的或未兑现，使乙方履行本合同的能力受到严重不利影响；</w:t>
      </w:r>
    </w:p>
    <w:p w14:paraId="77970EEC">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（2）甲方无正当理由在逾期六个月（自应付日起算）后仍未履行支付义务。但因财政支付管理流程导致的支付延期除外。</w:t>
      </w:r>
    </w:p>
    <w:p w14:paraId="4770152C">
      <w:pPr>
        <w:kinsoku/>
        <w:autoSpaceDE/>
        <w:autoSpaceDN/>
        <w:adjustRightInd/>
        <w:snapToGrid/>
        <w:spacing w:before="0" w:line="540" w:lineRule="exact"/>
        <w:ind w:left="0" w:firstLine="907"/>
        <w:jc w:val="both"/>
        <w:textAlignment w:val="auto"/>
        <w:outlineLvl w:val="9"/>
        <w:rPr>
          <w:rFonts w:hint="eastAsia" w:ascii="仿宋_GB2312" w:hAnsi="仿宋_GB2312" w:eastAsia="仿宋_GB2312" w:cs="仿宋_GB2312"/>
          <w:b/>
          <w:bCs/>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snapToGrid/>
          <w:color w:val="000000" w:themeColor="text1"/>
          <w:spacing w:val="0"/>
          <w:kern w:val="2"/>
          <w:sz w:val="28"/>
          <w:szCs w:val="28"/>
          <w:highlight w:val="none"/>
          <w:lang w:val="en-US" w:eastAsia="zh-CN" w:bidi="ar-SA"/>
          <w14:textFill>
            <w14:solidFill>
              <w14:schemeClr w14:val="tx1"/>
            </w14:solidFill>
          </w14:textFill>
        </w:rPr>
        <w:t>3.法律变更或政府行为</w:t>
      </w:r>
    </w:p>
    <w:p w14:paraId="00408337">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如果在本合同生效后，因法律变更及政府行为导致乙方部分或全部不能履行本合同项下主要义务，而这种变化和影响又不以甲方的意志为转移，甲乙双方应尽力就继续履行本合同进行协商，若不能达成一致，则一方可向另一方发出终止意向通知，双方仍协商不成的，本合同自终止意向通知到达对方之日起日届满时终止。</w:t>
      </w:r>
    </w:p>
    <w:p w14:paraId="780BA449">
      <w:pPr>
        <w:kinsoku/>
        <w:autoSpaceDE/>
        <w:autoSpaceDN/>
        <w:adjustRightInd/>
        <w:snapToGrid/>
        <w:spacing w:before="0" w:line="540" w:lineRule="exact"/>
        <w:ind w:left="0" w:firstLine="907"/>
        <w:jc w:val="both"/>
        <w:textAlignment w:val="auto"/>
        <w:outlineLvl w:val="9"/>
        <w:rPr>
          <w:rFonts w:hint="eastAsia" w:ascii="仿宋_GB2312" w:hAnsi="仿宋_GB2312" w:eastAsia="仿宋_GB2312" w:cs="仿宋_GB2312"/>
          <w:b/>
          <w:bCs/>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snapToGrid/>
          <w:color w:val="000000" w:themeColor="text1"/>
          <w:spacing w:val="0"/>
          <w:kern w:val="2"/>
          <w:sz w:val="28"/>
          <w:szCs w:val="28"/>
          <w:highlight w:val="none"/>
          <w:lang w:val="en-US" w:eastAsia="zh-CN" w:bidi="ar-SA"/>
          <w14:textFill>
            <w14:solidFill>
              <w14:schemeClr w14:val="tx1"/>
            </w14:solidFill>
          </w14:textFill>
        </w:rPr>
        <w:t>4.协商一致终止</w:t>
      </w:r>
    </w:p>
    <w:p w14:paraId="2C9AF245">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在本合同履行期间，由各方协商一致可提前终止本合同。费用结算等问题由各方协商一致。</w:t>
      </w:r>
    </w:p>
    <w:p w14:paraId="2690FAC8">
      <w:pPr>
        <w:pStyle w:val="5"/>
        <w:kinsoku w:val="0"/>
        <w:autoSpaceDE w:val="0"/>
        <w:autoSpaceDN w:val="0"/>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（二）双方协商</w:t>
      </w:r>
    </w:p>
    <w:p w14:paraId="3EDC7DA4">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1.终止意向通知发出之后，双方应在三十日内协商。</w:t>
      </w:r>
    </w:p>
    <w:p w14:paraId="37EFFFE9">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2.如果双方就将要采取的措施达成一致意见，或者违约行为在指定期限内得到纠正，终止意向通知即自动失效。</w:t>
      </w:r>
    </w:p>
    <w:p w14:paraId="41457765">
      <w:pPr>
        <w:pStyle w:val="5"/>
        <w:kinsoku w:val="0"/>
        <w:autoSpaceDE w:val="0"/>
        <w:autoSpaceDN w:val="0"/>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（三）发出终止通知</w:t>
      </w:r>
    </w:p>
    <w:p w14:paraId="60C334A6">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如终止意向通知发出后，指定期限内违约方仍实施违约行为或违约行为仍未得到纠正，则另一方有权在指定期限届满后合同履约期满前任何时间发出终止本合同的书面通知，本合同自书面通知送达对方之日起终止。</w:t>
      </w:r>
    </w:p>
    <w:p w14:paraId="4131BA78">
      <w:pPr>
        <w:pStyle w:val="5"/>
        <w:kinsoku w:val="0"/>
        <w:autoSpaceDE w:val="0"/>
        <w:autoSpaceDN w:val="0"/>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（四）项目移交</w:t>
      </w:r>
    </w:p>
    <w:p w14:paraId="0F82E1C9">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无论因何种原因导致本合同终止，如需进行移交，在本合同终止之后，乙方都必须完成甲方合理要求的所有必要工作，将属于甲方的设备、数据和系统等资产移交给甲方。甲方可以选择由甲方或甲方指定的第三方接收。甲方设备、数据和系统的风险将在乙方向甲方（或其指定的第三方）移交并经甲方书面确认之后转移到甲方。在风险转移到甲方之前，甲方的设备、数据和系统发生损坏、缺失、故障的，乙方应承担相应责任。</w:t>
      </w:r>
    </w:p>
    <w:p w14:paraId="7141A8C8">
      <w:pPr>
        <w:kinsoku/>
        <w:autoSpaceDE/>
        <w:autoSpaceDN/>
        <w:adjustRightInd/>
        <w:snapToGrid/>
        <w:spacing w:before="0" w:line="540" w:lineRule="exact"/>
        <w:ind w:firstLine="560"/>
        <w:jc w:val="both"/>
        <w:textAlignment w:val="auto"/>
        <w:outlineLvl w:val="9"/>
        <w:rPr>
          <w:rFonts w:hint="eastAsia" w:ascii="仿宋_GB2312" w:hAnsi="仿宋_GB2312" w:eastAsia="仿宋_GB2312" w:cs="仿宋_GB2312"/>
          <w:b w:val="0"/>
          <w:bCs w:val="0"/>
          <w:snapToGrid/>
          <w:color w:val="000000" w:themeColor="text1"/>
          <w:spacing w:val="0"/>
          <w:kern w:val="2"/>
          <w:sz w:val="28"/>
          <w:szCs w:val="28"/>
          <w:highlight w:val="none"/>
          <w:lang w:val="en-US" w:eastAsia="zh-CN" w:bidi="ar-SA"/>
          <w14:textFill>
            <w14:solidFill>
              <w14:schemeClr w14:val="tx1"/>
            </w14:solidFill>
          </w14:textFill>
        </w:rPr>
      </w:pPr>
    </w:p>
    <w:p w14:paraId="0A33FD73">
      <w:pPr>
        <w:widowControl/>
        <w:kinsoku w:val="0"/>
        <w:autoSpaceDE/>
        <w:autoSpaceDN/>
        <w:spacing w:line="540" w:lineRule="exact"/>
        <w:ind w:firstLine="0" w:firstLineChars="0"/>
        <w:jc w:val="center"/>
        <w:textAlignment w:val="baseline"/>
        <w:outlineLvl w:val="0"/>
        <w:rPr>
          <w:rFonts w:hint="eastAsia" w:ascii="仿宋_GB2312" w:hAnsi="仿宋_GB2312" w:eastAsia="仿宋_GB2312" w:cs="仿宋_GB2312"/>
          <w:snapToGrid w:val="0"/>
          <w:color w:val="auto"/>
          <w:kern w:val="0"/>
          <w:sz w:val="28"/>
          <w:szCs w:val="28"/>
          <w:highlight w:val="none"/>
          <w:lang w:eastAsia="en-US"/>
        </w:rPr>
      </w:pP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第八章</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zh-CN" w:bidi="ar-SA"/>
        </w:rPr>
        <w:t xml:space="preserve">  </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违约处理</w:t>
      </w:r>
    </w:p>
    <w:p w14:paraId="4FAA1AAB">
      <w:pPr>
        <w:kinsoku w:val="0"/>
        <w:autoSpaceDE/>
        <w:autoSpaceDN/>
        <w:adjustRightInd/>
        <w:snapToGrid/>
        <w:spacing w:before="65" w:line="540" w:lineRule="exact"/>
        <w:ind w:left="27" w:firstLine="562"/>
        <w:jc w:val="both"/>
        <w:textAlignment w:val="baseline"/>
        <w:outlineLvl w:val="0"/>
        <w:rPr>
          <w:rFonts w:hint="eastAsia" w:ascii="仿宋_GB2312" w:hAnsi="仿宋_GB2312" w:eastAsia="仿宋_GB2312" w:cs="仿宋_GB2312"/>
          <w:b/>
          <w:bCs/>
          <w:snapToGrid/>
          <w:color w:val="auto"/>
          <w:spacing w:val="0"/>
          <w:kern w:val="2"/>
          <w:sz w:val="28"/>
          <w:szCs w:val="28"/>
          <w:highlight w:val="none"/>
          <w:lang w:val="en-US" w:eastAsia="en-US" w:bidi="ar-SA"/>
        </w:rPr>
      </w:pPr>
    </w:p>
    <w:p w14:paraId="009D756C">
      <w:pPr>
        <w:kinsoku w:val="0"/>
        <w:autoSpaceDE/>
        <w:autoSpaceDN/>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一、违约行为认定</w:t>
      </w:r>
    </w:p>
    <w:p w14:paraId="75AEA363">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除不可抗力情形外，签订本合同任一方不履行本合同的任一条款，均视为违约。</w:t>
      </w:r>
    </w:p>
    <w:p w14:paraId="4A6A0EE7">
      <w:pPr>
        <w:kinsoku w:val="0"/>
        <w:autoSpaceDE/>
        <w:autoSpaceDN/>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二、违约责任承担方式</w:t>
      </w:r>
    </w:p>
    <w:p w14:paraId="7673DB60">
      <w:pPr>
        <w:pStyle w:val="5"/>
        <w:kinsoku w:val="0"/>
        <w:autoSpaceDE/>
        <w:autoSpaceDN/>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（一）继续履行</w:t>
      </w:r>
    </w:p>
    <w:p w14:paraId="53E6DC8C">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守约方有权暂时停止履行义务，并要求违约方继续履行本合同，待违约方纠正违约行为后恢复履行；守约方根据此款规定暂停履行义务不构成违约。</w:t>
      </w:r>
    </w:p>
    <w:p w14:paraId="3EC09F2B">
      <w:pPr>
        <w:pStyle w:val="5"/>
        <w:kinsoku w:val="0"/>
        <w:autoSpaceDE/>
        <w:autoSpaceDN/>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（二）赔偿</w:t>
      </w:r>
    </w:p>
    <w:p w14:paraId="45297941">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任何一方有权获得因另一方违约而使该方遭受的任何损失、支出和费用（包括但不限于评估费、鉴定费、律师费、诉讼费）的赔偿，该项赔偿由违约方支付。</w:t>
      </w:r>
    </w:p>
    <w:p w14:paraId="5D4B1E79">
      <w:pPr>
        <w:pStyle w:val="5"/>
        <w:kinsoku w:val="0"/>
        <w:autoSpaceDE/>
        <w:autoSpaceDN/>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（三）不减免和影响的事项</w:t>
      </w:r>
    </w:p>
    <w:p w14:paraId="3DFCE841">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1.违约方对违约责任的承担并不能减免其在本合同项下的其他任何义务。</w:t>
      </w:r>
    </w:p>
    <w:p w14:paraId="59550A74">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2.双方获得上述违约赔偿的权利不影响其在本合同项下的终止合同权利。</w:t>
      </w:r>
    </w:p>
    <w:p w14:paraId="5F210B69">
      <w:pPr>
        <w:kinsoku w:val="0"/>
        <w:autoSpaceDE/>
        <w:autoSpaceDN/>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三、违约赔偿责任</w:t>
      </w:r>
    </w:p>
    <w:p w14:paraId="1B522B87">
      <w:pPr>
        <w:pStyle w:val="5"/>
        <w:kinsoku w:val="0"/>
        <w:autoSpaceDE/>
        <w:autoSpaceDN/>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（一）甲方违约赔偿责任</w:t>
      </w:r>
    </w:p>
    <w:p w14:paraId="3438C9D3">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甲方未按照本合同约定，及时足额向乙方支付相应的合同金额，则乙方有权向甲方发出书面催告，如甲方在收到书面催告通知后的30日内仍未能支付的，则甲方除应支付应付未付的合同金额外，还应自收到书面催告通知后第30日起每日按照应付未付金额0.5‰的数额向乙方支付违约金。但因财政支付管理流程导致的支付延期除外。</w:t>
      </w:r>
    </w:p>
    <w:p w14:paraId="47B20492">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2.付款时间为甲方向财政部门提出支付申请的时间，而非款项实际到达乙方账户的时间。如因政府财政支付流程导致的支付延期，甲方不承担责任，也不能作为乙方延迟履行或不履行合同义务的抗辩理由。</w:t>
      </w:r>
    </w:p>
    <w:p w14:paraId="32BC9BD1">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甲方无正当理由迟延组织验收或拒收乙方提供的、符合本合同约定的货物或服务，每迟延一日，应按合同总额的0.5‰向乙方支付违约金。迟延累计超过30日（含30日），乙方有权终止合同，甲方仍应承担上述违约责任并向乙方支付已完成内容的全部款项。</w:t>
      </w:r>
    </w:p>
    <w:p w14:paraId="4B98AEEA">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4.甲方支付的违约金和赔偿金总额不超过本合同金额的5%。</w:t>
      </w:r>
    </w:p>
    <w:p w14:paraId="4E8FB3D7">
      <w:pPr>
        <w:pStyle w:val="5"/>
        <w:kinsoku w:val="0"/>
        <w:autoSpaceDE/>
        <w:autoSpaceDN/>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（二）乙方违约赔偿责任</w:t>
      </w:r>
    </w:p>
    <w:p w14:paraId="0527CA41">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1.乙方交付的货物、提供的服务不符合合同规定的，甲方有权拒收，乙方因此不能按时交货，甲方有权自行采购合格的替代品，并且乙方须向甲方支付合同总价5%的违约金。</w:t>
      </w:r>
    </w:p>
    <w:p w14:paraId="73B08A33">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2.乙方未能按合同规定的交货时间交付货物的，从逾期之日起每日按本合同总金额0.5‰向甲方支付违约金；逾期5天以上的，甲方有权单方面解除合同，由此造成的甲方经济损失由乙方承担。</w:t>
      </w:r>
    </w:p>
    <w:p w14:paraId="41BB052F">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3.乙方在安装、调试、维护期间须对所有作业负安全责任。因乙方原因发生安全事故的，乙方需承担赔偿责任，造成甲方损失的，需赔偿甲方所有损失。</w:t>
      </w:r>
    </w:p>
    <w:p w14:paraId="13D72DC0">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保密违约责任：乙方违反本合同保密条款的，应承担违约责任。如果给甲方造成经济损失，乙方应赔偿甲方的直接经济损失及承担甲方因此而支出的一切合理费用（包括但不限于律师费、案件受理费、执行费、差旅费等）；如果因乙方恶意泄露信息资料，给甲方造成严重后果的，除应赔偿甲方的直接经济损失及承担甲方因此而支出的一切合理费用外，甲方将通过法律手段追究乙方责任。</w:t>
      </w:r>
    </w:p>
    <w:p w14:paraId="4BA4B7FC">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5.违规转包违约责任：</w:t>
      </w:r>
      <w:r>
        <w:rPr>
          <w:rFonts w:hint="eastAsia" w:ascii="仿宋_GB2312" w:hAnsi="仿宋_GB2312" w:eastAsia="仿宋_GB2312" w:cs="仿宋_GB2312"/>
          <w:b w:val="0"/>
          <w:bCs w:val="0"/>
          <w:snapToGrid/>
          <w:color w:val="000000" w:themeColor="text1"/>
          <w:spacing w:val="0"/>
          <w:kern w:val="2"/>
          <w:sz w:val="28"/>
          <w:szCs w:val="28"/>
          <w:highlight w:val="none"/>
          <w:lang w:val="en-US" w:eastAsia="zh-CN" w:bidi="ar-SA"/>
          <w14:textFill>
            <w14:solidFill>
              <w14:schemeClr w14:val="tx1"/>
            </w14:solidFill>
          </w14:textFill>
        </w:rPr>
        <w:t>乙方将本合同整体转包或者违法分包的，</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一经发现，甲方有权单方解除合同，并上报政府采购监管部门。甲方有权要求乙方按照对应转包的产品或服务合同金额予以赔偿外，若由此造成甲方其他直接损失的，乙方仍应予以赔偿。</w:t>
      </w:r>
    </w:p>
    <w:p w14:paraId="4B224E3D">
      <w:pPr>
        <w:widowControl/>
        <w:kinsoku/>
        <w:autoSpaceDE/>
        <w:autoSpaceDN/>
        <w:adjustRightInd/>
        <w:snapToGrid/>
        <w:spacing w:line="540" w:lineRule="exact"/>
        <w:ind w:firstLine="560" w:firstLineChars="200"/>
        <w:jc w:val="both"/>
        <w:textAlignment w:val="auto"/>
        <w:rPr>
          <w:rFonts w:hint="eastAsia" w:ascii="仿宋_GB2312" w:hAnsi="仿宋_GB2312" w:eastAsia="仿宋_GB2312" w:cs="仿宋_GB2312"/>
          <w:snapToGrid/>
          <w:color w:val="000000" w:themeColor="text1"/>
          <w:kern w:val="2"/>
          <w:sz w:val="28"/>
          <w:szCs w:val="28"/>
          <w:highlight w:val="none"/>
          <w:lang w:eastAsia="zh-CN"/>
          <w14:textFill>
            <w14:solidFill>
              <w14:schemeClr w14:val="tx1"/>
            </w14:solidFill>
          </w14:textFill>
        </w:rPr>
      </w:pPr>
    </w:p>
    <w:p w14:paraId="09F04F1F">
      <w:pPr>
        <w:kinsoku w:val="0"/>
        <w:autoSpaceDE/>
        <w:autoSpaceDN/>
        <w:adjustRightInd w:val="0"/>
        <w:snapToGrid w:val="0"/>
        <w:spacing w:before="0" w:line="540" w:lineRule="exact"/>
        <w:ind w:firstLine="0" w:firstLineChars="0"/>
        <w:jc w:val="center"/>
        <w:textAlignment w:val="baseline"/>
        <w:outlineLvl w:val="0"/>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pP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第九章</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zh-CN" w:bidi="ar-SA"/>
        </w:rPr>
        <w:t xml:space="preserve">  </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争议解决</w:t>
      </w:r>
    </w:p>
    <w:p w14:paraId="0FB64341">
      <w:pPr>
        <w:kinsoku w:val="0"/>
        <w:autoSpaceDE w:val="0"/>
        <w:autoSpaceDN w:val="0"/>
        <w:adjustRightInd/>
        <w:snapToGrid/>
        <w:spacing w:before="65" w:line="540" w:lineRule="exact"/>
        <w:ind w:left="27" w:firstLine="562"/>
        <w:jc w:val="both"/>
        <w:textAlignment w:val="baseline"/>
        <w:outlineLvl w:val="0"/>
        <w:rPr>
          <w:rFonts w:hint="eastAsia" w:ascii="仿宋_GB2312" w:hAnsi="仿宋_GB2312" w:eastAsia="仿宋_GB2312" w:cs="仿宋_GB2312"/>
          <w:b/>
          <w:bCs/>
          <w:snapToGrid/>
          <w:color w:val="auto"/>
          <w:spacing w:val="0"/>
          <w:kern w:val="2"/>
          <w:sz w:val="28"/>
          <w:szCs w:val="28"/>
          <w:highlight w:val="none"/>
          <w:lang w:val="en-US" w:eastAsia="en-US" w:bidi="ar-SA"/>
        </w:rPr>
      </w:pPr>
    </w:p>
    <w:p w14:paraId="47D05DFA">
      <w:pPr>
        <w:kinsoku w:val="0"/>
        <w:autoSpaceDE w:val="0"/>
        <w:autoSpaceDN w:val="0"/>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争议解决方式</w:t>
      </w:r>
    </w:p>
    <w:p w14:paraId="160DF1A5">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1.因履行合同所发生的一切争议，双方应友好协商解决，协商不成的，按下列第（2）种方式解决：</w:t>
      </w:r>
    </w:p>
    <w:p w14:paraId="6527F256">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（1）提交中国广州仲裁委员会仲裁，仲裁裁决为终局裁决；</w:t>
      </w:r>
    </w:p>
    <w:p w14:paraId="4DEF2DF9">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（2）双方均同意向甲方所在地人民法院提起诉讼，律师代理费用等均由败诉方承担。</w:t>
      </w:r>
    </w:p>
    <w:p w14:paraId="1CE02697">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2.在仲裁、诉讼进行过程中，双方将继续履行本合同未涉诉的其他部分（合同被解除或终止的除外）。</w:t>
      </w:r>
    </w:p>
    <w:p w14:paraId="026CE26A">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3.双方对于合同履行期间难以确定过错归属的，可以向双方认可的第三方机构申请鉴定，确认责任。鉴定费用由主张对方存在过错的一方先行垫付，最终由鉴定存在过错的一方承担。</w:t>
      </w:r>
    </w:p>
    <w:p w14:paraId="7D02D2E1">
      <w:pPr>
        <w:kinsoku/>
        <w:autoSpaceDE/>
        <w:autoSpaceDN/>
        <w:adjustRightInd/>
        <w:snapToGrid/>
        <w:spacing w:before="0" w:line="540" w:lineRule="exact"/>
        <w:ind w:firstLine="907"/>
        <w:jc w:val="both"/>
        <w:textAlignment w:val="auto"/>
        <w:outlineLvl w:val="9"/>
        <w:rPr>
          <w:rFonts w:hint="eastAsia" w:ascii="仿宋_GB2312" w:hAnsi="仿宋_GB2312" w:eastAsia="仿宋_GB2312" w:cs="仿宋_GB2312"/>
          <w:b w:val="0"/>
          <w:bCs w:val="0"/>
          <w:snapToGrid/>
          <w:color w:val="000000" w:themeColor="text1"/>
          <w:spacing w:val="0"/>
          <w:kern w:val="2"/>
          <w:sz w:val="28"/>
          <w:szCs w:val="28"/>
          <w:highlight w:val="none"/>
          <w:lang w:val="en-US" w:eastAsia="zh-CN" w:bidi="ar-SA"/>
          <w14:textFill>
            <w14:solidFill>
              <w14:schemeClr w14:val="tx1"/>
            </w14:solidFill>
          </w14:textFill>
        </w:rPr>
      </w:pPr>
    </w:p>
    <w:p w14:paraId="7A7A7C3C">
      <w:pPr>
        <w:kinsoku/>
        <w:autoSpaceDE/>
        <w:autoSpaceDN/>
        <w:adjustRightInd/>
        <w:snapToGrid/>
        <w:spacing w:before="0" w:line="540" w:lineRule="exact"/>
        <w:ind w:firstLine="907"/>
        <w:jc w:val="both"/>
        <w:textAlignment w:val="auto"/>
        <w:outlineLvl w:val="9"/>
        <w:rPr>
          <w:rFonts w:hint="eastAsia" w:ascii="仿宋_GB2312" w:hAnsi="仿宋_GB2312" w:eastAsia="仿宋_GB2312" w:cs="仿宋_GB2312"/>
          <w:b w:val="0"/>
          <w:bCs w:val="0"/>
          <w:snapToGrid/>
          <w:color w:val="000000" w:themeColor="text1"/>
          <w:spacing w:val="0"/>
          <w:kern w:val="2"/>
          <w:sz w:val="28"/>
          <w:szCs w:val="28"/>
          <w:highlight w:val="none"/>
          <w:lang w:val="en-US" w:eastAsia="zh-CN" w:bidi="ar-SA"/>
          <w14:textFill>
            <w14:solidFill>
              <w14:schemeClr w14:val="tx1"/>
            </w14:solidFill>
          </w14:textFill>
        </w:rPr>
      </w:pPr>
    </w:p>
    <w:p w14:paraId="78D5BC20">
      <w:pPr>
        <w:kinsoku w:val="0"/>
        <w:autoSpaceDE/>
        <w:autoSpaceDN/>
        <w:adjustRightInd w:val="0"/>
        <w:snapToGrid w:val="0"/>
        <w:spacing w:before="0" w:line="540" w:lineRule="exact"/>
        <w:ind w:firstLine="0" w:firstLineChars="0"/>
        <w:jc w:val="center"/>
        <w:textAlignment w:val="baseline"/>
        <w:outlineLvl w:val="0"/>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pP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第十章</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zh-CN" w:bidi="ar-SA"/>
        </w:rPr>
        <w:t xml:space="preserve"> </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 xml:space="preserve"> 保密范围及责任</w:t>
      </w:r>
    </w:p>
    <w:p w14:paraId="7F68B334">
      <w:pPr>
        <w:kinsoku w:val="0"/>
        <w:autoSpaceDE w:val="0"/>
        <w:autoSpaceDN w:val="0"/>
        <w:adjustRightInd/>
        <w:snapToGrid/>
        <w:spacing w:before="65" w:line="540" w:lineRule="exact"/>
        <w:ind w:left="27" w:firstLine="562"/>
        <w:jc w:val="both"/>
        <w:textAlignment w:val="baseline"/>
        <w:outlineLvl w:val="0"/>
        <w:rPr>
          <w:rFonts w:hint="eastAsia" w:ascii="仿宋_GB2312" w:hAnsi="仿宋_GB2312" w:eastAsia="仿宋_GB2312" w:cs="仿宋_GB2312"/>
          <w:b/>
          <w:bCs/>
          <w:snapToGrid/>
          <w:color w:val="auto"/>
          <w:spacing w:val="0"/>
          <w:kern w:val="2"/>
          <w:sz w:val="28"/>
          <w:szCs w:val="28"/>
          <w:highlight w:val="none"/>
          <w:lang w:val="en-US" w:eastAsia="en-US" w:bidi="ar-SA"/>
        </w:rPr>
      </w:pPr>
    </w:p>
    <w:p w14:paraId="28FC836A">
      <w:pPr>
        <w:kinsoku w:val="0"/>
        <w:autoSpaceDE w:val="0"/>
        <w:autoSpaceDN w:val="0"/>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一、保密信息范围</w:t>
      </w:r>
    </w:p>
    <w:p w14:paraId="0D5FFC8F">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1.在本合同执行过程中乙方接触的甲方所有业务信息（包括但不限于合同、计划、文档、方案、图件、数据等）。</w:t>
      </w:r>
    </w:p>
    <w:p w14:paraId="1A119B81">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2.在本合同执行过程中接触的政府机关文件，包括但不限于内部发文、各类通知及会议记录等。</w:t>
      </w:r>
    </w:p>
    <w:p w14:paraId="2EFF9A77">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3.其他详细保密条款内容见附件。</w:t>
      </w:r>
    </w:p>
    <w:p w14:paraId="62775080">
      <w:pPr>
        <w:kinsoku w:val="0"/>
        <w:autoSpaceDE w:val="0"/>
        <w:autoSpaceDN w:val="0"/>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二、保密责任</w:t>
      </w:r>
    </w:p>
    <w:p w14:paraId="7EFD43AC">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1.乙方对其因身份、职务、职业或技术关系而知悉的甲方商业秘密和党政机关保密信息应严格保守，保证不被披露或使用，包括意外或过失。</w:t>
      </w:r>
    </w:p>
    <w:p w14:paraId="379C9D2E">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乙方不得以竞争为目的或出于私利或为第三人谋利而擅自保存、复制、披露、使用甲方商业秘密和党政机关保密信息；不得直接或间接地向无关人员泄露甲方的商业秘密和党政机关保密信息；不得向不承担保密义务的任何第三人披露甲方的商业秘密和党政机关保密信息。由此造成甲方损失的，乙方应负责赔偿。</w:t>
      </w:r>
    </w:p>
    <w:p w14:paraId="333E0FB1">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乙方在从事政府项目时，不得擅自记录、复制、拍摄、摘抄、收藏在工作中涉及的保密信息，严禁将涉及政府项目的任何资料、数据透露或以其他方式提供给本项目以外的其他方或乙方内部与本项目无关的任何人员。由此造成甲方损失的，乙方应负责赔偿。</w:t>
      </w:r>
    </w:p>
    <w:p w14:paraId="6BF48F0D">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乙方对于工作期间知悉甲方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乙方应当在完成委托事项或本合同终止或解除时将资料原件全部返还甲方，并销毁所有复制件。</w:t>
      </w:r>
    </w:p>
    <w:p w14:paraId="701644C6">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5.严禁泄露在工作中接触到的政府机关科技研究、发明、装备器材及其技术资料和政府工作信息。</w:t>
      </w:r>
    </w:p>
    <w:p w14:paraId="08EDCEE0">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6.未经甲方书面同意，乙方不得带领无关人员进入甲方办公场所，若从事政府项目工作，未经政府机关工作人员允许，不得进入与项目服务无关的政府机关其他办公场所。</w:t>
      </w:r>
    </w:p>
    <w:p w14:paraId="58E657AB">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7.乙方的保密义务延及乙方聘用的员工、工作人员，如因其员工、工作人员导致本合同保密义务的违反或商业秘密的泄露，由乙方承担全部违约责任。</w:t>
      </w:r>
    </w:p>
    <w:p w14:paraId="615599DD">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8.涉及政府机关项目的保密内容可根据政府机关意见，相应增加修改，乙方予以接受并同意履行相应保密责任。</w:t>
      </w:r>
    </w:p>
    <w:p w14:paraId="210F1BE0">
      <w:pPr>
        <w:kinsoku/>
        <w:autoSpaceDE/>
        <w:autoSpaceDN/>
        <w:adjustRightInd/>
        <w:snapToGrid/>
        <w:spacing w:before="0" w:line="540" w:lineRule="exact"/>
        <w:ind w:firstLine="907"/>
        <w:jc w:val="both"/>
        <w:textAlignment w:val="auto"/>
        <w:outlineLvl w:val="9"/>
        <w:rPr>
          <w:rFonts w:hint="eastAsia" w:ascii="仿宋_GB2312" w:hAnsi="仿宋_GB2312" w:eastAsia="仿宋_GB2312" w:cs="仿宋_GB2312"/>
          <w:b w:val="0"/>
          <w:bCs w:val="0"/>
          <w:snapToGrid/>
          <w:color w:val="000000" w:themeColor="text1"/>
          <w:spacing w:val="0"/>
          <w:kern w:val="2"/>
          <w:sz w:val="28"/>
          <w:szCs w:val="28"/>
          <w:highlight w:val="none"/>
          <w:lang w:val="en-US" w:eastAsia="zh-CN" w:bidi="ar-SA"/>
          <w14:textFill>
            <w14:solidFill>
              <w14:schemeClr w14:val="tx1"/>
            </w14:solidFill>
          </w14:textFill>
        </w:rPr>
      </w:pPr>
    </w:p>
    <w:p w14:paraId="2A7A0D1D">
      <w:pPr>
        <w:kinsoku w:val="0"/>
        <w:autoSpaceDE w:val="0"/>
        <w:autoSpaceDN w:val="0"/>
        <w:adjustRightInd w:val="0"/>
        <w:snapToGrid w:val="0"/>
        <w:spacing w:before="0" w:line="540" w:lineRule="exact"/>
        <w:ind w:firstLine="747"/>
        <w:jc w:val="center"/>
        <w:textAlignment w:val="baseline"/>
        <w:outlineLvl w:val="0"/>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pP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第十一章</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zh-CN" w:bidi="ar-SA"/>
        </w:rPr>
        <w:t xml:space="preserve">  </w:t>
      </w:r>
      <w:r>
        <w:rPr>
          <w:rFonts w:hint="eastAsia" w:ascii="方正小标宋简体" w:hAnsi="方正小标宋简体" w:eastAsia="方正小标宋简体" w:cs="方正小标宋简体"/>
          <w:b/>
          <w:bCs/>
          <w:snapToGrid w:val="0"/>
          <w:color w:val="auto"/>
          <w:spacing w:val="6"/>
          <w:kern w:val="0"/>
          <w:sz w:val="36"/>
          <w:szCs w:val="36"/>
          <w:highlight w:val="none"/>
          <w:lang w:val="en-US" w:eastAsia="en-US" w:bidi="ar-SA"/>
        </w:rPr>
        <w:t>其他约定</w:t>
      </w:r>
    </w:p>
    <w:p w14:paraId="39DDE177">
      <w:pPr>
        <w:kinsoku w:val="0"/>
        <w:autoSpaceDE w:val="0"/>
        <w:autoSpaceDN w:val="0"/>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p>
    <w:p w14:paraId="7FD31FFF">
      <w:pPr>
        <w:kinsoku w:val="0"/>
        <w:autoSpaceDE w:val="0"/>
        <w:autoSpaceDN w:val="0"/>
        <w:adjustRightInd/>
        <w:snapToGrid/>
        <w:spacing w:before="65" w:line="540" w:lineRule="exact"/>
        <w:ind w:left="27" w:firstLine="562"/>
        <w:jc w:val="both"/>
        <w:textAlignment w:val="baseline"/>
        <w:outlineLvl w:val="0"/>
        <w:rPr>
          <w:rFonts w:hint="eastAsia" w:ascii="黑体" w:hAnsi="黑体" w:eastAsia="黑体" w:cs="黑体"/>
          <w:b/>
          <w:bCs/>
          <w:snapToGrid/>
          <w:color w:val="auto"/>
          <w:spacing w:val="0"/>
          <w:kern w:val="2"/>
          <w:sz w:val="28"/>
          <w:szCs w:val="28"/>
          <w:highlight w:val="none"/>
          <w:lang w:val="en-US" w:eastAsia="en-US" w:bidi="ar-SA"/>
        </w:rPr>
      </w:pPr>
      <w:r>
        <w:rPr>
          <w:rFonts w:hint="eastAsia" w:ascii="黑体" w:hAnsi="黑体" w:eastAsia="黑体" w:cs="黑体"/>
          <w:b/>
          <w:bCs/>
          <w:snapToGrid/>
          <w:color w:val="auto"/>
          <w:spacing w:val="0"/>
          <w:kern w:val="2"/>
          <w:sz w:val="28"/>
          <w:szCs w:val="28"/>
          <w:highlight w:val="none"/>
          <w:lang w:val="en-US" w:eastAsia="en-US" w:bidi="ar-SA"/>
        </w:rPr>
        <w:t>一、其他约定</w:t>
      </w:r>
    </w:p>
    <w:p w14:paraId="7600A6CC">
      <w:pPr>
        <w:pStyle w:val="5"/>
        <w:kinsoku w:val="0"/>
        <w:autoSpaceDE w:val="0"/>
        <w:autoSpaceDN w:val="0"/>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（一）合同构成</w:t>
      </w:r>
    </w:p>
    <w:p w14:paraId="7F20215F">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1.下列文件均为本合同不可分割的组成部分，具有同等法律效力：</w:t>
      </w:r>
    </w:p>
    <w:p w14:paraId="7C68F061">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（1）中标通知书；</w:t>
      </w:r>
    </w:p>
    <w:p w14:paraId="3732AEA2">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（2）采购文件；</w:t>
      </w:r>
    </w:p>
    <w:p w14:paraId="676CE087">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（3）乙方中标的投标文件；</w:t>
      </w:r>
    </w:p>
    <w:p w14:paraId="31CD0C7E">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（4）在合同实施过程中双方共同签署的补充协议（若有）；</w:t>
      </w:r>
    </w:p>
    <w:p w14:paraId="75D81073">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（5）分包意向协议（若有）；</w:t>
      </w:r>
    </w:p>
    <w:p w14:paraId="2C544157">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（6）变更文件（若有）；</w:t>
      </w:r>
    </w:p>
    <w:p w14:paraId="1CB14970">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（7）合同附件。</w:t>
      </w:r>
    </w:p>
    <w:p w14:paraId="1134B821">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上述文件先后解释顺序为：在合同实施过程中双方共同签署的补充协议、变更文件、本合同书、合同附件、分包意向协议、中标通知书、采购文件、乙方中标的投标文件。补充协议之间如有冲突， 以对乙方要求较高或对甲方更有利的条款为准。</w:t>
      </w:r>
    </w:p>
    <w:p w14:paraId="56BAF90F">
      <w:pPr>
        <w:pStyle w:val="5"/>
        <w:kinsoku w:val="0"/>
        <w:autoSpaceDE w:val="0"/>
        <w:autoSpaceDN w:val="0"/>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（二）合同变更与修订</w:t>
      </w:r>
    </w:p>
    <w:p w14:paraId="20D08838">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1.除另有约定，本合同任何修改、补充或变更必须经双方协商一致，并书面签订补充协议。</w:t>
      </w:r>
    </w:p>
    <w:p w14:paraId="4F3B0FE4">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2.如果本合同的任何条款不合法、无效或不能执行，则：</w:t>
      </w:r>
    </w:p>
    <w:p w14:paraId="69AA132D">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（1）并不影响其他条款的效力和执行；</w:t>
      </w:r>
    </w:p>
    <w:p w14:paraId="231B1A3D">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（2）双方应商定对不合法、无效或不能执行的条款进行修改，使之合法、有效并可执行；修改或更改应尽可能平衡双方之间的利益。</w:t>
      </w:r>
    </w:p>
    <w:p w14:paraId="37350838">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项目变更时为确保效率，如无涉及项目合同金额变动且甲方认为没有必要的，可按照甲乙双方书面确认的往来文件立即实施。如涉及项目合同金额变动或甲方认为确有必要的，乙方需按甲方要求完成变更申请审批工作，并双方必须就相关变更事项签订补充协议。</w:t>
      </w:r>
    </w:p>
    <w:p w14:paraId="5604C32E">
      <w:pPr>
        <w:pStyle w:val="5"/>
        <w:kinsoku w:val="0"/>
        <w:autoSpaceDE w:val="0"/>
        <w:autoSpaceDN w:val="0"/>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（三）合同适用法律</w:t>
      </w:r>
    </w:p>
    <w:p w14:paraId="5F067135">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本合同的成立、有效性、解释、履行、签署、修订和终止以及争议的解决适用中华人民共和国法律。</w:t>
      </w:r>
    </w:p>
    <w:p w14:paraId="3CCBC3E1">
      <w:pPr>
        <w:pStyle w:val="5"/>
        <w:kinsoku w:val="0"/>
        <w:autoSpaceDE w:val="0"/>
        <w:autoSpaceDN w:val="0"/>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（四）不弃权</w:t>
      </w:r>
    </w:p>
    <w:p w14:paraId="33CD6EE3">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除非另有规定，一方未行使或迟延行使本合同项下的权利、权力并不构成放弃这些权利、权力，而单一或部分行使这些权利、权力并不排斥行使任何其他权利、权力。</w:t>
      </w:r>
    </w:p>
    <w:p w14:paraId="58A5C4E0">
      <w:pPr>
        <w:pStyle w:val="5"/>
        <w:kinsoku w:val="0"/>
        <w:autoSpaceDE w:val="0"/>
        <w:autoSpaceDN w:val="0"/>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（五）通知</w:t>
      </w:r>
    </w:p>
    <w:p w14:paraId="231CF19F">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本合同约定的联系地址、联系方式为甲乙双方唯一联系地址、联系方式。甲、乙双方因履行本合同而需由一方发给对方的任何通知应以书面方式发出。该通知可以专人送达、传真、电子邮件、特快专递或挂号方式送达的方式发出。所有的通知应送达本合同项下对方当事人的地址或该方事先通知的其他地址或传真号码。该联系地址或联系方式有变动的，应至少提前三日书面通知对方。双方发生争议后，甚至进入诉讼程序，该联系地址、联系方式仍为有效。</w:t>
      </w:r>
    </w:p>
    <w:p w14:paraId="3910CC58">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上述通知、要求或信息，以专人送达的，以受送达人在送达回执上的签收时间为送达日期；以传真方式送达的，以发送之日为送达日期；以电子邮件方式送达的，以到达受送达人特定系统的日期为送达日期；以特快专递或挂号方式送达的，以受送达人在相应邮寄凭证上签收之日为送达日期。上述联系地址或联系方式发生变动且未及时书面通知另一方的，另一方按原地址邮寄相关材料即视为已履行送达义务。</w:t>
      </w:r>
    </w:p>
    <w:p w14:paraId="409BC563">
      <w:pPr>
        <w:pStyle w:val="5"/>
        <w:kinsoku w:val="0"/>
        <w:autoSpaceDE w:val="0"/>
        <w:autoSpaceDN w:val="0"/>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（六）合同生效条件</w:t>
      </w:r>
    </w:p>
    <w:p w14:paraId="4BAE2BDE">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本合同经甲乙双方法定代表人或授权委托代理人签字，并盖章后生效。</w:t>
      </w:r>
    </w:p>
    <w:p w14:paraId="05517D2E">
      <w:pPr>
        <w:pStyle w:val="5"/>
        <w:kinsoku w:val="0"/>
        <w:autoSpaceDE w:val="0"/>
        <w:autoSpaceDN w:val="0"/>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（七）合同份数</w:t>
      </w:r>
    </w:p>
    <w:p w14:paraId="0C4744BA">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本合同一式</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份，甲方执</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份，乙方执</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份（含采购代理机构备案壹份），具有同等法律效力。</w:t>
      </w:r>
    </w:p>
    <w:p w14:paraId="41BDFBAA">
      <w:pPr>
        <w:pStyle w:val="5"/>
        <w:kinsoku w:val="0"/>
        <w:autoSpaceDE w:val="0"/>
        <w:autoSpaceDN w:val="0"/>
        <w:adjustRightInd/>
        <w:snapToGrid/>
        <w:spacing w:before="65" w:line="540" w:lineRule="exact"/>
        <w:ind w:left="27" w:firstLine="907"/>
        <w:jc w:val="both"/>
        <w:textAlignment w:val="baseline"/>
        <w:outlineLvl w:val="0"/>
        <w:rPr>
          <w:rFonts w:hint="eastAsia" w:ascii="楷体_GB2312" w:hAnsi="Times New Roman" w:eastAsia="楷体_GB2312" w:cs="Times New Roman"/>
          <w:b/>
          <w:bCs w:val="0"/>
          <w:snapToGrid/>
          <w:color w:val="auto"/>
          <w:spacing w:val="0"/>
          <w:kern w:val="2"/>
          <w:sz w:val="28"/>
          <w:szCs w:val="28"/>
          <w:highlight w:val="none"/>
          <w:lang w:val="en-US" w:eastAsia="en-US" w:bidi="ar-SA"/>
        </w:rPr>
      </w:pPr>
      <w:r>
        <w:rPr>
          <w:rFonts w:hint="eastAsia" w:ascii="楷体_GB2312" w:hAnsi="Times New Roman" w:eastAsia="楷体_GB2312" w:cs="Times New Roman"/>
          <w:b/>
          <w:bCs w:val="0"/>
          <w:snapToGrid/>
          <w:color w:val="auto"/>
          <w:spacing w:val="0"/>
          <w:kern w:val="2"/>
          <w:sz w:val="28"/>
          <w:szCs w:val="28"/>
          <w:highlight w:val="none"/>
          <w:lang w:val="en-US" w:eastAsia="en-US" w:bidi="ar-SA"/>
        </w:rPr>
        <w:t>（八）合同页数</w:t>
      </w:r>
    </w:p>
    <w:p w14:paraId="5A7A02EE">
      <w:pPr>
        <w:kinsoku/>
        <w:autoSpaceDE/>
        <w:autoSpaceDN/>
        <w:adjustRightInd/>
        <w:snapToGrid/>
        <w:spacing w:before="0" w:line="540" w:lineRule="exact"/>
        <w:ind w:left="0" w:leftChars="0" w:firstLine="560" w:firstLineChars="20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本合同正文（不含封面、编写说明及签署页）合计</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页A4纸张，附件</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份共</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页A4纸张。缺页之合同为无效合同。</w:t>
      </w:r>
    </w:p>
    <w:p w14:paraId="67A3CB95">
      <w:pPr>
        <w:widowControl/>
        <w:kinsoku/>
        <w:autoSpaceDE/>
        <w:autoSpaceDN/>
        <w:adjustRightInd/>
        <w:snapToGrid/>
        <w:spacing w:line="540" w:lineRule="exact"/>
        <w:ind w:firstLine="907" w:firstLineChars="0"/>
        <w:jc w:val="both"/>
        <w:textAlignment w:val="auto"/>
        <w:rPr>
          <w:rFonts w:hint="eastAsia" w:ascii="仿宋_GB2312" w:hAnsi="仿宋_GB2312" w:eastAsia="仿宋_GB2312" w:cs="仿宋_GB2312"/>
          <w:snapToGrid/>
          <w:color w:val="000000" w:themeColor="text1"/>
          <w:kern w:val="2"/>
          <w:sz w:val="28"/>
          <w:szCs w:val="28"/>
          <w:highlight w:val="none"/>
          <w:lang w:eastAsia="zh-CN"/>
          <w14:textFill>
            <w14:solidFill>
              <w14:schemeClr w14:val="tx1"/>
            </w14:solidFill>
          </w14:textFill>
        </w:rPr>
      </w:pPr>
    </w:p>
    <w:p w14:paraId="55E3927C">
      <w:pPr>
        <w:kinsoku/>
        <w:autoSpaceDE/>
        <w:autoSpaceDN/>
        <w:adjustRightInd/>
        <w:snapToGrid/>
        <w:spacing w:before="0" w:line="540" w:lineRule="exact"/>
        <w:ind w:left="0" w:firstLine="907"/>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附件：</w:t>
      </w:r>
    </w:p>
    <w:p w14:paraId="624EA115">
      <w:pPr>
        <w:kinsoku/>
        <w:autoSpaceDE/>
        <w:autoSpaceDN/>
        <w:adjustRightInd/>
        <w:snapToGrid/>
        <w:spacing w:before="0" w:line="540" w:lineRule="exact"/>
        <w:ind w:left="0" w:firstLine="907"/>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1.详细服务内容及技术要求</w:t>
      </w:r>
    </w:p>
    <w:p w14:paraId="5FC71121">
      <w:pPr>
        <w:kinsoku/>
        <w:autoSpaceDE/>
        <w:autoSpaceDN/>
        <w:adjustRightInd/>
        <w:snapToGrid/>
        <w:spacing w:before="0" w:line="540" w:lineRule="exact"/>
        <w:ind w:left="0" w:firstLine="907"/>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2.验收要求</w:t>
      </w:r>
    </w:p>
    <w:p w14:paraId="53608188">
      <w:pPr>
        <w:kinsoku/>
        <w:autoSpaceDE/>
        <w:autoSpaceDN/>
        <w:adjustRightInd/>
        <w:snapToGrid/>
        <w:spacing w:before="0" w:line="540" w:lineRule="exact"/>
        <w:ind w:left="0" w:firstLine="907"/>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3.乙方团队人员清单</w:t>
      </w:r>
    </w:p>
    <w:p w14:paraId="48D944E6">
      <w:pPr>
        <w:kinsoku/>
        <w:autoSpaceDE/>
        <w:autoSpaceDN/>
        <w:adjustRightInd/>
        <w:snapToGrid/>
        <w:spacing w:before="0" w:line="540" w:lineRule="exact"/>
        <w:ind w:left="0" w:firstLine="907"/>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4.服务价格明细（若有）</w:t>
      </w:r>
    </w:p>
    <w:p w14:paraId="0D9877D7">
      <w:pPr>
        <w:kinsoku/>
        <w:autoSpaceDE/>
        <w:autoSpaceDN/>
        <w:adjustRightInd/>
        <w:snapToGrid/>
        <w:spacing w:before="0" w:line="540" w:lineRule="exact"/>
        <w:ind w:left="0" w:firstLine="907"/>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5.保密承诺书</w:t>
      </w:r>
    </w:p>
    <w:p w14:paraId="1D1EEDD0">
      <w:pPr>
        <w:kinsoku/>
        <w:autoSpaceDE/>
        <w:autoSpaceDN/>
        <w:adjustRightInd/>
        <w:snapToGrid/>
        <w:spacing w:before="0" w:line="540" w:lineRule="exact"/>
        <w:ind w:left="0" w:firstLine="907"/>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6.反商业贿赂协议</w:t>
      </w:r>
    </w:p>
    <w:p w14:paraId="16655514">
      <w:pPr>
        <w:widowControl/>
        <w:kinsoku/>
        <w:autoSpaceDE/>
        <w:autoSpaceDN/>
        <w:adjustRightInd/>
        <w:snapToGrid/>
        <w:spacing w:line="540" w:lineRule="exact"/>
        <w:ind w:firstLine="560" w:firstLineChars="200"/>
        <w:jc w:val="both"/>
        <w:textAlignment w:val="auto"/>
        <w:rPr>
          <w:rFonts w:hint="eastAsia" w:ascii="仿宋_GB2312" w:hAnsi="仿宋_GB2312" w:eastAsia="仿宋_GB2312" w:cs="仿宋_GB2312"/>
          <w:snapToGrid/>
          <w:color w:val="000000" w:themeColor="text1"/>
          <w:kern w:val="2"/>
          <w:sz w:val="28"/>
          <w:szCs w:val="28"/>
          <w:highlight w:val="none"/>
          <w:lang w:eastAsia="zh-CN"/>
          <w14:textFill>
            <w14:solidFill>
              <w14:schemeClr w14:val="tx1"/>
            </w14:solidFill>
          </w14:textFill>
        </w:rPr>
      </w:pPr>
    </w:p>
    <w:p w14:paraId="5EC94DAF">
      <w:pPr>
        <w:kinsoku/>
        <w:autoSpaceDE/>
        <w:autoSpaceDN/>
        <w:adjustRightInd/>
        <w:snapToGrid/>
        <w:spacing w:before="0" w:line="540" w:lineRule="exact"/>
        <w:ind w:left="0" w:firstLine="560"/>
        <w:jc w:val="center"/>
        <w:textAlignment w:val="auto"/>
        <w:rPr>
          <w:rFonts w:hint="eastAsia" w:ascii="楷体_GB2312" w:hAnsi="楷体_GB2312" w:eastAsia="楷体_GB2312" w:cs="楷体_GB2312"/>
          <w:b/>
          <w:bCs/>
          <w:snapToGrid/>
          <w:color w:val="000000" w:themeColor="text1"/>
          <w:kern w:val="2"/>
          <w:sz w:val="28"/>
          <w:szCs w:val="28"/>
          <w:highlight w:val="none"/>
          <w:lang w:val="en-US" w:eastAsia="zh-CN" w:bidi="ar-SA"/>
          <w14:textFill>
            <w14:solidFill>
              <w14:schemeClr w14:val="tx1"/>
            </w14:solidFill>
          </w14:textFill>
        </w:rPr>
      </w:pPr>
      <w:r>
        <w:rPr>
          <w:rFonts w:hint="eastAsia" w:ascii="楷体_GB2312" w:hAnsi="楷体_GB2312" w:eastAsia="楷体_GB2312" w:cs="楷体_GB2312"/>
          <w:b/>
          <w:bCs/>
          <w:snapToGrid/>
          <w:color w:val="000000" w:themeColor="text1"/>
          <w:spacing w:val="0"/>
          <w:kern w:val="2"/>
          <w:sz w:val="28"/>
          <w:szCs w:val="28"/>
          <w:highlight w:val="none"/>
          <w:lang w:val="en-US" w:eastAsia="zh-CN" w:bidi="ar-SA"/>
          <w14:textFill>
            <w14:solidFill>
              <w14:schemeClr w14:val="tx1"/>
            </w14:solidFill>
          </w14:textFill>
        </w:rPr>
        <w:t>（以下无合同正文）</w:t>
      </w:r>
    </w:p>
    <w:p w14:paraId="3F6B8FB7">
      <w:pPr>
        <w:spacing w:line="600" w:lineRule="exact"/>
        <w:ind w:firstLine="747"/>
        <w:rPr>
          <w:rFonts w:hint="eastAsia" w:ascii="楷体_GB2312" w:hAnsi="楷体_GB2312" w:eastAsia="楷体_GB2312" w:cs="楷体_GB2312"/>
          <w:color w:val="auto"/>
          <w:sz w:val="20"/>
          <w:szCs w:val="20"/>
          <w:highlight w:val="none"/>
        </w:rPr>
        <w:sectPr>
          <w:footerReference r:id="rId11" w:type="default"/>
          <w:footerReference r:id="rId12" w:type="even"/>
          <w:pgSz w:w="11906" w:h="16839"/>
          <w:pgMar w:top="1431" w:right="1559" w:bottom="1173" w:left="1785" w:header="0" w:footer="959" w:gutter="0"/>
          <w:pgBorders>
            <w:top w:val="none" w:sz="0" w:space="0"/>
            <w:left w:val="none" w:sz="0" w:space="0"/>
            <w:bottom w:val="none" w:sz="0" w:space="0"/>
            <w:right w:val="none" w:sz="0" w:space="0"/>
          </w:pgBorders>
          <w:pgNumType w:fmt="decimal" w:start="1"/>
          <w:cols w:space="720" w:num="1"/>
        </w:sectPr>
      </w:pPr>
    </w:p>
    <w:p w14:paraId="7A8E942F">
      <w:pPr>
        <w:kinsoku/>
        <w:autoSpaceDE/>
        <w:autoSpaceDN/>
        <w:adjustRightInd/>
        <w:snapToGrid/>
        <w:spacing w:before="0" w:line="540" w:lineRule="exact"/>
        <w:ind w:left="0" w:firstLine="0" w:firstLineChars="0"/>
        <w:jc w:val="center"/>
        <w:textAlignment w:val="auto"/>
        <w:rPr>
          <w:rFonts w:hint="eastAsia" w:ascii="楷体_GB2312" w:hAnsi="楷体_GB2312" w:eastAsia="楷体_GB2312" w:cs="楷体_GB2312"/>
          <w:b/>
          <w:bCs/>
          <w:snapToGrid/>
          <w:color w:val="000000" w:themeColor="text1"/>
          <w:kern w:val="2"/>
          <w:sz w:val="28"/>
          <w:szCs w:val="28"/>
          <w:highlight w:val="none"/>
          <w:lang w:val="en-US" w:eastAsia="zh-CN" w:bidi="ar-SA"/>
          <w14:textFill>
            <w14:solidFill>
              <w14:schemeClr w14:val="tx1"/>
            </w14:solidFill>
          </w14:textFill>
        </w:rPr>
      </w:pPr>
      <w:r>
        <w:rPr>
          <w:rFonts w:hint="eastAsia" w:ascii="楷体_GB2312" w:hAnsi="楷体_GB2312" w:eastAsia="楷体_GB2312" w:cs="楷体_GB2312"/>
          <w:b/>
          <w:bCs/>
          <w:snapToGrid/>
          <w:color w:val="000000" w:themeColor="text1"/>
          <w:spacing w:val="0"/>
          <w:kern w:val="2"/>
          <w:sz w:val="28"/>
          <w:szCs w:val="28"/>
          <w:highlight w:val="none"/>
          <w:lang w:val="en-US" w:eastAsia="zh-CN" w:bidi="ar-SA"/>
          <w14:textFill>
            <w14:solidFill>
              <w14:schemeClr w14:val="tx1"/>
            </w14:solidFill>
          </w14:textFill>
        </w:rPr>
        <w:t>（合同签署页）</w:t>
      </w:r>
    </w:p>
    <w:p w14:paraId="45C49565">
      <w:pPr>
        <w:widowControl/>
        <w:kinsoku/>
        <w:autoSpaceDE/>
        <w:autoSpaceDN/>
        <w:adjustRightInd/>
        <w:snapToGrid/>
        <w:spacing w:line="360" w:lineRule="auto"/>
        <w:ind w:left="6240" w:hanging="6240" w:hangingChars="2600"/>
        <w:jc w:val="left"/>
        <w:textAlignment w:val="auto"/>
        <w:rPr>
          <w:rFonts w:hint="eastAsia" w:ascii="仿宋_GB2312" w:hAnsi="宋体" w:eastAsia="仿宋_GB2312" w:cs="Times New Roman"/>
          <w:snapToGrid/>
          <w:color w:val="auto"/>
          <w:kern w:val="2"/>
          <w:sz w:val="24"/>
          <w:szCs w:val="24"/>
          <w:highlight w:val="none"/>
          <w:u w:val="single"/>
          <w:lang w:val="zh-CN" w:eastAsia="en-US"/>
        </w:rPr>
      </w:pPr>
    </w:p>
    <w:p w14:paraId="30067130">
      <w:pPr>
        <w:kinsoku/>
        <w:autoSpaceDE/>
        <w:autoSpaceDN/>
        <w:adjustRightInd/>
        <w:snapToGrid/>
        <w:spacing w:before="0" w:line="360" w:lineRule="auto"/>
        <w:ind w:left="6240" w:hanging="6264" w:hangingChars="2600"/>
        <w:jc w:val="left"/>
        <w:textAlignment w:val="auto"/>
        <w:rPr>
          <w:rFonts w:hint="eastAsia" w:ascii="仿宋_GB2312" w:hAnsi="宋体" w:eastAsia="仿宋_GB2312" w:cs="Times New Roman"/>
          <w:snapToGrid/>
          <w:color w:val="auto"/>
          <w:kern w:val="2"/>
          <w:sz w:val="24"/>
          <w:szCs w:val="24"/>
          <w:highlight w:val="none"/>
          <w:u w:val="single"/>
          <w:lang w:val="zh-CN" w:eastAsia="en-US" w:bidi="ar-SA"/>
        </w:rPr>
      </w:pPr>
      <w:r>
        <w:rPr>
          <w:rFonts w:hint="eastAsia" w:ascii="仿宋_GB2312" w:hAnsi="宋体" w:eastAsia="仿宋_GB2312" w:cs="Times New Roman"/>
          <w:b/>
          <w:bCs/>
          <w:snapToGrid/>
          <w:color w:val="auto"/>
          <w:spacing w:val="0"/>
          <w:kern w:val="2"/>
          <w:sz w:val="24"/>
          <w:szCs w:val="24"/>
          <w:highlight w:val="none"/>
          <w:u w:val="none"/>
          <w:lang w:val="zh-CN" w:eastAsia="en-US" w:bidi="ar-SA"/>
        </w:rPr>
        <w:t>委托方（甲方）：</w:t>
      </w:r>
      <w:r>
        <w:rPr>
          <w:rFonts w:hint="eastAsia" w:ascii="仿宋_GB2312" w:hAnsi="宋体" w:eastAsia="仿宋_GB2312" w:cs="Times New Roman"/>
          <w:snapToGrid/>
          <w:color w:val="auto"/>
          <w:spacing w:val="0"/>
          <w:kern w:val="2"/>
          <w:sz w:val="24"/>
          <w:szCs w:val="24"/>
          <w:highlight w:val="none"/>
          <w:u w:val="single" w:color="auto"/>
          <w:lang w:val="zh-CN" w:eastAsia="en-US" w:bidi="ar-SA"/>
        </w:rPr>
        <w:t xml:space="preserve">                         （盖章）</w:t>
      </w:r>
    </w:p>
    <w:p w14:paraId="3DA7A435">
      <w:pPr>
        <w:kinsoku/>
        <w:autoSpaceDE/>
        <w:autoSpaceDN/>
        <w:adjustRightInd/>
        <w:snapToGrid/>
        <w:spacing w:before="0" w:line="360" w:lineRule="auto"/>
        <w:ind w:left="6240" w:hanging="6240" w:hangingChars="2600"/>
        <w:jc w:val="left"/>
        <w:textAlignment w:val="auto"/>
        <w:rPr>
          <w:rFonts w:hint="eastAsia" w:ascii="仿宋_GB2312" w:hAnsi="宋体" w:eastAsia="仿宋_GB2312" w:cs="Times New Roman"/>
          <w:snapToGrid/>
          <w:color w:val="auto"/>
          <w:kern w:val="2"/>
          <w:sz w:val="24"/>
          <w:szCs w:val="24"/>
          <w:highlight w:val="none"/>
          <w:u w:val="single"/>
          <w:lang w:val="zh-CN" w:eastAsia="en-US" w:bidi="ar-SA"/>
        </w:rPr>
      </w:pPr>
      <w:r>
        <w:rPr>
          <w:rFonts w:hint="eastAsia" w:ascii="仿宋_GB2312" w:hAnsi="宋体" w:eastAsia="仿宋_GB2312" w:cs="Times New Roman"/>
          <w:snapToGrid/>
          <w:color w:val="auto"/>
          <w:spacing w:val="0"/>
          <w:kern w:val="2"/>
          <w:sz w:val="24"/>
          <w:szCs w:val="24"/>
          <w:highlight w:val="none"/>
          <w:u w:val="none"/>
          <w:lang w:val="zh-CN" w:eastAsia="en-US" w:bidi="ar-SA"/>
        </w:rPr>
        <w:t>住 所 地 ：</w:t>
      </w:r>
      <w:r>
        <w:rPr>
          <w:rFonts w:hint="eastAsia" w:ascii="仿宋_GB2312" w:hAnsi="宋体" w:eastAsia="仿宋_GB2312" w:cs="Times New Roman"/>
          <w:snapToGrid/>
          <w:color w:val="auto"/>
          <w:spacing w:val="0"/>
          <w:kern w:val="2"/>
          <w:sz w:val="24"/>
          <w:szCs w:val="24"/>
          <w:highlight w:val="none"/>
          <w:u w:val="single" w:color="auto"/>
          <w:lang w:val="zh-CN" w:eastAsia="en-US" w:bidi="ar-SA"/>
        </w:rPr>
        <w:t xml:space="preserve">   </w:t>
      </w:r>
      <w:r>
        <w:rPr>
          <w:rFonts w:hint="eastAsia" w:ascii="仿宋_GB2312" w:hAnsi="宋体" w:eastAsia="仿宋_GB2312" w:cs="Times New Roman"/>
          <w:snapToGrid/>
          <w:spacing w:val="0"/>
          <w:kern w:val="2"/>
          <w:sz w:val="24"/>
          <w:szCs w:val="24"/>
          <w:highlight w:val="none"/>
          <w:u w:val="single"/>
          <w:lang w:val="en-US" w:eastAsia="zh-CN" w:bidi="ar-SA"/>
        </w:rPr>
        <w:t xml:space="preserve">    </w:t>
      </w:r>
      <w:r>
        <w:rPr>
          <w:rFonts w:hint="eastAsia" w:ascii="仿宋_GB2312" w:hAnsi="宋体" w:eastAsia="仿宋_GB2312" w:cs="Times New Roman"/>
          <w:snapToGrid/>
          <w:color w:val="auto"/>
          <w:spacing w:val="0"/>
          <w:kern w:val="2"/>
          <w:sz w:val="24"/>
          <w:szCs w:val="24"/>
          <w:highlight w:val="none"/>
          <w:u w:val="single" w:color="auto"/>
          <w:lang w:val="zh-CN" w:eastAsia="en-US" w:bidi="ar-SA"/>
        </w:rPr>
        <w:t xml:space="preserve">                               </w:t>
      </w:r>
    </w:p>
    <w:p w14:paraId="63635822">
      <w:pPr>
        <w:widowControl/>
        <w:kinsoku/>
        <w:autoSpaceDE/>
        <w:autoSpaceDN/>
        <w:adjustRightInd/>
        <w:snapToGrid/>
        <w:spacing w:line="360" w:lineRule="auto"/>
        <w:ind w:left="6240" w:hanging="6240" w:hangingChars="2600"/>
        <w:jc w:val="left"/>
        <w:textAlignment w:val="auto"/>
        <w:rPr>
          <w:rFonts w:hint="eastAsia" w:ascii="仿宋_GB2312" w:hAnsi="宋体" w:eastAsia="仿宋_GB2312" w:cs="Times New Roman"/>
          <w:snapToGrid/>
          <w:color w:val="auto"/>
          <w:kern w:val="2"/>
          <w:sz w:val="24"/>
          <w:szCs w:val="24"/>
          <w:highlight w:val="none"/>
          <w:u w:val="single"/>
          <w:lang w:val="zh-CN" w:eastAsia="en-US"/>
        </w:rPr>
      </w:pPr>
    </w:p>
    <w:p w14:paraId="23C4EEA4">
      <w:pPr>
        <w:kinsoku/>
        <w:autoSpaceDE/>
        <w:autoSpaceDN/>
        <w:adjustRightInd/>
        <w:snapToGrid/>
        <w:spacing w:before="0" w:line="360" w:lineRule="auto"/>
        <w:ind w:left="6240" w:hanging="6240" w:hangingChars="2600"/>
        <w:jc w:val="left"/>
        <w:textAlignment w:val="auto"/>
        <w:rPr>
          <w:rFonts w:hint="eastAsia" w:ascii="仿宋_GB2312" w:hAnsi="宋体" w:eastAsia="仿宋_GB2312" w:cs="Times New Roman"/>
          <w:snapToGrid/>
          <w:color w:val="auto"/>
          <w:kern w:val="2"/>
          <w:sz w:val="24"/>
          <w:szCs w:val="24"/>
          <w:highlight w:val="none"/>
          <w:u w:val="single"/>
          <w:lang w:val="zh-CN" w:eastAsia="en-US" w:bidi="ar-SA"/>
        </w:rPr>
      </w:pPr>
      <w:r>
        <w:rPr>
          <w:rFonts w:hint="eastAsia" w:ascii="仿宋_GB2312" w:hAnsi="宋体" w:eastAsia="仿宋_GB2312" w:cs="Times New Roman"/>
          <w:snapToGrid/>
          <w:color w:val="auto"/>
          <w:spacing w:val="0"/>
          <w:kern w:val="2"/>
          <w:sz w:val="24"/>
          <w:szCs w:val="24"/>
          <w:highlight w:val="none"/>
          <w:u w:val="none"/>
          <w:lang w:val="zh-CN" w:eastAsia="en-US" w:bidi="ar-SA"/>
        </w:rPr>
        <w:t>法定代表人/委托代理人</w:t>
      </w:r>
      <w:r>
        <w:rPr>
          <w:rFonts w:hint="eastAsia" w:ascii="仿宋_GB2312" w:hAnsi="宋体" w:eastAsia="仿宋_GB2312" w:cs="Times New Roman"/>
          <w:snapToGrid/>
          <w:spacing w:val="0"/>
          <w:kern w:val="2"/>
          <w:sz w:val="24"/>
          <w:szCs w:val="24"/>
          <w:highlight w:val="none"/>
          <w:u w:val="none"/>
          <w:lang w:val="zh-CN" w:eastAsia="en-US" w:bidi="ar-SA"/>
        </w:rPr>
        <w:t>：</w:t>
      </w:r>
      <w:r>
        <w:rPr>
          <w:rFonts w:hint="eastAsia" w:ascii="仿宋_GB2312" w:hAnsi="宋体" w:eastAsia="仿宋_GB2312" w:cs="Times New Roman"/>
          <w:snapToGrid/>
          <w:spacing w:val="0"/>
          <w:kern w:val="2"/>
          <w:sz w:val="24"/>
          <w:szCs w:val="24"/>
          <w:highlight w:val="none"/>
          <w:u w:val="single"/>
          <w:lang w:val="en-US" w:eastAsia="zh-CN" w:bidi="ar-SA"/>
        </w:rPr>
        <w:t xml:space="preserve"> </w:t>
      </w:r>
      <w:r>
        <w:rPr>
          <w:rFonts w:hint="eastAsia" w:ascii="仿宋_GB2312" w:hAnsi="宋体" w:eastAsia="仿宋_GB2312" w:cs="Times New Roman"/>
          <w:snapToGrid/>
          <w:color w:val="auto"/>
          <w:spacing w:val="0"/>
          <w:kern w:val="2"/>
          <w:sz w:val="24"/>
          <w:szCs w:val="24"/>
          <w:highlight w:val="none"/>
          <w:u w:val="single" w:color="auto"/>
          <w:lang w:val="zh-CN" w:eastAsia="en-US" w:bidi="ar-SA"/>
        </w:rPr>
        <w:t xml:space="preserve">        </w:t>
      </w:r>
      <w:r>
        <w:rPr>
          <w:rFonts w:hint="eastAsia" w:ascii="仿宋_GB2312" w:hAnsi="宋体" w:eastAsia="仿宋_GB2312" w:cs="Times New Roman"/>
          <w:snapToGrid/>
          <w:color w:val="auto"/>
          <w:kern w:val="2"/>
          <w:sz w:val="24"/>
          <w:szCs w:val="24"/>
          <w:highlight w:val="none"/>
          <w:u w:val="single" w:color="auto"/>
          <w:lang w:val="zh-CN" w:eastAsia="en-US" w:bidi="ar-SA"/>
        </w:rPr>
        <w:t xml:space="preserve">  </w:t>
      </w:r>
      <w:r>
        <w:rPr>
          <w:rFonts w:hint="eastAsia" w:ascii="仿宋_GB2312" w:hAnsi="宋体" w:eastAsia="仿宋_GB2312" w:cs="Times New Roman"/>
          <w:snapToGrid/>
          <w:color w:val="auto"/>
          <w:spacing w:val="0"/>
          <w:kern w:val="2"/>
          <w:sz w:val="24"/>
          <w:szCs w:val="24"/>
          <w:highlight w:val="none"/>
          <w:u w:val="single" w:color="auto"/>
          <w:lang w:val="zh-CN" w:eastAsia="en-US" w:bidi="ar-SA"/>
        </w:rPr>
        <w:t>（签名/章）</w:t>
      </w:r>
    </w:p>
    <w:p w14:paraId="5ADF4FD7">
      <w:pPr>
        <w:widowControl/>
        <w:kinsoku/>
        <w:autoSpaceDE/>
        <w:autoSpaceDN/>
        <w:adjustRightInd/>
        <w:snapToGrid/>
        <w:spacing w:line="360" w:lineRule="auto"/>
        <w:ind w:left="6240" w:hanging="6240" w:hangingChars="2600"/>
        <w:jc w:val="left"/>
        <w:textAlignment w:val="auto"/>
        <w:rPr>
          <w:rFonts w:hint="eastAsia" w:ascii="仿宋_GB2312" w:hAnsi="宋体" w:eastAsia="仿宋_GB2312" w:cs="Times New Roman"/>
          <w:snapToGrid/>
          <w:kern w:val="2"/>
          <w:sz w:val="24"/>
          <w:szCs w:val="24"/>
          <w:highlight w:val="none"/>
          <w:u w:val="none"/>
          <w:lang w:val="zh-CN" w:eastAsia="en-US"/>
        </w:rPr>
      </w:pPr>
    </w:p>
    <w:p w14:paraId="5E1C6C9D">
      <w:pPr>
        <w:kinsoku/>
        <w:autoSpaceDE/>
        <w:autoSpaceDN/>
        <w:adjustRightInd/>
        <w:snapToGrid/>
        <w:spacing w:before="0" w:line="360" w:lineRule="auto"/>
        <w:ind w:left="6240" w:hanging="6240" w:hangingChars="2600"/>
        <w:jc w:val="left"/>
        <w:textAlignment w:val="auto"/>
        <w:rPr>
          <w:rFonts w:hint="eastAsia" w:ascii="仿宋_GB2312" w:hAnsi="宋体" w:eastAsia="仿宋_GB2312" w:cs="Times New Roman"/>
          <w:snapToGrid/>
          <w:kern w:val="2"/>
          <w:sz w:val="24"/>
          <w:szCs w:val="24"/>
          <w:highlight w:val="none"/>
          <w:u w:val="none"/>
          <w:lang w:val="zh-CN" w:eastAsia="en-US" w:bidi="ar-SA"/>
        </w:rPr>
      </w:pPr>
      <w:r>
        <w:rPr>
          <w:rFonts w:hint="eastAsia" w:ascii="仿宋_GB2312" w:hAnsi="宋体" w:eastAsia="仿宋_GB2312" w:cs="Times New Roman"/>
          <w:snapToGrid/>
          <w:spacing w:val="0"/>
          <w:kern w:val="2"/>
          <w:sz w:val="24"/>
          <w:szCs w:val="24"/>
          <w:highlight w:val="none"/>
          <w:u w:val="none"/>
          <w:lang w:val="zh-CN" w:eastAsia="en-US" w:bidi="ar-SA"/>
        </w:rPr>
        <w:t xml:space="preserve">联系人：                                     </w:t>
      </w:r>
    </w:p>
    <w:p w14:paraId="1AAAC8A5">
      <w:pPr>
        <w:kinsoku/>
        <w:autoSpaceDE/>
        <w:autoSpaceDN/>
        <w:adjustRightInd/>
        <w:snapToGrid/>
        <w:spacing w:before="0" w:line="360" w:lineRule="auto"/>
        <w:ind w:left="6240" w:hanging="6240" w:hangingChars="2600"/>
        <w:jc w:val="left"/>
        <w:textAlignment w:val="auto"/>
        <w:rPr>
          <w:rFonts w:hint="eastAsia" w:ascii="仿宋_GB2312" w:hAnsi="宋体" w:eastAsia="仿宋_GB2312" w:cs="Times New Roman"/>
          <w:snapToGrid/>
          <w:kern w:val="2"/>
          <w:sz w:val="24"/>
          <w:szCs w:val="24"/>
          <w:highlight w:val="none"/>
          <w:u w:val="none"/>
          <w:lang w:val="zh-CN" w:eastAsia="en-US" w:bidi="ar-SA"/>
        </w:rPr>
      </w:pPr>
      <w:r>
        <w:rPr>
          <w:rFonts w:hint="eastAsia" w:ascii="仿宋_GB2312" w:hAnsi="宋体" w:eastAsia="仿宋_GB2312" w:cs="Times New Roman"/>
          <w:snapToGrid/>
          <w:spacing w:val="0"/>
          <w:kern w:val="2"/>
          <w:sz w:val="24"/>
          <w:szCs w:val="24"/>
          <w:highlight w:val="none"/>
          <w:u w:val="none"/>
          <w:lang w:val="zh-CN" w:eastAsia="en-US" w:bidi="ar-SA"/>
        </w:rPr>
        <w:t>联系方式 ：</w:t>
      </w:r>
      <w:r>
        <w:rPr>
          <w:rFonts w:hint="eastAsia" w:ascii="仿宋_GB2312" w:hAnsi="宋体" w:eastAsia="仿宋_GB2312" w:cs="Times New Roman"/>
          <w:snapToGrid/>
          <w:kern w:val="2"/>
          <w:sz w:val="24"/>
          <w:szCs w:val="24"/>
          <w:highlight w:val="none"/>
          <w:u w:val="none"/>
          <w:lang w:val="zh-CN" w:eastAsia="en-US" w:bidi="ar-SA"/>
        </w:rPr>
        <w:t xml:space="preserve">                                       </w:t>
      </w:r>
    </w:p>
    <w:p w14:paraId="0DAE152D">
      <w:pPr>
        <w:kinsoku/>
        <w:autoSpaceDE/>
        <w:autoSpaceDN/>
        <w:adjustRightInd/>
        <w:snapToGrid/>
        <w:spacing w:before="0" w:line="360" w:lineRule="auto"/>
        <w:ind w:left="6240" w:hanging="6240" w:hangingChars="2600"/>
        <w:jc w:val="left"/>
        <w:textAlignment w:val="auto"/>
        <w:rPr>
          <w:rFonts w:hint="eastAsia" w:ascii="仿宋_GB2312" w:hAnsi="宋体" w:eastAsia="仿宋_GB2312" w:cs="Times New Roman"/>
          <w:snapToGrid/>
          <w:kern w:val="2"/>
          <w:sz w:val="24"/>
          <w:szCs w:val="24"/>
          <w:highlight w:val="none"/>
          <w:u w:val="none"/>
          <w:lang w:val="zh-CN" w:eastAsia="en-US" w:bidi="ar-SA"/>
        </w:rPr>
      </w:pPr>
      <w:r>
        <w:rPr>
          <w:rFonts w:hint="eastAsia" w:ascii="仿宋_GB2312" w:hAnsi="宋体" w:eastAsia="仿宋_GB2312" w:cs="Times New Roman"/>
          <w:snapToGrid/>
          <w:spacing w:val="0"/>
          <w:kern w:val="2"/>
          <w:sz w:val="24"/>
          <w:szCs w:val="24"/>
          <w:highlight w:val="none"/>
          <w:u w:val="none"/>
          <w:lang w:val="zh-CN" w:eastAsia="en-US" w:bidi="ar-SA"/>
        </w:rPr>
        <w:t xml:space="preserve">通讯地址：                                        </w:t>
      </w:r>
    </w:p>
    <w:p w14:paraId="1EA4E227">
      <w:pPr>
        <w:kinsoku/>
        <w:autoSpaceDE/>
        <w:autoSpaceDN/>
        <w:adjustRightInd/>
        <w:snapToGrid/>
        <w:spacing w:before="0" w:line="360" w:lineRule="auto"/>
        <w:ind w:left="6240" w:hanging="6240" w:hangingChars="2600"/>
        <w:jc w:val="left"/>
        <w:textAlignment w:val="auto"/>
        <w:rPr>
          <w:rFonts w:hint="eastAsia" w:ascii="仿宋_GB2312" w:hAnsi="宋体" w:eastAsia="仿宋_GB2312" w:cs="Times New Roman"/>
          <w:snapToGrid/>
          <w:kern w:val="2"/>
          <w:sz w:val="24"/>
          <w:szCs w:val="24"/>
          <w:highlight w:val="none"/>
          <w:u w:val="none"/>
          <w:lang w:val="zh-CN" w:eastAsia="en-US" w:bidi="ar-SA"/>
        </w:rPr>
      </w:pPr>
      <w:r>
        <w:rPr>
          <w:rFonts w:hint="eastAsia" w:ascii="仿宋_GB2312" w:hAnsi="宋体" w:eastAsia="仿宋_GB2312" w:cs="Times New Roman"/>
          <w:snapToGrid/>
          <w:spacing w:val="0"/>
          <w:kern w:val="2"/>
          <w:sz w:val="24"/>
          <w:szCs w:val="24"/>
          <w:highlight w:val="none"/>
          <w:u w:val="none"/>
          <w:lang w:val="zh-CN" w:eastAsia="en-US" w:bidi="ar-SA"/>
        </w:rPr>
        <w:t>电    话 ：</w:t>
      </w:r>
      <w:r>
        <w:rPr>
          <w:rFonts w:hint="eastAsia" w:ascii="仿宋_GB2312" w:hAnsi="宋体" w:eastAsia="仿宋_GB2312" w:cs="Times New Roman"/>
          <w:snapToGrid/>
          <w:kern w:val="2"/>
          <w:sz w:val="24"/>
          <w:szCs w:val="24"/>
          <w:highlight w:val="none"/>
          <w:u w:val="none"/>
          <w:lang w:val="zh-CN" w:eastAsia="en-US" w:bidi="ar-SA"/>
        </w:rPr>
        <w:t xml:space="preserve">                                       </w:t>
      </w:r>
    </w:p>
    <w:p w14:paraId="3FF535AD">
      <w:pPr>
        <w:kinsoku/>
        <w:autoSpaceDE/>
        <w:autoSpaceDN/>
        <w:adjustRightInd/>
        <w:snapToGrid/>
        <w:spacing w:before="0" w:line="360" w:lineRule="auto"/>
        <w:ind w:left="6240" w:hanging="6240" w:hangingChars="2600"/>
        <w:jc w:val="left"/>
        <w:textAlignment w:val="auto"/>
        <w:rPr>
          <w:rFonts w:hint="eastAsia" w:ascii="仿宋_GB2312" w:hAnsi="宋体" w:eastAsia="仿宋_GB2312" w:cs="Times New Roman"/>
          <w:snapToGrid/>
          <w:kern w:val="2"/>
          <w:sz w:val="24"/>
          <w:szCs w:val="24"/>
          <w:highlight w:val="none"/>
          <w:u w:val="none"/>
          <w:lang w:val="zh-CN" w:eastAsia="en-US" w:bidi="ar-SA"/>
        </w:rPr>
      </w:pPr>
      <w:r>
        <w:rPr>
          <w:rFonts w:hint="eastAsia" w:ascii="仿宋_GB2312" w:hAnsi="宋体" w:eastAsia="仿宋_GB2312" w:cs="Times New Roman"/>
          <w:snapToGrid/>
          <w:spacing w:val="0"/>
          <w:kern w:val="2"/>
          <w:sz w:val="24"/>
          <w:szCs w:val="24"/>
          <w:highlight w:val="none"/>
          <w:u w:val="none"/>
          <w:lang w:val="zh-CN" w:eastAsia="en-US" w:bidi="ar-SA"/>
        </w:rPr>
        <w:t xml:space="preserve">传    真 ：                                       </w:t>
      </w:r>
    </w:p>
    <w:p w14:paraId="26AD41B9">
      <w:pPr>
        <w:kinsoku/>
        <w:autoSpaceDE/>
        <w:autoSpaceDN/>
        <w:adjustRightInd/>
        <w:snapToGrid/>
        <w:spacing w:before="0" w:line="360" w:lineRule="auto"/>
        <w:ind w:left="6240" w:hanging="6240" w:hangingChars="2600"/>
        <w:jc w:val="left"/>
        <w:textAlignment w:val="auto"/>
        <w:rPr>
          <w:rFonts w:hint="eastAsia" w:ascii="仿宋_GB2312" w:hAnsi="宋体" w:eastAsia="仿宋_GB2312" w:cs="Times New Roman"/>
          <w:snapToGrid/>
          <w:color w:val="auto"/>
          <w:kern w:val="2"/>
          <w:sz w:val="24"/>
          <w:szCs w:val="24"/>
          <w:highlight w:val="none"/>
          <w:u w:val="single"/>
          <w:lang w:val="zh-CN" w:eastAsia="en-US" w:bidi="ar-SA"/>
        </w:rPr>
      </w:pPr>
      <w:r>
        <w:rPr>
          <w:rFonts w:hint="eastAsia" w:ascii="仿宋_GB2312" w:hAnsi="宋体" w:eastAsia="仿宋_GB2312" w:cs="Times New Roman"/>
          <w:snapToGrid/>
          <w:spacing w:val="0"/>
          <w:kern w:val="2"/>
          <w:sz w:val="24"/>
          <w:szCs w:val="24"/>
          <w:highlight w:val="none"/>
          <w:u w:val="none"/>
          <w:lang w:val="zh-CN" w:eastAsia="en-US" w:bidi="ar-SA"/>
        </w:rPr>
        <w:t xml:space="preserve">电子信箱：                                        </w:t>
      </w:r>
    </w:p>
    <w:p w14:paraId="3AFEE9F0">
      <w:pPr>
        <w:widowControl/>
        <w:kinsoku/>
        <w:autoSpaceDE/>
        <w:autoSpaceDN/>
        <w:adjustRightInd/>
        <w:snapToGrid/>
        <w:spacing w:line="360" w:lineRule="auto"/>
        <w:ind w:left="6240" w:hanging="6240" w:hangingChars="2600"/>
        <w:jc w:val="left"/>
        <w:textAlignment w:val="auto"/>
        <w:rPr>
          <w:rFonts w:hint="eastAsia" w:ascii="仿宋_GB2312" w:hAnsi="宋体" w:eastAsia="仿宋_GB2312" w:cs="Times New Roman"/>
          <w:snapToGrid/>
          <w:color w:val="auto"/>
          <w:kern w:val="2"/>
          <w:sz w:val="24"/>
          <w:szCs w:val="24"/>
          <w:highlight w:val="none"/>
          <w:u w:val="single"/>
          <w:lang w:val="zh-CN" w:eastAsia="en-US"/>
        </w:rPr>
      </w:pPr>
    </w:p>
    <w:p w14:paraId="305B6A8E">
      <w:pPr>
        <w:widowControl/>
        <w:kinsoku/>
        <w:autoSpaceDE/>
        <w:autoSpaceDN/>
        <w:adjustRightInd/>
        <w:snapToGrid/>
        <w:spacing w:before="0" w:line="360" w:lineRule="auto"/>
        <w:ind w:left="6240" w:hanging="6240" w:hangingChars="2600"/>
        <w:jc w:val="right"/>
        <w:textAlignment w:val="auto"/>
        <w:rPr>
          <w:rFonts w:hint="eastAsia" w:ascii="仿宋_GB2312" w:hAnsi="宋体" w:eastAsia="仿宋_GB2312" w:cs="Times New Roman"/>
          <w:snapToGrid/>
          <w:color w:val="auto"/>
          <w:kern w:val="2"/>
          <w:sz w:val="24"/>
          <w:szCs w:val="24"/>
          <w:highlight w:val="none"/>
          <w:u w:val="none"/>
          <w:lang w:val="zh-CN" w:eastAsia="en-US" w:bidi="ar-SA"/>
        </w:rPr>
      </w:pPr>
      <w:r>
        <w:rPr>
          <w:rFonts w:hint="eastAsia" w:ascii="仿宋_GB2312" w:hAnsi="宋体" w:eastAsia="仿宋_GB2312" w:cs="Times New Roman"/>
          <w:snapToGrid/>
          <w:color w:val="auto"/>
          <w:spacing w:val="0"/>
          <w:kern w:val="2"/>
          <w:sz w:val="24"/>
          <w:szCs w:val="24"/>
          <w:highlight w:val="none"/>
          <w:u w:val="none"/>
          <w:lang w:val="zh-CN" w:eastAsia="en-US" w:bidi="ar-SA"/>
        </w:rPr>
        <w:t>年    月    日</w:t>
      </w:r>
    </w:p>
    <w:p w14:paraId="264C5618">
      <w:pPr>
        <w:widowControl/>
        <w:kinsoku w:val="0"/>
        <w:autoSpaceDE w:val="0"/>
        <w:autoSpaceDN w:val="0"/>
        <w:spacing w:line="310" w:lineRule="auto"/>
        <w:ind w:firstLine="0" w:firstLineChars="0"/>
        <w:jc w:val="left"/>
        <w:textAlignment w:val="baseline"/>
        <w:rPr>
          <w:rFonts w:ascii="Arial" w:hAnsi="Arial" w:eastAsia="Arial" w:cs="Arial"/>
          <w:snapToGrid w:val="0"/>
          <w:color w:val="auto"/>
          <w:kern w:val="0"/>
          <w:sz w:val="21"/>
          <w:szCs w:val="21"/>
          <w:highlight w:val="none"/>
          <w:lang w:eastAsia="en-US"/>
        </w:rPr>
      </w:pPr>
    </w:p>
    <w:p w14:paraId="0E09A8B3">
      <w:pPr>
        <w:kinsoku/>
        <w:autoSpaceDE/>
        <w:autoSpaceDN/>
        <w:adjustRightInd/>
        <w:snapToGrid/>
        <w:spacing w:before="0" w:line="360" w:lineRule="auto"/>
        <w:ind w:left="6240" w:hanging="6264" w:hangingChars="2600"/>
        <w:jc w:val="left"/>
        <w:textAlignment w:val="auto"/>
        <w:rPr>
          <w:rFonts w:hint="eastAsia" w:ascii="仿宋_GB2312" w:hAnsi="宋体" w:eastAsia="仿宋_GB2312" w:cs="Times New Roman"/>
          <w:snapToGrid/>
          <w:kern w:val="2"/>
          <w:sz w:val="24"/>
          <w:szCs w:val="24"/>
          <w:highlight w:val="none"/>
          <w:u w:val="single"/>
          <w:lang w:val="zh-CN" w:eastAsia="en-US" w:bidi="ar-SA"/>
        </w:rPr>
      </w:pPr>
      <w:r>
        <w:rPr>
          <w:rFonts w:hint="eastAsia" w:ascii="仿宋_GB2312" w:hAnsi="宋体" w:eastAsia="仿宋_GB2312" w:cs="Times New Roman"/>
          <w:b/>
          <w:bCs/>
          <w:snapToGrid/>
          <w:spacing w:val="0"/>
          <w:kern w:val="2"/>
          <w:sz w:val="24"/>
          <w:szCs w:val="24"/>
          <w:highlight w:val="none"/>
          <w:u w:val="none"/>
          <w:lang w:val="en-US" w:eastAsia="zh-CN" w:bidi="ar-SA"/>
        </w:rPr>
        <w:t>受</w:t>
      </w:r>
      <w:r>
        <w:rPr>
          <w:rFonts w:hint="eastAsia" w:ascii="仿宋_GB2312" w:hAnsi="宋体" w:eastAsia="仿宋_GB2312" w:cs="Times New Roman"/>
          <w:b/>
          <w:bCs/>
          <w:snapToGrid/>
          <w:spacing w:val="0"/>
          <w:kern w:val="2"/>
          <w:sz w:val="24"/>
          <w:szCs w:val="24"/>
          <w:highlight w:val="none"/>
          <w:u w:val="none"/>
          <w:lang w:val="zh-CN" w:eastAsia="en-US" w:bidi="ar-SA"/>
        </w:rPr>
        <w:t>托方（</w:t>
      </w:r>
      <w:r>
        <w:rPr>
          <w:rFonts w:hint="eastAsia" w:ascii="仿宋_GB2312" w:hAnsi="宋体" w:eastAsia="仿宋_GB2312" w:cs="Times New Roman"/>
          <w:b/>
          <w:bCs/>
          <w:snapToGrid/>
          <w:spacing w:val="0"/>
          <w:kern w:val="2"/>
          <w:sz w:val="24"/>
          <w:szCs w:val="24"/>
          <w:highlight w:val="none"/>
          <w:u w:val="none"/>
          <w:lang w:val="en-US" w:eastAsia="zh-CN" w:bidi="ar-SA"/>
        </w:rPr>
        <w:t>乙</w:t>
      </w:r>
      <w:r>
        <w:rPr>
          <w:rFonts w:hint="eastAsia" w:ascii="仿宋_GB2312" w:hAnsi="宋体" w:eastAsia="仿宋_GB2312" w:cs="Times New Roman"/>
          <w:b/>
          <w:bCs/>
          <w:snapToGrid/>
          <w:spacing w:val="0"/>
          <w:kern w:val="2"/>
          <w:sz w:val="24"/>
          <w:szCs w:val="24"/>
          <w:highlight w:val="none"/>
          <w:u w:val="none"/>
          <w:lang w:val="zh-CN" w:eastAsia="en-US" w:bidi="ar-SA"/>
        </w:rPr>
        <w:t>方）：</w:t>
      </w:r>
      <w:r>
        <w:rPr>
          <w:rFonts w:hint="eastAsia" w:ascii="仿宋_GB2312" w:hAnsi="宋体" w:eastAsia="仿宋_GB2312" w:cs="Times New Roman"/>
          <w:snapToGrid/>
          <w:spacing w:val="0"/>
          <w:kern w:val="2"/>
          <w:sz w:val="24"/>
          <w:szCs w:val="24"/>
          <w:highlight w:val="none"/>
          <w:u w:val="single"/>
          <w:lang w:val="zh-CN" w:eastAsia="en-US" w:bidi="ar-SA"/>
        </w:rPr>
        <w:t xml:space="preserve">                         （盖章）</w:t>
      </w:r>
    </w:p>
    <w:p w14:paraId="08AAD453">
      <w:pPr>
        <w:kinsoku/>
        <w:autoSpaceDE/>
        <w:autoSpaceDN/>
        <w:adjustRightInd/>
        <w:snapToGrid/>
        <w:spacing w:before="0" w:line="360" w:lineRule="auto"/>
        <w:ind w:left="6240" w:hanging="6240" w:hangingChars="2600"/>
        <w:jc w:val="left"/>
        <w:textAlignment w:val="auto"/>
        <w:rPr>
          <w:rFonts w:hint="eastAsia" w:ascii="仿宋_GB2312" w:hAnsi="宋体" w:eastAsia="仿宋_GB2312" w:cs="Times New Roman"/>
          <w:snapToGrid/>
          <w:kern w:val="2"/>
          <w:sz w:val="24"/>
          <w:szCs w:val="24"/>
          <w:highlight w:val="none"/>
          <w:u w:val="single"/>
          <w:lang w:val="zh-CN" w:eastAsia="en-US" w:bidi="ar-SA"/>
        </w:rPr>
      </w:pPr>
      <w:r>
        <w:rPr>
          <w:rFonts w:hint="eastAsia" w:ascii="仿宋_GB2312" w:hAnsi="宋体" w:eastAsia="仿宋_GB2312" w:cs="Times New Roman"/>
          <w:snapToGrid/>
          <w:spacing w:val="0"/>
          <w:kern w:val="2"/>
          <w:sz w:val="24"/>
          <w:szCs w:val="24"/>
          <w:highlight w:val="none"/>
          <w:u w:val="none"/>
          <w:lang w:val="zh-CN" w:eastAsia="en-US" w:bidi="ar-SA"/>
        </w:rPr>
        <w:t>住 所 地 ：</w:t>
      </w:r>
      <w:r>
        <w:rPr>
          <w:rFonts w:hint="eastAsia" w:ascii="仿宋_GB2312" w:hAnsi="宋体" w:eastAsia="仿宋_GB2312" w:cs="Times New Roman"/>
          <w:snapToGrid/>
          <w:spacing w:val="0"/>
          <w:kern w:val="2"/>
          <w:sz w:val="24"/>
          <w:szCs w:val="24"/>
          <w:highlight w:val="none"/>
          <w:u w:val="single"/>
          <w:lang w:val="zh-CN" w:eastAsia="en-US" w:bidi="ar-SA"/>
        </w:rPr>
        <w:t xml:space="preserve">   </w:t>
      </w:r>
      <w:r>
        <w:rPr>
          <w:rFonts w:hint="eastAsia" w:ascii="仿宋_GB2312" w:hAnsi="宋体" w:eastAsia="仿宋_GB2312" w:cs="Times New Roman"/>
          <w:snapToGrid/>
          <w:spacing w:val="0"/>
          <w:kern w:val="2"/>
          <w:sz w:val="24"/>
          <w:szCs w:val="24"/>
          <w:highlight w:val="none"/>
          <w:u w:val="single"/>
          <w:lang w:val="en-US" w:eastAsia="zh-CN" w:bidi="ar-SA"/>
        </w:rPr>
        <w:t xml:space="preserve">    </w:t>
      </w:r>
      <w:r>
        <w:rPr>
          <w:rFonts w:hint="eastAsia" w:ascii="仿宋_GB2312" w:hAnsi="宋体" w:eastAsia="仿宋_GB2312" w:cs="Times New Roman"/>
          <w:snapToGrid/>
          <w:spacing w:val="0"/>
          <w:kern w:val="2"/>
          <w:sz w:val="24"/>
          <w:szCs w:val="24"/>
          <w:highlight w:val="none"/>
          <w:u w:val="single"/>
          <w:lang w:val="zh-CN" w:eastAsia="en-US" w:bidi="ar-SA"/>
        </w:rPr>
        <w:t xml:space="preserve">                               </w:t>
      </w:r>
    </w:p>
    <w:p w14:paraId="66177DFE">
      <w:pPr>
        <w:widowControl/>
        <w:kinsoku/>
        <w:autoSpaceDE/>
        <w:autoSpaceDN/>
        <w:adjustRightInd/>
        <w:snapToGrid/>
        <w:spacing w:line="360" w:lineRule="auto"/>
        <w:ind w:left="6240" w:hanging="6240" w:hangingChars="2600"/>
        <w:jc w:val="left"/>
        <w:textAlignment w:val="auto"/>
        <w:rPr>
          <w:rFonts w:hint="eastAsia" w:ascii="仿宋_GB2312" w:hAnsi="宋体" w:eastAsia="仿宋_GB2312" w:cs="Times New Roman"/>
          <w:snapToGrid/>
          <w:kern w:val="2"/>
          <w:sz w:val="24"/>
          <w:szCs w:val="24"/>
          <w:highlight w:val="none"/>
          <w:u w:val="single"/>
          <w:lang w:val="zh-CN" w:eastAsia="en-US"/>
        </w:rPr>
      </w:pPr>
    </w:p>
    <w:p w14:paraId="060C6D5D">
      <w:pPr>
        <w:kinsoku/>
        <w:autoSpaceDE/>
        <w:autoSpaceDN/>
        <w:adjustRightInd/>
        <w:snapToGrid/>
        <w:spacing w:before="0" w:line="360" w:lineRule="auto"/>
        <w:ind w:left="6240" w:hanging="6240" w:hangingChars="2600"/>
        <w:jc w:val="left"/>
        <w:textAlignment w:val="auto"/>
        <w:rPr>
          <w:rFonts w:hint="eastAsia" w:ascii="仿宋_GB2312" w:hAnsi="宋体" w:eastAsia="仿宋_GB2312" w:cs="Times New Roman"/>
          <w:snapToGrid/>
          <w:kern w:val="2"/>
          <w:sz w:val="24"/>
          <w:szCs w:val="24"/>
          <w:highlight w:val="none"/>
          <w:u w:val="single"/>
          <w:lang w:val="zh-CN" w:eastAsia="en-US" w:bidi="ar-SA"/>
        </w:rPr>
      </w:pPr>
      <w:r>
        <w:rPr>
          <w:rFonts w:hint="eastAsia" w:ascii="仿宋_GB2312" w:hAnsi="宋体" w:eastAsia="仿宋_GB2312" w:cs="Times New Roman"/>
          <w:snapToGrid/>
          <w:spacing w:val="0"/>
          <w:kern w:val="2"/>
          <w:sz w:val="24"/>
          <w:szCs w:val="24"/>
          <w:highlight w:val="none"/>
          <w:u w:val="none"/>
          <w:lang w:val="zh-CN" w:eastAsia="en-US" w:bidi="ar-SA"/>
        </w:rPr>
        <w:t>法定代表人/委托代理人：</w:t>
      </w:r>
      <w:r>
        <w:rPr>
          <w:rFonts w:hint="eastAsia" w:ascii="仿宋_GB2312" w:hAnsi="宋体" w:eastAsia="仿宋_GB2312" w:cs="Times New Roman"/>
          <w:snapToGrid/>
          <w:spacing w:val="0"/>
          <w:kern w:val="2"/>
          <w:sz w:val="24"/>
          <w:szCs w:val="24"/>
          <w:highlight w:val="none"/>
          <w:u w:val="single"/>
          <w:lang w:val="en-US" w:eastAsia="zh-CN" w:bidi="ar-SA"/>
        </w:rPr>
        <w:t xml:space="preserve"> </w:t>
      </w:r>
      <w:r>
        <w:rPr>
          <w:rFonts w:hint="eastAsia" w:ascii="仿宋_GB2312" w:hAnsi="宋体" w:eastAsia="仿宋_GB2312" w:cs="Times New Roman"/>
          <w:snapToGrid/>
          <w:spacing w:val="0"/>
          <w:kern w:val="2"/>
          <w:sz w:val="24"/>
          <w:szCs w:val="24"/>
          <w:highlight w:val="none"/>
          <w:u w:val="single"/>
          <w:lang w:val="zh-CN" w:eastAsia="en-US" w:bidi="ar-SA"/>
        </w:rPr>
        <w:t xml:space="preserve">        </w:t>
      </w:r>
      <w:r>
        <w:rPr>
          <w:rFonts w:hint="eastAsia" w:ascii="仿宋_GB2312" w:hAnsi="宋体" w:eastAsia="仿宋_GB2312" w:cs="Times New Roman"/>
          <w:snapToGrid/>
          <w:kern w:val="2"/>
          <w:sz w:val="24"/>
          <w:szCs w:val="24"/>
          <w:highlight w:val="none"/>
          <w:u w:val="single"/>
          <w:lang w:val="zh-CN" w:eastAsia="en-US" w:bidi="ar-SA"/>
        </w:rPr>
        <w:t xml:space="preserve">      </w:t>
      </w:r>
      <w:r>
        <w:rPr>
          <w:rFonts w:hint="eastAsia" w:ascii="仿宋_GB2312" w:hAnsi="宋体" w:eastAsia="仿宋_GB2312" w:cs="Times New Roman"/>
          <w:snapToGrid/>
          <w:spacing w:val="0"/>
          <w:kern w:val="2"/>
          <w:sz w:val="24"/>
          <w:szCs w:val="24"/>
          <w:highlight w:val="none"/>
          <w:u w:val="single"/>
          <w:lang w:val="zh-CN" w:eastAsia="en-US" w:bidi="ar-SA"/>
        </w:rPr>
        <w:t>（签名/章）</w:t>
      </w:r>
    </w:p>
    <w:p w14:paraId="33DE79DB">
      <w:pPr>
        <w:widowControl/>
        <w:kinsoku/>
        <w:autoSpaceDE/>
        <w:autoSpaceDN/>
        <w:adjustRightInd/>
        <w:snapToGrid/>
        <w:spacing w:line="360" w:lineRule="auto"/>
        <w:ind w:left="6240" w:hanging="6240" w:hangingChars="2600"/>
        <w:jc w:val="left"/>
        <w:textAlignment w:val="auto"/>
        <w:rPr>
          <w:rFonts w:hint="eastAsia" w:ascii="仿宋_GB2312" w:hAnsi="宋体" w:eastAsia="仿宋_GB2312" w:cs="Times New Roman"/>
          <w:snapToGrid/>
          <w:kern w:val="2"/>
          <w:sz w:val="24"/>
          <w:szCs w:val="24"/>
          <w:highlight w:val="none"/>
          <w:u w:val="single"/>
          <w:lang w:val="zh-CN" w:eastAsia="en-US"/>
        </w:rPr>
      </w:pPr>
    </w:p>
    <w:p w14:paraId="27CF081B">
      <w:pPr>
        <w:kinsoku/>
        <w:autoSpaceDE/>
        <w:autoSpaceDN/>
        <w:adjustRightInd/>
        <w:snapToGrid/>
        <w:spacing w:before="0" w:line="360" w:lineRule="auto"/>
        <w:ind w:left="6240" w:hanging="6240" w:hangingChars="2600"/>
        <w:jc w:val="left"/>
        <w:textAlignment w:val="auto"/>
        <w:rPr>
          <w:rFonts w:hint="eastAsia" w:ascii="仿宋_GB2312" w:hAnsi="宋体" w:eastAsia="仿宋_GB2312" w:cs="Times New Roman"/>
          <w:snapToGrid/>
          <w:kern w:val="2"/>
          <w:sz w:val="24"/>
          <w:szCs w:val="24"/>
          <w:highlight w:val="none"/>
          <w:u w:val="single"/>
          <w:lang w:val="zh-CN" w:eastAsia="en-US" w:bidi="ar-SA"/>
        </w:rPr>
      </w:pPr>
      <w:r>
        <w:rPr>
          <w:rFonts w:hint="eastAsia" w:ascii="仿宋_GB2312" w:hAnsi="宋体" w:eastAsia="仿宋_GB2312" w:cs="Times New Roman"/>
          <w:snapToGrid/>
          <w:spacing w:val="0"/>
          <w:kern w:val="2"/>
          <w:sz w:val="24"/>
          <w:szCs w:val="24"/>
          <w:highlight w:val="none"/>
          <w:u w:val="none"/>
          <w:lang w:val="zh-CN" w:eastAsia="en-US" w:bidi="ar-SA"/>
        </w:rPr>
        <w:t>项目联系人：</w:t>
      </w:r>
      <w:r>
        <w:rPr>
          <w:rFonts w:hint="eastAsia" w:ascii="仿宋_GB2312" w:hAnsi="宋体" w:eastAsia="仿宋_GB2312" w:cs="Times New Roman"/>
          <w:snapToGrid/>
          <w:spacing w:val="0"/>
          <w:kern w:val="2"/>
          <w:sz w:val="24"/>
          <w:szCs w:val="24"/>
          <w:highlight w:val="none"/>
          <w:u w:val="single"/>
          <w:lang w:val="zh-CN" w:eastAsia="en-US" w:bidi="ar-SA"/>
        </w:rPr>
        <w:t xml:space="preserve">                                     </w:t>
      </w:r>
    </w:p>
    <w:p w14:paraId="3D2CD7FB">
      <w:pPr>
        <w:kinsoku/>
        <w:autoSpaceDE/>
        <w:autoSpaceDN/>
        <w:adjustRightInd/>
        <w:snapToGrid/>
        <w:spacing w:before="0" w:line="360" w:lineRule="auto"/>
        <w:ind w:left="6240" w:hanging="6240" w:hangingChars="2600"/>
        <w:jc w:val="left"/>
        <w:textAlignment w:val="auto"/>
        <w:rPr>
          <w:rFonts w:hint="eastAsia" w:ascii="仿宋_GB2312" w:hAnsi="宋体" w:eastAsia="仿宋_GB2312" w:cs="Times New Roman"/>
          <w:snapToGrid/>
          <w:kern w:val="2"/>
          <w:sz w:val="24"/>
          <w:szCs w:val="24"/>
          <w:highlight w:val="none"/>
          <w:u w:val="single"/>
          <w:lang w:val="zh-CN" w:eastAsia="en-US" w:bidi="ar-SA"/>
        </w:rPr>
      </w:pPr>
      <w:r>
        <w:rPr>
          <w:rFonts w:hint="eastAsia" w:ascii="仿宋_GB2312" w:hAnsi="宋体" w:eastAsia="仿宋_GB2312" w:cs="Times New Roman"/>
          <w:snapToGrid/>
          <w:spacing w:val="0"/>
          <w:kern w:val="2"/>
          <w:sz w:val="24"/>
          <w:szCs w:val="24"/>
          <w:highlight w:val="none"/>
          <w:u w:val="none"/>
          <w:lang w:val="zh-CN" w:eastAsia="en-US" w:bidi="ar-SA"/>
        </w:rPr>
        <w:t>联系方式 ：</w:t>
      </w:r>
      <w:r>
        <w:rPr>
          <w:rFonts w:hint="eastAsia" w:ascii="仿宋_GB2312" w:hAnsi="宋体" w:eastAsia="仿宋_GB2312" w:cs="Times New Roman"/>
          <w:snapToGrid/>
          <w:kern w:val="2"/>
          <w:sz w:val="24"/>
          <w:szCs w:val="24"/>
          <w:highlight w:val="none"/>
          <w:u w:val="single"/>
          <w:lang w:val="zh-CN" w:eastAsia="en-US" w:bidi="ar-SA"/>
        </w:rPr>
        <w:t xml:space="preserve">                                   </w:t>
      </w:r>
      <w:r>
        <w:rPr>
          <w:rFonts w:hint="eastAsia" w:ascii="仿宋_GB2312" w:hAnsi="宋体" w:eastAsia="仿宋_GB2312" w:cs="Times New Roman"/>
          <w:snapToGrid/>
          <w:kern w:val="2"/>
          <w:sz w:val="24"/>
          <w:szCs w:val="24"/>
          <w:highlight w:val="none"/>
          <w:u w:val="single"/>
          <w:lang w:val="en-US" w:eastAsia="zh-CN" w:bidi="ar-SA"/>
        </w:rPr>
        <w:t xml:space="preserve"> </w:t>
      </w:r>
      <w:r>
        <w:rPr>
          <w:rFonts w:hint="eastAsia" w:ascii="仿宋_GB2312" w:hAnsi="宋体" w:eastAsia="仿宋_GB2312" w:cs="Times New Roman"/>
          <w:snapToGrid/>
          <w:kern w:val="2"/>
          <w:sz w:val="24"/>
          <w:szCs w:val="24"/>
          <w:highlight w:val="none"/>
          <w:u w:val="single"/>
          <w:lang w:val="zh-CN" w:eastAsia="en-US" w:bidi="ar-SA"/>
        </w:rPr>
        <w:t xml:space="preserve">   </w:t>
      </w:r>
    </w:p>
    <w:p w14:paraId="72E44EC2">
      <w:pPr>
        <w:kinsoku/>
        <w:autoSpaceDE/>
        <w:autoSpaceDN/>
        <w:adjustRightInd/>
        <w:snapToGrid/>
        <w:spacing w:before="0" w:line="360" w:lineRule="auto"/>
        <w:ind w:left="6240" w:hanging="6240" w:hangingChars="2600"/>
        <w:jc w:val="left"/>
        <w:textAlignment w:val="auto"/>
        <w:rPr>
          <w:rFonts w:hint="eastAsia" w:ascii="仿宋_GB2312" w:hAnsi="宋体" w:eastAsia="仿宋_GB2312" w:cs="Times New Roman"/>
          <w:snapToGrid/>
          <w:kern w:val="2"/>
          <w:sz w:val="24"/>
          <w:szCs w:val="24"/>
          <w:highlight w:val="none"/>
          <w:u w:val="single"/>
          <w:lang w:val="zh-CN" w:eastAsia="en-US" w:bidi="ar-SA"/>
        </w:rPr>
      </w:pPr>
      <w:r>
        <w:rPr>
          <w:rFonts w:hint="eastAsia" w:ascii="仿宋_GB2312" w:hAnsi="宋体" w:eastAsia="仿宋_GB2312" w:cs="Times New Roman"/>
          <w:snapToGrid/>
          <w:spacing w:val="0"/>
          <w:kern w:val="2"/>
          <w:sz w:val="24"/>
          <w:szCs w:val="24"/>
          <w:highlight w:val="none"/>
          <w:u w:val="none"/>
          <w:lang w:val="zh-CN" w:eastAsia="en-US" w:bidi="ar-SA"/>
        </w:rPr>
        <w:t>通讯地址：</w:t>
      </w:r>
      <w:r>
        <w:rPr>
          <w:rFonts w:hint="eastAsia" w:ascii="仿宋_GB2312" w:hAnsi="宋体" w:eastAsia="仿宋_GB2312" w:cs="Times New Roman"/>
          <w:snapToGrid/>
          <w:spacing w:val="0"/>
          <w:kern w:val="2"/>
          <w:sz w:val="24"/>
          <w:szCs w:val="24"/>
          <w:highlight w:val="none"/>
          <w:u w:val="single"/>
          <w:lang w:val="zh-CN" w:eastAsia="en-US" w:bidi="ar-SA"/>
        </w:rPr>
        <w:t xml:space="preserve">                                        </w:t>
      </w:r>
    </w:p>
    <w:p w14:paraId="1906F196">
      <w:pPr>
        <w:kinsoku/>
        <w:autoSpaceDE/>
        <w:autoSpaceDN/>
        <w:adjustRightInd/>
        <w:snapToGrid/>
        <w:spacing w:before="0" w:line="360" w:lineRule="auto"/>
        <w:ind w:left="6240" w:hanging="6240" w:hangingChars="2600"/>
        <w:jc w:val="left"/>
        <w:textAlignment w:val="auto"/>
        <w:rPr>
          <w:rFonts w:hint="eastAsia" w:ascii="仿宋_GB2312" w:hAnsi="宋体" w:eastAsia="仿宋_GB2312" w:cs="Times New Roman"/>
          <w:snapToGrid/>
          <w:kern w:val="2"/>
          <w:sz w:val="24"/>
          <w:szCs w:val="24"/>
          <w:highlight w:val="none"/>
          <w:u w:val="single"/>
          <w:lang w:val="zh-CN" w:eastAsia="en-US" w:bidi="ar-SA"/>
        </w:rPr>
      </w:pPr>
      <w:r>
        <w:rPr>
          <w:rFonts w:hint="eastAsia" w:ascii="仿宋_GB2312" w:hAnsi="宋体" w:eastAsia="仿宋_GB2312" w:cs="Times New Roman"/>
          <w:snapToGrid/>
          <w:spacing w:val="0"/>
          <w:kern w:val="2"/>
          <w:sz w:val="24"/>
          <w:szCs w:val="24"/>
          <w:highlight w:val="none"/>
          <w:u w:val="none"/>
          <w:lang w:val="zh-CN" w:eastAsia="en-US" w:bidi="ar-SA"/>
        </w:rPr>
        <w:t>电    话 ：</w:t>
      </w:r>
      <w:r>
        <w:rPr>
          <w:rFonts w:hint="eastAsia" w:ascii="仿宋_GB2312" w:hAnsi="宋体" w:eastAsia="仿宋_GB2312" w:cs="Times New Roman"/>
          <w:snapToGrid/>
          <w:kern w:val="2"/>
          <w:sz w:val="24"/>
          <w:szCs w:val="24"/>
          <w:highlight w:val="none"/>
          <w:u w:val="single"/>
          <w:lang w:val="zh-CN" w:eastAsia="en-US" w:bidi="ar-SA"/>
        </w:rPr>
        <w:t xml:space="preserve">                                       </w:t>
      </w:r>
    </w:p>
    <w:p w14:paraId="0DE5B4DB">
      <w:pPr>
        <w:kinsoku/>
        <w:autoSpaceDE/>
        <w:autoSpaceDN/>
        <w:adjustRightInd/>
        <w:snapToGrid/>
        <w:spacing w:before="0" w:line="360" w:lineRule="auto"/>
        <w:ind w:left="6240" w:hanging="6240" w:hangingChars="2600"/>
        <w:jc w:val="left"/>
        <w:textAlignment w:val="auto"/>
        <w:rPr>
          <w:rFonts w:hint="eastAsia" w:ascii="仿宋_GB2312" w:hAnsi="宋体" w:eastAsia="仿宋_GB2312" w:cs="Times New Roman"/>
          <w:snapToGrid/>
          <w:kern w:val="2"/>
          <w:sz w:val="24"/>
          <w:szCs w:val="24"/>
          <w:highlight w:val="none"/>
          <w:u w:val="single"/>
          <w:lang w:val="zh-CN" w:eastAsia="en-US" w:bidi="ar-SA"/>
        </w:rPr>
      </w:pPr>
      <w:r>
        <w:rPr>
          <w:rFonts w:hint="eastAsia" w:ascii="仿宋_GB2312" w:hAnsi="宋体" w:eastAsia="仿宋_GB2312" w:cs="Times New Roman"/>
          <w:snapToGrid/>
          <w:spacing w:val="0"/>
          <w:kern w:val="2"/>
          <w:sz w:val="24"/>
          <w:szCs w:val="24"/>
          <w:highlight w:val="none"/>
          <w:u w:val="none"/>
          <w:lang w:val="zh-CN" w:eastAsia="en-US" w:bidi="ar-SA"/>
        </w:rPr>
        <w:t>传    真 ：</w:t>
      </w:r>
      <w:r>
        <w:rPr>
          <w:rFonts w:hint="eastAsia" w:ascii="仿宋_GB2312" w:hAnsi="宋体" w:eastAsia="仿宋_GB2312" w:cs="Times New Roman"/>
          <w:snapToGrid/>
          <w:spacing w:val="0"/>
          <w:kern w:val="2"/>
          <w:sz w:val="24"/>
          <w:szCs w:val="24"/>
          <w:highlight w:val="none"/>
          <w:u w:val="single"/>
          <w:lang w:val="zh-CN" w:eastAsia="en-US" w:bidi="ar-SA"/>
        </w:rPr>
        <w:t xml:space="preserve">                                       </w:t>
      </w:r>
    </w:p>
    <w:p w14:paraId="13146883">
      <w:pPr>
        <w:kinsoku/>
        <w:autoSpaceDE/>
        <w:autoSpaceDN/>
        <w:adjustRightInd/>
        <w:snapToGrid/>
        <w:spacing w:before="0" w:line="360" w:lineRule="auto"/>
        <w:ind w:left="6240" w:hanging="6240" w:hangingChars="2600"/>
        <w:jc w:val="left"/>
        <w:textAlignment w:val="auto"/>
        <w:rPr>
          <w:rFonts w:hint="eastAsia" w:ascii="仿宋_GB2312" w:hAnsi="宋体" w:eastAsia="仿宋_GB2312" w:cs="Times New Roman"/>
          <w:snapToGrid/>
          <w:kern w:val="2"/>
          <w:sz w:val="24"/>
          <w:szCs w:val="24"/>
          <w:highlight w:val="none"/>
          <w:u w:val="single"/>
          <w:lang w:val="zh-CN" w:eastAsia="en-US" w:bidi="ar-SA"/>
        </w:rPr>
      </w:pPr>
      <w:r>
        <w:rPr>
          <w:rFonts w:hint="eastAsia" w:ascii="仿宋_GB2312" w:hAnsi="宋体" w:eastAsia="仿宋_GB2312" w:cs="Times New Roman"/>
          <w:snapToGrid/>
          <w:spacing w:val="0"/>
          <w:kern w:val="2"/>
          <w:sz w:val="24"/>
          <w:szCs w:val="24"/>
          <w:highlight w:val="none"/>
          <w:u w:val="none"/>
          <w:lang w:val="zh-CN" w:eastAsia="en-US" w:bidi="ar-SA"/>
        </w:rPr>
        <w:t>电子信箱：</w:t>
      </w:r>
      <w:r>
        <w:rPr>
          <w:rFonts w:hint="eastAsia" w:ascii="仿宋_GB2312" w:hAnsi="宋体" w:eastAsia="仿宋_GB2312" w:cs="Times New Roman"/>
          <w:snapToGrid/>
          <w:spacing w:val="0"/>
          <w:kern w:val="2"/>
          <w:sz w:val="24"/>
          <w:szCs w:val="24"/>
          <w:highlight w:val="none"/>
          <w:u w:val="single"/>
          <w:lang w:val="zh-CN" w:eastAsia="en-US" w:bidi="ar-SA"/>
        </w:rPr>
        <w:t xml:space="preserve">                                        </w:t>
      </w:r>
    </w:p>
    <w:p w14:paraId="6ACE1DF3">
      <w:pPr>
        <w:widowControl/>
        <w:kinsoku/>
        <w:autoSpaceDE/>
        <w:autoSpaceDN/>
        <w:adjustRightInd/>
        <w:snapToGrid/>
        <w:spacing w:line="360" w:lineRule="auto"/>
        <w:ind w:left="6240" w:hanging="6240" w:hangingChars="2600"/>
        <w:jc w:val="left"/>
        <w:textAlignment w:val="auto"/>
        <w:rPr>
          <w:rFonts w:hint="eastAsia" w:ascii="仿宋_GB2312" w:hAnsi="宋体" w:eastAsia="仿宋_GB2312" w:cs="Times New Roman"/>
          <w:snapToGrid/>
          <w:kern w:val="2"/>
          <w:sz w:val="24"/>
          <w:szCs w:val="24"/>
          <w:highlight w:val="none"/>
          <w:u w:val="single"/>
          <w:lang w:val="zh-CN" w:eastAsia="en-US"/>
        </w:rPr>
      </w:pPr>
    </w:p>
    <w:p w14:paraId="3C1C2F60">
      <w:pPr>
        <w:widowControl/>
        <w:kinsoku/>
        <w:autoSpaceDE/>
        <w:autoSpaceDN/>
        <w:adjustRightInd/>
        <w:snapToGrid/>
        <w:spacing w:before="0" w:line="360" w:lineRule="auto"/>
        <w:ind w:left="6240" w:hanging="6240" w:hangingChars="2600"/>
        <w:jc w:val="right"/>
        <w:textAlignment w:val="auto"/>
        <w:rPr>
          <w:rFonts w:hint="eastAsia" w:ascii="仿宋_GB2312" w:hAnsi="宋体" w:eastAsia="仿宋_GB2312" w:cs="Times New Roman"/>
          <w:snapToGrid/>
          <w:kern w:val="2"/>
          <w:sz w:val="24"/>
          <w:szCs w:val="24"/>
          <w:highlight w:val="none"/>
          <w:u w:val="none"/>
          <w:lang w:val="zh-CN" w:eastAsia="en-US" w:bidi="ar-SA"/>
        </w:rPr>
      </w:pPr>
      <w:r>
        <w:rPr>
          <w:rFonts w:hint="eastAsia" w:ascii="仿宋_GB2312" w:hAnsi="宋体" w:eastAsia="仿宋_GB2312" w:cs="Times New Roman"/>
          <w:snapToGrid/>
          <w:spacing w:val="0"/>
          <w:kern w:val="2"/>
          <w:sz w:val="24"/>
          <w:szCs w:val="24"/>
          <w:highlight w:val="none"/>
          <w:u w:val="none"/>
          <w:lang w:val="zh-CN" w:eastAsia="en-US" w:bidi="ar-SA"/>
        </w:rPr>
        <w:t>年    月    日</w:t>
      </w:r>
    </w:p>
    <w:p w14:paraId="61DACD61">
      <w:pPr>
        <w:kinsoku w:val="0"/>
        <w:autoSpaceDE w:val="0"/>
        <w:autoSpaceDN w:val="0"/>
        <w:adjustRightInd w:val="0"/>
        <w:snapToGrid w:val="0"/>
        <w:spacing w:before="137" w:line="540" w:lineRule="exact"/>
        <w:ind w:firstLine="0" w:firstLineChars="0"/>
        <w:jc w:val="left"/>
        <w:textAlignment w:val="baseline"/>
        <w:outlineLvl w:val="0"/>
        <w:rPr>
          <w:rFonts w:hint="eastAsia" w:ascii="黑体" w:hAnsi="黑体" w:eastAsia="黑体" w:cs="黑体"/>
          <w:b/>
          <w:bCs/>
          <w:snapToGrid w:val="0"/>
          <w:color w:val="auto"/>
          <w:spacing w:val="5"/>
          <w:kern w:val="0"/>
          <w:sz w:val="28"/>
          <w:szCs w:val="28"/>
          <w:highlight w:val="none"/>
          <w:lang w:val="en-US" w:eastAsia="en-US" w:bidi="ar-SA"/>
        </w:rPr>
      </w:pPr>
    </w:p>
    <w:p w14:paraId="176E961B">
      <w:pPr>
        <w:kinsoku w:val="0"/>
        <w:autoSpaceDE w:val="0"/>
        <w:autoSpaceDN w:val="0"/>
        <w:adjustRightInd w:val="0"/>
        <w:snapToGrid w:val="0"/>
        <w:spacing w:before="0" w:line="500" w:lineRule="exact"/>
        <w:ind w:firstLine="0" w:firstLineChars="0"/>
        <w:jc w:val="left"/>
        <w:textAlignment w:val="baseline"/>
        <w:outlineLvl w:val="0"/>
        <w:rPr>
          <w:rFonts w:hint="eastAsia" w:ascii="黑体" w:hAnsi="黑体" w:eastAsia="黑体" w:cs="黑体"/>
          <w:b/>
          <w:bCs/>
          <w:snapToGrid w:val="0"/>
          <w:color w:val="auto"/>
          <w:spacing w:val="5"/>
          <w:kern w:val="0"/>
          <w:sz w:val="28"/>
          <w:szCs w:val="28"/>
          <w:highlight w:val="none"/>
          <w:lang w:val="en-US" w:eastAsia="zh-CN" w:bidi="ar-SA"/>
        </w:rPr>
      </w:pPr>
      <w:r>
        <w:rPr>
          <w:rFonts w:hint="eastAsia" w:ascii="黑体" w:hAnsi="黑体" w:eastAsia="黑体" w:cs="黑体"/>
          <w:b/>
          <w:bCs/>
          <w:snapToGrid w:val="0"/>
          <w:color w:val="auto"/>
          <w:spacing w:val="5"/>
          <w:kern w:val="0"/>
          <w:sz w:val="28"/>
          <w:szCs w:val="28"/>
          <w:highlight w:val="none"/>
          <w:lang w:val="en-US" w:eastAsia="en-US" w:bidi="ar-SA"/>
        </w:rPr>
        <w:t>附件1</w:t>
      </w:r>
    </w:p>
    <w:p w14:paraId="0A74DC22">
      <w:pPr>
        <w:kinsoku w:val="0"/>
        <w:autoSpaceDE w:val="0"/>
        <w:autoSpaceDN w:val="0"/>
        <w:adjustRightInd w:val="0"/>
        <w:snapToGrid w:val="0"/>
        <w:spacing w:before="0" w:line="600" w:lineRule="exact"/>
        <w:ind w:firstLine="0" w:firstLineChars="0"/>
        <w:jc w:val="left"/>
        <w:textAlignment w:val="baseline"/>
        <w:outlineLvl w:val="0"/>
        <w:rPr>
          <w:rFonts w:hint="eastAsia" w:ascii="黑体" w:hAnsi="黑体" w:eastAsia="黑体" w:cs="黑体"/>
          <w:b/>
          <w:bCs/>
          <w:snapToGrid w:val="0"/>
          <w:color w:val="auto"/>
          <w:spacing w:val="5"/>
          <w:kern w:val="0"/>
          <w:sz w:val="28"/>
          <w:szCs w:val="28"/>
          <w:highlight w:val="none"/>
          <w:lang w:val="en-US" w:eastAsia="en-US" w:bidi="ar-SA"/>
        </w:rPr>
      </w:pPr>
    </w:p>
    <w:p w14:paraId="238430F8">
      <w:pPr>
        <w:kinsoku w:val="0"/>
        <w:autoSpaceDE w:val="0"/>
        <w:autoSpaceDN w:val="0"/>
        <w:adjustRightInd w:val="0"/>
        <w:snapToGrid w:val="0"/>
        <w:spacing w:before="0" w:line="700" w:lineRule="exact"/>
        <w:ind w:firstLine="0" w:firstLineChars="0"/>
        <w:jc w:val="center"/>
        <w:textAlignment w:val="baseline"/>
        <w:outlineLvl w:val="0"/>
        <w:rPr>
          <w:rFonts w:hint="eastAsia" w:ascii="方正小标宋简体" w:hAnsi="方正小标宋简体" w:eastAsia="方正小标宋简体" w:cs="方正小标宋简体"/>
          <w:snapToGrid w:val="0"/>
          <w:color w:val="auto"/>
          <w:kern w:val="0"/>
          <w:sz w:val="32"/>
          <w:szCs w:val="32"/>
          <w:highlight w:val="none"/>
          <w:lang w:val="en-US" w:eastAsia="en-US" w:bidi="ar-SA"/>
        </w:rPr>
      </w:pPr>
      <w:r>
        <w:rPr>
          <w:rFonts w:hint="eastAsia" w:ascii="方正小标宋简体" w:hAnsi="方正小标宋简体" w:eastAsia="方正小标宋简体" w:cs="方正小标宋简体"/>
          <w:b/>
          <w:bCs/>
          <w:snapToGrid w:val="0"/>
          <w:color w:val="auto"/>
          <w:spacing w:val="5"/>
          <w:kern w:val="0"/>
          <w:sz w:val="32"/>
          <w:szCs w:val="32"/>
          <w:highlight w:val="none"/>
          <w:lang w:val="en-US" w:eastAsia="en-US" w:bidi="ar-SA"/>
        </w:rPr>
        <w:t>详细</w:t>
      </w:r>
      <w:r>
        <w:rPr>
          <w:rFonts w:hint="eastAsia" w:ascii="方正小标宋简体" w:hAnsi="方正小标宋简体" w:eastAsia="方正小标宋简体" w:cs="方正小标宋简体"/>
          <w:b/>
          <w:bCs/>
          <w:snapToGrid w:val="0"/>
          <w:color w:val="auto"/>
          <w:spacing w:val="5"/>
          <w:kern w:val="0"/>
          <w:sz w:val="32"/>
          <w:szCs w:val="32"/>
          <w:highlight w:val="none"/>
          <w:lang w:val="en-US" w:eastAsia="zh-CN" w:bidi="ar-SA"/>
        </w:rPr>
        <w:t>项目</w:t>
      </w:r>
      <w:r>
        <w:rPr>
          <w:rFonts w:hint="eastAsia" w:ascii="方正小标宋简体" w:hAnsi="方正小标宋简体" w:eastAsia="方正小标宋简体" w:cs="方正小标宋简体"/>
          <w:b/>
          <w:bCs/>
          <w:snapToGrid w:val="0"/>
          <w:color w:val="auto"/>
          <w:spacing w:val="5"/>
          <w:kern w:val="0"/>
          <w:sz w:val="32"/>
          <w:szCs w:val="32"/>
          <w:highlight w:val="none"/>
          <w:lang w:val="en-US" w:eastAsia="en-US" w:bidi="ar-SA"/>
        </w:rPr>
        <w:t>内容及技术要求</w:t>
      </w:r>
    </w:p>
    <w:p w14:paraId="1561F0B2">
      <w:pPr>
        <w:kinsoku/>
        <w:autoSpaceDE/>
        <w:autoSpaceDN/>
        <w:adjustRightInd/>
        <w:snapToGrid/>
        <w:spacing w:before="0" w:line="540" w:lineRule="exact"/>
        <w:ind w:left="0" w:firstLine="907"/>
        <w:jc w:val="left"/>
        <w:textAlignment w:val="auto"/>
        <w:rPr>
          <w:rFonts w:hint="eastAsia" w:ascii="仿宋_GB2312" w:hAnsi="仿宋_GB2312" w:eastAsia="仿宋_GB2312" w:cs="仿宋_GB2312"/>
          <w:b w:val="0"/>
          <w:snapToGrid/>
          <w:color w:val="000000" w:themeColor="text1"/>
          <w:kern w:val="2"/>
          <w:sz w:val="28"/>
          <w:szCs w:val="28"/>
          <w:highlight w:val="none"/>
          <w:lang w:val="en-US" w:eastAsia="zh-CN" w:bidi="ar-SA"/>
          <w14:textFill>
            <w14:solidFill>
              <w14:schemeClr w14:val="tx1"/>
            </w14:solidFill>
          </w14:textFill>
        </w:rPr>
      </w:pPr>
    </w:p>
    <w:p w14:paraId="743877E4">
      <w:pPr>
        <w:pStyle w:val="5"/>
        <w:kinsoku w:val="0"/>
        <w:autoSpaceDE w:val="0"/>
        <w:autoSpaceDN w:val="0"/>
        <w:adjustRightInd/>
        <w:snapToGrid/>
        <w:spacing w:before="2" w:line="540" w:lineRule="exact"/>
        <w:ind w:left="254" w:firstLine="907"/>
        <w:jc w:val="both"/>
        <w:textAlignment w:val="baseline"/>
        <w:rPr>
          <w:rFonts w:hint="eastAsia" w:ascii="楷体_GB2312" w:hAnsi="Times New Roman" w:eastAsia="楷体_GB2312" w:cs="Times New Roman"/>
          <w:snapToGrid/>
          <w:color w:val="auto"/>
          <w:spacing w:val="0"/>
          <w:kern w:val="2"/>
          <w:sz w:val="28"/>
          <w:szCs w:val="28"/>
          <w:highlight w:val="none"/>
          <w:lang w:val="en-US" w:eastAsia="zh-CN" w:bidi="ar-SA"/>
        </w:rPr>
      </w:pPr>
      <w:r>
        <w:rPr>
          <w:rFonts w:hint="eastAsia" w:ascii="楷体_GB2312" w:hAnsi="Times New Roman" w:eastAsia="楷体_GB2312" w:cs="Times New Roman"/>
          <w:b/>
          <w:snapToGrid/>
          <w:color w:val="auto"/>
          <w:spacing w:val="0"/>
          <w:kern w:val="2"/>
          <w:sz w:val="28"/>
          <w:szCs w:val="28"/>
          <w:highlight w:val="none"/>
          <w:lang w:val="en-US" w:eastAsia="en-US" w:bidi="ar-SA"/>
        </w:rPr>
        <w:t>（引用招标文件各包组采购人需求）及中标人投标文件承诺</w:t>
      </w:r>
    </w:p>
    <w:p w14:paraId="1CE182B9">
      <w:pPr>
        <w:kinsoku w:val="0"/>
        <w:autoSpaceDE w:val="0"/>
        <w:autoSpaceDN w:val="0"/>
        <w:adjustRightInd w:val="0"/>
        <w:snapToGrid w:val="0"/>
        <w:spacing w:before="0" w:line="500" w:lineRule="exact"/>
        <w:ind w:firstLine="0" w:firstLineChars="0"/>
        <w:jc w:val="left"/>
        <w:textAlignment w:val="baseline"/>
        <w:outlineLvl w:val="0"/>
        <w:rPr>
          <w:rFonts w:hint="eastAsia" w:ascii="黑体" w:hAnsi="黑体" w:eastAsia="黑体" w:cs="黑体"/>
          <w:b/>
          <w:bCs/>
          <w:snapToGrid w:val="0"/>
          <w:color w:val="auto"/>
          <w:spacing w:val="5"/>
          <w:kern w:val="0"/>
          <w:sz w:val="28"/>
          <w:szCs w:val="28"/>
          <w:highlight w:val="none"/>
          <w:lang w:val="en-US" w:eastAsia="en-US" w:bidi="ar-SA"/>
        </w:rPr>
      </w:pPr>
      <w:r>
        <w:rPr>
          <w:rFonts w:hint="eastAsia" w:ascii="仿宋_GB2312" w:hAnsi="仿宋_GB2312" w:eastAsia="仿宋_GB2312" w:cs="仿宋_GB2312"/>
          <w:b/>
          <w:bCs/>
          <w:snapToGrid w:val="0"/>
          <w:color w:val="auto"/>
          <w:spacing w:val="3"/>
          <w:kern w:val="0"/>
          <w:sz w:val="28"/>
          <w:szCs w:val="28"/>
          <w:highlight w:val="none"/>
          <w:lang w:eastAsia="en-US"/>
        </w:rPr>
        <w:br w:type="page"/>
      </w:r>
      <w:r>
        <w:rPr>
          <w:rFonts w:hint="eastAsia" w:ascii="黑体" w:hAnsi="黑体" w:eastAsia="黑体" w:cs="黑体"/>
          <w:b/>
          <w:bCs/>
          <w:snapToGrid w:val="0"/>
          <w:color w:val="auto"/>
          <w:spacing w:val="5"/>
          <w:kern w:val="0"/>
          <w:sz w:val="28"/>
          <w:szCs w:val="28"/>
          <w:highlight w:val="none"/>
          <w:lang w:val="en-US" w:eastAsia="en-US" w:bidi="ar-SA"/>
        </w:rPr>
        <w:t>附件2</w:t>
      </w:r>
    </w:p>
    <w:p w14:paraId="5560DF66">
      <w:pPr>
        <w:kinsoku w:val="0"/>
        <w:autoSpaceDE w:val="0"/>
        <w:autoSpaceDN w:val="0"/>
        <w:adjustRightInd w:val="0"/>
        <w:snapToGrid w:val="0"/>
        <w:spacing w:before="0" w:line="600" w:lineRule="exact"/>
        <w:ind w:firstLine="0" w:firstLineChars="0"/>
        <w:jc w:val="left"/>
        <w:textAlignment w:val="baseline"/>
        <w:outlineLvl w:val="0"/>
        <w:rPr>
          <w:rFonts w:hint="eastAsia" w:ascii="仿宋_GB2312" w:hAnsi="仿宋_GB2312" w:eastAsia="仿宋_GB2312" w:cs="仿宋_GB2312"/>
          <w:b/>
          <w:bCs/>
          <w:snapToGrid w:val="0"/>
          <w:color w:val="auto"/>
          <w:spacing w:val="5"/>
          <w:kern w:val="0"/>
          <w:sz w:val="28"/>
          <w:szCs w:val="28"/>
          <w:highlight w:val="none"/>
          <w:lang w:val="en-US" w:eastAsia="en-US" w:bidi="ar-SA"/>
        </w:rPr>
      </w:pPr>
    </w:p>
    <w:p w14:paraId="4D9B1DA3">
      <w:pPr>
        <w:kinsoku w:val="0"/>
        <w:autoSpaceDE w:val="0"/>
        <w:autoSpaceDN w:val="0"/>
        <w:adjustRightInd w:val="0"/>
        <w:snapToGrid w:val="0"/>
        <w:spacing w:before="0" w:line="700" w:lineRule="exact"/>
        <w:ind w:firstLine="0" w:firstLineChars="0"/>
        <w:jc w:val="center"/>
        <w:textAlignment w:val="baseline"/>
        <w:outlineLvl w:val="0"/>
        <w:rPr>
          <w:rFonts w:hint="eastAsia" w:ascii="方正小标宋简体" w:hAnsi="方正小标宋简体" w:eastAsia="方正小标宋简体" w:cs="方正小标宋简体"/>
          <w:b/>
          <w:bCs/>
          <w:snapToGrid w:val="0"/>
          <w:color w:val="auto"/>
          <w:spacing w:val="5"/>
          <w:kern w:val="0"/>
          <w:sz w:val="32"/>
          <w:szCs w:val="32"/>
          <w:highlight w:val="none"/>
          <w:lang w:val="en-US" w:eastAsia="en-US" w:bidi="ar-SA"/>
        </w:rPr>
      </w:pPr>
      <w:r>
        <w:rPr>
          <w:rFonts w:hint="eastAsia" w:ascii="方正小标宋简体" w:hAnsi="方正小标宋简体" w:eastAsia="方正小标宋简体" w:cs="方正小标宋简体"/>
          <w:b/>
          <w:bCs/>
          <w:snapToGrid w:val="0"/>
          <w:color w:val="auto"/>
          <w:spacing w:val="5"/>
          <w:kern w:val="0"/>
          <w:sz w:val="32"/>
          <w:szCs w:val="32"/>
          <w:highlight w:val="none"/>
          <w:lang w:val="en-US" w:eastAsia="en-US" w:bidi="ar-SA"/>
        </w:rPr>
        <w:t>《广东省普通国道基础设施数字化转型升级示范工程公路交通情况调查设备采购》验收要求</w:t>
      </w:r>
    </w:p>
    <w:p w14:paraId="414E4139">
      <w:pPr>
        <w:widowControl/>
        <w:kinsoku w:val="0"/>
        <w:autoSpaceDE w:val="0"/>
        <w:autoSpaceDN w:val="0"/>
        <w:adjustRightInd w:val="0"/>
        <w:snapToGrid w:val="0"/>
        <w:spacing w:line="600" w:lineRule="exact"/>
        <w:ind w:firstLine="0" w:firstLineChars="0"/>
        <w:jc w:val="left"/>
        <w:textAlignment w:val="baseline"/>
        <w:outlineLvl w:val="0"/>
        <w:rPr>
          <w:rFonts w:hint="eastAsia" w:ascii="仿宋_GB2312" w:hAnsi="仿宋_GB2312" w:eastAsia="仿宋_GB2312" w:cs="仿宋_GB2312"/>
          <w:b/>
          <w:bCs/>
          <w:snapToGrid w:val="0"/>
          <w:color w:val="auto"/>
          <w:spacing w:val="5"/>
          <w:kern w:val="0"/>
          <w:sz w:val="28"/>
          <w:szCs w:val="28"/>
          <w:highlight w:val="none"/>
          <w:lang w:val="en-US" w:eastAsia="en-US" w:bidi="ar-SA"/>
        </w:rPr>
      </w:pPr>
    </w:p>
    <w:p w14:paraId="0B0C7AB2">
      <w:pPr>
        <w:widowControl/>
        <w:kinsoku/>
        <w:autoSpaceDE/>
        <w:autoSpaceDN/>
        <w:adjustRightInd/>
        <w:snapToGrid/>
        <w:spacing w:line="540" w:lineRule="exact"/>
        <w:ind w:firstLine="560" w:firstLineChars="200"/>
        <w:jc w:val="both"/>
        <w:textAlignment w:val="auto"/>
        <w:rPr>
          <w:rFonts w:hint="eastAsia" w:ascii="仿宋_GB2312" w:hAnsi="仿宋_GB2312" w:eastAsia="仿宋_GB2312" w:cs="仿宋_GB2312"/>
          <w:b w:val="0"/>
          <w:bCs w:val="0"/>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28"/>
          <w:szCs w:val="28"/>
          <w:highlight w:val="none"/>
          <w:lang w:val="en-US" w:eastAsia="zh-CN" w:bidi="ar-SA"/>
          <w14:textFill>
            <w14:solidFill>
              <w14:schemeClr w14:val="tx1"/>
            </w14:solidFill>
          </w14:textFill>
        </w:rPr>
        <w:t>一、设备验收：乙方将完成本项目所需的公路交通情况调查设备、终端管理设施、数据模块（工业级）、气象传感器、卡口抓拍摄像机、一体化补光灯、监控球型摄像机、后备电源、智能中控电箱等设备供应齐全后，7日内完成设备验收。验收时参考附后的《设备验收确认表》。</w:t>
      </w:r>
    </w:p>
    <w:p w14:paraId="40E48650">
      <w:pPr>
        <w:widowControl/>
        <w:kinsoku/>
        <w:autoSpaceDE/>
        <w:autoSpaceDN/>
        <w:adjustRightInd/>
        <w:snapToGrid/>
        <w:spacing w:line="540" w:lineRule="exact"/>
        <w:ind w:firstLine="560" w:firstLineChars="200"/>
        <w:jc w:val="both"/>
        <w:textAlignment w:val="auto"/>
        <w:rPr>
          <w:rFonts w:hint="eastAsia" w:ascii="仿宋_GB2312" w:hAnsi="仿宋_GB2312" w:eastAsia="仿宋_GB2312" w:cs="仿宋_GB2312"/>
          <w:b w:val="0"/>
          <w:bCs w:val="0"/>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28"/>
          <w:szCs w:val="28"/>
          <w:highlight w:val="none"/>
          <w:lang w:val="en-US" w:eastAsia="zh-CN" w:bidi="ar-SA"/>
          <w14:textFill>
            <w14:solidFill>
              <w14:schemeClr w14:val="tx1"/>
            </w14:solidFill>
          </w14:textFill>
        </w:rPr>
        <w:t>二、外场验收：设备安装位置正确，处于正常运行状态。外场验收内容应包括①根据合同核对设备及配件工程量，外观检查；②杆件防雷设施、基础；③机箱标识尺寸、接线、线缆整理检查；④施工现场环境恢复。验收时参考附后的《外场验收记录表》。</w:t>
      </w:r>
    </w:p>
    <w:p w14:paraId="5F08A639">
      <w:pPr>
        <w:widowControl/>
        <w:numPr>
          <w:ilvl w:val="-1"/>
          <w:numId w:val="0"/>
        </w:numPr>
        <w:kinsoku/>
        <w:autoSpaceDE/>
        <w:autoSpaceDN/>
        <w:adjustRightInd/>
        <w:snapToGrid/>
        <w:spacing w:line="540" w:lineRule="exact"/>
        <w:ind w:firstLine="560" w:firstLineChars="200"/>
        <w:jc w:val="both"/>
        <w:textAlignment w:val="auto"/>
        <w:rPr>
          <w:rFonts w:hint="eastAsia" w:ascii="仿宋_GB2312" w:hAnsi="仿宋_GB2312" w:eastAsia="仿宋_GB2312" w:cs="仿宋_GB2312"/>
          <w:b w:val="0"/>
          <w:bCs w:val="0"/>
          <w:snapToGrid/>
          <w:color w:val="000000" w:themeColor="text1"/>
          <w:kern w:val="2"/>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28"/>
          <w:szCs w:val="28"/>
          <w:highlight w:val="none"/>
          <w:lang w:val="en-US" w:eastAsia="zh-CN" w:bidi="ar-SA"/>
          <w14:textFill>
            <w14:solidFill>
              <w14:schemeClr w14:val="tx1"/>
            </w14:solidFill>
          </w14:textFill>
        </w:rPr>
        <w:t>三、数据质量验收：（一）站点采集的合格数据按部要求传输到《广东省公路交通情况调查子系统》，视频接入《广东省普通国省干线公路网监测与应急协调子系统》；（二）设备安装调试接入省《广东省公路交通情况调查子系统》数据中心后，试运行1个月，期间无质量问题，由甲方或甲方委托的第三方进行数据连续传输质量核查，并出具站点数据接入合格证明（包括设备运行报告、精度核查报告、数据质量报告）。验收时参考附后的《</w:t>
      </w:r>
      <w:r>
        <w:rPr>
          <w:rFonts w:hint="eastAsia" w:ascii="仿宋_GB2312" w:hAnsi="仿宋_GB2312" w:eastAsia="仿宋_GB2312" w:cs="仿宋_GB2312"/>
          <w:b w:val="0"/>
          <w:bCs w:val="0"/>
          <w:snapToGrid/>
          <w:color w:val="000000" w:themeColor="text1"/>
          <w:kern w:val="2"/>
          <w:sz w:val="28"/>
          <w:szCs w:val="28"/>
          <w:highlight w:val="none"/>
          <w:lang w:val="en-US" w:eastAsia="zh-CN"/>
          <w14:textFill>
            <w14:solidFill>
              <w14:schemeClr w14:val="tx1"/>
            </w14:solidFill>
          </w14:textFill>
        </w:rPr>
        <w:t>数据质量验收记录表》。</w:t>
      </w:r>
    </w:p>
    <w:p w14:paraId="3B31B796">
      <w:pPr>
        <w:widowControl/>
        <w:kinsoku/>
        <w:autoSpaceDE/>
        <w:autoSpaceDN/>
        <w:adjustRightInd/>
        <w:snapToGrid/>
        <w:spacing w:line="540" w:lineRule="exact"/>
        <w:ind w:firstLine="560" w:firstLineChars="200"/>
        <w:jc w:val="both"/>
        <w:textAlignment w:val="auto"/>
        <w:rPr>
          <w:rFonts w:hint="eastAsia" w:ascii="仿宋_GB2312" w:hAnsi="仿宋_GB2312" w:eastAsia="仿宋_GB2312" w:cs="仿宋_GB2312"/>
          <w:b w:val="0"/>
          <w:bCs w:val="0"/>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28"/>
          <w:szCs w:val="28"/>
          <w:highlight w:val="none"/>
          <w:lang w:val="en-US" w:eastAsia="zh-CN" w:bidi="ar-SA"/>
          <w14:textFill>
            <w14:solidFill>
              <w14:schemeClr w14:val="tx1"/>
            </w14:solidFill>
          </w14:textFill>
        </w:rPr>
        <w:t>四、乙方申请交工验收，由甲方7日内组织评审验收。验收时参考附后的《</w:t>
      </w:r>
      <w:r>
        <w:rPr>
          <w:rFonts w:hint="eastAsia" w:ascii="仿宋_GB2312" w:hAnsi="仿宋_GB2312" w:eastAsia="仿宋_GB2312" w:cs="仿宋_GB2312"/>
          <w:b w:val="0"/>
          <w:bCs w:val="0"/>
          <w:snapToGrid/>
          <w:color w:val="000000" w:themeColor="text1"/>
          <w:kern w:val="2"/>
          <w:sz w:val="28"/>
          <w:szCs w:val="28"/>
          <w:highlight w:val="none"/>
          <w:lang w:val="en-US" w:eastAsia="zh-CN"/>
          <w14:textFill>
            <w14:solidFill>
              <w14:schemeClr w14:val="tx1"/>
            </w14:solidFill>
          </w14:textFill>
        </w:rPr>
        <w:t>交工验收审查表》。</w:t>
      </w:r>
    </w:p>
    <w:p w14:paraId="63C40260">
      <w:pPr>
        <w:widowControl/>
        <w:kinsoku/>
        <w:autoSpaceDE/>
        <w:autoSpaceDN/>
        <w:adjustRightInd/>
        <w:snapToGrid/>
        <w:spacing w:line="540" w:lineRule="exact"/>
        <w:ind w:firstLine="560" w:firstLineChars="200"/>
        <w:jc w:val="both"/>
        <w:textAlignment w:val="auto"/>
        <w:rPr>
          <w:rFonts w:hint="eastAsia" w:ascii="仿宋_GB2312" w:hAnsi="仿宋_GB2312" w:eastAsia="仿宋_GB2312" w:cs="仿宋_GB2312"/>
          <w:b w:val="0"/>
          <w:bCs w:val="0"/>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28"/>
          <w:szCs w:val="28"/>
          <w:highlight w:val="none"/>
          <w:lang w:val="en-US" w:eastAsia="zh-CN" w:bidi="ar-SA"/>
          <w14:textFill>
            <w14:solidFill>
              <w14:schemeClr w14:val="tx1"/>
            </w14:solidFill>
          </w14:textFill>
        </w:rPr>
        <w:t>五、交工验收且完成三年维护内容后，7日内组织项目整体验收。验收时参考附后的《</w:t>
      </w:r>
      <w:r>
        <w:rPr>
          <w:rFonts w:hint="eastAsia" w:ascii="仿宋_GB2312" w:hAnsi="仿宋_GB2312" w:eastAsia="仿宋_GB2312" w:cs="仿宋_GB2312"/>
          <w:b w:val="0"/>
          <w:bCs w:val="0"/>
          <w:snapToGrid/>
          <w:color w:val="000000" w:themeColor="text1"/>
          <w:kern w:val="2"/>
          <w:sz w:val="28"/>
          <w:szCs w:val="28"/>
          <w:highlight w:val="none"/>
          <w:lang w:val="en-US" w:eastAsia="zh-CN"/>
          <w14:textFill>
            <w14:solidFill>
              <w14:schemeClr w14:val="tx1"/>
            </w14:solidFill>
          </w14:textFill>
        </w:rPr>
        <w:t>整体验收审查表》。</w:t>
      </w:r>
    </w:p>
    <w:p w14:paraId="16FEE5A7">
      <w:pPr>
        <w:widowControl/>
        <w:kinsoku/>
        <w:autoSpaceDE/>
        <w:autoSpaceDN/>
        <w:adjustRightInd/>
        <w:snapToGrid/>
        <w:spacing w:line="540" w:lineRule="exact"/>
        <w:ind w:firstLine="907" w:firstLineChars="0"/>
        <w:jc w:val="both"/>
        <w:textAlignment w:val="auto"/>
        <w:rPr>
          <w:rFonts w:hint="eastAsia" w:ascii="仿宋_GB2312" w:hAnsi="仿宋_GB2312" w:eastAsia="仿宋_GB2312" w:cs="仿宋_GB2312"/>
          <w:b w:val="0"/>
          <w:bCs w:val="0"/>
          <w:snapToGrid/>
          <w:color w:val="000000" w:themeColor="text1"/>
          <w:kern w:val="2"/>
          <w:sz w:val="28"/>
          <w:szCs w:val="28"/>
          <w:highlight w:val="none"/>
          <w:lang w:val="en-US" w:eastAsia="zh-CN" w:bidi="ar-SA"/>
          <w14:textFill>
            <w14:solidFill>
              <w14:schemeClr w14:val="tx1"/>
            </w14:solidFill>
          </w14:textFill>
        </w:rPr>
      </w:pPr>
    </w:p>
    <w:p w14:paraId="42CC079A">
      <w:pPr>
        <w:widowControl/>
        <w:kinsoku/>
        <w:autoSpaceDE/>
        <w:autoSpaceDN/>
        <w:adjustRightInd/>
        <w:snapToGrid/>
        <w:spacing w:line="540" w:lineRule="exact"/>
        <w:ind w:firstLine="907" w:firstLineChars="0"/>
        <w:jc w:val="both"/>
        <w:textAlignment w:val="auto"/>
        <w:rPr>
          <w:rFonts w:hint="eastAsia" w:ascii="仿宋_GB2312" w:hAnsi="仿宋_GB2312" w:eastAsia="仿宋_GB2312" w:cs="仿宋_GB2312"/>
          <w:b w:val="0"/>
          <w:bCs w:val="0"/>
          <w:snapToGrid/>
          <w:color w:val="000000" w:themeColor="text1"/>
          <w:kern w:val="2"/>
          <w:sz w:val="28"/>
          <w:szCs w:val="28"/>
          <w:highlight w:val="none"/>
          <w:lang w:val="en-US" w:eastAsia="zh-CN" w:bidi="ar-SA"/>
          <w14:textFill>
            <w14:solidFill>
              <w14:schemeClr w14:val="tx1"/>
            </w14:solidFill>
          </w14:textFill>
        </w:rPr>
      </w:pPr>
    </w:p>
    <w:p w14:paraId="50B10F0E">
      <w:pPr>
        <w:widowControl/>
        <w:kinsoku/>
        <w:autoSpaceDE/>
        <w:autoSpaceDN/>
        <w:adjustRightInd/>
        <w:snapToGrid/>
        <w:spacing w:line="540" w:lineRule="exact"/>
        <w:ind w:firstLine="0" w:firstLineChars="0"/>
        <w:jc w:val="left"/>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p>
    <w:p w14:paraId="24D7F532">
      <w:pPr>
        <w:widowControl w:val="0"/>
        <w:kinsoku/>
        <w:autoSpaceDE/>
        <w:autoSpaceDN/>
        <w:adjustRightInd/>
        <w:snapToGrid/>
        <w:spacing w:line="600" w:lineRule="exact"/>
        <w:ind w:firstLine="0" w:firstLineChars="0"/>
        <w:jc w:val="center"/>
        <w:textAlignment w:val="auto"/>
        <w:rPr>
          <w:rFonts w:hint="eastAsia" w:ascii="方正小标宋简体" w:hAnsi="方正小标宋简体" w:eastAsia="方正小标宋简体" w:cs="方正小标宋简体"/>
          <w:b/>
          <w:snapToGrid/>
          <w:color w:val="000000"/>
          <w:kern w:val="2"/>
          <w:sz w:val="36"/>
          <w:szCs w:val="36"/>
          <w:highlight w:val="none"/>
          <w:lang w:val="en-US" w:eastAsia="zh-CN"/>
        </w:rPr>
      </w:pPr>
      <w:r>
        <w:rPr>
          <w:rFonts w:hint="eastAsia" w:ascii="方正小标宋简体" w:hAnsi="方正小标宋简体" w:eastAsia="方正小标宋简体" w:cs="方正小标宋简体"/>
          <w:b/>
          <w:snapToGrid/>
          <w:color w:val="000000"/>
          <w:kern w:val="2"/>
          <w:sz w:val="36"/>
          <w:szCs w:val="36"/>
          <w:highlight w:val="none"/>
          <w:lang w:val="en-US" w:eastAsia="zh-CN"/>
        </w:rPr>
        <w:t>设备验收确认表</w:t>
      </w:r>
    </w:p>
    <w:p w14:paraId="1B0174CD">
      <w:pPr>
        <w:widowControl w:val="0"/>
        <w:kinsoku/>
        <w:autoSpaceDE/>
        <w:autoSpaceDN/>
        <w:adjustRightInd/>
        <w:snapToGrid/>
        <w:spacing w:line="360" w:lineRule="auto"/>
        <w:ind w:left="809" w:hanging="808" w:hangingChars="337"/>
        <w:jc w:val="both"/>
        <w:textAlignment w:val="auto"/>
        <w:rPr>
          <w:rFonts w:hint="eastAsia" w:ascii="仿宋_GB2312" w:hAnsi="仿宋_GB2312" w:eastAsia="仿宋_GB2312" w:cs="仿宋_GB2312"/>
          <w:snapToGrid/>
          <w:color w:val="auto"/>
          <w:kern w:val="2"/>
          <w:sz w:val="24"/>
          <w:szCs w:val="24"/>
          <w:highlight w:val="none"/>
          <w:lang w:eastAsia="zh-CN"/>
        </w:rPr>
      </w:pPr>
    </w:p>
    <w:p w14:paraId="2128DF0F">
      <w:pPr>
        <w:widowControl w:val="0"/>
        <w:kinsoku/>
        <w:autoSpaceDE/>
        <w:autoSpaceDN/>
        <w:adjustRightInd/>
        <w:snapToGrid/>
        <w:spacing w:line="500" w:lineRule="exact"/>
        <w:ind w:left="0" w:hanging="808" w:hangingChars="337"/>
        <w:jc w:val="both"/>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项目名称：</w:t>
      </w:r>
    </w:p>
    <w:p w14:paraId="2D145F15">
      <w:pPr>
        <w:widowControl w:val="0"/>
        <w:kinsoku/>
        <w:autoSpaceDE/>
        <w:autoSpaceDN/>
        <w:adjustRightInd/>
        <w:snapToGrid/>
        <w:spacing w:line="500" w:lineRule="exact"/>
        <w:ind w:left="0" w:hanging="808" w:hangingChars="337"/>
        <w:jc w:val="both"/>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项目编号：</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2634"/>
        <w:gridCol w:w="1504"/>
        <w:gridCol w:w="144"/>
        <w:gridCol w:w="1941"/>
        <w:gridCol w:w="722"/>
        <w:gridCol w:w="855"/>
        <w:gridCol w:w="1250"/>
      </w:tblGrid>
      <w:tr w14:paraId="6044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tcBorders>
              <w:top w:val="single" w:color="auto" w:sz="12" w:space="0"/>
              <w:left w:val="single" w:color="auto" w:sz="12" w:space="0"/>
              <w:bottom w:val="double" w:color="auto" w:sz="4" w:space="0"/>
            </w:tcBorders>
            <w:vAlign w:val="center"/>
          </w:tcPr>
          <w:p w14:paraId="53809525">
            <w:pPr>
              <w:widowControl w:val="0"/>
              <w:kinsoku/>
              <w:autoSpaceDE/>
              <w:autoSpaceDN/>
              <w:adjustRightInd/>
              <w:snapToGrid/>
              <w:spacing w:line="360" w:lineRule="auto"/>
              <w:ind w:firstLine="0" w:firstLineChars="0"/>
              <w:jc w:val="center"/>
              <w:textAlignment w:val="auto"/>
              <w:rPr>
                <w:rFonts w:hint="eastAsia" w:ascii="楷体_GB2312" w:hAnsi="楷体_GB2312" w:eastAsia="楷体_GB2312" w:cs="楷体_GB2312"/>
                <w:b/>
                <w:bCs/>
                <w:snapToGrid/>
                <w:color w:val="auto"/>
                <w:kern w:val="2"/>
                <w:sz w:val="24"/>
                <w:szCs w:val="24"/>
                <w:highlight w:val="none"/>
                <w:lang w:eastAsia="zh-CN"/>
              </w:rPr>
            </w:pPr>
            <w:r>
              <w:rPr>
                <w:rFonts w:hint="eastAsia" w:ascii="楷体_GB2312" w:hAnsi="楷体_GB2312" w:eastAsia="楷体_GB2312" w:cs="楷体_GB2312"/>
                <w:b/>
                <w:bCs/>
                <w:snapToGrid/>
                <w:color w:val="auto"/>
                <w:kern w:val="2"/>
                <w:sz w:val="24"/>
                <w:szCs w:val="24"/>
                <w:highlight w:val="none"/>
                <w:lang w:eastAsia="zh-CN"/>
              </w:rPr>
              <w:t>序号</w:t>
            </w:r>
          </w:p>
        </w:tc>
        <w:tc>
          <w:tcPr>
            <w:tcW w:w="1349" w:type="pct"/>
            <w:tcBorders>
              <w:top w:val="single" w:color="auto" w:sz="12" w:space="0"/>
              <w:bottom w:val="double" w:color="auto" w:sz="4" w:space="0"/>
            </w:tcBorders>
            <w:vAlign w:val="center"/>
          </w:tcPr>
          <w:p w14:paraId="63C74B08">
            <w:pPr>
              <w:widowControl w:val="0"/>
              <w:kinsoku/>
              <w:autoSpaceDE/>
              <w:autoSpaceDN/>
              <w:adjustRightInd/>
              <w:snapToGrid/>
              <w:spacing w:line="360" w:lineRule="auto"/>
              <w:ind w:firstLine="0" w:firstLineChars="0"/>
              <w:jc w:val="center"/>
              <w:textAlignment w:val="auto"/>
              <w:rPr>
                <w:rFonts w:hint="eastAsia" w:ascii="楷体_GB2312" w:hAnsi="楷体_GB2312" w:eastAsia="楷体_GB2312" w:cs="楷体_GB2312"/>
                <w:b/>
                <w:bCs/>
                <w:snapToGrid/>
                <w:color w:val="auto"/>
                <w:kern w:val="2"/>
                <w:sz w:val="24"/>
                <w:szCs w:val="24"/>
                <w:highlight w:val="none"/>
                <w:lang w:eastAsia="zh-CN"/>
              </w:rPr>
            </w:pPr>
            <w:r>
              <w:rPr>
                <w:rFonts w:hint="eastAsia" w:ascii="楷体_GB2312" w:hAnsi="楷体_GB2312" w:eastAsia="楷体_GB2312" w:cs="楷体_GB2312"/>
                <w:b/>
                <w:bCs/>
                <w:snapToGrid/>
                <w:color w:val="auto"/>
                <w:kern w:val="2"/>
                <w:sz w:val="24"/>
                <w:szCs w:val="24"/>
                <w:highlight w:val="none"/>
                <w:lang w:eastAsia="zh-CN"/>
              </w:rPr>
              <w:t>货物名称</w:t>
            </w:r>
          </w:p>
        </w:tc>
        <w:tc>
          <w:tcPr>
            <w:tcW w:w="770" w:type="pct"/>
            <w:tcBorders>
              <w:top w:val="single" w:color="auto" w:sz="12" w:space="0"/>
              <w:bottom w:val="double" w:color="auto" w:sz="4" w:space="0"/>
            </w:tcBorders>
            <w:vAlign w:val="center"/>
          </w:tcPr>
          <w:p w14:paraId="4C64A3BA">
            <w:pPr>
              <w:widowControl w:val="0"/>
              <w:kinsoku/>
              <w:autoSpaceDE/>
              <w:autoSpaceDN/>
              <w:adjustRightInd/>
              <w:snapToGrid/>
              <w:spacing w:line="360" w:lineRule="auto"/>
              <w:ind w:firstLine="0" w:firstLineChars="0"/>
              <w:jc w:val="center"/>
              <w:textAlignment w:val="auto"/>
              <w:rPr>
                <w:rFonts w:hint="eastAsia" w:ascii="楷体_GB2312" w:hAnsi="楷体_GB2312" w:eastAsia="楷体_GB2312" w:cs="楷体_GB2312"/>
                <w:b/>
                <w:bCs/>
                <w:snapToGrid/>
                <w:color w:val="auto"/>
                <w:kern w:val="2"/>
                <w:sz w:val="24"/>
                <w:szCs w:val="24"/>
                <w:highlight w:val="none"/>
                <w:lang w:eastAsia="zh-CN"/>
              </w:rPr>
            </w:pPr>
            <w:r>
              <w:rPr>
                <w:rFonts w:hint="eastAsia" w:ascii="楷体_GB2312" w:hAnsi="楷体_GB2312" w:eastAsia="楷体_GB2312" w:cs="楷体_GB2312"/>
                <w:b/>
                <w:bCs/>
                <w:snapToGrid/>
                <w:color w:val="auto"/>
                <w:kern w:val="2"/>
                <w:sz w:val="24"/>
                <w:szCs w:val="24"/>
                <w:highlight w:val="none"/>
                <w:lang w:eastAsia="zh-CN"/>
              </w:rPr>
              <w:t>品牌</w:t>
            </w:r>
          </w:p>
        </w:tc>
        <w:tc>
          <w:tcPr>
            <w:tcW w:w="1068" w:type="pct"/>
            <w:gridSpan w:val="2"/>
            <w:tcBorders>
              <w:top w:val="single" w:color="auto" w:sz="12" w:space="0"/>
              <w:bottom w:val="double" w:color="auto" w:sz="4" w:space="0"/>
            </w:tcBorders>
            <w:vAlign w:val="center"/>
          </w:tcPr>
          <w:p w14:paraId="63840860">
            <w:pPr>
              <w:widowControl w:val="0"/>
              <w:kinsoku/>
              <w:autoSpaceDE/>
              <w:autoSpaceDN/>
              <w:adjustRightInd/>
              <w:snapToGrid/>
              <w:spacing w:line="360" w:lineRule="auto"/>
              <w:ind w:firstLine="0" w:firstLineChars="0"/>
              <w:jc w:val="center"/>
              <w:textAlignment w:val="auto"/>
              <w:rPr>
                <w:rFonts w:hint="eastAsia" w:ascii="楷体_GB2312" w:hAnsi="楷体_GB2312" w:eastAsia="楷体_GB2312" w:cs="楷体_GB2312"/>
                <w:b/>
                <w:bCs/>
                <w:snapToGrid/>
                <w:color w:val="auto"/>
                <w:kern w:val="2"/>
                <w:sz w:val="24"/>
                <w:szCs w:val="24"/>
                <w:highlight w:val="none"/>
                <w:lang w:eastAsia="zh-CN"/>
              </w:rPr>
            </w:pPr>
            <w:r>
              <w:rPr>
                <w:rFonts w:hint="eastAsia" w:ascii="楷体_GB2312" w:hAnsi="楷体_GB2312" w:eastAsia="楷体_GB2312" w:cs="楷体_GB2312"/>
                <w:b/>
                <w:bCs/>
                <w:snapToGrid/>
                <w:color w:val="auto"/>
                <w:kern w:val="2"/>
                <w:sz w:val="24"/>
                <w:szCs w:val="24"/>
                <w:highlight w:val="none"/>
                <w:lang w:eastAsia="zh-CN"/>
              </w:rPr>
              <w:t>型号、规格</w:t>
            </w:r>
          </w:p>
        </w:tc>
        <w:tc>
          <w:tcPr>
            <w:tcW w:w="370" w:type="pct"/>
            <w:tcBorders>
              <w:top w:val="single" w:color="auto" w:sz="12" w:space="0"/>
              <w:bottom w:val="double" w:color="auto" w:sz="4" w:space="0"/>
            </w:tcBorders>
            <w:vAlign w:val="center"/>
          </w:tcPr>
          <w:p w14:paraId="0CBFBB19">
            <w:pPr>
              <w:widowControl w:val="0"/>
              <w:kinsoku/>
              <w:autoSpaceDE/>
              <w:autoSpaceDN/>
              <w:adjustRightInd/>
              <w:snapToGrid/>
              <w:spacing w:line="360" w:lineRule="auto"/>
              <w:ind w:firstLine="0" w:firstLineChars="0"/>
              <w:jc w:val="center"/>
              <w:textAlignment w:val="auto"/>
              <w:rPr>
                <w:rFonts w:hint="eastAsia" w:ascii="楷体_GB2312" w:hAnsi="楷体_GB2312" w:eastAsia="楷体_GB2312" w:cs="楷体_GB2312"/>
                <w:b/>
                <w:bCs/>
                <w:snapToGrid/>
                <w:color w:val="auto"/>
                <w:kern w:val="2"/>
                <w:sz w:val="24"/>
                <w:szCs w:val="24"/>
                <w:highlight w:val="none"/>
                <w:lang w:eastAsia="zh-CN"/>
              </w:rPr>
            </w:pPr>
            <w:r>
              <w:rPr>
                <w:rFonts w:hint="eastAsia" w:ascii="楷体_GB2312" w:hAnsi="楷体_GB2312" w:eastAsia="楷体_GB2312" w:cs="楷体_GB2312"/>
                <w:b/>
                <w:bCs/>
                <w:snapToGrid/>
                <w:color w:val="auto"/>
                <w:kern w:val="2"/>
                <w:sz w:val="24"/>
                <w:szCs w:val="24"/>
                <w:highlight w:val="none"/>
                <w:lang w:eastAsia="zh-CN"/>
              </w:rPr>
              <w:t>单位</w:t>
            </w:r>
          </w:p>
        </w:tc>
        <w:tc>
          <w:tcPr>
            <w:tcW w:w="438" w:type="pct"/>
            <w:tcBorders>
              <w:top w:val="single" w:color="auto" w:sz="12" w:space="0"/>
              <w:bottom w:val="double" w:color="auto" w:sz="4" w:space="0"/>
            </w:tcBorders>
            <w:vAlign w:val="center"/>
          </w:tcPr>
          <w:p w14:paraId="089E8617">
            <w:pPr>
              <w:widowControl w:val="0"/>
              <w:kinsoku/>
              <w:autoSpaceDE/>
              <w:autoSpaceDN/>
              <w:adjustRightInd/>
              <w:snapToGrid/>
              <w:spacing w:line="360" w:lineRule="auto"/>
              <w:ind w:firstLine="0" w:firstLineChars="0"/>
              <w:jc w:val="center"/>
              <w:textAlignment w:val="auto"/>
              <w:rPr>
                <w:rFonts w:hint="eastAsia" w:ascii="楷体_GB2312" w:hAnsi="楷体_GB2312" w:eastAsia="楷体_GB2312" w:cs="楷体_GB2312"/>
                <w:b/>
                <w:bCs/>
                <w:snapToGrid/>
                <w:color w:val="auto"/>
                <w:kern w:val="2"/>
                <w:sz w:val="24"/>
                <w:szCs w:val="24"/>
                <w:highlight w:val="none"/>
                <w:lang w:eastAsia="zh-CN"/>
              </w:rPr>
            </w:pPr>
            <w:r>
              <w:rPr>
                <w:rFonts w:hint="eastAsia" w:ascii="楷体_GB2312" w:hAnsi="楷体_GB2312" w:eastAsia="楷体_GB2312" w:cs="楷体_GB2312"/>
                <w:b/>
                <w:bCs/>
                <w:snapToGrid/>
                <w:color w:val="auto"/>
                <w:kern w:val="2"/>
                <w:sz w:val="24"/>
                <w:szCs w:val="24"/>
                <w:highlight w:val="none"/>
                <w:lang w:eastAsia="zh-CN"/>
              </w:rPr>
              <w:t>数量</w:t>
            </w:r>
          </w:p>
        </w:tc>
        <w:tc>
          <w:tcPr>
            <w:tcW w:w="636" w:type="pct"/>
            <w:tcBorders>
              <w:top w:val="single" w:color="auto" w:sz="12" w:space="0"/>
              <w:bottom w:val="double" w:color="auto" w:sz="4" w:space="0"/>
              <w:right w:val="single" w:color="auto" w:sz="12" w:space="0"/>
            </w:tcBorders>
            <w:vAlign w:val="center"/>
          </w:tcPr>
          <w:p w14:paraId="3B275BEE">
            <w:pPr>
              <w:widowControl w:val="0"/>
              <w:kinsoku/>
              <w:autoSpaceDE/>
              <w:autoSpaceDN/>
              <w:adjustRightInd/>
              <w:snapToGrid/>
              <w:spacing w:line="360" w:lineRule="auto"/>
              <w:ind w:firstLine="0" w:firstLineChars="0"/>
              <w:jc w:val="center"/>
              <w:textAlignment w:val="auto"/>
              <w:rPr>
                <w:rFonts w:hint="eastAsia" w:ascii="楷体_GB2312" w:hAnsi="楷体_GB2312" w:eastAsia="楷体_GB2312" w:cs="楷体_GB2312"/>
                <w:b/>
                <w:bCs/>
                <w:snapToGrid/>
                <w:color w:val="auto"/>
                <w:kern w:val="2"/>
                <w:sz w:val="24"/>
                <w:szCs w:val="24"/>
                <w:highlight w:val="none"/>
                <w:lang w:eastAsia="zh-CN"/>
              </w:rPr>
            </w:pPr>
            <w:r>
              <w:rPr>
                <w:rFonts w:hint="eastAsia" w:ascii="楷体_GB2312" w:hAnsi="楷体_GB2312" w:eastAsia="楷体_GB2312" w:cs="楷体_GB2312"/>
                <w:b/>
                <w:bCs/>
                <w:snapToGrid/>
                <w:color w:val="auto"/>
                <w:kern w:val="2"/>
                <w:sz w:val="24"/>
                <w:szCs w:val="24"/>
                <w:highlight w:val="none"/>
                <w:lang w:val="en-US" w:eastAsia="zh-CN"/>
              </w:rPr>
              <w:t>验收</w:t>
            </w:r>
            <w:r>
              <w:rPr>
                <w:rFonts w:hint="eastAsia" w:ascii="楷体_GB2312" w:hAnsi="楷体_GB2312" w:eastAsia="楷体_GB2312" w:cs="楷体_GB2312"/>
                <w:b/>
                <w:bCs/>
                <w:snapToGrid/>
                <w:color w:val="auto"/>
                <w:kern w:val="2"/>
                <w:sz w:val="24"/>
                <w:szCs w:val="24"/>
                <w:highlight w:val="none"/>
                <w:lang w:eastAsia="zh-CN"/>
              </w:rPr>
              <w:t>结果</w:t>
            </w:r>
          </w:p>
        </w:tc>
      </w:tr>
      <w:tr w14:paraId="4C87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tcBorders>
              <w:top w:val="double" w:color="auto" w:sz="4" w:space="0"/>
              <w:left w:val="single" w:color="auto" w:sz="12" w:space="0"/>
              <w:bottom w:val="single" w:color="auto" w:sz="4" w:space="0"/>
            </w:tcBorders>
            <w:vAlign w:val="center"/>
          </w:tcPr>
          <w:p w14:paraId="538C6DBD">
            <w:pPr>
              <w:widowControl w:val="0"/>
              <w:kinsoku/>
              <w:autoSpaceDE/>
              <w:autoSpaceDN/>
              <w:adjustRightInd/>
              <w:snapToGrid/>
              <w:spacing w:line="276"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1</w:t>
            </w:r>
          </w:p>
        </w:tc>
        <w:tc>
          <w:tcPr>
            <w:tcW w:w="1349" w:type="pct"/>
            <w:tcBorders>
              <w:top w:val="double" w:color="auto" w:sz="4" w:space="0"/>
              <w:bottom w:val="single" w:color="auto" w:sz="4" w:space="0"/>
            </w:tcBorders>
            <w:vAlign w:val="center"/>
          </w:tcPr>
          <w:p w14:paraId="760EC7CE">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公路交通情况调查设备</w:t>
            </w:r>
          </w:p>
        </w:tc>
        <w:tc>
          <w:tcPr>
            <w:tcW w:w="770" w:type="pct"/>
            <w:tcBorders>
              <w:top w:val="double" w:color="auto" w:sz="4" w:space="0"/>
              <w:bottom w:val="single" w:color="auto" w:sz="4" w:space="0"/>
            </w:tcBorders>
            <w:vAlign w:val="center"/>
          </w:tcPr>
          <w:p w14:paraId="5F12FC83">
            <w:pPr>
              <w:widowControl w:val="0"/>
              <w:kinsoku/>
              <w:autoSpaceDE/>
              <w:autoSpaceDN/>
              <w:adjustRightInd/>
              <w:snapToGrid/>
              <w:spacing w:line="240" w:lineRule="auto"/>
              <w:ind w:right="-163" w:rightChars="-51"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1068" w:type="pct"/>
            <w:gridSpan w:val="2"/>
            <w:tcBorders>
              <w:top w:val="double" w:color="auto" w:sz="4" w:space="0"/>
              <w:bottom w:val="single" w:color="auto" w:sz="4" w:space="0"/>
            </w:tcBorders>
            <w:vAlign w:val="center"/>
          </w:tcPr>
          <w:p w14:paraId="414CF94D">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370" w:type="pct"/>
            <w:tcBorders>
              <w:top w:val="double" w:color="auto" w:sz="4" w:space="0"/>
              <w:bottom w:val="single" w:color="auto" w:sz="4" w:space="0"/>
            </w:tcBorders>
            <w:vAlign w:val="center"/>
          </w:tcPr>
          <w:p w14:paraId="5C20E473">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438" w:type="pct"/>
            <w:tcBorders>
              <w:top w:val="double" w:color="auto" w:sz="4" w:space="0"/>
              <w:bottom w:val="single" w:color="auto" w:sz="4" w:space="0"/>
            </w:tcBorders>
            <w:vAlign w:val="center"/>
          </w:tcPr>
          <w:p w14:paraId="0F5F9D58">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636" w:type="pct"/>
            <w:tcBorders>
              <w:top w:val="double" w:color="auto" w:sz="4" w:space="0"/>
              <w:bottom w:val="single" w:color="auto" w:sz="4" w:space="0"/>
              <w:right w:val="single" w:color="auto" w:sz="12" w:space="0"/>
            </w:tcBorders>
            <w:vAlign w:val="center"/>
          </w:tcPr>
          <w:p w14:paraId="5EC4AB99">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r>
      <w:tr w14:paraId="30AF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tcBorders>
              <w:top w:val="single" w:color="auto" w:sz="4" w:space="0"/>
              <w:left w:val="single" w:color="auto" w:sz="12" w:space="0"/>
              <w:bottom w:val="single" w:color="auto" w:sz="4" w:space="0"/>
            </w:tcBorders>
            <w:vAlign w:val="center"/>
          </w:tcPr>
          <w:p w14:paraId="0CD86F61">
            <w:pPr>
              <w:widowControl w:val="0"/>
              <w:kinsoku/>
              <w:autoSpaceDE/>
              <w:autoSpaceDN/>
              <w:adjustRightInd/>
              <w:snapToGrid/>
              <w:spacing w:line="276"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2</w:t>
            </w:r>
          </w:p>
        </w:tc>
        <w:tc>
          <w:tcPr>
            <w:tcW w:w="1349" w:type="pct"/>
            <w:tcBorders>
              <w:top w:val="single" w:color="auto" w:sz="4" w:space="0"/>
              <w:bottom w:val="single" w:color="auto" w:sz="4" w:space="0"/>
            </w:tcBorders>
            <w:vAlign w:val="center"/>
          </w:tcPr>
          <w:p w14:paraId="31177BDC">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终端管理设施</w:t>
            </w:r>
          </w:p>
        </w:tc>
        <w:tc>
          <w:tcPr>
            <w:tcW w:w="770" w:type="pct"/>
            <w:tcBorders>
              <w:top w:val="single" w:color="auto" w:sz="4" w:space="0"/>
              <w:bottom w:val="single" w:color="auto" w:sz="4" w:space="0"/>
            </w:tcBorders>
            <w:vAlign w:val="center"/>
          </w:tcPr>
          <w:p w14:paraId="6A8385AD">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1068" w:type="pct"/>
            <w:gridSpan w:val="2"/>
            <w:tcBorders>
              <w:top w:val="single" w:color="auto" w:sz="4" w:space="0"/>
              <w:bottom w:val="single" w:color="auto" w:sz="4" w:space="0"/>
            </w:tcBorders>
            <w:vAlign w:val="center"/>
          </w:tcPr>
          <w:p w14:paraId="19AEF31E">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2"/>
                <w:highlight w:val="none"/>
                <w:lang w:eastAsia="zh-CN"/>
              </w:rPr>
            </w:pPr>
          </w:p>
        </w:tc>
        <w:tc>
          <w:tcPr>
            <w:tcW w:w="370" w:type="pct"/>
            <w:tcBorders>
              <w:top w:val="single" w:color="auto" w:sz="4" w:space="0"/>
              <w:bottom w:val="single" w:color="auto" w:sz="4" w:space="0"/>
            </w:tcBorders>
            <w:vAlign w:val="center"/>
          </w:tcPr>
          <w:p w14:paraId="2A660E7C">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438" w:type="pct"/>
            <w:tcBorders>
              <w:top w:val="single" w:color="auto" w:sz="4" w:space="0"/>
              <w:bottom w:val="single" w:color="auto" w:sz="4" w:space="0"/>
            </w:tcBorders>
            <w:vAlign w:val="center"/>
          </w:tcPr>
          <w:p w14:paraId="39979677">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636" w:type="pct"/>
            <w:tcBorders>
              <w:top w:val="single" w:color="auto" w:sz="4" w:space="0"/>
              <w:bottom w:val="single" w:color="auto" w:sz="4" w:space="0"/>
              <w:right w:val="single" w:color="auto" w:sz="12" w:space="0"/>
            </w:tcBorders>
            <w:vAlign w:val="center"/>
          </w:tcPr>
          <w:p w14:paraId="147AB9FE">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r>
      <w:tr w14:paraId="6637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tcBorders>
              <w:top w:val="single" w:color="auto" w:sz="4" w:space="0"/>
              <w:left w:val="single" w:color="auto" w:sz="12" w:space="0"/>
              <w:bottom w:val="single" w:color="auto" w:sz="4" w:space="0"/>
            </w:tcBorders>
            <w:vAlign w:val="center"/>
          </w:tcPr>
          <w:p w14:paraId="7E523C38">
            <w:pPr>
              <w:widowControl w:val="0"/>
              <w:kinsoku/>
              <w:autoSpaceDE/>
              <w:autoSpaceDN/>
              <w:adjustRightInd/>
              <w:snapToGrid/>
              <w:spacing w:line="276"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3</w:t>
            </w:r>
          </w:p>
        </w:tc>
        <w:tc>
          <w:tcPr>
            <w:tcW w:w="1349" w:type="pct"/>
            <w:tcBorders>
              <w:top w:val="single" w:color="auto" w:sz="4" w:space="0"/>
              <w:bottom w:val="single" w:color="auto" w:sz="4" w:space="0"/>
            </w:tcBorders>
            <w:vAlign w:val="center"/>
          </w:tcPr>
          <w:p w14:paraId="59230F09">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数据模块（工业级）</w:t>
            </w:r>
          </w:p>
        </w:tc>
        <w:tc>
          <w:tcPr>
            <w:tcW w:w="770" w:type="pct"/>
            <w:tcBorders>
              <w:top w:val="single" w:color="auto" w:sz="4" w:space="0"/>
              <w:bottom w:val="single" w:color="auto" w:sz="4" w:space="0"/>
            </w:tcBorders>
            <w:vAlign w:val="center"/>
          </w:tcPr>
          <w:p w14:paraId="7F4577D8">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1068" w:type="pct"/>
            <w:gridSpan w:val="2"/>
            <w:tcBorders>
              <w:top w:val="single" w:color="auto" w:sz="4" w:space="0"/>
              <w:bottom w:val="single" w:color="auto" w:sz="4" w:space="0"/>
            </w:tcBorders>
            <w:vAlign w:val="center"/>
          </w:tcPr>
          <w:p w14:paraId="4EC1B902">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370" w:type="pct"/>
            <w:tcBorders>
              <w:top w:val="single" w:color="auto" w:sz="4" w:space="0"/>
              <w:bottom w:val="single" w:color="auto" w:sz="4" w:space="0"/>
            </w:tcBorders>
            <w:vAlign w:val="center"/>
          </w:tcPr>
          <w:p w14:paraId="16C5CD00">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438" w:type="pct"/>
            <w:tcBorders>
              <w:top w:val="single" w:color="auto" w:sz="4" w:space="0"/>
              <w:bottom w:val="single" w:color="auto" w:sz="4" w:space="0"/>
            </w:tcBorders>
            <w:vAlign w:val="center"/>
          </w:tcPr>
          <w:p w14:paraId="4E6FD7CA">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636" w:type="pct"/>
            <w:tcBorders>
              <w:top w:val="single" w:color="auto" w:sz="4" w:space="0"/>
              <w:bottom w:val="single" w:color="auto" w:sz="4" w:space="0"/>
              <w:right w:val="single" w:color="auto" w:sz="12" w:space="0"/>
            </w:tcBorders>
            <w:vAlign w:val="center"/>
          </w:tcPr>
          <w:p w14:paraId="581B45C0">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r>
      <w:tr w14:paraId="1EFB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tcBorders>
              <w:top w:val="single" w:color="auto" w:sz="4" w:space="0"/>
              <w:left w:val="single" w:color="auto" w:sz="12" w:space="0"/>
              <w:bottom w:val="single" w:color="auto" w:sz="4" w:space="0"/>
            </w:tcBorders>
            <w:vAlign w:val="center"/>
          </w:tcPr>
          <w:p w14:paraId="4CC31ED7">
            <w:pPr>
              <w:widowControl w:val="0"/>
              <w:kinsoku/>
              <w:autoSpaceDE/>
              <w:autoSpaceDN/>
              <w:adjustRightInd/>
              <w:snapToGrid/>
              <w:spacing w:line="276"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4</w:t>
            </w:r>
          </w:p>
        </w:tc>
        <w:tc>
          <w:tcPr>
            <w:tcW w:w="1349" w:type="pct"/>
            <w:tcBorders>
              <w:top w:val="single" w:color="auto" w:sz="4" w:space="0"/>
              <w:bottom w:val="single" w:color="auto" w:sz="4" w:space="0"/>
            </w:tcBorders>
            <w:vAlign w:val="center"/>
          </w:tcPr>
          <w:p w14:paraId="7548AFC9">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气象传感器</w:t>
            </w:r>
          </w:p>
        </w:tc>
        <w:tc>
          <w:tcPr>
            <w:tcW w:w="770" w:type="pct"/>
            <w:tcBorders>
              <w:top w:val="single" w:color="auto" w:sz="4" w:space="0"/>
              <w:bottom w:val="single" w:color="auto" w:sz="4" w:space="0"/>
            </w:tcBorders>
            <w:vAlign w:val="center"/>
          </w:tcPr>
          <w:p w14:paraId="60095005">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1068" w:type="pct"/>
            <w:gridSpan w:val="2"/>
            <w:tcBorders>
              <w:top w:val="single" w:color="auto" w:sz="4" w:space="0"/>
              <w:bottom w:val="single" w:color="auto" w:sz="4" w:space="0"/>
            </w:tcBorders>
            <w:vAlign w:val="center"/>
          </w:tcPr>
          <w:p w14:paraId="23698BA8">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370" w:type="pct"/>
            <w:tcBorders>
              <w:top w:val="single" w:color="auto" w:sz="4" w:space="0"/>
              <w:bottom w:val="single" w:color="auto" w:sz="4" w:space="0"/>
            </w:tcBorders>
            <w:vAlign w:val="center"/>
          </w:tcPr>
          <w:p w14:paraId="65951F7A">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438" w:type="pct"/>
            <w:tcBorders>
              <w:top w:val="single" w:color="auto" w:sz="4" w:space="0"/>
              <w:bottom w:val="single" w:color="auto" w:sz="4" w:space="0"/>
            </w:tcBorders>
            <w:vAlign w:val="center"/>
          </w:tcPr>
          <w:p w14:paraId="304723C1">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636" w:type="pct"/>
            <w:tcBorders>
              <w:top w:val="single" w:color="auto" w:sz="4" w:space="0"/>
              <w:bottom w:val="single" w:color="auto" w:sz="4" w:space="0"/>
              <w:right w:val="single" w:color="auto" w:sz="12" w:space="0"/>
            </w:tcBorders>
            <w:vAlign w:val="center"/>
          </w:tcPr>
          <w:p w14:paraId="6F160A43">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r>
      <w:tr w14:paraId="6397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65" w:type="pct"/>
            <w:tcBorders>
              <w:top w:val="single" w:color="auto" w:sz="4" w:space="0"/>
              <w:left w:val="single" w:color="auto" w:sz="12" w:space="0"/>
              <w:bottom w:val="single" w:color="auto" w:sz="4" w:space="0"/>
            </w:tcBorders>
            <w:vAlign w:val="center"/>
          </w:tcPr>
          <w:p w14:paraId="65BCAA9A">
            <w:pPr>
              <w:widowControl w:val="0"/>
              <w:kinsoku/>
              <w:autoSpaceDE/>
              <w:autoSpaceDN/>
              <w:adjustRightInd/>
              <w:snapToGrid/>
              <w:spacing w:line="276"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5</w:t>
            </w:r>
          </w:p>
        </w:tc>
        <w:tc>
          <w:tcPr>
            <w:tcW w:w="1349" w:type="pct"/>
            <w:tcBorders>
              <w:top w:val="single" w:color="auto" w:sz="4" w:space="0"/>
              <w:bottom w:val="single" w:color="auto" w:sz="4" w:space="0"/>
            </w:tcBorders>
            <w:vAlign w:val="center"/>
          </w:tcPr>
          <w:p w14:paraId="35DF44D6">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卡口抓拍摄像机</w:t>
            </w:r>
          </w:p>
        </w:tc>
        <w:tc>
          <w:tcPr>
            <w:tcW w:w="770" w:type="pct"/>
            <w:tcBorders>
              <w:top w:val="single" w:color="auto" w:sz="4" w:space="0"/>
              <w:bottom w:val="single" w:color="auto" w:sz="4" w:space="0"/>
            </w:tcBorders>
            <w:vAlign w:val="center"/>
          </w:tcPr>
          <w:p w14:paraId="5B7273D3">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1068" w:type="pct"/>
            <w:gridSpan w:val="2"/>
            <w:tcBorders>
              <w:top w:val="single" w:color="auto" w:sz="4" w:space="0"/>
              <w:bottom w:val="single" w:color="auto" w:sz="4" w:space="0"/>
            </w:tcBorders>
            <w:vAlign w:val="center"/>
          </w:tcPr>
          <w:p w14:paraId="21EFAAA1">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370" w:type="pct"/>
            <w:tcBorders>
              <w:top w:val="single" w:color="auto" w:sz="4" w:space="0"/>
              <w:bottom w:val="single" w:color="auto" w:sz="4" w:space="0"/>
            </w:tcBorders>
            <w:vAlign w:val="center"/>
          </w:tcPr>
          <w:p w14:paraId="1D5C0599">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438" w:type="pct"/>
            <w:tcBorders>
              <w:top w:val="single" w:color="auto" w:sz="4" w:space="0"/>
              <w:bottom w:val="single" w:color="auto" w:sz="4" w:space="0"/>
            </w:tcBorders>
            <w:vAlign w:val="center"/>
          </w:tcPr>
          <w:p w14:paraId="5953F7E7">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636" w:type="pct"/>
            <w:tcBorders>
              <w:top w:val="single" w:color="auto" w:sz="4" w:space="0"/>
              <w:bottom w:val="single" w:color="auto" w:sz="4" w:space="0"/>
              <w:right w:val="single" w:color="auto" w:sz="12" w:space="0"/>
            </w:tcBorders>
            <w:vAlign w:val="center"/>
          </w:tcPr>
          <w:p w14:paraId="19F73BB8">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r>
      <w:tr w14:paraId="223E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tcBorders>
              <w:top w:val="single" w:color="auto" w:sz="4" w:space="0"/>
              <w:left w:val="single" w:color="auto" w:sz="12" w:space="0"/>
              <w:bottom w:val="single" w:color="auto" w:sz="4" w:space="0"/>
            </w:tcBorders>
            <w:vAlign w:val="center"/>
          </w:tcPr>
          <w:p w14:paraId="746D6046">
            <w:pPr>
              <w:widowControl w:val="0"/>
              <w:kinsoku/>
              <w:autoSpaceDE/>
              <w:autoSpaceDN/>
              <w:adjustRightInd/>
              <w:snapToGrid/>
              <w:spacing w:line="276"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val="en-US" w:eastAsia="zh-CN"/>
              </w:rPr>
              <w:t>6</w:t>
            </w:r>
          </w:p>
        </w:tc>
        <w:tc>
          <w:tcPr>
            <w:tcW w:w="1349" w:type="pct"/>
            <w:tcBorders>
              <w:top w:val="single" w:color="auto" w:sz="4" w:space="0"/>
              <w:bottom w:val="single" w:color="auto" w:sz="4" w:space="0"/>
            </w:tcBorders>
            <w:vAlign w:val="center"/>
          </w:tcPr>
          <w:p w14:paraId="585CCEA5">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一体化补光灯</w:t>
            </w:r>
          </w:p>
        </w:tc>
        <w:tc>
          <w:tcPr>
            <w:tcW w:w="770" w:type="pct"/>
            <w:tcBorders>
              <w:top w:val="single" w:color="auto" w:sz="4" w:space="0"/>
              <w:bottom w:val="single" w:color="auto" w:sz="4" w:space="0"/>
            </w:tcBorders>
            <w:vAlign w:val="center"/>
          </w:tcPr>
          <w:p w14:paraId="066EFAAD">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1068" w:type="pct"/>
            <w:gridSpan w:val="2"/>
            <w:tcBorders>
              <w:top w:val="single" w:color="auto" w:sz="4" w:space="0"/>
              <w:bottom w:val="single" w:color="auto" w:sz="4" w:space="0"/>
            </w:tcBorders>
            <w:vAlign w:val="center"/>
          </w:tcPr>
          <w:p w14:paraId="73145BC9">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370" w:type="pct"/>
            <w:tcBorders>
              <w:top w:val="single" w:color="auto" w:sz="4" w:space="0"/>
              <w:bottom w:val="single" w:color="auto" w:sz="4" w:space="0"/>
            </w:tcBorders>
            <w:vAlign w:val="center"/>
          </w:tcPr>
          <w:p w14:paraId="5322C7EB">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438" w:type="pct"/>
            <w:tcBorders>
              <w:top w:val="single" w:color="auto" w:sz="4" w:space="0"/>
              <w:bottom w:val="single" w:color="auto" w:sz="4" w:space="0"/>
            </w:tcBorders>
            <w:vAlign w:val="center"/>
          </w:tcPr>
          <w:p w14:paraId="0626A9C8">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636" w:type="pct"/>
            <w:tcBorders>
              <w:top w:val="single" w:color="auto" w:sz="4" w:space="0"/>
              <w:bottom w:val="single" w:color="auto" w:sz="4" w:space="0"/>
              <w:right w:val="single" w:color="auto" w:sz="12" w:space="0"/>
            </w:tcBorders>
            <w:vAlign w:val="center"/>
          </w:tcPr>
          <w:p w14:paraId="5A9E9071">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r>
      <w:tr w14:paraId="5F62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tcBorders>
              <w:top w:val="single" w:color="auto" w:sz="4" w:space="0"/>
              <w:left w:val="single" w:color="auto" w:sz="12" w:space="0"/>
              <w:bottom w:val="single" w:color="auto" w:sz="4" w:space="0"/>
            </w:tcBorders>
            <w:vAlign w:val="center"/>
          </w:tcPr>
          <w:p w14:paraId="11A3D66D">
            <w:pPr>
              <w:widowControl w:val="0"/>
              <w:kinsoku/>
              <w:autoSpaceDE/>
              <w:autoSpaceDN/>
              <w:adjustRightInd/>
              <w:snapToGrid/>
              <w:spacing w:line="276"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val="en-US" w:eastAsia="zh-CN"/>
              </w:rPr>
              <w:t>7</w:t>
            </w:r>
          </w:p>
        </w:tc>
        <w:tc>
          <w:tcPr>
            <w:tcW w:w="1349" w:type="pct"/>
            <w:tcBorders>
              <w:top w:val="single" w:color="auto" w:sz="4" w:space="0"/>
              <w:bottom w:val="single" w:color="auto" w:sz="4" w:space="0"/>
            </w:tcBorders>
            <w:vAlign w:val="center"/>
          </w:tcPr>
          <w:p w14:paraId="61A2199A">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监控球型摄像机</w:t>
            </w:r>
          </w:p>
        </w:tc>
        <w:tc>
          <w:tcPr>
            <w:tcW w:w="770" w:type="pct"/>
            <w:tcBorders>
              <w:top w:val="single" w:color="auto" w:sz="4" w:space="0"/>
              <w:bottom w:val="single" w:color="auto" w:sz="4" w:space="0"/>
            </w:tcBorders>
            <w:vAlign w:val="center"/>
          </w:tcPr>
          <w:p w14:paraId="0260B64B">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1068" w:type="pct"/>
            <w:gridSpan w:val="2"/>
            <w:tcBorders>
              <w:top w:val="single" w:color="auto" w:sz="4" w:space="0"/>
              <w:bottom w:val="single" w:color="auto" w:sz="4" w:space="0"/>
            </w:tcBorders>
            <w:vAlign w:val="center"/>
          </w:tcPr>
          <w:p w14:paraId="3BA02D88">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370" w:type="pct"/>
            <w:tcBorders>
              <w:top w:val="single" w:color="auto" w:sz="4" w:space="0"/>
              <w:bottom w:val="single" w:color="auto" w:sz="4" w:space="0"/>
            </w:tcBorders>
            <w:vAlign w:val="center"/>
          </w:tcPr>
          <w:p w14:paraId="3CF975D0">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438" w:type="pct"/>
            <w:tcBorders>
              <w:top w:val="single" w:color="auto" w:sz="4" w:space="0"/>
              <w:bottom w:val="single" w:color="auto" w:sz="4" w:space="0"/>
            </w:tcBorders>
            <w:vAlign w:val="center"/>
          </w:tcPr>
          <w:p w14:paraId="07E61EC5">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636" w:type="pct"/>
            <w:tcBorders>
              <w:top w:val="single" w:color="auto" w:sz="4" w:space="0"/>
              <w:bottom w:val="single" w:color="auto" w:sz="4" w:space="0"/>
              <w:right w:val="single" w:color="auto" w:sz="12" w:space="0"/>
            </w:tcBorders>
            <w:vAlign w:val="center"/>
          </w:tcPr>
          <w:p w14:paraId="3D814444">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r>
      <w:tr w14:paraId="3EF1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65" w:type="pct"/>
            <w:tcBorders>
              <w:top w:val="single" w:color="auto" w:sz="4" w:space="0"/>
              <w:left w:val="single" w:color="auto" w:sz="12" w:space="0"/>
              <w:bottom w:val="single" w:color="auto" w:sz="4" w:space="0"/>
            </w:tcBorders>
            <w:vAlign w:val="center"/>
          </w:tcPr>
          <w:p w14:paraId="50976732">
            <w:pPr>
              <w:widowControl w:val="0"/>
              <w:kinsoku/>
              <w:autoSpaceDE/>
              <w:autoSpaceDN/>
              <w:adjustRightInd/>
              <w:snapToGrid/>
              <w:spacing w:line="276"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val="en-US" w:eastAsia="zh-CN"/>
              </w:rPr>
              <w:t>8</w:t>
            </w:r>
          </w:p>
        </w:tc>
        <w:tc>
          <w:tcPr>
            <w:tcW w:w="1349" w:type="pct"/>
            <w:tcBorders>
              <w:top w:val="single" w:color="auto" w:sz="4" w:space="0"/>
              <w:bottom w:val="single" w:color="auto" w:sz="4" w:space="0"/>
            </w:tcBorders>
            <w:vAlign w:val="center"/>
          </w:tcPr>
          <w:p w14:paraId="7049E260">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后备电源</w:t>
            </w:r>
          </w:p>
        </w:tc>
        <w:tc>
          <w:tcPr>
            <w:tcW w:w="770" w:type="pct"/>
            <w:tcBorders>
              <w:top w:val="single" w:color="auto" w:sz="4" w:space="0"/>
              <w:bottom w:val="single" w:color="auto" w:sz="4" w:space="0"/>
            </w:tcBorders>
            <w:vAlign w:val="center"/>
          </w:tcPr>
          <w:p w14:paraId="47457E47">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1068" w:type="pct"/>
            <w:gridSpan w:val="2"/>
            <w:tcBorders>
              <w:top w:val="single" w:color="auto" w:sz="4" w:space="0"/>
              <w:bottom w:val="single" w:color="auto" w:sz="4" w:space="0"/>
            </w:tcBorders>
            <w:vAlign w:val="center"/>
          </w:tcPr>
          <w:p w14:paraId="67DC5002">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370" w:type="pct"/>
            <w:tcBorders>
              <w:top w:val="single" w:color="auto" w:sz="4" w:space="0"/>
              <w:bottom w:val="single" w:color="auto" w:sz="4" w:space="0"/>
            </w:tcBorders>
            <w:vAlign w:val="center"/>
          </w:tcPr>
          <w:p w14:paraId="254703BA">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438" w:type="pct"/>
            <w:tcBorders>
              <w:top w:val="single" w:color="auto" w:sz="4" w:space="0"/>
              <w:bottom w:val="single" w:color="auto" w:sz="4" w:space="0"/>
            </w:tcBorders>
            <w:vAlign w:val="center"/>
          </w:tcPr>
          <w:p w14:paraId="09E531A1">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636" w:type="pct"/>
            <w:tcBorders>
              <w:top w:val="single" w:color="auto" w:sz="4" w:space="0"/>
              <w:bottom w:val="single" w:color="auto" w:sz="4" w:space="0"/>
              <w:right w:val="single" w:color="auto" w:sz="12" w:space="0"/>
            </w:tcBorders>
            <w:vAlign w:val="center"/>
          </w:tcPr>
          <w:p w14:paraId="0247AF62">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r>
      <w:tr w14:paraId="7E89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tcBorders>
              <w:top w:val="single" w:color="auto" w:sz="4" w:space="0"/>
              <w:left w:val="single" w:color="auto" w:sz="12" w:space="0"/>
              <w:bottom w:val="single" w:color="auto" w:sz="4" w:space="0"/>
            </w:tcBorders>
            <w:vAlign w:val="center"/>
          </w:tcPr>
          <w:p w14:paraId="26CB895C">
            <w:pPr>
              <w:widowControl w:val="0"/>
              <w:kinsoku/>
              <w:autoSpaceDE/>
              <w:autoSpaceDN/>
              <w:adjustRightInd/>
              <w:snapToGrid/>
              <w:spacing w:line="276"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val="en-US" w:eastAsia="zh-CN"/>
              </w:rPr>
              <w:t>9</w:t>
            </w:r>
          </w:p>
        </w:tc>
        <w:tc>
          <w:tcPr>
            <w:tcW w:w="1349" w:type="pct"/>
            <w:tcBorders>
              <w:top w:val="single" w:color="auto" w:sz="4" w:space="0"/>
              <w:bottom w:val="single" w:color="auto" w:sz="4" w:space="0"/>
            </w:tcBorders>
            <w:vAlign w:val="center"/>
          </w:tcPr>
          <w:p w14:paraId="2645CE6C">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智能中控机箱</w:t>
            </w:r>
          </w:p>
        </w:tc>
        <w:tc>
          <w:tcPr>
            <w:tcW w:w="770" w:type="pct"/>
            <w:tcBorders>
              <w:top w:val="single" w:color="auto" w:sz="4" w:space="0"/>
              <w:bottom w:val="single" w:color="auto" w:sz="4" w:space="0"/>
            </w:tcBorders>
            <w:vAlign w:val="center"/>
          </w:tcPr>
          <w:p w14:paraId="7A56039C">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1068" w:type="pct"/>
            <w:gridSpan w:val="2"/>
            <w:tcBorders>
              <w:top w:val="single" w:color="auto" w:sz="4" w:space="0"/>
              <w:bottom w:val="single" w:color="auto" w:sz="4" w:space="0"/>
            </w:tcBorders>
            <w:vAlign w:val="center"/>
          </w:tcPr>
          <w:p w14:paraId="7BF9B917">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370" w:type="pct"/>
            <w:tcBorders>
              <w:top w:val="single" w:color="auto" w:sz="4" w:space="0"/>
              <w:bottom w:val="single" w:color="auto" w:sz="4" w:space="0"/>
            </w:tcBorders>
            <w:vAlign w:val="center"/>
          </w:tcPr>
          <w:p w14:paraId="14CF9D14">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438" w:type="pct"/>
            <w:tcBorders>
              <w:top w:val="single" w:color="auto" w:sz="4" w:space="0"/>
              <w:bottom w:val="single" w:color="auto" w:sz="4" w:space="0"/>
            </w:tcBorders>
            <w:vAlign w:val="center"/>
          </w:tcPr>
          <w:p w14:paraId="44404409">
            <w:pPr>
              <w:widowControl w:val="0"/>
              <w:kinsoku/>
              <w:autoSpaceDE/>
              <w:autoSpaceDN/>
              <w:adjustRightInd/>
              <w:snapToGrid/>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636" w:type="pct"/>
            <w:tcBorders>
              <w:top w:val="single" w:color="auto" w:sz="4" w:space="0"/>
              <w:bottom w:val="single" w:color="auto" w:sz="4" w:space="0"/>
              <w:right w:val="single" w:color="auto" w:sz="12" w:space="0"/>
            </w:tcBorders>
            <w:vAlign w:val="center"/>
          </w:tcPr>
          <w:p w14:paraId="20E92EB5">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r>
      <w:tr w14:paraId="06B1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jc w:val="center"/>
        </w:trPr>
        <w:tc>
          <w:tcPr>
            <w:tcW w:w="5000" w:type="pct"/>
            <w:gridSpan w:val="8"/>
            <w:tcBorders>
              <w:top w:val="single" w:color="auto" w:sz="4" w:space="0"/>
              <w:left w:val="single" w:color="auto" w:sz="12" w:space="0"/>
              <w:bottom w:val="single" w:color="auto" w:sz="4" w:space="0"/>
              <w:right w:val="single" w:color="auto" w:sz="12" w:space="0"/>
            </w:tcBorders>
            <w:vAlign w:val="top"/>
          </w:tcPr>
          <w:p w14:paraId="4209CBE4">
            <w:pPr>
              <w:widowControl w:val="0"/>
              <w:kinsoku/>
              <w:autoSpaceDE/>
              <w:autoSpaceDN/>
              <w:adjustRightInd/>
              <w:snapToGrid/>
              <w:spacing w:line="360" w:lineRule="auto"/>
              <w:ind w:firstLine="0" w:firstLineChars="0"/>
              <w:jc w:val="left"/>
              <w:textAlignment w:val="auto"/>
              <w:rPr>
                <w:rFonts w:hint="eastAsia" w:ascii="仿宋_GB2312" w:hAnsi="仿宋_GB2312" w:eastAsia="仿宋_GB2312" w:cs="仿宋_GB2312"/>
                <w:snapToGrid/>
                <w:color w:val="auto"/>
                <w:kern w:val="2"/>
                <w:sz w:val="24"/>
                <w:szCs w:val="24"/>
                <w:highlight w:val="none"/>
                <w:lang w:val="en-US" w:eastAsia="zh-CN"/>
              </w:rPr>
            </w:pPr>
            <w:r>
              <w:rPr>
                <w:rFonts w:hint="eastAsia" w:ascii="仿宋_GB2312" w:hAnsi="仿宋_GB2312" w:eastAsia="仿宋_GB2312" w:cs="仿宋_GB2312"/>
                <w:snapToGrid/>
                <w:color w:val="auto"/>
                <w:kern w:val="2"/>
                <w:sz w:val="24"/>
                <w:szCs w:val="24"/>
                <w:highlight w:val="none"/>
                <w:lang w:val="en-US" w:eastAsia="zh-CN"/>
              </w:rPr>
              <w:t>设备验收结论：</w:t>
            </w:r>
          </w:p>
        </w:tc>
      </w:tr>
      <w:tr w14:paraId="56C1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2558" w:type="pct"/>
            <w:gridSpan w:val="4"/>
            <w:tcBorders>
              <w:top w:val="single" w:color="auto" w:sz="4" w:space="0"/>
              <w:left w:val="single" w:color="auto" w:sz="12" w:space="0"/>
              <w:bottom w:val="single" w:color="auto" w:sz="12" w:space="0"/>
              <w:right w:val="single" w:color="auto" w:sz="4" w:space="0"/>
            </w:tcBorders>
            <w:vAlign w:val="center"/>
          </w:tcPr>
          <w:p w14:paraId="19682568">
            <w:pPr>
              <w:widowControl w:val="0"/>
              <w:kinsoku/>
              <w:autoSpaceDE/>
              <w:autoSpaceDN/>
              <w:adjustRightInd/>
              <w:snapToGrid/>
              <w:spacing w:line="480" w:lineRule="auto"/>
              <w:ind w:firstLine="0" w:firstLineChars="0"/>
              <w:jc w:val="both"/>
              <w:textAlignment w:val="auto"/>
              <w:rPr>
                <w:rFonts w:hint="eastAsia" w:ascii="仿宋_GB2312" w:hAnsi="仿宋_GB2312" w:eastAsia="仿宋_GB2312" w:cs="仿宋_GB2312"/>
                <w:snapToGrid/>
                <w:color w:val="auto"/>
                <w:kern w:val="2"/>
                <w:sz w:val="24"/>
                <w:szCs w:val="21"/>
                <w:highlight w:val="none"/>
                <w:lang w:eastAsia="zh-CN"/>
              </w:rPr>
            </w:pPr>
            <w:r>
              <w:rPr>
                <w:rFonts w:hint="eastAsia" w:ascii="仿宋_GB2312" w:hAnsi="仿宋_GB2312" w:eastAsia="仿宋_GB2312" w:cs="仿宋_GB2312"/>
                <w:snapToGrid/>
                <w:color w:val="auto"/>
                <w:kern w:val="2"/>
                <w:sz w:val="24"/>
                <w:szCs w:val="21"/>
                <w:highlight w:val="none"/>
                <w:lang w:eastAsia="zh-CN"/>
              </w:rPr>
              <w:t>交付单位：</w:t>
            </w:r>
          </w:p>
          <w:p w14:paraId="195C25F6">
            <w:pPr>
              <w:widowControl w:val="0"/>
              <w:kinsoku/>
              <w:autoSpaceDE/>
              <w:autoSpaceDN/>
              <w:adjustRightInd/>
              <w:snapToGrid/>
              <w:spacing w:line="480" w:lineRule="auto"/>
              <w:ind w:firstLine="0" w:firstLineChars="0"/>
              <w:jc w:val="both"/>
              <w:textAlignment w:val="auto"/>
              <w:rPr>
                <w:rFonts w:hint="eastAsia" w:ascii="仿宋_GB2312" w:hAnsi="仿宋_GB2312" w:eastAsia="仿宋_GB2312" w:cs="仿宋_GB2312"/>
                <w:snapToGrid/>
                <w:color w:val="auto"/>
                <w:kern w:val="2"/>
                <w:sz w:val="24"/>
                <w:szCs w:val="21"/>
                <w:highlight w:val="none"/>
                <w:lang w:eastAsia="zh-CN"/>
              </w:rPr>
            </w:pPr>
            <w:r>
              <w:rPr>
                <w:rFonts w:hint="eastAsia" w:ascii="仿宋_GB2312" w:hAnsi="仿宋_GB2312" w:eastAsia="仿宋_GB2312" w:cs="仿宋_GB2312"/>
                <w:snapToGrid/>
                <w:color w:val="auto"/>
                <w:kern w:val="2"/>
                <w:sz w:val="24"/>
                <w:szCs w:val="21"/>
                <w:highlight w:val="none"/>
                <w:lang w:eastAsia="zh-CN"/>
              </w:rPr>
              <w:t>项目代表：</w:t>
            </w:r>
          </w:p>
          <w:p w14:paraId="337B6C60">
            <w:pPr>
              <w:widowControl w:val="0"/>
              <w:kinsoku/>
              <w:autoSpaceDE/>
              <w:autoSpaceDN/>
              <w:adjustRightInd/>
              <w:snapToGrid/>
              <w:spacing w:line="480" w:lineRule="auto"/>
              <w:ind w:firstLine="0" w:firstLineChars="0"/>
              <w:jc w:val="both"/>
              <w:textAlignment w:val="auto"/>
              <w:rPr>
                <w:rFonts w:hint="eastAsia" w:ascii="仿宋_GB2312" w:hAnsi="仿宋_GB2312" w:eastAsia="仿宋_GB2312" w:cs="仿宋_GB2312"/>
                <w:b/>
                <w:bCs/>
                <w:snapToGrid/>
                <w:color w:val="auto"/>
                <w:kern w:val="2"/>
                <w:sz w:val="24"/>
                <w:szCs w:val="21"/>
                <w:highlight w:val="none"/>
                <w:lang w:eastAsia="zh-CN"/>
              </w:rPr>
            </w:pPr>
            <w:r>
              <w:rPr>
                <w:rFonts w:hint="eastAsia" w:ascii="仿宋_GB2312" w:hAnsi="仿宋_GB2312" w:eastAsia="仿宋_GB2312" w:cs="仿宋_GB2312"/>
                <w:snapToGrid/>
                <w:color w:val="auto"/>
                <w:kern w:val="2"/>
                <w:sz w:val="24"/>
                <w:szCs w:val="21"/>
                <w:highlight w:val="none"/>
                <w:lang w:eastAsia="zh-CN"/>
              </w:rPr>
              <w:t>日    期：</w:t>
            </w:r>
          </w:p>
        </w:tc>
        <w:tc>
          <w:tcPr>
            <w:tcW w:w="2441" w:type="pct"/>
            <w:gridSpan w:val="4"/>
            <w:tcBorders>
              <w:top w:val="single" w:color="auto" w:sz="4" w:space="0"/>
              <w:left w:val="single" w:color="auto" w:sz="4" w:space="0"/>
              <w:bottom w:val="single" w:color="auto" w:sz="12" w:space="0"/>
              <w:right w:val="single" w:color="auto" w:sz="12" w:space="0"/>
            </w:tcBorders>
            <w:vAlign w:val="center"/>
          </w:tcPr>
          <w:p w14:paraId="410E1FFB">
            <w:pPr>
              <w:widowControl w:val="0"/>
              <w:kinsoku/>
              <w:autoSpaceDE/>
              <w:autoSpaceDN/>
              <w:adjustRightInd/>
              <w:snapToGrid/>
              <w:spacing w:line="480" w:lineRule="auto"/>
              <w:ind w:firstLine="0" w:firstLineChars="0"/>
              <w:jc w:val="both"/>
              <w:textAlignment w:val="auto"/>
              <w:rPr>
                <w:rFonts w:hint="eastAsia" w:ascii="仿宋_GB2312" w:hAnsi="仿宋_GB2312" w:eastAsia="仿宋_GB2312" w:cs="仿宋_GB2312"/>
                <w:snapToGrid/>
                <w:color w:val="auto"/>
                <w:kern w:val="2"/>
                <w:sz w:val="24"/>
                <w:szCs w:val="21"/>
                <w:highlight w:val="none"/>
                <w:u w:val="single"/>
                <w:lang w:eastAsia="zh-CN"/>
              </w:rPr>
            </w:pPr>
            <w:r>
              <w:rPr>
                <w:rFonts w:hint="eastAsia" w:ascii="仿宋_GB2312" w:hAnsi="仿宋_GB2312" w:eastAsia="仿宋_GB2312" w:cs="仿宋_GB2312"/>
                <w:snapToGrid/>
                <w:color w:val="auto"/>
                <w:kern w:val="2"/>
                <w:sz w:val="24"/>
                <w:szCs w:val="21"/>
                <w:highlight w:val="none"/>
                <w:lang w:eastAsia="zh-CN"/>
              </w:rPr>
              <w:t>验收单位：</w:t>
            </w:r>
          </w:p>
          <w:p w14:paraId="7D9AF155">
            <w:pPr>
              <w:widowControl w:val="0"/>
              <w:kinsoku/>
              <w:autoSpaceDE/>
              <w:autoSpaceDN/>
              <w:adjustRightInd/>
              <w:snapToGrid/>
              <w:spacing w:line="480" w:lineRule="auto"/>
              <w:ind w:firstLine="0" w:firstLineChars="0"/>
              <w:jc w:val="both"/>
              <w:textAlignment w:val="auto"/>
              <w:rPr>
                <w:rFonts w:hint="eastAsia" w:ascii="仿宋_GB2312" w:hAnsi="仿宋_GB2312" w:eastAsia="仿宋_GB2312" w:cs="仿宋_GB2312"/>
                <w:snapToGrid/>
                <w:color w:val="auto"/>
                <w:kern w:val="2"/>
                <w:sz w:val="24"/>
                <w:szCs w:val="21"/>
                <w:highlight w:val="none"/>
                <w:lang w:eastAsia="zh-CN"/>
              </w:rPr>
            </w:pPr>
            <w:r>
              <w:rPr>
                <w:rFonts w:hint="eastAsia" w:ascii="仿宋_GB2312" w:hAnsi="仿宋_GB2312" w:eastAsia="仿宋_GB2312" w:cs="仿宋_GB2312"/>
                <w:snapToGrid/>
                <w:color w:val="auto"/>
                <w:kern w:val="2"/>
                <w:sz w:val="24"/>
                <w:szCs w:val="21"/>
                <w:highlight w:val="none"/>
                <w:lang w:eastAsia="zh-CN"/>
              </w:rPr>
              <w:t>项目代表：</w:t>
            </w:r>
          </w:p>
          <w:p w14:paraId="5BDF0B0E">
            <w:pPr>
              <w:widowControl w:val="0"/>
              <w:kinsoku/>
              <w:autoSpaceDE/>
              <w:autoSpaceDN/>
              <w:adjustRightInd/>
              <w:snapToGrid/>
              <w:spacing w:line="480" w:lineRule="auto"/>
              <w:ind w:firstLine="0" w:firstLineChars="0"/>
              <w:jc w:val="left"/>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1"/>
                <w:highlight w:val="none"/>
                <w:lang w:eastAsia="zh-CN"/>
              </w:rPr>
              <w:t>日    期：</w:t>
            </w:r>
          </w:p>
        </w:tc>
      </w:tr>
    </w:tbl>
    <w:p w14:paraId="68A16080">
      <w:pPr>
        <w:widowControl/>
        <w:kinsoku w:val="0"/>
        <w:autoSpaceDE w:val="0"/>
        <w:autoSpaceDN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p>
    <w:p w14:paraId="4F3BEAF8">
      <w:pPr>
        <w:adjustRightInd/>
        <w:snapToGrid/>
        <w:spacing w:line="600" w:lineRule="exact"/>
        <w:ind w:firstLine="0" w:firstLineChars="0"/>
        <w:jc w:val="center"/>
        <w:textAlignment w:val="auto"/>
        <w:rPr>
          <w:rFonts w:hint="eastAsia" w:ascii="方正小标宋简体" w:hAnsi="方正小标宋简体" w:eastAsia="方正小标宋简体" w:cs="方正小标宋简体"/>
          <w:b/>
          <w:bCs w:val="0"/>
          <w:color w:val="000000"/>
          <w:kern w:val="2"/>
          <w:sz w:val="36"/>
          <w:szCs w:val="36"/>
          <w:highlight w:val="none"/>
          <w:lang w:val="en-US" w:eastAsia="zh-CN" w:bidi="ar-SA"/>
        </w:rPr>
      </w:pPr>
      <w:r>
        <w:rPr>
          <w:rFonts w:hint="eastAsia" w:ascii="方正小标宋简体" w:hAnsi="方正小标宋简体" w:eastAsia="方正小标宋简体" w:cs="方正小标宋简体"/>
          <w:b/>
          <w:bCs w:val="0"/>
          <w:color w:val="000000"/>
          <w:kern w:val="2"/>
          <w:sz w:val="36"/>
          <w:szCs w:val="36"/>
          <w:highlight w:val="none"/>
          <w:lang w:val="en-US" w:eastAsia="zh-CN" w:bidi="ar-SA"/>
        </w:rPr>
        <w:t>外场验收记录表</w:t>
      </w:r>
    </w:p>
    <w:p w14:paraId="09D479BA">
      <w:pPr>
        <w:keepNext w:val="0"/>
        <w:keepLines w:val="0"/>
        <w:pageBreakBefore w:val="0"/>
        <w:widowControl w:val="0"/>
        <w:kinsoku/>
        <w:wordWrap/>
        <w:overflowPunct/>
        <w:topLinePunct w:val="0"/>
        <w:autoSpaceDE/>
        <w:autoSpaceDN/>
        <w:bidi w:val="0"/>
        <w:adjustRightInd/>
        <w:snapToGrid/>
        <w:spacing w:line="500" w:lineRule="exact"/>
        <w:ind w:left="0" w:hanging="808" w:hangingChars="337"/>
        <w:jc w:val="both"/>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项目名称：</w:t>
      </w:r>
    </w:p>
    <w:p w14:paraId="5B47019C">
      <w:pPr>
        <w:keepNext w:val="0"/>
        <w:keepLines w:val="0"/>
        <w:pageBreakBefore w:val="0"/>
        <w:widowControl w:val="0"/>
        <w:kinsoku/>
        <w:wordWrap/>
        <w:overflowPunct/>
        <w:topLinePunct w:val="0"/>
        <w:autoSpaceDE/>
        <w:autoSpaceDN/>
        <w:bidi w:val="0"/>
        <w:adjustRightInd/>
        <w:snapToGrid/>
        <w:spacing w:line="500" w:lineRule="exact"/>
        <w:ind w:left="0"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项目编号：</w:t>
      </w:r>
    </w:p>
    <w:tbl>
      <w:tblPr>
        <w:tblStyle w:val="12"/>
        <w:tblpPr w:leftFromText="180" w:rightFromText="180" w:vertAnchor="text" w:horzAnchor="page" w:tblpX="817" w:tblpY="323"/>
        <w:tblOverlap w:val="never"/>
        <w:tblW w:w="10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61"/>
        <w:gridCol w:w="937"/>
        <w:gridCol w:w="2857"/>
        <w:gridCol w:w="1443"/>
        <w:gridCol w:w="1525"/>
        <w:gridCol w:w="1025"/>
        <w:gridCol w:w="1225"/>
      </w:tblGrid>
      <w:tr w14:paraId="30F8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341" w:type="dxa"/>
            <w:gridSpan w:val="8"/>
            <w:tcBorders>
              <w:top w:val="single" w:color="auto" w:sz="12" w:space="0"/>
              <w:left w:val="single" w:color="auto" w:sz="12" w:space="0"/>
              <w:right w:val="single" w:color="auto" w:sz="12" w:space="0"/>
            </w:tcBorders>
            <w:noWrap w:val="0"/>
            <w:vAlign w:val="center"/>
          </w:tcPr>
          <w:p w14:paraId="6C605822">
            <w:pPr>
              <w:widowControl/>
              <w:kinsoku/>
              <w:autoSpaceDE/>
              <w:autoSpaceDN/>
              <w:adjustRightInd/>
              <w:snapToGrid/>
              <w:spacing w:line="400" w:lineRule="exact"/>
              <w:ind w:firstLine="0" w:firstLineChars="0"/>
              <w:jc w:val="both"/>
              <w:textAlignment w:val="auto"/>
              <w:outlineLvl w:val="0"/>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eastAsia="zh-CN"/>
              </w:rPr>
              <w:t>检查站点：                         路线桩号：</w:t>
            </w:r>
            <w:r>
              <w:rPr>
                <w:rFonts w:hint="eastAsia" w:ascii="仿宋_GB2312" w:hAnsi="仿宋_GB2312" w:eastAsia="仿宋_GB2312" w:cs="仿宋_GB2312"/>
                <w:snapToGrid/>
                <w:color w:val="auto"/>
                <w:kern w:val="0"/>
                <w:sz w:val="24"/>
                <w:szCs w:val="24"/>
                <w:highlight w:val="none"/>
                <w:lang w:val="en-US" w:eastAsia="zh-CN"/>
              </w:rPr>
              <w:t xml:space="preserve">                验收时间：</w:t>
            </w:r>
          </w:p>
        </w:tc>
      </w:tr>
      <w:tr w14:paraId="3B52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68" w:type="dxa"/>
            <w:tcBorders>
              <w:left w:val="single" w:color="auto" w:sz="12" w:space="0"/>
            </w:tcBorders>
            <w:noWrap w:val="0"/>
            <w:vAlign w:val="center"/>
          </w:tcPr>
          <w:p w14:paraId="15365127">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序号</w:t>
            </w:r>
          </w:p>
        </w:tc>
        <w:tc>
          <w:tcPr>
            <w:tcW w:w="1698" w:type="dxa"/>
            <w:gridSpan w:val="2"/>
            <w:noWrap w:val="0"/>
            <w:vAlign w:val="center"/>
          </w:tcPr>
          <w:p w14:paraId="0445832F">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验收内容</w:t>
            </w:r>
          </w:p>
        </w:tc>
        <w:tc>
          <w:tcPr>
            <w:tcW w:w="4300" w:type="dxa"/>
            <w:gridSpan w:val="2"/>
            <w:noWrap w:val="0"/>
            <w:vAlign w:val="center"/>
          </w:tcPr>
          <w:p w14:paraId="6CE7E17B">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标准</w:t>
            </w:r>
          </w:p>
        </w:tc>
        <w:tc>
          <w:tcPr>
            <w:tcW w:w="1525" w:type="dxa"/>
            <w:noWrap w:val="0"/>
            <w:vAlign w:val="center"/>
          </w:tcPr>
          <w:p w14:paraId="583C4EE7">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是否</w:t>
            </w:r>
          </w:p>
          <w:p w14:paraId="0A68C595">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符合标准</w:t>
            </w:r>
          </w:p>
        </w:tc>
        <w:tc>
          <w:tcPr>
            <w:tcW w:w="1025" w:type="dxa"/>
            <w:noWrap w:val="0"/>
            <w:vAlign w:val="center"/>
          </w:tcPr>
          <w:p w14:paraId="37381E3D">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检查人</w:t>
            </w:r>
          </w:p>
        </w:tc>
        <w:tc>
          <w:tcPr>
            <w:tcW w:w="1225" w:type="dxa"/>
            <w:tcBorders>
              <w:right w:val="single" w:color="auto" w:sz="12" w:space="0"/>
            </w:tcBorders>
            <w:noWrap w:val="0"/>
            <w:vAlign w:val="center"/>
          </w:tcPr>
          <w:p w14:paraId="01A9A380">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现场图片</w:t>
            </w:r>
          </w:p>
        </w:tc>
      </w:tr>
      <w:tr w14:paraId="6C3A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left w:val="single" w:color="auto" w:sz="12" w:space="0"/>
            </w:tcBorders>
            <w:noWrap w:val="0"/>
            <w:vAlign w:val="center"/>
          </w:tcPr>
          <w:p w14:paraId="5D84F7F1">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1</w:t>
            </w:r>
          </w:p>
        </w:tc>
        <w:tc>
          <w:tcPr>
            <w:tcW w:w="761" w:type="dxa"/>
            <w:vMerge w:val="restart"/>
            <w:noWrap w:val="0"/>
            <w:vAlign w:val="center"/>
          </w:tcPr>
          <w:p w14:paraId="1143509A">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系统检查</w:t>
            </w:r>
          </w:p>
        </w:tc>
        <w:tc>
          <w:tcPr>
            <w:tcW w:w="937" w:type="dxa"/>
            <w:noWrap w:val="0"/>
            <w:vAlign w:val="center"/>
          </w:tcPr>
          <w:p w14:paraId="2810EA03">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工程量核对</w:t>
            </w:r>
          </w:p>
        </w:tc>
        <w:tc>
          <w:tcPr>
            <w:tcW w:w="4300" w:type="dxa"/>
            <w:gridSpan w:val="2"/>
            <w:noWrap w:val="0"/>
            <w:vAlign w:val="center"/>
          </w:tcPr>
          <w:p w14:paraId="35C04906">
            <w:pPr>
              <w:widowControl/>
              <w:kinsoku/>
              <w:autoSpaceDE/>
              <w:autoSpaceDN/>
              <w:adjustRightInd/>
              <w:snapToGrid/>
              <w:spacing w:line="400" w:lineRule="exact"/>
              <w:ind w:firstLine="0" w:firstLineChars="0"/>
              <w:jc w:val="left"/>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根据合同、竣工图文件，核对外场设备及配件工程量</w:t>
            </w:r>
          </w:p>
        </w:tc>
        <w:tc>
          <w:tcPr>
            <w:tcW w:w="1525" w:type="dxa"/>
            <w:noWrap w:val="0"/>
            <w:vAlign w:val="center"/>
          </w:tcPr>
          <w:p w14:paraId="6B33B146">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是□  否□</w:t>
            </w:r>
          </w:p>
        </w:tc>
        <w:tc>
          <w:tcPr>
            <w:tcW w:w="1025" w:type="dxa"/>
            <w:noWrap w:val="0"/>
            <w:vAlign w:val="center"/>
          </w:tcPr>
          <w:p w14:paraId="20636C8F">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c>
          <w:tcPr>
            <w:tcW w:w="1225" w:type="dxa"/>
            <w:tcBorders>
              <w:right w:val="single" w:color="auto" w:sz="12" w:space="0"/>
            </w:tcBorders>
            <w:noWrap w:val="0"/>
            <w:vAlign w:val="center"/>
          </w:tcPr>
          <w:p w14:paraId="40B43DFD">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r>
      <w:tr w14:paraId="2E69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left w:val="single" w:color="auto" w:sz="12" w:space="0"/>
            </w:tcBorders>
            <w:noWrap w:val="0"/>
            <w:vAlign w:val="center"/>
          </w:tcPr>
          <w:p w14:paraId="24426C38">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2</w:t>
            </w:r>
          </w:p>
        </w:tc>
        <w:tc>
          <w:tcPr>
            <w:tcW w:w="761" w:type="dxa"/>
            <w:vMerge w:val="continue"/>
            <w:noWrap w:val="0"/>
            <w:vAlign w:val="top"/>
          </w:tcPr>
          <w:p w14:paraId="4E207895">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c>
          <w:tcPr>
            <w:tcW w:w="937" w:type="dxa"/>
            <w:noWrap w:val="0"/>
            <w:vAlign w:val="center"/>
          </w:tcPr>
          <w:p w14:paraId="1957AC62">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外观</w:t>
            </w:r>
          </w:p>
        </w:tc>
        <w:tc>
          <w:tcPr>
            <w:tcW w:w="4300" w:type="dxa"/>
            <w:gridSpan w:val="2"/>
            <w:noWrap w:val="0"/>
            <w:vAlign w:val="center"/>
          </w:tcPr>
          <w:p w14:paraId="53EF1898">
            <w:pPr>
              <w:widowControl/>
              <w:kinsoku/>
              <w:autoSpaceDE/>
              <w:autoSpaceDN/>
              <w:adjustRightInd/>
              <w:snapToGrid/>
              <w:spacing w:line="400" w:lineRule="exact"/>
              <w:ind w:firstLine="0" w:firstLineChars="0"/>
              <w:jc w:val="left"/>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内外表面及部件（光滑、平整、美观、涂层色泽均匀，无锈蚀、凹痕，划伤，裂缝和变形，无塑粉脱落，其理化性能指标应符合国家或行业相关标准的要求</w:t>
            </w:r>
          </w:p>
        </w:tc>
        <w:tc>
          <w:tcPr>
            <w:tcW w:w="1525" w:type="dxa"/>
            <w:noWrap w:val="0"/>
            <w:vAlign w:val="center"/>
          </w:tcPr>
          <w:p w14:paraId="1CFAF012">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是□  否□</w:t>
            </w:r>
          </w:p>
        </w:tc>
        <w:tc>
          <w:tcPr>
            <w:tcW w:w="1025" w:type="dxa"/>
            <w:noWrap w:val="0"/>
            <w:vAlign w:val="center"/>
          </w:tcPr>
          <w:p w14:paraId="26864DF7">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c>
          <w:tcPr>
            <w:tcW w:w="1225" w:type="dxa"/>
            <w:tcBorders>
              <w:right w:val="single" w:color="auto" w:sz="12" w:space="0"/>
            </w:tcBorders>
            <w:noWrap w:val="0"/>
            <w:vAlign w:val="center"/>
          </w:tcPr>
          <w:p w14:paraId="6D789025">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r>
      <w:tr w14:paraId="6916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68" w:type="dxa"/>
            <w:tcBorders>
              <w:left w:val="single" w:color="auto" w:sz="12" w:space="0"/>
            </w:tcBorders>
            <w:noWrap w:val="0"/>
            <w:vAlign w:val="center"/>
          </w:tcPr>
          <w:p w14:paraId="19E6CBBB">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3</w:t>
            </w:r>
          </w:p>
        </w:tc>
        <w:tc>
          <w:tcPr>
            <w:tcW w:w="761" w:type="dxa"/>
            <w:vMerge w:val="restart"/>
            <w:noWrap w:val="0"/>
            <w:vAlign w:val="center"/>
          </w:tcPr>
          <w:p w14:paraId="3B5A298F">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杆件</w:t>
            </w:r>
          </w:p>
        </w:tc>
        <w:tc>
          <w:tcPr>
            <w:tcW w:w="937" w:type="dxa"/>
            <w:noWrap w:val="0"/>
            <w:vAlign w:val="center"/>
          </w:tcPr>
          <w:p w14:paraId="33FFAC92">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防雷</w:t>
            </w:r>
          </w:p>
        </w:tc>
        <w:tc>
          <w:tcPr>
            <w:tcW w:w="4300" w:type="dxa"/>
            <w:gridSpan w:val="2"/>
            <w:noWrap w:val="0"/>
            <w:vAlign w:val="center"/>
          </w:tcPr>
          <w:p w14:paraId="78C3B938">
            <w:pPr>
              <w:widowControl w:val="0"/>
              <w:kinsoku/>
              <w:autoSpaceDE/>
              <w:autoSpaceDN/>
              <w:adjustRightInd/>
              <w:snapToGrid/>
              <w:spacing w:line="400" w:lineRule="exact"/>
              <w:ind w:firstLine="0" w:firstLineChars="0"/>
              <w:jc w:val="both"/>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安装设备顶端配套设置避雷针</w:t>
            </w:r>
          </w:p>
        </w:tc>
        <w:tc>
          <w:tcPr>
            <w:tcW w:w="1525" w:type="dxa"/>
            <w:noWrap w:val="0"/>
            <w:vAlign w:val="center"/>
          </w:tcPr>
          <w:p w14:paraId="638BDA59">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是□  否□</w:t>
            </w:r>
          </w:p>
        </w:tc>
        <w:tc>
          <w:tcPr>
            <w:tcW w:w="1025" w:type="dxa"/>
            <w:noWrap w:val="0"/>
            <w:vAlign w:val="center"/>
          </w:tcPr>
          <w:p w14:paraId="28314E84">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c>
          <w:tcPr>
            <w:tcW w:w="1225" w:type="dxa"/>
            <w:tcBorders>
              <w:right w:val="single" w:color="auto" w:sz="12" w:space="0"/>
            </w:tcBorders>
            <w:noWrap w:val="0"/>
            <w:vAlign w:val="center"/>
          </w:tcPr>
          <w:p w14:paraId="2506D5C4">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r>
      <w:tr w14:paraId="3DF6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left w:val="single" w:color="auto" w:sz="12" w:space="0"/>
            </w:tcBorders>
            <w:noWrap w:val="0"/>
            <w:vAlign w:val="center"/>
          </w:tcPr>
          <w:p w14:paraId="031B55A2">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4</w:t>
            </w:r>
          </w:p>
        </w:tc>
        <w:tc>
          <w:tcPr>
            <w:tcW w:w="761" w:type="dxa"/>
            <w:vMerge w:val="continue"/>
            <w:noWrap w:val="0"/>
            <w:vAlign w:val="center"/>
          </w:tcPr>
          <w:p w14:paraId="1471A795">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c>
          <w:tcPr>
            <w:tcW w:w="937" w:type="dxa"/>
            <w:noWrap w:val="0"/>
            <w:vAlign w:val="center"/>
          </w:tcPr>
          <w:p w14:paraId="0FC10730">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基础</w:t>
            </w:r>
          </w:p>
        </w:tc>
        <w:tc>
          <w:tcPr>
            <w:tcW w:w="4300" w:type="dxa"/>
            <w:gridSpan w:val="2"/>
            <w:noWrap w:val="0"/>
            <w:vAlign w:val="center"/>
          </w:tcPr>
          <w:p w14:paraId="267245A3">
            <w:pPr>
              <w:widowControl w:val="0"/>
              <w:kinsoku/>
              <w:autoSpaceDE/>
              <w:autoSpaceDN/>
              <w:adjustRightInd/>
              <w:snapToGrid/>
              <w:spacing w:line="400" w:lineRule="exact"/>
              <w:ind w:firstLine="0" w:firstLineChars="0"/>
              <w:jc w:val="both"/>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基础附近的回填土要求密实，无下沉，并对地脚螺栓外露部分加以保护</w:t>
            </w:r>
          </w:p>
        </w:tc>
        <w:tc>
          <w:tcPr>
            <w:tcW w:w="1525" w:type="dxa"/>
            <w:noWrap w:val="0"/>
            <w:vAlign w:val="center"/>
          </w:tcPr>
          <w:p w14:paraId="7FD163DE">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是□  否□</w:t>
            </w:r>
          </w:p>
        </w:tc>
        <w:tc>
          <w:tcPr>
            <w:tcW w:w="1025" w:type="dxa"/>
            <w:noWrap w:val="0"/>
            <w:vAlign w:val="center"/>
          </w:tcPr>
          <w:p w14:paraId="4C504D61">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c>
          <w:tcPr>
            <w:tcW w:w="1225" w:type="dxa"/>
            <w:tcBorders>
              <w:right w:val="single" w:color="auto" w:sz="12" w:space="0"/>
            </w:tcBorders>
            <w:noWrap w:val="0"/>
            <w:vAlign w:val="center"/>
          </w:tcPr>
          <w:p w14:paraId="6F640CC8">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r>
      <w:tr w14:paraId="75F0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left w:val="single" w:color="auto" w:sz="12" w:space="0"/>
            </w:tcBorders>
            <w:noWrap w:val="0"/>
            <w:vAlign w:val="center"/>
          </w:tcPr>
          <w:p w14:paraId="725C1191">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5</w:t>
            </w:r>
          </w:p>
        </w:tc>
        <w:tc>
          <w:tcPr>
            <w:tcW w:w="761" w:type="dxa"/>
            <w:vMerge w:val="continue"/>
            <w:noWrap w:val="0"/>
            <w:vAlign w:val="center"/>
          </w:tcPr>
          <w:p w14:paraId="34517509">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c>
          <w:tcPr>
            <w:tcW w:w="937" w:type="dxa"/>
            <w:noWrap w:val="0"/>
            <w:vAlign w:val="center"/>
          </w:tcPr>
          <w:p w14:paraId="1AF9E059">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反光膜</w:t>
            </w:r>
          </w:p>
        </w:tc>
        <w:tc>
          <w:tcPr>
            <w:tcW w:w="4300" w:type="dxa"/>
            <w:gridSpan w:val="2"/>
            <w:noWrap w:val="0"/>
            <w:vAlign w:val="center"/>
          </w:tcPr>
          <w:p w14:paraId="2819BE8A">
            <w:pPr>
              <w:widowControl w:val="0"/>
              <w:kinsoku/>
              <w:autoSpaceDE/>
              <w:autoSpaceDN/>
              <w:adjustRightInd/>
              <w:snapToGrid/>
              <w:spacing w:line="400" w:lineRule="exact"/>
              <w:ind w:firstLine="0" w:firstLineChars="0"/>
              <w:jc w:val="both"/>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张贴于杆件接线门盖以上位置（离地1米，贴膜高度1米），反光膜应全包围张贴，要求平整、无气泡</w:t>
            </w:r>
          </w:p>
        </w:tc>
        <w:tc>
          <w:tcPr>
            <w:tcW w:w="1525" w:type="dxa"/>
            <w:noWrap w:val="0"/>
            <w:vAlign w:val="center"/>
          </w:tcPr>
          <w:p w14:paraId="2D6029DB">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是□  否□</w:t>
            </w:r>
          </w:p>
        </w:tc>
        <w:tc>
          <w:tcPr>
            <w:tcW w:w="1025" w:type="dxa"/>
            <w:noWrap w:val="0"/>
            <w:vAlign w:val="center"/>
          </w:tcPr>
          <w:p w14:paraId="211E4FD6">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c>
          <w:tcPr>
            <w:tcW w:w="1225" w:type="dxa"/>
            <w:tcBorders>
              <w:right w:val="single" w:color="auto" w:sz="12" w:space="0"/>
            </w:tcBorders>
            <w:noWrap w:val="0"/>
            <w:vAlign w:val="center"/>
          </w:tcPr>
          <w:p w14:paraId="5F58248F">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r>
      <w:tr w14:paraId="0DDB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 w:hRule="atLeast"/>
        </w:trPr>
        <w:tc>
          <w:tcPr>
            <w:tcW w:w="568" w:type="dxa"/>
            <w:tcBorders>
              <w:left w:val="single" w:color="auto" w:sz="12" w:space="0"/>
            </w:tcBorders>
            <w:noWrap w:val="0"/>
            <w:vAlign w:val="center"/>
          </w:tcPr>
          <w:p w14:paraId="0E87DB10">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6</w:t>
            </w:r>
          </w:p>
        </w:tc>
        <w:tc>
          <w:tcPr>
            <w:tcW w:w="761" w:type="dxa"/>
            <w:vMerge w:val="restart"/>
            <w:noWrap w:val="0"/>
            <w:vAlign w:val="center"/>
          </w:tcPr>
          <w:p w14:paraId="224192D2">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机箱</w:t>
            </w:r>
          </w:p>
        </w:tc>
        <w:tc>
          <w:tcPr>
            <w:tcW w:w="937" w:type="dxa"/>
            <w:noWrap w:val="0"/>
            <w:vAlign w:val="center"/>
          </w:tcPr>
          <w:p w14:paraId="7287D062">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标识</w:t>
            </w:r>
          </w:p>
          <w:p w14:paraId="1FF9C4AA">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尺寸</w:t>
            </w:r>
          </w:p>
        </w:tc>
        <w:tc>
          <w:tcPr>
            <w:tcW w:w="4300" w:type="dxa"/>
            <w:gridSpan w:val="2"/>
            <w:noWrap w:val="0"/>
            <w:vAlign w:val="center"/>
          </w:tcPr>
          <w:p w14:paraId="2AF8C03C">
            <w:pPr>
              <w:widowControl w:val="0"/>
              <w:kinsoku/>
              <w:autoSpaceDE/>
              <w:autoSpaceDN/>
              <w:adjustRightInd/>
              <w:snapToGrid/>
              <w:spacing w:line="400" w:lineRule="exact"/>
              <w:ind w:firstLine="0" w:firstLineChars="0"/>
              <w:jc w:val="both"/>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机箱尺寸标准，文字和LOGO符合要求，清晰、正确、美观。</w:t>
            </w:r>
          </w:p>
        </w:tc>
        <w:tc>
          <w:tcPr>
            <w:tcW w:w="1525" w:type="dxa"/>
            <w:noWrap w:val="0"/>
            <w:vAlign w:val="center"/>
          </w:tcPr>
          <w:p w14:paraId="335788A4">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是□  否□</w:t>
            </w:r>
          </w:p>
        </w:tc>
        <w:tc>
          <w:tcPr>
            <w:tcW w:w="1025" w:type="dxa"/>
            <w:noWrap w:val="0"/>
            <w:vAlign w:val="center"/>
          </w:tcPr>
          <w:p w14:paraId="3B593909">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c>
          <w:tcPr>
            <w:tcW w:w="1225" w:type="dxa"/>
            <w:tcBorders>
              <w:right w:val="single" w:color="auto" w:sz="12" w:space="0"/>
            </w:tcBorders>
            <w:noWrap w:val="0"/>
            <w:vAlign w:val="center"/>
          </w:tcPr>
          <w:p w14:paraId="5FA35B7D">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r>
      <w:tr w14:paraId="6E47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8" w:type="dxa"/>
            <w:tcBorders>
              <w:left w:val="single" w:color="auto" w:sz="12" w:space="0"/>
            </w:tcBorders>
            <w:noWrap w:val="0"/>
            <w:vAlign w:val="center"/>
          </w:tcPr>
          <w:p w14:paraId="5CB75731">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7</w:t>
            </w:r>
          </w:p>
        </w:tc>
        <w:tc>
          <w:tcPr>
            <w:tcW w:w="761" w:type="dxa"/>
            <w:vMerge w:val="continue"/>
            <w:noWrap w:val="0"/>
            <w:vAlign w:val="top"/>
          </w:tcPr>
          <w:p w14:paraId="7C05396F">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c>
          <w:tcPr>
            <w:tcW w:w="937" w:type="dxa"/>
            <w:noWrap w:val="0"/>
            <w:vAlign w:val="center"/>
          </w:tcPr>
          <w:p w14:paraId="32BA737C">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接线</w:t>
            </w:r>
          </w:p>
        </w:tc>
        <w:tc>
          <w:tcPr>
            <w:tcW w:w="4300" w:type="dxa"/>
            <w:gridSpan w:val="2"/>
            <w:noWrap w:val="0"/>
            <w:vAlign w:val="center"/>
          </w:tcPr>
          <w:p w14:paraId="4C76B132">
            <w:pPr>
              <w:widowControl w:val="0"/>
              <w:kinsoku/>
              <w:autoSpaceDE/>
              <w:autoSpaceDN/>
              <w:adjustRightInd/>
              <w:snapToGrid/>
              <w:spacing w:line="400" w:lineRule="exact"/>
              <w:ind w:firstLine="0" w:firstLineChars="0"/>
              <w:jc w:val="both"/>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机箱紧固件（电路板、接线端子等安装牢靠）</w:t>
            </w:r>
          </w:p>
        </w:tc>
        <w:tc>
          <w:tcPr>
            <w:tcW w:w="1525" w:type="dxa"/>
            <w:noWrap w:val="0"/>
            <w:vAlign w:val="center"/>
          </w:tcPr>
          <w:p w14:paraId="596232D6">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是□  否□</w:t>
            </w:r>
          </w:p>
        </w:tc>
        <w:tc>
          <w:tcPr>
            <w:tcW w:w="1025" w:type="dxa"/>
            <w:noWrap w:val="0"/>
            <w:vAlign w:val="center"/>
          </w:tcPr>
          <w:p w14:paraId="3BAFFBFF">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c>
          <w:tcPr>
            <w:tcW w:w="1225" w:type="dxa"/>
            <w:tcBorders>
              <w:right w:val="single" w:color="auto" w:sz="12" w:space="0"/>
            </w:tcBorders>
            <w:noWrap w:val="0"/>
            <w:vAlign w:val="center"/>
          </w:tcPr>
          <w:p w14:paraId="32AE19F0">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r>
      <w:tr w14:paraId="0BF3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rPr>
        <w:tc>
          <w:tcPr>
            <w:tcW w:w="568" w:type="dxa"/>
            <w:tcBorders>
              <w:left w:val="single" w:color="auto" w:sz="12" w:space="0"/>
            </w:tcBorders>
            <w:noWrap w:val="0"/>
            <w:vAlign w:val="center"/>
          </w:tcPr>
          <w:p w14:paraId="0F6B51B0">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8</w:t>
            </w:r>
          </w:p>
        </w:tc>
        <w:tc>
          <w:tcPr>
            <w:tcW w:w="761" w:type="dxa"/>
            <w:vMerge w:val="continue"/>
            <w:noWrap w:val="0"/>
            <w:vAlign w:val="top"/>
          </w:tcPr>
          <w:p w14:paraId="70A1423B">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c>
          <w:tcPr>
            <w:tcW w:w="937" w:type="dxa"/>
            <w:noWrap w:val="0"/>
            <w:vAlign w:val="center"/>
          </w:tcPr>
          <w:p w14:paraId="5049472D">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线缆</w:t>
            </w:r>
          </w:p>
          <w:p w14:paraId="678090BB">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整理</w:t>
            </w:r>
          </w:p>
        </w:tc>
        <w:tc>
          <w:tcPr>
            <w:tcW w:w="4300" w:type="dxa"/>
            <w:gridSpan w:val="2"/>
            <w:noWrap w:val="0"/>
            <w:vAlign w:val="center"/>
          </w:tcPr>
          <w:p w14:paraId="192583CA">
            <w:pPr>
              <w:widowControl w:val="0"/>
              <w:kinsoku/>
              <w:autoSpaceDE/>
              <w:autoSpaceDN/>
              <w:adjustRightInd/>
              <w:snapToGrid/>
              <w:spacing w:line="400" w:lineRule="exact"/>
              <w:ind w:firstLine="0" w:firstLineChars="0"/>
              <w:jc w:val="both"/>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机箱内部布线整齐，走线横平竖直</w:t>
            </w:r>
          </w:p>
        </w:tc>
        <w:tc>
          <w:tcPr>
            <w:tcW w:w="1525" w:type="dxa"/>
            <w:noWrap w:val="0"/>
            <w:vAlign w:val="center"/>
          </w:tcPr>
          <w:p w14:paraId="122002E3">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是□  否□</w:t>
            </w:r>
          </w:p>
        </w:tc>
        <w:tc>
          <w:tcPr>
            <w:tcW w:w="1025" w:type="dxa"/>
            <w:noWrap w:val="0"/>
            <w:vAlign w:val="center"/>
          </w:tcPr>
          <w:p w14:paraId="0C229BE1">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c>
          <w:tcPr>
            <w:tcW w:w="1225" w:type="dxa"/>
            <w:tcBorders>
              <w:right w:val="single" w:color="auto" w:sz="12" w:space="0"/>
            </w:tcBorders>
            <w:noWrap w:val="0"/>
            <w:vAlign w:val="center"/>
          </w:tcPr>
          <w:p w14:paraId="4EB4CD2F">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r>
      <w:tr w14:paraId="6E65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568" w:type="dxa"/>
            <w:tcBorders>
              <w:left w:val="single" w:color="auto" w:sz="12" w:space="0"/>
            </w:tcBorders>
            <w:noWrap w:val="0"/>
            <w:vAlign w:val="center"/>
          </w:tcPr>
          <w:p w14:paraId="2D9722B5">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9</w:t>
            </w:r>
          </w:p>
        </w:tc>
        <w:tc>
          <w:tcPr>
            <w:tcW w:w="1698" w:type="dxa"/>
            <w:gridSpan w:val="2"/>
            <w:noWrap w:val="0"/>
            <w:vAlign w:val="center"/>
          </w:tcPr>
          <w:p w14:paraId="756557BE">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施工现场环境</w:t>
            </w:r>
          </w:p>
        </w:tc>
        <w:tc>
          <w:tcPr>
            <w:tcW w:w="4300" w:type="dxa"/>
            <w:gridSpan w:val="2"/>
            <w:noWrap w:val="0"/>
            <w:vAlign w:val="center"/>
          </w:tcPr>
          <w:p w14:paraId="208695CD">
            <w:pPr>
              <w:widowControl w:val="0"/>
              <w:kinsoku/>
              <w:autoSpaceDE/>
              <w:autoSpaceDN/>
              <w:adjustRightInd/>
              <w:snapToGrid/>
              <w:spacing w:line="400" w:lineRule="exact"/>
              <w:ind w:firstLine="0" w:firstLineChars="0"/>
              <w:jc w:val="both"/>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现场环境保持干净整洁，无渣土等其他施工垃圾</w:t>
            </w:r>
          </w:p>
        </w:tc>
        <w:tc>
          <w:tcPr>
            <w:tcW w:w="1525" w:type="dxa"/>
            <w:noWrap w:val="0"/>
            <w:vAlign w:val="center"/>
          </w:tcPr>
          <w:p w14:paraId="5EAE61FA">
            <w:pPr>
              <w:widowControl w:val="0"/>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是□  否□</w:t>
            </w:r>
          </w:p>
        </w:tc>
        <w:tc>
          <w:tcPr>
            <w:tcW w:w="1025" w:type="dxa"/>
            <w:noWrap w:val="0"/>
            <w:vAlign w:val="center"/>
          </w:tcPr>
          <w:p w14:paraId="71691E27">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c>
          <w:tcPr>
            <w:tcW w:w="1225" w:type="dxa"/>
            <w:tcBorders>
              <w:right w:val="single" w:color="auto" w:sz="12" w:space="0"/>
            </w:tcBorders>
            <w:noWrap w:val="0"/>
            <w:vAlign w:val="center"/>
          </w:tcPr>
          <w:p w14:paraId="0F4AEED9">
            <w:pPr>
              <w:widowControl/>
              <w:kinsoku/>
              <w:autoSpaceDE/>
              <w:autoSpaceDN/>
              <w:adjustRightInd/>
              <w:snapToGrid/>
              <w:spacing w:line="400" w:lineRule="exact"/>
              <w:ind w:firstLine="0" w:firstLineChars="0"/>
              <w:jc w:val="center"/>
              <w:textAlignment w:val="auto"/>
              <w:rPr>
                <w:rFonts w:hint="eastAsia" w:ascii="仿宋_GB2312" w:hAnsi="仿宋_GB2312" w:eastAsia="仿宋_GB2312" w:cs="仿宋_GB2312"/>
                <w:snapToGrid/>
                <w:color w:val="auto"/>
                <w:kern w:val="0"/>
                <w:sz w:val="24"/>
                <w:szCs w:val="24"/>
                <w:highlight w:val="none"/>
                <w:lang w:eastAsia="zh-CN"/>
              </w:rPr>
            </w:pPr>
          </w:p>
        </w:tc>
      </w:tr>
      <w:tr w14:paraId="25D8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0341" w:type="dxa"/>
            <w:gridSpan w:val="8"/>
            <w:tcBorders>
              <w:left w:val="single" w:color="auto" w:sz="12" w:space="0"/>
              <w:right w:val="single" w:color="auto" w:sz="12" w:space="0"/>
            </w:tcBorders>
            <w:noWrap w:val="0"/>
            <w:vAlign w:val="top"/>
          </w:tcPr>
          <w:p w14:paraId="02B00A8F">
            <w:pPr>
              <w:widowControl/>
              <w:kinsoku/>
              <w:autoSpaceDE/>
              <w:autoSpaceDN/>
              <w:adjustRightInd/>
              <w:snapToGrid/>
              <w:spacing w:line="400" w:lineRule="exact"/>
              <w:ind w:firstLine="0" w:firstLineChars="0"/>
              <w:jc w:val="left"/>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eastAsia="zh-CN"/>
              </w:rPr>
              <w:t>现场核查结论及建议：</w:t>
            </w:r>
          </w:p>
        </w:tc>
      </w:tr>
      <w:tr w14:paraId="0151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8" w:hRule="atLeast"/>
        </w:trPr>
        <w:tc>
          <w:tcPr>
            <w:tcW w:w="5123" w:type="dxa"/>
            <w:gridSpan w:val="4"/>
            <w:tcBorders>
              <w:left w:val="single" w:color="auto" w:sz="12" w:space="0"/>
              <w:bottom w:val="single" w:color="auto" w:sz="12" w:space="0"/>
            </w:tcBorders>
            <w:noWrap w:val="0"/>
            <w:vAlign w:val="top"/>
          </w:tcPr>
          <w:p w14:paraId="56711F7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仿宋_GB2312" w:hAnsi="仿宋_GB2312" w:eastAsia="仿宋_GB2312" w:cs="仿宋_GB2312"/>
                <w:snapToGrid/>
                <w:color w:val="auto"/>
                <w:kern w:val="2"/>
                <w:sz w:val="24"/>
                <w:szCs w:val="21"/>
                <w:highlight w:val="none"/>
                <w:lang w:eastAsia="zh-CN"/>
              </w:rPr>
            </w:pPr>
            <w:r>
              <w:rPr>
                <w:rFonts w:hint="eastAsia" w:ascii="仿宋_GB2312" w:hAnsi="仿宋_GB2312" w:eastAsia="仿宋_GB2312" w:cs="仿宋_GB2312"/>
                <w:snapToGrid/>
                <w:color w:val="auto"/>
                <w:kern w:val="2"/>
                <w:sz w:val="24"/>
                <w:szCs w:val="21"/>
                <w:highlight w:val="none"/>
                <w:lang w:eastAsia="zh-CN"/>
              </w:rPr>
              <w:t>交付单位</w:t>
            </w:r>
            <w:r>
              <w:rPr>
                <w:rFonts w:hint="eastAsia" w:ascii="仿宋_GB2312" w:hAnsi="仿宋_GB2312" w:eastAsia="仿宋_GB2312" w:cs="仿宋_GB2312"/>
                <w:snapToGrid/>
                <w:color w:val="auto"/>
                <w:kern w:val="2"/>
                <w:sz w:val="24"/>
                <w:szCs w:val="21"/>
                <w:highlight w:val="none"/>
                <w:lang w:val="en-US" w:eastAsia="zh-CN"/>
              </w:rPr>
              <w:t>人员</w:t>
            </w:r>
            <w:r>
              <w:rPr>
                <w:rFonts w:hint="eastAsia" w:ascii="仿宋_GB2312" w:hAnsi="仿宋_GB2312" w:eastAsia="仿宋_GB2312" w:cs="仿宋_GB2312"/>
                <w:snapToGrid/>
                <w:color w:val="auto"/>
                <w:kern w:val="2"/>
                <w:sz w:val="24"/>
                <w:szCs w:val="21"/>
                <w:highlight w:val="none"/>
                <w:lang w:eastAsia="zh-CN"/>
              </w:rPr>
              <w:t>：</w:t>
            </w:r>
          </w:p>
          <w:p w14:paraId="233FF45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仿宋_GB2312" w:hAnsi="仿宋_GB2312" w:eastAsia="仿宋_GB2312" w:cs="仿宋_GB2312"/>
                <w:snapToGrid/>
                <w:color w:val="auto"/>
                <w:kern w:val="2"/>
                <w:sz w:val="24"/>
                <w:szCs w:val="21"/>
                <w:highlight w:val="none"/>
                <w:lang w:eastAsia="zh-CN"/>
              </w:rPr>
            </w:pPr>
            <w:r>
              <w:rPr>
                <w:rFonts w:hint="eastAsia" w:ascii="仿宋_GB2312" w:hAnsi="仿宋_GB2312" w:eastAsia="仿宋_GB2312" w:cs="仿宋_GB2312"/>
                <w:snapToGrid/>
                <w:color w:val="auto"/>
                <w:kern w:val="2"/>
                <w:sz w:val="24"/>
                <w:szCs w:val="21"/>
                <w:highlight w:val="none"/>
                <w:lang w:eastAsia="zh-CN"/>
              </w:rPr>
              <w:t>日    期：</w:t>
            </w:r>
          </w:p>
        </w:tc>
        <w:tc>
          <w:tcPr>
            <w:tcW w:w="5218" w:type="dxa"/>
            <w:gridSpan w:val="4"/>
            <w:tcBorders>
              <w:bottom w:val="single" w:color="auto" w:sz="12" w:space="0"/>
              <w:right w:val="single" w:color="auto" w:sz="12" w:space="0"/>
            </w:tcBorders>
            <w:noWrap w:val="0"/>
            <w:vAlign w:val="top"/>
          </w:tcPr>
          <w:p w14:paraId="3F18548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仿宋_GB2312" w:hAnsi="仿宋_GB2312" w:eastAsia="仿宋_GB2312" w:cs="仿宋_GB2312"/>
                <w:snapToGrid/>
                <w:color w:val="auto"/>
                <w:kern w:val="2"/>
                <w:sz w:val="24"/>
                <w:szCs w:val="21"/>
                <w:highlight w:val="none"/>
                <w:lang w:eastAsia="zh-CN"/>
              </w:rPr>
            </w:pPr>
            <w:r>
              <w:rPr>
                <w:rFonts w:hint="eastAsia" w:ascii="仿宋_GB2312" w:hAnsi="仿宋_GB2312" w:eastAsia="仿宋_GB2312" w:cs="仿宋_GB2312"/>
                <w:snapToGrid/>
                <w:color w:val="auto"/>
                <w:kern w:val="2"/>
                <w:sz w:val="24"/>
                <w:szCs w:val="21"/>
                <w:highlight w:val="none"/>
                <w:lang w:eastAsia="zh-CN"/>
              </w:rPr>
              <w:t>验收单位</w:t>
            </w:r>
            <w:r>
              <w:rPr>
                <w:rFonts w:hint="eastAsia" w:ascii="仿宋_GB2312" w:hAnsi="仿宋_GB2312" w:eastAsia="仿宋_GB2312" w:cs="仿宋_GB2312"/>
                <w:snapToGrid/>
                <w:color w:val="auto"/>
                <w:kern w:val="2"/>
                <w:sz w:val="24"/>
                <w:szCs w:val="21"/>
                <w:highlight w:val="none"/>
                <w:lang w:val="en-US" w:eastAsia="zh-CN"/>
              </w:rPr>
              <w:t>人员</w:t>
            </w:r>
            <w:r>
              <w:rPr>
                <w:rFonts w:hint="eastAsia" w:ascii="仿宋_GB2312" w:hAnsi="仿宋_GB2312" w:eastAsia="仿宋_GB2312" w:cs="仿宋_GB2312"/>
                <w:snapToGrid/>
                <w:color w:val="auto"/>
                <w:kern w:val="2"/>
                <w:sz w:val="24"/>
                <w:szCs w:val="21"/>
                <w:highlight w:val="none"/>
                <w:lang w:eastAsia="zh-CN"/>
              </w:rPr>
              <w:t>：</w:t>
            </w:r>
          </w:p>
          <w:p w14:paraId="6E1FFEF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hint="eastAsia" w:ascii="仿宋_GB2312" w:hAnsi="仿宋_GB2312" w:eastAsia="仿宋_GB2312" w:cs="仿宋_GB2312"/>
                <w:snapToGrid/>
                <w:color w:val="auto"/>
                <w:kern w:val="0"/>
                <w:sz w:val="24"/>
                <w:szCs w:val="24"/>
                <w:highlight w:val="none"/>
                <w:lang w:eastAsia="zh-CN"/>
              </w:rPr>
            </w:pPr>
            <w:r>
              <w:rPr>
                <w:rFonts w:hint="eastAsia" w:ascii="仿宋_GB2312" w:hAnsi="仿宋_GB2312" w:eastAsia="仿宋_GB2312" w:cs="仿宋_GB2312"/>
                <w:snapToGrid/>
                <w:color w:val="auto"/>
                <w:kern w:val="2"/>
                <w:sz w:val="24"/>
                <w:szCs w:val="21"/>
                <w:highlight w:val="none"/>
                <w:lang w:eastAsia="zh-CN"/>
              </w:rPr>
              <w:t>日    期：</w:t>
            </w:r>
          </w:p>
        </w:tc>
      </w:tr>
    </w:tbl>
    <w:p w14:paraId="759A0CD5">
      <w:pPr>
        <w:adjustRightInd/>
        <w:snapToGrid/>
        <w:spacing w:line="600" w:lineRule="exact"/>
        <w:ind w:firstLine="0" w:firstLineChars="0"/>
        <w:jc w:val="center"/>
        <w:textAlignment w:val="auto"/>
        <w:rPr>
          <w:rFonts w:hint="eastAsia" w:ascii="方正小标宋简体" w:hAnsi="方正小标宋简体" w:eastAsia="方正小标宋简体" w:cs="方正小标宋简体"/>
          <w:b/>
          <w:bCs w:val="0"/>
          <w:color w:val="000000"/>
          <w:kern w:val="2"/>
          <w:sz w:val="36"/>
          <w:szCs w:val="36"/>
          <w:highlight w:val="none"/>
          <w:lang w:val="en-US" w:eastAsia="zh-CN" w:bidi="ar-SA"/>
        </w:rPr>
      </w:pPr>
      <w:r>
        <w:rPr>
          <w:rFonts w:hint="eastAsia" w:ascii="方正小标宋简体" w:hAnsi="方正小标宋简体" w:eastAsia="方正小标宋简体" w:cs="方正小标宋简体"/>
          <w:b/>
          <w:bCs w:val="0"/>
          <w:color w:val="000000"/>
          <w:kern w:val="2"/>
          <w:sz w:val="36"/>
          <w:szCs w:val="36"/>
          <w:highlight w:val="none"/>
          <w:lang w:val="en-US" w:eastAsia="zh-CN" w:bidi="ar-SA"/>
        </w:rPr>
        <w:t>数据质量验收记录表</w:t>
      </w:r>
    </w:p>
    <w:p w14:paraId="77DFC2B4">
      <w:pPr>
        <w:widowControl w:val="0"/>
        <w:kinsoku/>
        <w:autoSpaceDE/>
        <w:autoSpaceDN/>
        <w:adjustRightInd/>
        <w:snapToGrid/>
        <w:spacing w:line="500" w:lineRule="exact"/>
        <w:ind w:left="0" w:hanging="808" w:hangingChars="337"/>
        <w:jc w:val="both"/>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项目名称：</w:t>
      </w:r>
    </w:p>
    <w:p w14:paraId="4A917A38">
      <w:pPr>
        <w:widowControl w:val="0"/>
        <w:kinsoku/>
        <w:autoSpaceDE/>
        <w:autoSpaceDN/>
        <w:adjustRightInd/>
        <w:snapToGrid/>
        <w:spacing w:line="500" w:lineRule="exact"/>
        <w:ind w:left="0" w:hanging="808" w:hangingChars="337"/>
        <w:jc w:val="both"/>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项目编号：</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269"/>
        <w:gridCol w:w="656"/>
        <w:gridCol w:w="1447"/>
        <w:gridCol w:w="2329"/>
        <w:gridCol w:w="1277"/>
      </w:tblGrid>
      <w:tr w14:paraId="1B43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02" w:type="pct"/>
            <w:tcBorders>
              <w:top w:val="single" w:color="auto" w:sz="12" w:space="0"/>
              <w:left w:val="single" w:color="auto" w:sz="12" w:space="0"/>
            </w:tcBorders>
            <w:vAlign w:val="center"/>
          </w:tcPr>
          <w:p w14:paraId="5214CAF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序号</w:t>
            </w:r>
          </w:p>
        </w:tc>
        <w:tc>
          <w:tcPr>
            <w:tcW w:w="1674" w:type="pct"/>
            <w:tcBorders>
              <w:top w:val="single" w:color="auto" w:sz="12" w:space="0"/>
            </w:tcBorders>
            <w:vAlign w:val="center"/>
          </w:tcPr>
          <w:p w14:paraId="337FDB7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验收项目</w:t>
            </w:r>
          </w:p>
        </w:tc>
        <w:tc>
          <w:tcPr>
            <w:tcW w:w="1077" w:type="pct"/>
            <w:gridSpan w:val="2"/>
            <w:tcBorders>
              <w:top w:val="single" w:color="auto" w:sz="12" w:space="0"/>
            </w:tcBorders>
            <w:vAlign w:val="center"/>
          </w:tcPr>
          <w:p w14:paraId="056D973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是否</w:t>
            </w:r>
          </w:p>
          <w:p w14:paraId="7D12366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符合标准</w:t>
            </w:r>
          </w:p>
        </w:tc>
        <w:tc>
          <w:tcPr>
            <w:tcW w:w="1193" w:type="pct"/>
            <w:tcBorders>
              <w:top w:val="single" w:color="auto" w:sz="12" w:space="0"/>
            </w:tcBorders>
            <w:vAlign w:val="center"/>
          </w:tcPr>
          <w:p w14:paraId="7CE1544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val="en-US" w:eastAsia="zh-CN"/>
              </w:rPr>
              <w:t>不合格情况</w:t>
            </w:r>
          </w:p>
        </w:tc>
        <w:tc>
          <w:tcPr>
            <w:tcW w:w="652" w:type="pct"/>
            <w:tcBorders>
              <w:top w:val="single" w:color="auto" w:sz="12" w:space="0"/>
              <w:right w:val="single" w:color="auto" w:sz="12" w:space="0"/>
            </w:tcBorders>
            <w:vAlign w:val="center"/>
          </w:tcPr>
          <w:p w14:paraId="366AF42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val="en-US" w:eastAsia="zh-CN"/>
              </w:rPr>
              <w:t>验收</w:t>
            </w:r>
            <w:r>
              <w:rPr>
                <w:rFonts w:hint="eastAsia" w:ascii="仿宋_GB2312" w:hAnsi="仿宋_GB2312" w:eastAsia="仿宋_GB2312" w:cs="仿宋_GB2312"/>
                <w:snapToGrid/>
                <w:color w:val="auto"/>
                <w:kern w:val="2"/>
                <w:sz w:val="24"/>
                <w:szCs w:val="24"/>
                <w:highlight w:val="none"/>
                <w:lang w:eastAsia="zh-CN"/>
              </w:rPr>
              <w:t>结果</w:t>
            </w:r>
          </w:p>
        </w:tc>
      </w:tr>
      <w:tr w14:paraId="2AD0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02" w:type="pct"/>
            <w:tcBorders>
              <w:left w:val="single" w:color="auto" w:sz="12" w:space="0"/>
            </w:tcBorders>
            <w:vAlign w:val="center"/>
          </w:tcPr>
          <w:p w14:paraId="723E6C09">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1</w:t>
            </w:r>
          </w:p>
        </w:tc>
        <w:tc>
          <w:tcPr>
            <w:tcW w:w="1674" w:type="pct"/>
            <w:vAlign w:val="center"/>
          </w:tcPr>
          <w:p w14:paraId="09AD8C5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站点采集的数据接入情况</w:t>
            </w:r>
          </w:p>
        </w:tc>
        <w:tc>
          <w:tcPr>
            <w:tcW w:w="1077" w:type="pct"/>
            <w:gridSpan w:val="2"/>
            <w:vAlign w:val="center"/>
          </w:tcPr>
          <w:p w14:paraId="43B794E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是□  否□</w:t>
            </w:r>
          </w:p>
        </w:tc>
        <w:tc>
          <w:tcPr>
            <w:tcW w:w="1193" w:type="pct"/>
            <w:vAlign w:val="center"/>
          </w:tcPr>
          <w:p w14:paraId="45EAE57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652" w:type="pct"/>
            <w:tcBorders>
              <w:right w:val="single" w:color="auto" w:sz="12" w:space="0"/>
            </w:tcBorders>
            <w:vAlign w:val="center"/>
          </w:tcPr>
          <w:p w14:paraId="62BACA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r>
      <w:tr w14:paraId="0071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02" w:type="pct"/>
            <w:tcBorders>
              <w:left w:val="single" w:color="auto" w:sz="12" w:space="0"/>
            </w:tcBorders>
            <w:vAlign w:val="center"/>
          </w:tcPr>
          <w:p w14:paraId="4C64C1E2">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2</w:t>
            </w:r>
          </w:p>
        </w:tc>
        <w:tc>
          <w:tcPr>
            <w:tcW w:w="1674" w:type="pct"/>
            <w:vAlign w:val="center"/>
          </w:tcPr>
          <w:p w14:paraId="353B475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试运行站点运行情况</w:t>
            </w:r>
          </w:p>
        </w:tc>
        <w:tc>
          <w:tcPr>
            <w:tcW w:w="1077" w:type="pct"/>
            <w:gridSpan w:val="2"/>
            <w:vAlign w:val="center"/>
          </w:tcPr>
          <w:p w14:paraId="3064CE1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是□  否□</w:t>
            </w:r>
          </w:p>
        </w:tc>
        <w:tc>
          <w:tcPr>
            <w:tcW w:w="1193" w:type="pct"/>
            <w:vAlign w:val="center"/>
          </w:tcPr>
          <w:p w14:paraId="1597872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652" w:type="pct"/>
            <w:tcBorders>
              <w:right w:val="single" w:color="auto" w:sz="12" w:space="0"/>
            </w:tcBorders>
            <w:vAlign w:val="center"/>
          </w:tcPr>
          <w:p w14:paraId="1D210F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r>
      <w:tr w14:paraId="7B9B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02" w:type="pct"/>
            <w:tcBorders>
              <w:left w:val="single" w:color="auto" w:sz="12" w:space="0"/>
            </w:tcBorders>
            <w:vAlign w:val="center"/>
          </w:tcPr>
          <w:p w14:paraId="7FCD5E1B">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3</w:t>
            </w:r>
          </w:p>
        </w:tc>
        <w:tc>
          <w:tcPr>
            <w:tcW w:w="1674" w:type="pct"/>
            <w:vAlign w:val="center"/>
          </w:tcPr>
          <w:p w14:paraId="2255BD6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精度核查情况</w:t>
            </w:r>
          </w:p>
        </w:tc>
        <w:tc>
          <w:tcPr>
            <w:tcW w:w="1077" w:type="pct"/>
            <w:gridSpan w:val="2"/>
            <w:vAlign w:val="center"/>
          </w:tcPr>
          <w:p w14:paraId="5231194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是□  否□</w:t>
            </w:r>
          </w:p>
        </w:tc>
        <w:tc>
          <w:tcPr>
            <w:tcW w:w="1193" w:type="pct"/>
            <w:vAlign w:val="center"/>
          </w:tcPr>
          <w:p w14:paraId="34F6A1E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652" w:type="pct"/>
            <w:tcBorders>
              <w:right w:val="single" w:color="auto" w:sz="12" w:space="0"/>
            </w:tcBorders>
            <w:vAlign w:val="center"/>
          </w:tcPr>
          <w:p w14:paraId="2FC02C5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r>
      <w:tr w14:paraId="6144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02" w:type="pct"/>
            <w:tcBorders>
              <w:left w:val="single" w:color="auto" w:sz="12" w:space="0"/>
            </w:tcBorders>
            <w:vAlign w:val="center"/>
          </w:tcPr>
          <w:p w14:paraId="6BE597CE">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4</w:t>
            </w:r>
          </w:p>
        </w:tc>
        <w:tc>
          <w:tcPr>
            <w:tcW w:w="1674" w:type="pct"/>
            <w:vAlign w:val="center"/>
          </w:tcPr>
          <w:p w14:paraId="0A4BB73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数据质量情况</w:t>
            </w:r>
          </w:p>
        </w:tc>
        <w:tc>
          <w:tcPr>
            <w:tcW w:w="1077" w:type="pct"/>
            <w:gridSpan w:val="2"/>
            <w:vAlign w:val="center"/>
          </w:tcPr>
          <w:p w14:paraId="6C515A4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是□  否□</w:t>
            </w:r>
          </w:p>
        </w:tc>
        <w:tc>
          <w:tcPr>
            <w:tcW w:w="1193" w:type="pct"/>
            <w:vAlign w:val="center"/>
          </w:tcPr>
          <w:p w14:paraId="5DC1A67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652" w:type="pct"/>
            <w:tcBorders>
              <w:right w:val="single" w:color="auto" w:sz="12" w:space="0"/>
            </w:tcBorders>
            <w:vAlign w:val="center"/>
          </w:tcPr>
          <w:p w14:paraId="4A9DD5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r>
      <w:tr w14:paraId="1306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00" w:type="pct"/>
            <w:gridSpan w:val="6"/>
            <w:tcBorders>
              <w:left w:val="single" w:color="auto" w:sz="12" w:space="0"/>
              <w:right w:val="single" w:color="auto" w:sz="12" w:space="0"/>
            </w:tcBorders>
            <w:vAlign w:val="center"/>
          </w:tcPr>
          <w:p w14:paraId="6ACE8FA1">
            <w:pPr>
              <w:widowControl w:val="0"/>
              <w:kinsoku/>
              <w:autoSpaceDE/>
              <w:autoSpaceDN/>
              <w:adjustRightInd/>
              <w:snapToGrid/>
              <w:spacing w:line="360" w:lineRule="auto"/>
              <w:ind w:firstLine="0" w:firstLineChars="0"/>
              <w:jc w:val="left"/>
              <w:textAlignment w:val="auto"/>
              <w:rPr>
                <w:rFonts w:hint="eastAsia" w:ascii="仿宋_GB2312" w:hAnsi="仿宋_GB2312" w:eastAsia="仿宋_GB2312" w:cs="仿宋_GB2312"/>
                <w:snapToGrid/>
                <w:color w:val="auto"/>
                <w:kern w:val="2"/>
                <w:sz w:val="24"/>
                <w:szCs w:val="24"/>
                <w:highlight w:val="none"/>
                <w:lang w:val="en-US" w:eastAsia="zh-CN"/>
              </w:rPr>
            </w:pPr>
            <w:r>
              <w:rPr>
                <w:rFonts w:hint="eastAsia" w:ascii="仿宋_GB2312" w:hAnsi="仿宋_GB2312" w:eastAsia="仿宋_GB2312" w:cs="仿宋_GB2312"/>
                <w:snapToGrid/>
                <w:color w:val="auto"/>
                <w:kern w:val="2"/>
                <w:sz w:val="24"/>
                <w:szCs w:val="24"/>
                <w:highlight w:val="none"/>
                <w:lang w:eastAsia="zh-CN"/>
              </w:rPr>
              <w:t>说明：</w:t>
            </w:r>
            <w:r>
              <w:rPr>
                <w:rFonts w:hint="eastAsia" w:ascii="仿宋_GB2312" w:hAnsi="仿宋_GB2312" w:eastAsia="仿宋_GB2312" w:cs="仿宋_GB2312"/>
                <w:snapToGrid/>
                <w:color w:val="auto"/>
                <w:kern w:val="2"/>
                <w:sz w:val="24"/>
                <w:szCs w:val="24"/>
                <w:highlight w:val="none"/>
                <w:lang w:val="en-US" w:eastAsia="zh-CN"/>
              </w:rPr>
              <w:t>核查情况以甲方或甲方委托的第三方进行数据连续传输质量核查并出具的站点数据接入合格证明（包括设备运行报告、精度核查报告、数据质量报告）为准。</w:t>
            </w:r>
          </w:p>
          <w:p w14:paraId="3CD71356">
            <w:pPr>
              <w:widowControl w:val="0"/>
              <w:kinsoku/>
              <w:autoSpaceDE/>
              <w:autoSpaceDN/>
              <w:adjustRightInd/>
              <w:snapToGrid/>
              <w:spacing w:line="360" w:lineRule="auto"/>
              <w:ind w:firstLine="0" w:firstLineChars="0"/>
              <w:jc w:val="left"/>
              <w:textAlignment w:val="auto"/>
              <w:rPr>
                <w:rFonts w:hint="eastAsia" w:ascii="仿宋_GB2312" w:hAnsi="仿宋_GB2312" w:eastAsia="仿宋_GB2312" w:cs="仿宋_GB2312"/>
                <w:snapToGrid/>
                <w:color w:val="auto"/>
                <w:kern w:val="2"/>
                <w:sz w:val="24"/>
                <w:szCs w:val="24"/>
                <w:highlight w:val="none"/>
                <w:lang w:val="en-US" w:eastAsia="zh-CN"/>
              </w:rPr>
            </w:pPr>
          </w:p>
          <w:p w14:paraId="7D013F3A">
            <w:pPr>
              <w:widowControl w:val="0"/>
              <w:kinsoku/>
              <w:autoSpaceDE/>
              <w:autoSpaceDN/>
              <w:adjustRightInd/>
              <w:snapToGrid/>
              <w:spacing w:line="360" w:lineRule="auto"/>
              <w:ind w:firstLine="0" w:firstLineChars="0"/>
              <w:jc w:val="left"/>
              <w:textAlignment w:val="auto"/>
              <w:rPr>
                <w:rFonts w:hint="eastAsia" w:ascii="仿宋_GB2312" w:hAnsi="仿宋_GB2312" w:eastAsia="仿宋_GB2312" w:cs="仿宋_GB2312"/>
                <w:snapToGrid/>
                <w:color w:val="auto"/>
                <w:kern w:val="2"/>
                <w:sz w:val="24"/>
                <w:szCs w:val="24"/>
                <w:highlight w:val="none"/>
                <w:lang w:val="en-US" w:eastAsia="zh-CN"/>
              </w:rPr>
            </w:pPr>
          </w:p>
          <w:p w14:paraId="74370C63">
            <w:pPr>
              <w:widowControl w:val="0"/>
              <w:kinsoku/>
              <w:autoSpaceDE/>
              <w:autoSpaceDN/>
              <w:adjustRightInd/>
              <w:snapToGrid/>
              <w:spacing w:line="360" w:lineRule="auto"/>
              <w:ind w:firstLine="0" w:firstLineChars="0"/>
              <w:jc w:val="left"/>
              <w:textAlignment w:val="auto"/>
              <w:rPr>
                <w:rFonts w:hint="eastAsia" w:ascii="仿宋_GB2312" w:hAnsi="仿宋_GB2312" w:eastAsia="仿宋_GB2312" w:cs="仿宋_GB2312"/>
                <w:snapToGrid/>
                <w:color w:val="auto"/>
                <w:kern w:val="2"/>
                <w:sz w:val="24"/>
                <w:szCs w:val="24"/>
                <w:highlight w:val="none"/>
                <w:lang w:val="en-US" w:eastAsia="zh-CN"/>
              </w:rPr>
            </w:pPr>
          </w:p>
          <w:p w14:paraId="5FA5366A">
            <w:pPr>
              <w:widowControl w:val="0"/>
              <w:kinsoku/>
              <w:autoSpaceDE/>
              <w:autoSpaceDN/>
              <w:adjustRightInd/>
              <w:snapToGrid/>
              <w:spacing w:line="360" w:lineRule="auto"/>
              <w:ind w:firstLine="0" w:firstLineChars="0"/>
              <w:jc w:val="left"/>
              <w:textAlignment w:val="auto"/>
              <w:rPr>
                <w:rFonts w:hint="eastAsia" w:ascii="仿宋_GB2312" w:hAnsi="仿宋_GB2312" w:eastAsia="仿宋_GB2312" w:cs="仿宋_GB2312"/>
                <w:snapToGrid/>
                <w:color w:val="auto"/>
                <w:kern w:val="2"/>
                <w:sz w:val="24"/>
                <w:szCs w:val="24"/>
                <w:highlight w:val="none"/>
                <w:lang w:val="en-US" w:eastAsia="zh-CN"/>
              </w:rPr>
            </w:pPr>
          </w:p>
          <w:p w14:paraId="5C7887F0">
            <w:pPr>
              <w:widowControl w:val="0"/>
              <w:kinsoku/>
              <w:autoSpaceDE/>
              <w:autoSpaceDN/>
              <w:adjustRightInd/>
              <w:snapToGrid/>
              <w:spacing w:line="360" w:lineRule="auto"/>
              <w:ind w:firstLine="0" w:firstLineChars="0"/>
              <w:jc w:val="left"/>
              <w:textAlignment w:val="auto"/>
              <w:rPr>
                <w:rFonts w:hint="eastAsia" w:ascii="仿宋_GB2312" w:hAnsi="仿宋_GB2312" w:eastAsia="仿宋_GB2312" w:cs="仿宋_GB2312"/>
                <w:snapToGrid/>
                <w:color w:val="auto"/>
                <w:kern w:val="2"/>
                <w:sz w:val="24"/>
                <w:szCs w:val="24"/>
                <w:highlight w:val="none"/>
                <w:lang w:val="en-US" w:eastAsia="zh-CN"/>
              </w:rPr>
            </w:pPr>
            <w:r>
              <w:rPr>
                <w:rFonts w:hint="eastAsia" w:ascii="仿宋_GB2312" w:hAnsi="仿宋_GB2312" w:eastAsia="仿宋_GB2312" w:cs="仿宋_GB2312"/>
                <w:snapToGrid/>
                <w:color w:val="auto"/>
                <w:kern w:val="2"/>
                <w:sz w:val="24"/>
                <w:szCs w:val="24"/>
                <w:highlight w:val="none"/>
                <w:lang w:val="en-US" w:eastAsia="zh-CN"/>
              </w:rPr>
              <w:t>验收结论：</w:t>
            </w:r>
          </w:p>
        </w:tc>
      </w:tr>
      <w:tr w14:paraId="73A8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2412" w:type="pct"/>
            <w:gridSpan w:val="3"/>
            <w:tcBorders>
              <w:left w:val="single" w:color="auto" w:sz="12" w:space="0"/>
              <w:bottom w:val="single" w:color="auto" w:sz="12" w:space="0"/>
              <w:right w:val="single" w:color="auto" w:sz="4" w:space="0"/>
            </w:tcBorders>
            <w:vAlign w:val="center"/>
          </w:tcPr>
          <w:p w14:paraId="1126D0FC">
            <w:pPr>
              <w:widowControl w:val="0"/>
              <w:kinsoku/>
              <w:autoSpaceDE/>
              <w:autoSpaceDN/>
              <w:adjustRightInd/>
              <w:snapToGrid/>
              <w:spacing w:line="480" w:lineRule="auto"/>
              <w:ind w:firstLine="0" w:firstLineChars="0"/>
              <w:jc w:val="both"/>
              <w:textAlignment w:val="auto"/>
              <w:rPr>
                <w:rFonts w:hint="eastAsia" w:ascii="仿宋_GB2312" w:hAnsi="仿宋_GB2312" w:eastAsia="仿宋_GB2312" w:cs="仿宋_GB2312"/>
                <w:snapToGrid/>
                <w:color w:val="auto"/>
                <w:kern w:val="2"/>
                <w:sz w:val="24"/>
                <w:szCs w:val="21"/>
                <w:highlight w:val="none"/>
                <w:lang w:eastAsia="zh-CN"/>
              </w:rPr>
            </w:pPr>
            <w:r>
              <w:rPr>
                <w:rFonts w:hint="eastAsia" w:ascii="仿宋_GB2312" w:hAnsi="仿宋_GB2312" w:eastAsia="仿宋_GB2312" w:cs="仿宋_GB2312"/>
                <w:snapToGrid/>
                <w:color w:val="auto"/>
                <w:kern w:val="2"/>
                <w:sz w:val="24"/>
                <w:szCs w:val="21"/>
                <w:highlight w:val="none"/>
                <w:lang w:eastAsia="zh-CN"/>
              </w:rPr>
              <w:t>交付单位：</w:t>
            </w:r>
          </w:p>
          <w:p w14:paraId="0EDEADCC">
            <w:pPr>
              <w:widowControl w:val="0"/>
              <w:kinsoku/>
              <w:autoSpaceDE/>
              <w:autoSpaceDN/>
              <w:adjustRightInd/>
              <w:snapToGrid/>
              <w:spacing w:line="480" w:lineRule="auto"/>
              <w:ind w:firstLine="0" w:firstLineChars="0"/>
              <w:jc w:val="both"/>
              <w:textAlignment w:val="auto"/>
              <w:rPr>
                <w:rFonts w:hint="eastAsia" w:ascii="仿宋_GB2312" w:hAnsi="仿宋_GB2312" w:eastAsia="仿宋_GB2312" w:cs="仿宋_GB2312"/>
                <w:snapToGrid/>
                <w:color w:val="auto"/>
                <w:kern w:val="2"/>
                <w:sz w:val="24"/>
                <w:szCs w:val="21"/>
                <w:highlight w:val="none"/>
                <w:lang w:eastAsia="zh-CN"/>
              </w:rPr>
            </w:pPr>
            <w:r>
              <w:rPr>
                <w:rFonts w:hint="eastAsia" w:ascii="仿宋_GB2312" w:hAnsi="仿宋_GB2312" w:eastAsia="仿宋_GB2312" w:cs="仿宋_GB2312"/>
                <w:snapToGrid/>
                <w:color w:val="auto"/>
                <w:kern w:val="2"/>
                <w:sz w:val="24"/>
                <w:szCs w:val="21"/>
                <w:highlight w:val="none"/>
                <w:lang w:eastAsia="zh-CN"/>
              </w:rPr>
              <w:t>项目代表：</w:t>
            </w:r>
          </w:p>
          <w:p w14:paraId="6EDB8E88">
            <w:pPr>
              <w:widowControl w:val="0"/>
              <w:kinsoku/>
              <w:autoSpaceDE/>
              <w:autoSpaceDN/>
              <w:adjustRightInd/>
              <w:snapToGrid/>
              <w:spacing w:line="480" w:lineRule="auto"/>
              <w:ind w:firstLine="0" w:firstLineChars="0"/>
              <w:jc w:val="both"/>
              <w:textAlignment w:val="auto"/>
              <w:rPr>
                <w:rFonts w:hint="eastAsia" w:ascii="仿宋_GB2312" w:hAnsi="仿宋_GB2312" w:eastAsia="仿宋_GB2312" w:cs="仿宋_GB2312"/>
                <w:b/>
                <w:bCs/>
                <w:snapToGrid/>
                <w:color w:val="auto"/>
                <w:kern w:val="2"/>
                <w:sz w:val="24"/>
                <w:szCs w:val="21"/>
                <w:highlight w:val="none"/>
                <w:lang w:eastAsia="zh-CN"/>
              </w:rPr>
            </w:pPr>
            <w:r>
              <w:rPr>
                <w:rFonts w:hint="eastAsia" w:ascii="仿宋_GB2312" w:hAnsi="仿宋_GB2312" w:eastAsia="仿宋_GB2312" w:cs="仿宋_GB2312"/>
                <w:snapToGrid/>
                <w:color w:val="auto"/>
                <w:kern w:val="2"/>
                <w:sz w:val="24"/>
                <w:szCs w:val="21"/>
                <w:highlight w:val="none"/>
                <w:lang w:eastAsia="zh-CN"/>
              </w:rPr>
              <w:t>日    期：</w:t>
            </w:r>
          </w:p>
        </w:tc>
        <w:tc>
          <w:tcPr>
            <w:tcW w:w="2587" w:type="pct"/>
            <w:gridSpan w:val="3"/>
            <w:tcBorders>
              <w:left w:val="single" w:color="auto" w:sz="4" w:space="0"/>
              <w:bottom w:val="single" w:color="auto" w:sz="12" w:space="0"/>
              <w:right w:val="single" w:color="auto" w:sz="12" w:space="0"/>
            </w:tcBorders>
            <w:vAlign w:val="center"/>
          </w:tcPr>
          <w:p w14:paraId="6AEA8649">
            <w:pPr>
              <w:widowControl w:val="0"/>
              <w:kinsoku/>
              <w:autoSpaceDE/>
              <w:autoSpaceDN/>
              <w:adjustRightInd/>
              <w:snapToGrid/>
              <w:spacing w:line="480" w:lineRule="auto"/>
              <w:ind w:firstLine="0" w:firstLineChars="0"/>
              <w:jc w:val="both"/>
              <w:textAlignment w:val="auto"/>
              <w:rPr>
                <w:rFonts w:hint="eastAsia" w:ascii="仿宋_GB2312" w:hAnsi="仿宋_GB2312" w:eastAsia="仿宋_GB2312" w:cs="仿宋_GB2312"/>
                <w:snapToGrid/>
                <w:color w:val="auto"/>
                <w:kern w:val="2"/>
                <w:sz w:val="24"/>
                <w:szCs w:val="21"/>
                <w:highlight w:val="none"/>
                <w:u w:val="single"/>
                <w:lang w:eastAsia="zh-CN"/>
              </w:rPr>
            </w:pPr>
            <w:r>
              <w:rPr>
                <w:rFonts w:hint="eastAsia" w:ascii="仿宋_GB2312" w:hAnsi="仿宋_GB2312" w:eastAsia="仿宋_GB2312" w:cs="仿宋_GB2312"/>
                <w:snapToGrid/>
                <w:color w:val="auto"/>
                <w:kern w:val="2"/>
                <w:sz w:val="24"/>
                <w:szCs w:val="21"/>
                <w:highlight w:val="none"/>
                <w:lang w:eastAsia="zh-CN"/>
              </w:rPr>
              <w:t>验收单位：</w:t>
            </w:r>
          </w:p>
          <w:p w14:paraId="1A646033">
            <w:pPr>
              <w:widowControl w:val="0"/>
              <w:kinsoku/>
              <w:autoSpaceDE/>
              <w:autoSpaceDN/>
              <w:adjustRightInd/>
              <w:snapToGrid/>
              <w:spacing w:line="480" w:lineRule="auto"/>
              <w:ind w:firstLine="0" w:firstLineChars="0"/>
              <w:jc w:val="both"/>
              <w:textAlignment w:val="auto"/>
              <w:rPr>
                <w:rFonts w:hint="eastAsia" w:ascii="仿宋_GB2312" w:hAnsi="仿宋_GB2312" w:eastAsia="仿宋_GB2312" w:cs="仿宋_GB2312"/>
                <w:snapToGrid/>
                <w:color w:val="auto"/>
                <w:kern w:val="2"/>
                <w:sz w:val="24"/>
                <w:szCs w:val="21"/>
                <w:highlight w:val="none"/>
                <w:lang w:eastAsia="zh-CN"/>
              </w:rPr>
            </w:pPr>
            <w:r>
              <w:rPr>
                <w:rFonts w:hint="eastAsia" w:ascii="仿宋_GB2312" w:hAnsi="仿宋_GB2312" w:eastAsia="仿宋_GB2312" w:cs="仿宋_GB2312"/>
                <w:snapToGrid/>
                <w:color w:val="auto"/>
                <w:kern w:val="2"/>
                <w:sz w:val="24"/>
                <w:szCs w:val="21"/>
                <w:highlight w:val="none"/>
                <w:lang w:eastAsia="zh-CN"/>
              </w:rPr>
              <w:t>项目代表：</w:t>
            </w:r>
          </w:p>
          <w:p w14:paraId="20EEB024">
            <w:pPr>
              <w:widowControl w:val="0"/>
              <w:kinsoku/>
              <w:autoSpaceDE/>
              <w:autoSpaceDN/>
              <w:adjustRightInd/>
              <w:snapToGrid/>
              <w:spacing w:line="480" w:lineRule="auto"/>
              <w:ind w:firstLine="0" w:firstLineChars="0"/>
              <w:jc w:val="left"/>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1"/>
                <w:highlight w:val="none"/>
                <w:lang w:eastAsia="zh-CN"/>
              </w:rPr>
              <w:t>日    期：</w:t>
            </w:r>
          </w:p>
        </w:tc>
      </w:tr>
    </w:tbl>
    <w:p w14:paraId="4B27DBF3">
      <w:pPr>
        <w:widowControl/>
        <w:kinsoku w:val="0"/>
        <w:autoSpaceDE w:val="0"/>
        <w:autoSpaceDN w:val="0"/>
        <w:spacing w:line="240" w:lineRule="auto"/>
        <w:ind w:firstLine="0" w:firstLineChars="0"/>
        <w:jc w:val="left"/>
        <w:textAlignment w:val="baseline"/>
        <w:rPr>
          <w:rFonts w:hint="eastAsia" w:ascii="Arial" w:hAnsi="Arial" w:eastAsia="Arial" w:cs="Arial"/>
          <w:snapToGrid w:val="0"/>
          <w:color w:val="auto"/>
          <w:kern w:val="0"/>
          <w:sz w:val="21"/>
          <w:szCs w:val="21"/>
          <w:highlight w:val="none"/>
          <w:lang w:val="en-US" w:eastAsia="zh-CN"/>
        </w:rPr>
      </w:pPr>
    </w:p>
    <w:p w14:paraId="2DDED72F">
      <w:pPr>
        <w:snapToGrid w:val="0"/>
        <w:spacing w:line="312" w:lineRule="auto"/>
        <w:jc w:val="center"/>
        <w:textAlignment w:val="baseline"/>
        <w:rPr>
          <w:rFonts w:hint="eastAsia" w:ascii="黑体" w:hAnsi="黑体" w:eastAsia="黑体" w:cs="Times New Roman"/>
          <w:b/>
          <w:bCs/>
          <w:color w:val="auto"/>
          <w:kern w:val="21"/>
          <w:sz w:val="32"/>
          <w:szCs w:val="32"/>
          <w:highlight w:val="none"/>
          <w:lang w:val="en-US" w:eastAsia="zh-CN" w:bidi="ar-SA"/>
        </w:rPr>
      </w:pPr>
    </w:p>
    <w:p w14:paraId="1839C386">
      <w:pPr>
        <w:snapToGrid w:val="0"/>
        <w:spacing w:line="312" w:lineRule="auto"/>
        <w:jc w:val="center"/>
        <w:textAlignment w:val="baseline"/>
        <w:rPr>
          <w:rFonts w:hint="eastAsia" w:ascii="黑体" w:hAnsi="黑体" w:eastAsia="黑体" w:cs="Times New Roman"/>
          <w:b/>
          <w:bCs/>
          <w:color w:val="auto"/>
          <w:kern w:val="21"/>
          <w:sz w:val="32"/>
          <w:szCs w:val="32"/>
          <w:highlight w:val="none"/>
          <w:lang w:val="en-US" w:eastAsia="zh-CN" w:bidi="ar-SA"/>
        </w:rPr>
      </w:pPr>
    </w:p>
    <w:p w14:paraId="13229228">
      <w:pPr>
        <w:snapToGrid w:val="0"/>
        <w:spacing w:line="312" w:lineRule="auto"/>
        <w:jc w:val="center"/>
        <w:textAlignment w:val="baseline"/>
        <w:rPr>
          <w:rFonts w:hint="eastAsia" w:ascii="黑体" w:hAnsi="黑体" w:eastAsia="黑体" w:cs="Times New Roman"/>
          <w:b/>
          <w:bCs/>
          <w:color w:val="auto"/>
          <w:kern w:val="21"/>
          <w:sz w:val="32"/>
          <w:szCs w:val="32"/>
          <w:highlight w:val="none"/>
          <w:lang w:val="en-US" w:eastAsia="zh-CN" w:bidi="ar-SA"/>
        </w:rPr>
      </w:pPr>
    </w:p>
    <w:p w14:paraId="4D89F839">
      <w:pPr>
        <w:adjustRightInd/>
        <w:snapToGrid/>
        <w:spacing w:line="600" w:lineRule="exact"/>
        <w:ind w:firstLine="0" w:firstLineChars="0"/>
        <w:jc w:val="center"/>
        <w:textAlignment w:val="auto"/>
        <w:rPr>
          <w:rFonts w:hint="eastAsia" w:ascii="方正小标宋简体" w:hAnsi="方正小标宋简体" w:eastAsia="方正小标宋简体" w:cs="方正小标宋简体"/>
          <w:b/>
          <w:bCs w:val="0"/>
          <w:color w:val="000000"/>
          <w:kern w:val="2"/>
          <w:sz w:val="36"/>
          <w:szCs w:val="36"/>
          <w:highlight w:val="none"/>
          <w:lang w:val="en-US" w:eastAsia="zh-CN" w:bidi="ar-SA"/>
        </w:rPr>
      </w:pPr>
      <w:r>
        <w:rPr>
          <w:rFonts w:hint="eastAsia" w:ascii="方正小标宋简体" w:hAnsi="方正小标宋简体" w:eastAsia="方正小标宋简体" w:cs="方正小标宋简体"/>
          <w:b/>
          <w:bCs w:val="0"/>
          <w:color w:val="000000"/>
          <w:kern w:val="2"/>
          <w:sz w:val="36"/>
          <w:szCs w:val="36"/>
          <w:highlight w:val="none"/>
          <w:lang w:val="en-US" w:eastAsia="zh-CN" w:bidi="ar-SA"/>
        </w:rPr>
        <w:t>交工验收审查表</w:t>
      </w:r>
    </w:p>
    <w:p w14:paraId="2A90F4F7">
      <w:pPr>
        <w:widowControl w:val="0"/>
        <w:kinsoku/>
        <w:autoSpaceDE/>
        <w:autoSpaceDN/>
        <w:adjustRightInd/>
        <w:snapToGrid/>
        <w:spacing w:line="500" w:lineRule="exact"/>
        <w:ind w:left="0" w:hanging="808" w:hangingChars="337"/>
        <w:jc w:val="both"/>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项目名称：</w:t>
      </w:r>
    </w:p>
    <w:p w14:paraId="22CBFE32">
      <w:pPr>
        <w:widowControl w:val="0"/>
        <w:kinsoku/>
        <w:autoSpaceDE/>
        <w:autoSpaceDN/>
        <w:adjustRightInd/>
        <w:snapToGrid/>
        <w:spacing w:line="500" w:lineRule="exact"/>
        <w:ind w:left="0" w:hanging="808" w:hangingChars="337"/>
        <w:jc w:val="both"/>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项目编号：</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269"/>
        <w:gridCol w:w="656"/>
        <w:gridCol w:w="1447"/>
        <w:gridCol w:w="2136"/>
        <w:gridCol w:w="1470"/>
      </w:tblGrid>
      <w:tr w14:paraId="49B6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02" w:type="pct"/>
            <w:tcBorders>
              <w:top w:val="single" w:color="auto" w:sz="12" w:space="0"/>
              <w:left w:val="single" w:color="auto" w:sz="12" w:space="0"/>
            </w:tcBorders>
            <w:vAlign w:val="center"/>
          </w:tcPr>
          <w:p w14:paraId="14B902F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序号</w:t>
            </w:r>
          </w:p>
        </w:tc>
        <w:tc>
          <w:tcPr>
            <w:tcW w:w="1674" w:type="pct"/>
            <w:tcBorders>
              <w:top w:val="single" w:color="auto" w:sz="12" w:space="0"/>
            </w:tcBorders>
            <w:vAlign w:val="center"/>
          </w:tcPr>
          <w:p w14:paraId="7926568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验收项目</w:t>
            </w:r>
          </w:p>
        </w:tc>
        <w:tc>
          <w:tcPr>
            <w:tcW w:w="1077" w:type="pct"/>
            <w:gridSpan w:val="2"/>
            <w:tcBorders>
              <w:top w:val="single" w:color="auto" w:sz="12" w:space="0"/>
            </w:tcBorders>
            <w:vAlign w:val="center"/>
          </w:tcPr>
          <w:p w14:paraId="4F2E2C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是否</w:t>
            </w:r>
          </w:p>
          <w:p w14:paraId="238926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符合标准</w:t>
            </w:r>
          </w:p>
        </w:tc>
        <w:tc>
          <w:tcPr>
            <w:tcW w:w="1094" w:type="pct"/>
            <w:tcBorders>
              <w:top w:val="single" w:color="auto" w:sz="12" w:space="0"/>
            </w:tcBorders>
            <w:vAlign w:val="center"/>
          </w:tcPr>
          <w:p w14:paraId="3D67C91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val="en-US" w:eastAsia="zh-CN"/>
              </w:rPr>
              <w:t>不合格情况</w:t>
            </w:r>
          </w:p>
        </w:tc>
        <w:tc>
          <w:tcPr>
            <w:tcW w:w="751" w:type="pct"/>
            <w:tcBorders>
              <w:top w:val="single" w:color="auto" w:sz="12" w:space="0"/>
              <w:right w:val="single" w:color="auto" w:sz="12" w:space="0"/>
            </w:tcBorders>
            <w:vAlign w:val="center"/>
          </w:tcPr>
          <w:p w14:paraId="1F6C1A2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val="en-US" w:eastAsia="zh-CN"/>
              </w:rPr>
              <w:t>验收</w:t>
            </w:r>
            <w:r>
              <w:rPr>
                <w:rFonts w:hint="eastAsia" w:ascii="仿宋_GB2312" w:hAnsi="仿宋_GB2312" w:eastAsia="仿宋_GB2312" w:cs="仿宋_GB2312"/>
                <w:snapToGrid/>
                <w:color w:val="auto"/>
                <w:kern w:val="2"/>
                <w:sz w:val="24"/>
                <w:szCs w:val="24"/>
                <w:highlight w:val="none"/>
                <w:lang w:eastAsia="zh-CN"/>
              </w:rPr>
              <w:t>结果</w:t>
            </w:r>
          </w:p>
        </w:tc>
      </w:tr>
      <w:tr w14:paraId="23A0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02" w:type="pct"/>
            <w:tcBorders>
              <w:left w:val="single" w:color="auto" w:sz="12" w:space="0"/>
            </w:tcBorders>
            <w:vAlign w:val="center"/>
          </w:tcPr>
          <w:p w14:paraId="6FE99EC3">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1</w:t>
            </w:r>
          </w:p>
        </w:tc>
        <w:tc>
          <w:tcPr>
            <w:tcW w:w="1674" w:type="pct"/>
            <w:vAlign w:val="center"/>
          </w:tcPr>
          <w:p w14:paraId="773872C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设备验收</w:t>
            </w:r>
          </w:p>
        </w:tc>
        <w:tc>
          <w:tcPr>
            <w:tcW w:w="1077" w:type="pct"/>
            <w:gridSpan w:val="2"/>
            <w:vAlign w:val="center"/>
          </w:tcPr>
          <w:p w14:paraId="2832E05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是□  否□</w:t>
            </w:r>
          </w:p>
        </w:tc>
        <w:tc>
          <w:tcPr>
            <w:tcW w:w="1094" w:type="pct"/>
            <w:vAlign w:val="center"/>
          </w:tcPr>
          <w:p w14:paraId="60E4FC1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751" w:type="pct"/>
            <w:tcBorders>
              <w:right w:val="single" w:color="auto" w:sz="12" w:space="0"/>
            </w:tcBorders>
            <w:vAlign w:val="center"/>
          </w:tcPr>
          <w:p w14:paraId="357C9A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r>
      <w:tr w14:paraId="4697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02" w:type="pct"/>
            <w:tcBorders>
              <w:left w:val="single" w:color="auto" w:sz="12" w:space="0"/>
            </w:tcBorders>
            <w:vAlign w:val="center"/>
          </w:tcPr>
          <w:p w14:paraId="50222E28">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2</w:t>
            </w:r>
          </w:p>
        </w:tc>
        <w:tc>
          <w:tcPr>
            <w:tcW w:w="1674" w:type="pct"/>
            <w:vAlign w:val="center"/>
          </w:tcPr>
          <w:p w14:paraId="203D8B6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外场验收</w:t>
            </w:r>
          </w:p>
        </w:tc>
        <w:tc>
          <w:tcPr>
            <w:tcW w:w="1077" w:type="pct"/>
            <w:gridSpan w:val="2"/>
            <w:vAlign w:val="center"/>
          </w:tcPr>
          <w:p w14:paraId="6631530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是□  否□</w:t>
            </w:r>
          </w:p>
        </w:tc>
        <w:tc>
          <w:tcPr>
            <w:tcW w:w="1094" w:type="pct"/>
            <w:vAlign w:val="center"/>
          </w:tcPr>
          <w:p w14:paraId="1CB5203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751" w:type="pct"/>
            <w:tcBorders>
              <w:right w:val="single" w:color="auto" w:sz="12" w:space="0"/>
            </w:tcBorders>
            <w:vAlign w:val="center"/>
          </w:tcPr>
          <w:p w14:paraId="3EB40C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r>
      <w:tr w14:paraId="07FB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02" w:type="pct"/>
            <w:tcBorders>
              <w:left w:val="single" w:color="auto" w:sz="12" w:space="0"/>
            </w:tcBorders>
            <w:vAlign w:val="center"/>
          </w:tcPr>
          <w:p w14:paraId="19B4FD91">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3</w:t>
            </w:r>
          </w:p>
        </w:tc>
        <w:tc>
          <w:tcPr>
            <w:tcW w:w="1674" w:type="pct"/>
            <w:vAlign w:val="center"/>
          </w:tcPr>
          <w:p w14:paraId="1F9E48F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数据质量验收</w:t>
            </w:r>
          </w:p>
        </w:tc>
        <w:tc>
          <w:tcPr>
            <w:tcW w:w="1077" w:type="pct"/>
            <w:gridSpan w:val="2"/>
            <w:vAlign w:val="center"/>
          </w:tcPr>
          <w:p w14:paraId="122697F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是□  否□</w:t>
            </w:r>
          </w:p>
        </w:tc>
        <w:tc>
          <w:tcPr>
            <w:tcW w:w="1094" w:type="pct"/>
            <w:vAlign w:val="center"/>
          </w:tcPr>
          <w:p w14:paraId="343AE4C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c>
          <w:tcPr>
            <w:tcW w:w="751" w:type="pct"/>
            <w:tcBorders>
              <w:right w:val="single" w:color="auto" w:sz="12" w:space="0"/>
            </w:tcBorders>
            <w:vAlign w:val="center"/>
          </w:tcPr>
          <w:p w14:paraId="734B39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p>
        </w:tc>
      </w:tr>
      <w:tr w14:paraId="5FC4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5000" w:type="pct"/>
            <w:gridSpan w:val="6"/>
            <w:tcBorders>
              <w:left w:val="single" w:color="auto" w:sz="12" w:space="0"/>
              <w:right w:val="single" w:color="auto" w:sz="12" w:space="0"/>
            </w:tcBorders>
            <w:vAlign w:val="center"/>
          </w:tcPr>
          <w:p w14:paraId="64B5B915">
            <w:pPr>
              <w:widowControl w:val="0"/>
              <w:kinsoku/>
              <w:autoSpaceDE/>
              <w:autoSpaceDN/>
              <w:adjustRightInd/>
              <w:snapToGrid/>
              <w:spacing w:line="360" w:lineRule="auto"/>
              <w:ind w:firstLine="0" w:firstLineChars="0"/>
              <w:jc w:val="left"/>
              <w:textAlignment w:val="auto"/>
              <w:rPr>
                <w:rFonts w:hint="eastAsia" w:ascii="仿宋_GB2312" w:hAnsi="仿宋_GB2312" w:eastAsia="仿宋_GB2312" w:cs="仿宋_GB2312"/>
                <w:snapToGrid/>
                <w:color w:val="auto"/>
                <w:kern w:val="2"/>
                <w:sz w:val="24"/>
                <w:szCs w:val="24"/>
                <w:highlight w:val="none"/>
                <w:lang w:val="en-US" w:eastAsia="zh-CN"/>
              </w:rPr>
            </w:pPr>
            <w:r>
              <w:rPr>
                <w:rFonts w:hint="eastAsia" w:ascii="仿宋_GB2312" w:hAnsi="仿宋_GB2312" w:eastAsia="仿宋_GB2312" w:cs="仿宋_GB2312"/>
                <w:snapToGrid/>
                <w:color w:val="auto"/>
                <w:kern w:val="2"/>
                <w:sz w:val="24"/>
                <w:szCs w:val="24"/>
                <w:highlight w:val="none"/>
                <w:lang w:val="en-US" w:eastAsia="zh-CN"/>
              </w:rPr>
              <w:t>验收结论：</w:t>
            </w:r>
          </w:p>
        </w:tc>
      </w:tr>
      <w:tr w14:paraId="52D2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2412" w:type="pct"/>
            <w:gridSpan w:val="3"/>
            <w:tcBorders>
              <w:left w:val="single" w:color="auto" w:sz="12" w:space="0"/>
              <w:bottom w:val="single" w:color="auto" w:sz="12" w:space="0"/>
              <w:right w:val="single" w:color="auto" w:sz="4" w:space="0"/>
            </w:tcBorders>
            <w:vAlign w:val="center"/>
          </w:tcPr>
          <w:p w14:paraId="70B7D3A5">
            <w:pPr>
              <w:widowControl w:val="0"/>
              <w:kinsoku/>
              <w:autoSpaceDE/>
              <w:autoSpaceDN/>
              <w:adjustRightInd/>
              <w:snapToGrid/>
              <w:spacing w:line="480" w:lineRule="auto"/>
              <w:ind w:firstLine="0" w:firstLineChars="0"/>
              <w:jc w:val="both"/>
              <w:textAlignment w:val="auto"/>
              <w:rPr>
                <w:rFonts w:hint="eastAsia" w:ascii="仿宋_GB2312" w:hAnsi="仿宋_GB2312" w:eastAsia="仿宋_GB2312" w:cs="仿宋_GB2312"/>
                <w:snapToGrid/>
                <w:color w:val="auto"/>
                <w:kern w:val="2"/>
                <w:sz w:val="24"/>
                <w:szCs w:val="21"/>
                <w:highlight w:val="none"/>
                <w:lang w:eastAsia="zh-CN"/>
              </w:rPr>
            </w:pPr>
            <w:r>
              <w:rPr>
                <w:rFonts w:hint="eastAsia" w:ascii="仿宋_GB2312" w:hAnsi="仿宋_GB2312" w:eastAsia="仿宋_GB2312" w:cs="仿宋_GB2312"/>
                <w:snapToGrid/>
                <w:color w:val="auto"/>
                <w:kern w:val="2"/>
                <w:sz w:val="24"/>
                <w:szCs w:val="21"/>
                <w:highlight w:val="none"/>
                <w:lang w:eastAsia="zh-CN"/>
              </w:rPr>
              <w:t>交付单位：</w:t>
            </w:r>
          </w:p>
          <w:p w14:paraId="3AD74356">
            <w:pPr>
              <w:widowControl w:val="0"/>
              <w:kinsoku/>
              <w:autoSpaceDE/>
              <w:autoSpaceDN/>
              <w:adjustRightInd/>
              <w:snapToGrid/>
              <w:spacing w:line="480" w:lineRule="auto"/>
              <w:ind w:firstLine="0" w:firstLineChars="0"/>
              <w:jc w:val="both"/>
              <w:textAlignment w:val="auto"/>
              <w:rPr>
                <w:rFonts w:hint="eastAsia" w:ascii="仿宋_GB2312" w:hAnsi="仿宋_GB2312" w:eastAsia="仿宋_GB2312" w:cs="仿宋_GB2312"/>
                <w:snapToGrid/>
                <w:color w:val="auto"/>
                <w:kern w:val="2"/>
                <w:sz w:val="24"/>
                <w:szCs w:val="21"/>
                <w:highlight w:val="none"/>
                <w:lang w:eastAsia="zh-CN"/>
              </w:rPr>
            </w:pPr>
            <w:r>
              <w:rPr>
                <w:rFonts w:hint="eastAsia" w:ascii="仿宋_GB2312" w:hAnsi="仿宋_GB2312" w:eastAsia="仿宋_GB2312" w:cs="仿宋_GB2312"/>
                <w:snapToGrid/>
                <w:color w:val="auto"/>
                <w:kern w:val="2"/>
                <w:sz w:val="24"/>
                <w:szCs w:val="21"/>
                <w:highlight w:val="none"/>
                <w:lang w:eastAsia="zh-CN"/>
              </w:rPr>
              <w:t>项目代表：</w:t>
            </w:r>
          </w:p>
          <w:p w14:paraId="0B5856FD">
            <w:pPr>
              <w:widowControl w:val="0"/>
              <w:kinsoku/>
              <w:autoSpaceDE/>
              <w:autoSpaceDN/>
              <w:adjustRightInd/>
              <w:snapToGrid/>
              <w:spacing w:line="480" w:lineRule="auto"/>
              <w:ind w:firstLine="0" w:firstLineChars="0"/>
              <w:jc w:val="both"/>
              <w:textAlignment w:val="auto"/>
              <w:rPr>
                <w:rFonts w:hint="eastAsia" w:ascii="仿宋_GB2312" w:hAnsi="仿宋_GB2312" w:eastAsia="仿宋_GB2312" w:cs="仿宋_GB2312"/>
                <w:b/>
                <w:bCs/>
                <w:snapToGrid/>
                <w:color w:val="auto"/>
                <w:kern w:val="2"/>
                <w:sz w:val="24"/>
                <w:szCs w:val="21"/>
                <w:highlight w:val="none"/>
                <w:lang w:eastAsia="zh-CN"/>
              </w:rPr>
            </w:pPr>
            <w:r>
              <w:rPr>
                <w:rFonts w:hint="eastAsia" w:ascii="仿宋_GB2312" w:hAnsi="仿宋_GB2312" w:eastAsia="仿宋_GB2312" w:cs="仿宋_GB2312"/>
                <w:snapToGrid/>
                <w:color w:val="auto"/>
                <w:kern w:val="2"/>
                <w:sz w:val="24"/>
                <w:szCs w:val="21"/>
                <w:highlight w:val="none"/>
                <w:lang w:eastAsia="zh-CN"/>
              </w:rPr>
              <w:t>日    期：</w:t>
            </w:r>
          </w:p>
        </w:tc>
        <w:tc>
          <w:tcPr>
            <w:tcW w:w="2587" w:type="pct"/>
            <w:gridSpan w:val="3"/>
            <w:tcBorders>
              <w:left w:val="single" w:color="auto" w:sz="4" w:space="0"/>
              <w:bottom w:val="single" w:color="auto" w:sz="12" w:space="0"/>
              <w:right w:val="single" w:color="auto" w:sz="12" w:space="0"/>
            </w:tcBorders>
            <w:vAlign w:val="center"/>
          </w:tcPr>
          <w:p w14:paraId="11661152">
            <w:pPr>
              <w:widowControl w:val="0"/>
              <w:kinsoku/>
              <w:autoSpaceDE/>
              <w:autoSpaceDN/>
              <w:adjustRightInd/>
              <w:snapToGrid/>
              <w:spacing w:line="480" w:lineRule="auto"/>
              <w:ind w:firstLine="0" w:firstLineChars="0"/>
              <w:jc w:val="both"/>
              <w:textAlignment w:val="auto"/>
              <w:rPr>
                <w:rFonts w:hint="eastAsia" w:ascii="仿宋_GB2312" w:hAnsi="仿宋_GB2312" w:eastAsia="仿宋_GB2312" w:cs="仿宋_GB2312"/>
                <w:snapToGrid/>
                <w:color w:val="auto"/>
                <w:kern w:val="2"/>
                <w:sz w:val="24"/>
                <w:szCs w:val="21"/>
                <w:highlight w:val="none"/>
                <w:u w:val="single"/>
                <w:lang w:eastAsia="zh-CN"/>
              </w:rPr>
            </w:pPr>
            <w:r>
              <w:rPr>
                <w:rFonts w:hint="eastAsia" w:ascii="仿宋_GB2312" w:hAnsi="仿宋_GB2312" w:eastAsia="仿宋_GB2312" w:cs="仿宋_GB2312"/>
                <w:snapToGrid/>
                <w:color w:val="auto"/>
                <w:kern w:val="2"/>
                <w:sz w:val="24"/>
                <w:szCs w:val="21"/>
                <w:highlight w:val="none"/>
                <w:lang w:eastAsia="zh-CN"/>
              </w:rPr>
              <w:t>验收单位：</w:t>
            </w:r>
          </w:p>
          <w:p w14:paraId="55F46192">
            <w:pPr>
              <w:widowControl w:val="0"/>
              <w:kinsoku/>
              <w:autoSpaceDE/>
              <w:autoSpaceDN/>
              <w:adjustRightInd/>
              <w:snapToGrid/>
              <w:spacing w:line="480" w:lineRule="auto"/>
              <w:ind w:firstLine="0" w:firstLineChars="0"/>
              <w:jc w:val="both"/>
              <w:textAlignment w:val="auto"/>
              <w:rPr>
                <w:rFonts w:hint="eastAsia" w:ascii="仿宋_GB2312" w:hAnsi="仿宋_GB2312" w:eastAsia="仿宋_GB2312" w:cs="仿宋_GB2312"/>
                <w:snapToGrid/>
                <w:color w:val="auto"/>
                <w:kern w:val="2"/>
                <w:sz w:val="24"/>
                <w:szCs w:val="21"/>
                <w:highlight w:val="none"/>
                <w:lang w:eastAsia="zh-CN"/>
              </w:rPr>
            </w:pPr>
            <w:r>
              <w:rPr>
                <w:rFonts w:hint="eastAsia" w:ascii="仿宋_GB2312" w:hAnsi="仿宋_GB2312" w:eastAsia="仿宋_GB2312" w:cs="仿宋_GB2312"/>
                <w:snapToGrid/>
                <w:color w:val="auto"/>
                <w:kern w:val="2"/>
                <w:sz w:val="24"/>
                <w:szCs w:val="21"/>
                <w:highlight w:val="none"/>
                <w:lang w:val="en-US" w:eastAsia="zh-CN"/>
              </w:rPr>
              <w:t>验收小组人员</w:t>
            </w:r>
            <w:r>
              <w:rPr>
                <w:rFonts w:hint="eastAsia" w:ascii="仿宋_GB2312" w:hAnsi="仿宋_GB2312" w:eastAsia="仿宋_GB2312" w:cs="仿宋_GB2312"/>
                <w:snapToGrid/>
                <w:color w:val="auto"/>
                <w:kern w:val="2"/>
                <w:sz w:val="24"/>
                <w:szCs w:val="21"/>
                <w:highlight w:val="none"/>
                <w:lang w:eastAsia="zh-CN"/>
              </w:rPr>
              <w:t>：</w:t>
            </w:r>
          </w:p>
          <w:p w14:paraId="0C0E9525">
            <w:pPr>
              <w:widowControl w:val="0"/>
              <w:kinsoku/>
              <w:autoSpaceDE/>
              <w:autoSpaceDN/>
              <w:adjustRightInd/>
              <w:snapToGrid/>
              <w:spacing w:line="480" w:lineRule="auto"/>
              <w:ind w:firstLine="0" w:firstLineChars="0"/>
              <w:jc w:val="left"/>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1"/>
                <w:highlight w:val="none"/>
                <w:lang w:eastAsia="zh-CN"/>
              </w:rPr>
              <w:t>日    期：</w:t>
            </w:r>
          </w:p>
        </w:tc>
      </w:tr>
    </w:tbl>
    <w:p w14:paraId="345DF64F">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b/>
          <w:bCs/>
          <w:snapToGrid w:val="0"/>
          <w:color w:val="auto"/>
          <w:spacing w:val="2"/>
          <w:kern w:val="0"/>
          <w:sz w:val="24"/>
          <w:szCs w:val="24"/>
          <w:highlight w:val="none"/>
          <w:lang w:eastAsia="en-US"/>
        </w:rPr>
      </w:pPr>
    </w:p>
    <w:p w14:paraId="6F3EB131">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b/>
          <w:bCs/>
          <w:snapToGrid w:val="0"/>
          <w:color w:val="auto"/>
          <w:spacing w:val="2"/>
          <w:kern w:val="0"/>
          <w:sz w:val="24"/>
          <w:szCs w:val="24"/>
          <w:highlight w:val="none"/>
          <w:lang w:eastAsia="en-US"/>
        </w:rPr>
      </w:pPr>
    </w:p>
    <w:p w14:paraId="57CC7800">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b/>
          <w:bCs/>
          <w:snapToGrid w:val="0"/>
          <w:color w:val="auto"/>
          <w:spacing w:val="2"/>
          <w:kern w:val="0"/>
          <w:sz w:val="24"/>
          <w:szCs w:val="24"/>
          <w:highlight w:val="none"/>
          <w:lang w:eastAsia="en-US"/>
        </w:rPr>
      </w:pPr>
    </w:p>
    <w:p w14:paraId="1BA854B1">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b/>
          <w:bCs/>
          <w:snapToGrid w:val="0"/>
          <w:color w:val="auto"/>
          <w:spacing w:val="2"/>
          <w:kern w:val="0"/>
          <w:sz w:val="24"/>
          <w:szCs w:val="24"/>
          <w:highlight w:val="none"/>
          <w:lang w:eastAsia="en-US"/>
        </w:rPr>
      </w:pPr>
    </w:p>
    <w:p w14:paraId="621A3E9F">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b/>
          <w:bCs/>
          <w:snapToGrid w:val="0"/>
          <w:color w:val="auto"/>
          <w:spacing w:val="2"/>
          <w:kern w:val="0"/>
          <w:sz w:val="24"/>
          <w:szCs w:val="24"/>
          <w:highlight w:val="none"/>
          <w:lang w:eastAsia="en-US"/>
        </w:rPr>
      </w:pPr>
    </w:p>
    <w:p w14:paraId="31EB550C">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b/>
          <w:bCs/>
          <w:snapToGrid w:val="0"/>
          <w:color w:val="auto"/>
          <w:spacing w:val="2"/>
          <w:kern w:val="0"/>
          <w:sz w:val="24"/>
          <w:szCs w:val="24"/>
          <w:highlight w:val="none"/>
          <w:lang w:eastAsia="en-US"/>
        </w:rPr>
      </w:pPr>
    </w:p>
    <w:p w14:paraId="519C7923">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b/>
          <w:bCs/>
          <w:snapToGrid w:val="0"/>
          <w:color w:val="auto"/>
          <w:spacing w:val="2"/>
          <w:kern w:val="0"/>
          <w:sz w:val="24"/>
          <w:szCs w:val="24"/>
          <w:highlight w:val="none"/>
          <w:lang w:eastAsia="en-US"/>
        </w:rPr>
      </w:pPr>
    </w:p>
    <w:p w14:paraId="2B4FB223">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b/>
          <w:bCs/>
          <w:snapToGrid w:val="0"/>
          <w:color w:val="auto"/>
          <w:spacing w:val="2"/>
          <w:kern w:val="0"/>
          <w:sz w:val="24"/>
          <w:szCs w:val="24"/>
          <w:highlight w:val="none"/>
          <w:lang w:eastAsia="en-US"/>
        </w:rPr>
      </w:pPr>
    </w:p>
    <w:p w14:paraId="49B333BA">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b/>
          <w:bCs/>
          <w:snapToGrid w:val="0"/>
          <w:color w:val="auto"/>
          <w:spacing w:val="2"/>
          <w:kern w:val="0"/>
          <w:sz w:val="24"/>
          <w:szCs w:val="24"/>
          <w:highlight w:val="none"/>
          <w:lang w:eastAsia="en-US"/>
        </w:rPr>
      </w:pPr>
    </w:p>
    <w:p w14:paraId="77EC562B">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b/>
          <w:bCs/>
          <w:snapToGrid w:val="0"/>
          <w:color w:val="auto"/>
          <w:spacing w:val="2"/>
          <w:kern w:val="0"/>
          <w:sz w:val="24"/>
          <w:szCs w:val="24"/>
          <w:highlight w:val="none"/>
          <w:lang w:eastAsia="en-US"/>
        </w:rPr>
      </w:pPr>
    </w:p>
    <w:p w14:paraId="72871B60">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b/>
          <w:bCs/>
          <w:snapToGrid w:val="0"/>
          <w:color w:val="auto"/>
          <w:spacing w:val="2"/>
          <w:kern w:val="0"/>
          <w:sz w:val="24"/>
          <w:szCs w:val="24"/>
          <w:highlight w:val="none"/>
          <w:lang w:eastAsia="en-US"/>
        </w:rPr>
      </w:pPr>
    </w:p>
    <w:p w14:paraId="467DE7DC">
      <w:pPr>
        <w:widowControl/>
        <w:kinsoku/>
        <w:autoSpaceDE/>
        <w:autoSpaceDN/>
        <w:adjustRightInd/>
        <w:snapToGrid/>
        <w:spacing w:line="600" w:lineRule="exact"/>
        <w:ind w:firstLine="0" w:firstLineChars="0"/>
        <w:jc w:val="center"/>
        <w:textAlignment w:val="auto"/>
        <w:rPr>
          <w:rFonts w:hint="eastAsia" w:ascii="方正小标宋简体" w:hAnsi="方正小标宋简体" w:eastAsia="方正小标宋简体" w:cs="方正小标宋简体"/>
          <w:b/>
          <w:snapToGrid/>
          <w:color w:val="000000"/>
          <w:kern w:val="2"/>
          <w:sz w:val="36"/>
          <w:szCs w:val="36"/>
          <w:highlight w:val="none"/>
          <w:lang w:eastAsia="zh-CN"/>
        </w:rPr>
      </w:pPr>
      <w:r>
        <w:rPr>
          <w:rFonts w:hint="eastAsia" w:ascii="方正小标宋简体" w:hAnsi="方正小标宋简体" w:eastAsia="方正小标宋简体" w:cs="方正小标宋简体"/>
          <w:b/>
          <w:snapToGrid/>
          <w:color w:val="000000"/>
          <w:kern w:val="2"/>
          <w:sz w:val="36"/>
          <w:szCs w:val="36"/>
          <w:highlight w:val="none"/>
          <w:lang w:eastAsia="zh-CN"/>
        </w:rPr>
        <w:t>项目</w:t>
      </w:r>
      <w:r>
        <w:rPr>
          <w:rFonts w:hint="eastAsia" w:ascii="方正小标宋简体" w:hAnsi="方正小标宋简体" w:eastAsia="方正小标宋简体" w:cs="方正小标宋简体"/>
          <w:b/>
          <w:snapToGrid/>
          <w:color w:val="000000"/>
          <w:kern w:val="2"/>
          <w:sz w:val="36"/>
          <w:szCs w:val="36"/>
          <w:highlight w:val="none"/>
          <w:lang w:val="en-US" w:eastAsia="zh-CN"/>
        </w:rPr>
        <w:t>整体</w:t>
      </w:r>
      <w:r>
        <w:rPr>
          <w:rFonts w:hint="eastAsia" w:ascii="方正小标宋简体" w:hAnsi="方正小标宋简体" w:eastAsia="方正小标宋简体" w:cs="方正小标宋简体"/>
          <w:b/>
          <w:snapToGrid/>
          <w:color w:val="000000"/>
          <w:kern w:val="2"/>
          <w:sz w:val="36"/>
          <w:szCs w:val="36"/>
          <w:highlight w:val="none"/>
          <w:lang w:eastAsia="zh-CN"/>
        </w:rPr>
        <w:t>验收</w:t>
      </w:r>
      <w:r>
        <w:rPr>
          <w:rFonts w:hint="eastAsia" w:ascii="方正小标宋简体" w:hAnsi="方正小标宋简体" w:eastAsia="方正小标宋简体" w:cs="方正小标宋简体"/>
          <w:b/>
          <w:snapToGrid/>
          <w:color w:val="000000"/>
          <w:kern w:val="2"/>
          <w:sz w:val="36"/>
          <w:szCs w:val="36"/>
          <w:highlight w:val="none"/>
          <w:lang w:val="en-US" w:eastAsia="zh-CN"/>
        </w:rPr>
        <w:t>报告</w:t>
      </w:r>
    </w:p>
    <w:p w14:paraId="612CDBFA">
      <w:pPr>
        <w:widowControl w:val="0"/>
        <w:kinsoku/>
        <w:autoSpaceDE/>
        <w:autoSpaceDN/>
        <w:adjustRightInd/>
        <w:snapToGrid/>
        <w:spacing w:line="240" w:lineRule="auto"/>
        <w:ind w:left="0" w:leftChars="0" w:right="131" w:rightChars="41" w:firstLine="480" w:firstLineChars="200"/>
        <w:jc w:val="both"/>
        <w:textAlignment w:val="auto"/>
        <w:rPr>
          <w:rFonts w:hint="eastAsia" w:ascii="仿宋_GB2312" w:hAnsi="仿宋_GB2312" w:eastAsia="仿宋_GB2312" w:cs="仿宋_GB2312"/>
          <w:snapToGrid/>
          <w:color w:val="auto"/>
          <w:kern w:val="2"/>
          <w:sz w:val="24"/>
          <w:szCs w:val="24"/>
          <w:highlight w:val="none"/>
          <w:lang w:eastAsia="zh-CN"/>
        </w:rPr>
      </w:pPr>
    </w:p>
    <w:p w14:paraId="436C0D17">
      <w:pPr>
        <w:widowControl w:val="0"/>
        <w:kinsoku/>
        <w:autoSpaceDE/>
        <w:autoSpaceDN/>
        <w:adjustRightInd/>
        <w:snapToGrid/>
        <w:spacing w:line="240" w:lineRule="auto"/>
        <w:ind w:left="0" w:leftChars="0" w:right="131" w:rightChars="41" w:firstLine="480" w:firstLineChars="200"/>
        <w:jc w:val="both"/>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根据</w:t>
      </w:r>
      <w:r>
        <w:rPr>
          <w:rFonts w:hint="eastAsia" w:ascii="仿宋_GB2312" w:hAnsi="仿宋_GB2312" w:eastAsia="仿宋_GB2312" w:cs="仿宋_GB2312"/>
          <w:snapToGrid/>
          <w:color w:val="auto"/>
          <w:kern w:val="2"/>
          <w:sz w:val="24"/>
          <w:szCs w:val="24"/>
          <w:highlight w:val="none"/>
          <w:lang w:val="en-US" w:eastAsia="zh-CN"/>
        </w:rPr>
        <w:t>双方签订的</w:t>
      </w:r>
      <w:r>
        <w:rPr>
          <w:rFonts w:hint="eastAsia" w:ascii="仿宋_GB2312" w:hAnsi="仿宋_GB2312" w:eastAsia="仿宋_GB2312" w:cs="仿宋_GB2312"/>
          <w:snapToGrid/>
          <w:color w:val="auto"/>
          <w:kern w:val="2"/>
          <w:sz w:val="24"/>
          <w:szCs w:val="24"/>
          <w:highlight w:val="none"/>
          <w:lang w:eastAsia="zh-CN"/>
        </w:rPr>
        <w:t>《广东省普通国道基础设施数字化转型升级示范工程公路交通情况调查设备采购</w:t>
      </w:r>
      <w:r>
        <w:rPr>
          <w:rFonts w:hint="eastAsia" w:ascii="仿宋_GB2312" w:hAnsi="仿宋_GB2312" w:eastAsia="仿宋_GB2312" w:cs="仿宋_GB2312"/>
          <w:snapToGrid/>
          <w:color w:val="auto"/>
          <w:kern w:val="2"/>
          <w:sz w:val="24"/>
          <w:szCs w:val="24"/>
          <w:highlight w:val="none"/>
          <w:lang w:val="en-US" w:eastAsia="zh-CN"/>
        </w:rPr>
        <w:t>合同书</w:t>
      </w:r>
      <w:r>
        <w:rPr>
          <w:rFonts w:hint="eastAsia" w:ascii="仿宋_GB2312" w:hAnsi="仿宋_GB2312" w:eastAsia="仿宋_GB2312" w:cs="仿宋_GB2312"/>
          <w:snapToGrid/>
          <w:color w:val="auto"/>
          <w:kern w:val="2"/>
          <w:sz w:val="24"/>
          <w:szCs w:val="24"/>
          <w:highlight w:val="none"/>
          <w:lang w:eastAsia="zh-CN"/>
        </w:rPr>
        <w:t>》约定，现甲方对合同项下</w:t>
      </w:r>
      <w:r>
        <w:rPr>
          <w:rFonts w:hint="eastAsia" w:ascii="仿宋_GB2312" w:hAnsi="仿宋_GB2312" w:eastAsia="仿宋_GB2312" w:cs="仿宋_GB2312"/>
          <w:snapToGrid/>
          <w:color w:val="auto"/>
          <w:kern w:val="2"/>
          <w:sz w:val="24"/>
          <w:szCs w:val="24"/>
          <w:highlight w:val="none"/>
          <w:lang w:val="en-US" w:eastAsia="zh-CN"/>
        </w:rPr>
        <w:t>所有内容</w:t>
      </w:r>
      <w:r>
        <w:rPr>
          <w:rFonts w:hint="eastAsia" w:ascii="仿宋_GB2312" w:hAnsi="仿宋_GB2312" w:eastAsia="仿宋_GB2312" w:cs="仿宋_GB2312"/>
          <w:snapToGrid/>
          <w:color w:val="auto"/>
          <w:kern w:val="2"/>
          <w:sz w:val="24"/>
          <w:szCs w:val="24"/>
          <w:highlight w:val="none"/>
          <w:lang w:eastAsia="zh-CN"/>
        </w:rPr>
        <w:t>进行了验收。验收情况如下：</w:t>
      </w:r>
    </w:p>
    <w:p w14:paraId="2491451F">
      <w:pPr>
        <w:widowControl w:val="0"/>
        <w:kinsoku/>
        <w:autoSpaceDE/>
        <w:autoSpaceDN/>
        <w:adjustRightInd/>
        <w:snapToGrid/>
        <w:spacing w:line="400" w:lineRule="exact"/>
        <w:ind w:left="0" w:leftChars="0" w:right="131" w:rightChars="41" w:firstLine="480" w:firstLineChars="200"/>
        <w:jc w:val="both"/>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val="en-US" w:eastAsia="zh-CN"/>
        </w:rPr>
        <w:t>甲方：</w:t>
      </w:r>
      <w:r>
        <w:rPr>
          <w:rFonts w:hint="eastAsia" w:ascii="仿宋_GB2312" w:hAnsi="仿宋_GB2312" w:eastAsia="仿宋_GB2312" w:cs="仿宋_GB2312"/>
          <w:snapToGrid/>
          <w:color w:val="auto"/>
          <w:kern w:val="2"/>
          <w:sz w:val="24"/>
          <w:szCs w:val="24"/>
          <w:highlight w:val="none"/>
          <w:u w:val="none"/>
          <w:lang w:val="en-US" w:eastAsia="zh-CN"/>
        </w:rPr>
        <w:t xml:space="preserve">                                             </w:t>
      </w:r>
      <w:r>
        <w:rPr>
          <w:rFonts w:hint="eastAsia" w:ascii="仿宋_GB2312" w:hAnsi="仿宋_GB2312" w:eastAsia="仿宋_GB2312" w:cs="仿宋_GB2312"/>
          <w:snapToGrid/>
          <w:color w:val="auto"/>
          <w:kern w:val="2"/>
          <w:sz w:val="24"/>
          <w:szCs w:val="24"/>
          <w:highlight w:val="none"/>
          <w:lang w:val="en-US" w:eastAsia="zh-CN"/>
        </w:rPr>
        <w:t>乙方：</w:t>
      </w:r>
    </w:p>
    <w:tbl>
      <w:tblPr>
        <w:tblStyle w:val="11"/>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65"/>
        <w:gridCol w:w="2401"/>
        <w:gridCol w:w="2894"/>
        <w:gridCol w:w="2646"/>
      </w:tblGrid>
      <w:tr w14:paraId="4439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3" w:type="dxa"/>
            <w:tcBorders>
              <w:top w:val="single" w:color="auto" w:sz="12" w:space="0"/>
              <w:left w:val="single" w:color="auto" w:sz="12" w:space="0"/>
            </w:tcBorders>
            <w:vAlign w:val="center"/>
          </w:tcPr>
          <w:p w14:paraId="3A5BF890">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序号</w:t>
            </w:r>
          </w:p>
        </w:tc>
        <w:tc>
          <w:tcPr>
            <w:tcW w:w="3666" w:type="dxa"/>
            <w:gridSpan w:val="2"/>
            <w:tcBorders>
              <w:top w:val="single" w:color="auto" w:sz="12" w:space="0"/>
            </w:tcBorders>
            <w:vAlign w:val="center"/>
          </w:tcPr>
          <w:p w14:paraId="79CAA5E7">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val="en-US" w:eastAsia="zh-CN"/>
              </w:rPr>
              <w:t>项目</w:t>
            </w:r>
            <w:r>
              <w:rPr>
                <w:rFonts w:hint="eastAsia" w:ascii="仿宋_GB2312" w:hAnsi="仿宋_GB2312" w:eastAsia="仿宋_GB2312" w:cs="仿宋_GB2312"/>
                <w:snapToGrid/>
                <w:color w:val="auto"/>
                <w:kern w:val="2"/>
                <w:sz w:val="24"/>
                <w:szCs w:val="24"/>
                <w:highlight w:val="none"/>
                <w:lang w:eastAsia="zh-CN"/>
              </w:rPr>
              <w:t>名称</w:t>
            </w:r>
          </w:p>
        </w:tc>
        <w:tc>
          <w:tcPr>
            <w:tcW w:w="2894" w:type="dxa"/>
            <w:tcBorders>
              <w:top w:val="single" w:color="auto" w:sz="12" w:space="0"/>
            </w:tcBorders>
            <w:vAlign w:val="center"/>
          </w:tcPr>
          <w:p w14:paraId="260351BB">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val="en-US" w:eastAsia="zh-CN"/>
              </w:rPr>
            </w:pPr>
            <w:r>
              <w:rPr>
                <w:rFonts w:hint="eastAsia" w:ascii="仿宋_GB2312" w:hAnsi="仿宋_GB2312" w:eastAsia="仿宋_GB2312" w:cs="仿宋_GB2312"/>
                <w:snapToGrid/>
                <w:color w:val="auto"/>
                <w:kern w:val="2"/>
                <w:sz w:val="24"/>
                <w:szCs w:val="24"/>
                <w:highlight w:val="none"/>
                <w:lang w:val="en-US" w:eastAsia="zh-CN"/>
              </w:rPr>
              <w:t>验收日期</w:t>
            </w:r>
          </w:p>
        </w:tc>
        <w:tc>
          <w:tcPr>
            <w:tcW w:w="2646" w:type="dxa"/>
            <w:tcBorders>
              <w:top w:val="single" w:color="auto" w:sz="12" w:space="0"/>
              <w:right w:val="single" w:color="auto" w:sz="12" w:space="0"/>
            </w:tcBorders>
            <w:vAlign w:val="center"/>
          </w:tcPr>
          <w:p w14:paraId="1A5F9573">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val="en-US" w:eastAsia="zh-CN"/>
              </w:rPr>
              <w:t>合同金额</w:t>
            </w:r>
          </w:p>
        </w:tc>
      </w:tr>
      <w:tr w14:paraId="6BAF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53" w:type="dxa"/>
            <w:tcBorders>
              <w:left w:val="single" w:color="auto" w:sz="12" w:space="0"/>
            </w:tcBorders>
            <w:vAlign w:val="center"/>
          </w:tcPr>
          <w:p w14:paraId="17CC983B">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val="en-US" w:eastAsia="zh-CN"/>
              </w:rPr>
            </w:pPr>
            <w:r>
              <w:rPr>
                <w:rFonts w:hint="eastAsia" w:ascii="仿宋_GB2312" w:hAnsi="仿宋_GB2312" w:eastAsia="仿宋_GB2312" w:cs="仿宋_GB2312"/>
                <w:snapToGrid/>
                <w:color w:val="auto"/>
                <w:kern w:val="2"/>
                <w:sz w:val="24"/>
                <w:szCs w:val="24"/>
                <w:highlight w:val="none"/>
                <w:lang w:val="en-US" w:eastAsia="zh-CN"/>
              </w:rPr>
              <w:t>1</w:t>
            </w:r>
          </w:p>
        </w:tc>
        <w:tc>
          <w:tcPr>
            <w:tcW w:w="3666" w:type="dxa"/>
            <w:gridSpan w:val="2"/>
            <w:vAlign w:val="center"/>
          </w:tcPr>
          <w:p w14:paraId="77E4D426">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val="en-US" w:eastAsia="zh-CN"/>
              </w:rPr>
            </w:pPr>
          </w:p>
        </w:tc>
        <w:tc>
          <w:tcPr>
            <w:tcW w:w="2894" w:type="dxa"/>
            <w:vAlign w:val="center"/>
          </w:tcPr>
          <w:p w14:paraId="02E8290F">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val="en-US" w:eastAsia="zh-CN"/>
              </w:rPr>
            </w:pPr>
          </w:p>
        </w:tc>
        <w:tc>
          <w:tcPr>
            <w:tcW w:w="2646" w:type="dxa"/>
            <w:tcBorders>
              <w:right w:val="single" w:color="auto" w:sz="12" w:space="0"/>
            </w:tcBorders>
            <w:vAlign w:val="center"/>
          </w:tcPr>
          <w:p w14:paraId="602053C6">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val="en-US" w:eastAsia="zh-CN"/>
              </w:rPr>
            </w:pPr>
          </w:p>
        </w:tc>
      </w:tr>
      <w:tr w14:paraId="2E63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2018" w:type="dxa"/>
            <w:gridSpan w:val="2"/>
            <w:tcBorders>
              <w:left w:val="single" w:color="auto" w:sz="12" w:space="0"/>
            </w:tcBorders>
            <w:vAlign w:val="center"/>
          </w:tcPr>
          <w:p w14:paraId="656179C4">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验收具体内容</w:t>
            </w:r>
          </w:p>
        </w:tc>
        <w:tc>
          <w:tcPr>
            <w:tcW w:w="7941" w:type="dxa"/>
            <w:gridSpan w:val="3"/>
            <w:tcBorders>
              <w:right w:val="single" w:color="auto" w:sz="12" w:space="0"/>
            </w:tcBorders>
            <w:vAlign w:val="center"/>
          </w:tcPr>
          <w:p w14:paraId="667DE014">
            <w:pPr>
              <w:widowControl w:val="0"/>
              <w:kinsoku/>
              <w:autoSpaceDE/>
              <w:autoSpaceDN/>
              <w:adjustRightInd/>
              <w:snapToGrid/>
              <w:spacing w:line="240" w:lineRule="auto"/>
              <w:ind w:firstLine="0" w:firstLineChars="0"/>
              <w:jc w:val="both"/>
              <w:textAlignment w:val="auto"/>
              <w:rPr>
                <w:rFonts w:hint="eastAsia" w:ascii="仿宋_GB2312" w:hAnsi="仿宋_GB2312" w:eastAsia="仿宋_GB2312" w:cs="仿宋_GB2312"/>
                <w:snapToGrid/>
                <w:color w:val="auto"/>
                <w:kern w:val="0"/>
                <w:sz w:val="24"/>
                <w:szCs w:val="24"/>
                <w:highlight w:val="none"/>
                <w:lang w:val="en-US" w:eastAsia="zh-CN"/>
              </w:rPr>
            </w:pPr>
          </w:p>
        </w:tc>
      </w:tr>
      <w:tr w14:paraId="50E5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7" w:hRule="atLeast"/>
          <w:jc w:val="center"/>
        </w:trPr>
        <w:tc>
          <w:tcPr>
            <w:tcW w:w="2018" w:type="dxa"/>
            <w:gridSpan w:val="2"/>
            <w:tcBorders>
              <w:left w:val="single" w:color="auto" w:sz="12" w:space="0"/>
            </w:tcBorders>
            <w:vAlign w:val="center"/>
          </w:tcPr>
          <w:p w14:paraId="447964B4">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val="en-US" w:eastAsia="zh-CN"/>
              </w:rPr>
            </w:pPr>
            <w:r>
              <w:rPr>
                <w:rFonts w:hint="eastAsia" w:ascii="仿宋_GB2312" w:hAnsi="仿宋_GB2312" w:eastAsia="仿宋_GB2312" w:cs="仿宋_GB2312"/>
                <w:snapToGrid/>
                <w:color w:val="auto"/>
                <w:kern w:val="2"/>
                <w:sz w:val="24"/>
                <w:szCs w:val="24"/>
                <w:highlight w:val="none"/>
                <w:lang w:val="en-US" w:eastAsia="zh-CN"/>
              </w:rPr>
              <w:t>乙方验收意见</w:t>
            </w:r>
          </w:p>
        </w:tc>
        <w:tc>
          <w:tcPr>
            <w:tcW w:w="7941" w:type="dxa"/>
            <w:gridSpan w:val="3"/>
            <w:tcBorders>
              <w:right w:val="single" w:color="auto" w:sz="12" w:space="0"/>
            </w:tcBorders>
            <w:vAlign w:val="top"/>
          </w:tcPr>
          <w:p w14:paraId="4570C3D8">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p>
          <w:p w14:paraId="6DDF1829">
            <w:pPr>
              <w:widowControl w:val="0"/>
              <w:kinsoku/>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p>
          <w:p w14:paraId="2A80AEE2">
            <w:pPr>
              <w:widowControl w:val="0"/>
              <w:kinsoku/>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p>
          <w:p w14:paraId="123A9F6A">
            <w:pPr>
              <w:widowControl w:val="0"/>
              <w:kinsoku/>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p>
          <w:p w14:paraId="1C474043">
            <w:pPr>
              <w:widowControl w:val="0"/>
              <w:kinsoku/>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p>
          <w:p w14:paraId="460A0D40">
            <w:pPr>
              <w:widowControl w:val="0"/>
              <w:kinsoku/>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p>
          <w:p w14:paraId="0191F2B1">
            <w:pPr>
              <w:widowControl w:val="0"/>
              <w:kinsoku/>
              <w:autoSpaceDE/>
              <w:autoSpaceDN/>
              <w:adjustRightInd/>
              <w:snapToGrid/>
              <w:spacing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 xml:space="preserve">                         </w:t>
            </w:r>
            <w:r>
              <w:rPr>
                <w:rFonts w:hint="eastAsia" w:ascii="仿宋_GB2312" w:hAnsi="仿宋_GB2312" w:eastAsia="仿宋_GB2312" w:cs="仿宋_GB2312"/>
                <w:snapToGrid/>
                <w:color w:val="auto"/>
                <w:kern w:val="2"/>
                <w:sz w:val="24"/>
                <w:szCs w:val="24"/>
                <w:highlight w:val="none"/>
                <w:lang w:val="en-US" w:eastAsia="zh-CN"/>
              </w:rPr>
              <w:t xml:space="preserve"> </w:t>
            </w:r>
            <w:r>
              <w:rPr>
                <w:rFonts w:hint="eastAsia" w:ascii="仿宋_GB2312" w:hAnsi="仿宋_GB2312" w:eastAsia="仿宋_GB2312" w:cs="仿宋_GB2312"/>
                <w:snapToGrid/>
                <w:color w:val="auto"/>
                <w:kern w:val="2"/>
                <w:sz w:val="24"/>
                <w:szCs w:val="24"/>
                <w:highlight w:val="none"/>
                <w:lang w:eastAsia="zh-CN"/>
              </w:rPr>
              <w:t xml:space="preserve">           </w:t>
            </w:r>
            <w:r>
              <w:rPr>
                <w:rFonts w:hint="eastAsia" w:ascii="仿宋_GB2312" w:hAnsi="仿宋_GB2312" w:eastAsia="仿宋_GB2312" w:cs="仿宋_GB2312"/>
                <w:snapToGrid/>
                <w:color w:val="auto"/>
                <w:kern w:val="2"/>
                <w:sz w:val="24"/>
                <w:szCs w:val="24"/>
                <w:highlight w:val="none"/>
                <w:lang w:val="en-US" w:eastAsia="zh-CN"/>
              </w:rPr>
              <w:t>乙方</w:t>
            </w:r>
            <w:r>
              <w:rPr>
                <w:rFonts w:hint="eastAsia" w:ascii="仿宋_GB2312" w:hAnsi="仿宋_GB2312" w:eastAsia="仿宋_GB2312" w:cs="仿宋_GB2312"/>
                <w:snapToGrid/>
                <w:color w:val="auto"/>
                <w:kern w:val="2"/>
                <w:sz w:val="24"/>
                <w:szCs w:val="24"/>
                <w:highlight w:val="none"/>
                <w:lang w:eastAsia="zh-CN"/>
              </w:rPr>
              <w:t>（公章）</w:t>
            </w:r>
          </w:p>
          <w:p w14:paraId="1B93E310">
            <w:pPr>
              <w:widowControl w:val="0"/>
              <w:kinsoku/>
              <w:autoSpaceDE/>
              <w:autoSpaceDN/>
              <w:adjustRightInd/>
              <w:snapToGrid/>
              <w:spacing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p>
          <w:p w14:paraId="69CA8A44">
            <w:pPr>
              <w:keepNext w:val="0"/>
              <w:keepLines w:val="0"/>
              <w:pageBreakBefore w:val="0"/>
              <w:widowControl w:val="0"/>
              <w:kinsoku/>
              <w:wordWrap/>
              <w:overflowPunct/>
              <w:topLinePunct w:val="0"/>
              <w:autoSpaceDE/>
              <w:autoSpaceDN/>
              <w:bidi w:val="0"/>
              <w:adjustRightInd/>
              <w:snapToGrid/>
              <w:spacing w:before="313" w:beforeLines="100" w:line="240" w:lineRule="auto"/>
              <w:ind w:firstLine="480" w:firstLineChars="200"/>
              <w:jc w:val="both"/>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 xml:space="preserve">                </w:t>
            </w:r>
            <w:r>
              <w:rPr>
                <w:rFonts w:hint="eastAsia" w:ascii="仿宋_GB2312" w:hAnsi="仿宋_GB2312" w:eastAsia="仿宋_GB2312" w:cs="仿宋_GB2312"/>
                <w:snapToGrid/>
                <w:color w:val="auto"/>
                <w:kern w:val="2"/>
                <w:sz w:val="24"/>
                <w:szCs w:val="24"/>
                <w:highlight w:val="none"/>
                <w:lang w:val="en-US" w:eastAsia="zh-CN"/>
              </w:rPr>
              <w:t xml:space="preserve">                     </w:t>
            </w:r>
            <w:r>
              <w:rPr>
                <w:rFonts w:hint="eastAsia" w:ascii="仿宋_GB2312" w:hAnsi="仿宋_GB2312" w:eastAsia="仿宋_GB2312" w:cs="仿宋_GB2312"/>
                <w:snapToGrid/>
                <w:color w:val="auto"/>
                <w:kern w:val="2"/>
                <w:sz w:val="24"/>
                <w:szCs w:val="24"/>
                <w:highlight w:val="none"/>
                <w:lang w:eastAsia="zh-CN"/>
              </w:rPr>
              <w:t xml:space="preserve">      年     月     日</w:t>
            </w:r>
          </w:p>
        </w:tc>
      </w:tr>
      <w:tr w14:paraId="7B8D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jc w:val="center"/>
        </w:trPr>
        <w:tc>
          <w:tcPr>
            <w:tcW w:w="2018" w:type="dxa"/>
            <w:gridSpan w:val="2"/>
            <w:tcBorders>
              <w:left w:val="single" w:color="auto" w:sz="12" w:space="0"/>
              <w:bottom w:val="single" w:color="auto" w:sz="12" w:space="0"/>
            </w:tcBorders>
            <w:vAlign w:val="center"/>
          </w:tcPr>
          <w:p w14:paraId="60A82CFA">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val="en-US" w:eastAsia="zh-CN"/>
              </w:rPr>
              <w:t>甲方验收</w:t>
            </w:r>
            <w:r>
              <w:rPr>
                <w:rFonts w:hint="eastAsia" w:ascii="仿宋_GB2312" w:hAnsi="仿宋_GB2312" w:eastAsia="仿宋_GB2312" w:cs="仿宋_GB2312"/>
                <w:snapToGrid/>
                <w:color w:val="auto"/>
                <w:kern w:val="2"/>
                <w:sz w:val="24"/>
                <w:szCs w:val="24"/>
                <w:highlight w:val="none"/>
                <w:lang w:eastAsia="zh-CN"/>
              </w:rPr>
              <w:t>意见</w:t>
            </w:r>
          </w:p>
        </w:tc>
        <w:tc>
          <w:tcPr>
            <w:tcW w:w="7941" w:type="dxa"/>
            <w:gridSpan w:val="3"/>
            <w:tcBorders>
              <w:bottom w:val="single" w:color="auto" w:sz="12" w:space="0"/>
              <w:right w:val="single" w:color="auto" w:sz="12" w:space="0"/>
            </w:tcBorders>
          </w:tcPr>
          <w:p w14:paraId="706E772C">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验收结论性意见：</w:t>
            </w:r>
          </w:p>
          <w:p w14:paraId="08ADFAC4">
            <w:pPr>
              <w:widowControl w:val="0"/>
              <w:kinsoku/>
              <w:autoSpaceDE/>
              <w:autoSpaceDN/>
              <w:adjustRightInd/>
              <w:snapToGrid/>
              <w:spacing w:line="240" w:lineRule="auto"/>
              <w:ind w:firstLine="480" w:firstLineChars="200"/>
              <w:jc w:val="both"/>
              <w:textAlignment w:val="auto"/>
              <w:rPr>
                <w:rFonts w:hint="eastAsia" w:ascii="仿宋_GB2312" w:hAnsi="仿宋_GB2312" w:eastAsia="仿宋_GB2312" w:cs="仿宋_GB2312"/>
                <w:snapToGrid/>
                <w:color w:val="auto"/>
                <w:kern w:val="2"/>
                <w:sz w:val="24"/>
                <w:szCs w:val="24"/>
                <w:highlight w:val="none"/>
                <w:lang w:eastAsia="zh-CN"/>
              </w:rPr>
            </w:pPr>
          </w:p>
          <w:p w14:paraId="02543FFA">
            <w:pPr>
              <w:widowControl w:val="0"/>
              <w:kinsoku/>
              <w:autoSpaceDE/>
              <w:autoSpaceDN/>
              <w:adjustRightInd/>
              <w:snapToGrid/>
              <w:spacing w:line="240" w:lineRule="auto"/>
              <w:ind w:firstLine="480" w:firstLineChars="200"/>
              <w:jc w:val="both"/>
              <w:textAlignment w:val="auto"/>
              <w:rPr>
                <w:rFonts w:hint="eastAsia" w:ascii="仿宋_GB2312" w:hAnsi="仿宋_GB2312" w:eastAsia="仿宋_GB2312" w:cs="仿宋_GB2312"/>
                <w:snapToGrid/>
                <w:color w:val="auto"/>
                <w:kern w:val="2"/>
                <w:sz w:val="24"/>
                <w:szCs w:val="24"/>
                <w:highlight w:val="none"/>
                <w:lang w:eastAsia="zh-CN"/>
              </w:rPr>
            </w:pPr>
          </w:p>
          <w:p w14:paraId="4487536C">
            <w:pPr>
              <w:widowControl w:val="0"/>
              <w:kinsoku/>
              <w:autoSpaceDE/>
              <w:autoSpaceDN/>
              <w:adjustRightInd/>
              <w:snapToGrid/>
              <w:spacing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本次项目验收结论为：。</w:t>
            </w:r>
          </w:p>
          <w:p w14:paraId="5545B797">
            <w:pPr>
              <w:widowControl w:val="0"/>
              <w:kinsoku/>
              <w:autoSpaceDE/>
              <w:autoSpaceDN/>
              <w:adjustRightInd/>
              <w:snapToGrid/>
              <w:spacing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p>
          <w:p w14:paraId="4EDAEFD6">
            <w:pPr>
              <w:widowControl w:val="0"/>
              <w:kinsoku/>
              <w:autoSpaceDE/>
              <w:autoSpaceDN/>
              <w:adjustRightInd/>
              <w:snapToGrid/>
              <w:spacing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p>
          <w:p w14:paraId="05559B32">
            <w:pPr>
              <w:widowControl w:val="0"/>
              <w:kinsoku/>
              <w:autoSpaceDE/>
              <w:autoSpaceDN/>
              <w:adjustRightInd/>
              <w:snapToGrid/>
              <w:spacing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p>
          <w:p w14:paraId="3B180A2F">
            <w:pPr>
              <w:widowControl w:val="0"/>
              <w:kinsoku/>
              <w:autoSpaceDE/>
              <w:autoSpaceDN/>
              <w:adjustRightInd/>
              <w:snapToGrid/>
              <w:spacing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验收工作组成员（签名）：</w:t>
            </w:r>
          </w:p>
          <w:p w14:paraId="4665F202">
            <w:pPr>
              <w:widowControl w:val="0"/>
              <w:kinsoku/>
              <w:autoSpaceDE/>
              <w:autoSpaceDN/>
              <w:adjustRightInd/>
              <w:snapToGrid/>
              <w:spacing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p>
          <w:p w14:paraId="0B284BDB">
            <w:pPr>
              <w:widowControl w:val="0"/>
              <w:kinsoku/>
              <w:autoSpaceDE/>
              <w:autoSpaceDN/>
              <w:adjustRightInd/>
              <w:snapToGrid/>
              <w:spacing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p>
          <w:p w14:paraId="28C9933E">
            <w:pPr>
              <w:widowControl w:val="0"/>
              <w:kinsoku/>
              <w:autoSpaceDE/>
              <w:autoSpaceDN/>
              <w:adjustRightInd/>
              <w:snapToGrid/>
              <w:spacing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 xml:space="preserve">                                    </w:t>
            </w:r>
            <w:r>
              <w:rPr>
                <w:rFonts w:hint="eastAsia" w:ascii="仿宋_GB2312" w:hAnsi="仿宋_GB2312" w:eastAsia="仿宋_GB2312" w:cs="仿宋_GB2312"/>
                <w:snapToGrid/>
                <w:color w:val="auto"/>
                <w:kern w:val="2"/>
                <w:sz w:val="24"/>
                <w:szCs w:val="24"/>
                <w:highlight w:val="none"/>
                <w:lang w:val="en-US" w:eastAsia="zh-CN"/>
              </w:rPr>
              <w:t>甲方</w:t>
            </w:r>
            <w:r>
              <w:rPr>
                <w:rFonts w:hint="eastAsia" w:ascii="仿宋_GB2312" w:hAnsi="仿宋_GB2312" w:eastAsia="仿宋_GB2312" w:cs="仿宋_GB2312"/>
                <w:snapToGrid/>
                <w:color w:val="auto"/>
                <w:kern w:val="2"/>
                <w:sz w:val="24"/>
                <w:szCs w:val="24"/>
                <w:highlight w:val="none"/>
                <w:lang w:eastAsia="zh-CN"/>
              </w:rPr>
              <w:t>（公章）</w:t>
            </w:r>
          </w:p>
          <w:p w14:paraId="60419703">
            <w:pPr>
              <w:widowControl w:val="0"/>
              <w:kinsoku/>
              <w:autoSpaceDE/>
              <w:autoSpaceDN/>
              <w:adjustRightInd/>
              <w:snapToGrid/>
              <w:spacing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p>
          <w:p w14:paraId="0DF20D04">
            <w:pPr>
              <w:widowControl w:val="0"/>
              <w:kinsoku/>
              <w:autoSpaceDE/>
              <w:autoSpaceDN/>
              <w:adjustRightInd/>
              <w:snapToGrid/>
              <w:spacing w:line="240" w:lineRule="auto"/>
              <w:ind w:firstLine="0" w:firstLineChars="0"/>
              <w:jc w:val="both"/>
              <w:textAlignment w:val="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 xml:space="preserve">                </w:t>
            </w:r>
            <w:r>
              <w:rPr>
                <w:rFonts w:hint="eastAsia" w:ascii="仿宋_GB2312" w:hAnsi="仿宋_GB2312" w:eastAsia="仿宋_GB2312" w:cs="仿宋_GB2312"/>
                <w:snapToGrid/>
                <w:color w:val="auto"/>
                <w:kern w:val="2"/>
                <w:sz w:val="24"/>
                <w:szCs w:val="24"/>
                <w:highlight w:val="none"/>
                <w:lang w:val="en-US" w:eastAsia="zh-CN"/>
              </w:rPr>
              <w:t xml:space="preserve">                     </w:t>
            </w:r>
            <w:r>
              <w:rPr>
                <w:rFonts w:hint="eastAsia" w:ascii="仿宋_GB2312" w:hAnsi="仿宋_GB2312" w:eastAsia="仿宋_GB2312" w:cs="仿宋_GB2312"/>
                <w:snapToGrid/>
                <w:color w:val="auto"/>
                <w:kern w:val="2"/>
                <w:sz w:val="24"/>
                <w:szCs w:val="24"/>
                <w:highlight w:val="none"/>
                <w:lang w:eastAsia="zh-CN"/>
              </w:rPr>
              <w:t xml:space="preserve">      年     月     日</w:t>
            </w:r>
          </w:p>
        </w:tc>
      </w:tr>
    </w:tbl>
    <w:p w14:paraId="0C542E0B">
      <w:pPr>
        <w:widowControl/>
        <w:kinsoku w:val="0"/>
        <w:autoSpaceDE w:val="0"/>
        <w:autoSpaceDN w:val="0"/>
        <w:spacing w:line="240" w:lineRule="auto"/>
        <w:ind w:firstLine="0" w:firstLineChars="0"/>
        <w:jc w:val="left"/>
        <w:textAlignment w:val="baseline"/>
        <w:rPr>
          <w:rFonts w:ascii="Arial" w:hAnsi="Arial" w:eastAsia="Arial" w:cs="Arial"/>
          <w:b/>
          <w:bCs/>
          <w:snapToGrid w:val="0"/>
          <w:color w:val="auto"/>
          <w:spacing w:val="2"/>
          <w:kern w:val="0"/>
          <w:sz w:val="20"/>
          <w:szCs w:val="20"/>
          <w:highlight w:val="none"/>
          <w:lang w:eastAsia="en-US"/>
        </w:rPr>
      </w:pPr>
    </w:p>
    <w:p w14:paraId="2CA00B2E">
      <w:pPr>
        <w:widowControl/>
        <w:kinsoku w:val="0"/>
        <w:autoSpaceDE w:val="0"/>
        <w:autoSpaceDN w:val="0"/>
        <w:spacing w:line="240" w:lineRule="auto"/>
        <w:ind w:firstLine="0" w:firstLineChars="0"/>
        <w:jc w:val="left"/>
        <w:textAlignment w:val="baseline"/>
        <w:rPr>
          <w:rFonts w:ascii="Arial" w:hAnsi="Arial" w:eastAsia="Arial" w:cs="Arial"/>
          <w:b/>
          <w:bCs/>
          <w:snapToGrid w:val="0"/>
          <w:color w:val="auto"/>
          <w:spacing w:val="2"/>
          <w:kern w:val="0"/>
          <w:sz w:val="20"/>
          <w:szCs w:val="20"/>
          <w:highlight w:val="none"/>
          <w:lang w:eastAsia="en-US"/>
        </w:rPr>
      </w:pPr>
      <w:r>
        <w:rPr>
          <w:rFonts w:ascii="Arial" w:hAnsi="Arial" w:eastAsia="Arial" w:cs="Arial"/>
          <w:b/>
          <w:bCs/>
          <w:snapToGrid w:val="0"/>
          <w:color w:val="auto"/>
          <w:spacing w:val="2"/>
          <w:kern w:val="0"/>
          <w:sz w:val="20"/>
          <w:szCs w:val="20"/>
          <w:highlight w:val="none"/>
          <w:lang w:eastAsia="en-US"/>
        </w:rPr>
        <w:br w:type="page"/>
      </w:r>
    </w:p>
    <w:p w14:paraId="3513FC84">
      <w:pPr>
        <w:kinsoku w:val="0"/>
        <w:autoSpaceDE w:val="0"/>
        <w:autoSpaceDN w:val="0"/>
        <w:adjustRightInd w:val="0"/>
        <w:snapToGrid w:val="0"/>
        <w:spacing w:before="0" w:line="500" w:lineRule="exact"/>
        <w:ind w:firstLine="0" w:firstLineChars="0"/>
        <w:jc w:val="left"/>
        <w:textAlignment w:val="baseline"/>
        <w:outlineLvl w:val="0"/>
        <w:rPr>
          <w:rFonts w:hint="eastAsia" w:ascii="黑体" w:hAnsi="黑体" w:eastAsia="黑体" w:cs="黑体"/>
          <w:b/>
          <w:bCs/>
          <w:snapToGrid w:val="0"/>
          <w:color w:val="auto"/>
          <w:spacing w:val="5"/>
          <w:kern w:val="0"/>
          <w:sz w:val="28"/>
          <w:szCs w:val="28"/>
          <w:highlight w:val="none"/>
          <w:lang w:val="en-US" w:eastAsia="en-US" w:bidi="ar-SA"/>
        </w:rPr>
      </w:pPr>
      <w:r>
        <w:rPr>
          <w:rFonts w:hint="eastAsia" w:ascii="黑体" w:hAnsi="黑体" w:eastAsia="黑体" w:cs="黑体"/>
          <w:b/>
          <w:bCs/>
          <w:snapToGrid w:val="0"/>
          <w:color w:val="auto"/>
          <w:spacing w:val="5"/>
          <w:kern w:val="0"/>
          <w:sz w:val="28"/>
          <w:szCs w:val="28"/>
          <w:highlight w:val="none"/>
          <w:lang w:val="en-US" w:eastAsia="en-US" w:bidi="ar-SA"/>
        </w:rPr>
        <w:t>附件3</w:t>
      </w:r>
    </w:p>
    <w:p w14:paraId="0E61149A">
      <w:pPr>
        <w:kinsoku w:val="0"/>
        <w:autoSpaceDE/>
        <w:autoSpaceDN/>
        <w:adjustRightInd w:val="0"/>
        <w:snapToGrid w:val="0"/>
        <w:spacing w:before="0" w:line="600" w:lineRule="exact"/>
        <w:ind w:firstLine="0" w:firstLineChars="0"/>
        <w:jc w:val="left"/>
        <w:textAlignment w:val="baseline"/>
        <w:outlineLvl w:val="0"/>
        <w:rPr>
          <w:rFonts w:hint="eastAsia" w:ascii="黑体" w:hAnsi="黑体" w:eastAsia="黑体" w:cs="黑体"/>
          <w:b/>
          <w:bCs/>
          <w:snapToGrid w:val="0"/>
          <w:color w:val="auto"/>
          <w:spacing w:val="5"/>
          <w:kern w:val="0"/>
          <w:sz w:val="28"/>
          <w:szCs w:val="28"/>
          <w:highlight w:val="none"/>
          <w:lang w:val="en-US" w:eastAsia="en-US" w:bidi="ar-SA"/>
        </w:rPr>
      </w:pPr>
    </w:p>
    <w:p w14:paraId="5AF2D6A7">
      <w:pPr>
        <w:kinsoku w:val="0"/>
        <w:autoSpaceDE w:val="0"/>
        <w:autoSpaceDN w:val="0"/>
        <w:adjustRightInd w:val="0"/>
        <w:snapToGrid w:val="0"/>
        <w:spacing w:before="0" w:line="700" w:lineRule="exact"/>
        <w:ind w:firstLine="0" w:firstLineChars="0"/>
        <w:jc w:val="center"/>
        <w:textAlignment w:val="baseline"/>
        <w:outlineLvl w:val="0"/>
        <w:rPr>
          <w:rFonts w:hint="eastAsia" w:ascii="方正小标宋简体" w:hAnsi="方正小标宋简体" w:eastAsia="方正小标宋简体" w:cs="方正小标宋简体"/>
          <w:b/>
          <w:bCs/>
          <w:snapToGrid w:val="0"/>
          <w:color w:val="auto"/>
          <w:spacing w:val="5"/>
          <w:kern w:val="0"/>
          <w:sz w:val="32"/>
          <w:szCs w:val="32"/>
          <w:highlight w:val="none"/>
          <w:lang w:val="en-US" w:eastAsia="en-US" w:bidi="ar-SA"/>
        </w:rPr>
      </w:pPr>
      <w:r>
        <w:rPr>
          <w:rFonts w:hint="eastAsia" w:ascii="方正小标宋简体" w:hAnsi="方正小标宋简体" w:eastAsia="方正小标宋简体" w:cs="方正小标宋简体"/>
          <w:b/>
          <w:bCs/>
          <w:snapToGrid w:val="0"/>
          <w:color w:val="auto"/>
          <w:spacing w:val="5"/>
          <w:kern w:val="0"/>
          <w:sz w:val="32"/>
          <w:szCs w:val="32"/>
          <w:highlight w:val="none"/>
          <w:lang w:val="en-US" w:eastAsia="en-US" w:bidi="ar-SA"/>
        </w:rPr>
        <w:t>乙方团队人员清单</w:t>
      </w:r>
    </w:p>
    <w:p w14:paraId="5320BB7A">
      <w:pPr>
        <w:widowControl/>
        <w:numPr>
          <w:ilvl w:val="0"/>
          <w:numId w:val="0"/>
        </w:numPr>
        <w:kinsoku/>
        <w:autoSpaceDE/>
        <w:autoSpaceDN/>
        <w:adjustRightInd/>
        <w:snapToGrid/>
        <w:spacing w:before="0" w:line="500" w:lineRule="exact"/>
        <w:ind w:firstLine="561"/>
        <w:jc w:val="left"/>
        <w:textAlignment w:val="auto"/>
        <w:rPr>
          <w:rFonts w:hint="eastAsia" w:ascii="仿宋_GB2312" w:hAnsi="仿宋_GB2312" w:eastAsia="仿宋_GB2312" w:cs="仿宋_GB2312"/>
          <w:i w:val="0"/>
          <w:iCs w:val="0"/>
          <w:snapToGrid/>
          <w:color w:val="000000" w:themeColor="text1"/>
          <w:spacing w:val="0"/>
          <w:kern w:val="2"/>
          <w:sz w:val="28"/>
          <w:szCs w:val="28"/>
          <w:highlight w:val="none"/>
          <w:lang w:val="en-US" w:eastAsia="zh-CN" w:bidi="ar-SA"/>
          <w14:textFill>
            <w14:solidFill>
              <w14:schemeClr w14:val="tx1"/>
            </w14:solidFill>
          </w14:textFill>
        </w:rPr>
      </w:pPr>
    </w:p>
    <w:p w14:paraId="3971F396">
      <w:pPr>
        <w:widowControl/>
        <w:numPr>
          <w:ilvl w:val="0"/>
          <w:numId w:val="0"/>
        </w:numPr>
        <w:kinsoku/>
        <w:autoSpaceDE/>
        <w:autoSpaceDN/>
        <w:adjustRightInd/>
        <w:snapToGrid/>
        <w:spacing w:before="0" w:line="540" w:lineRule="exact"/>
        <w:ind w:firstLine="560"/>
        <w:jc w:val="left"/>
        <w:textAlignment w:val="auto"/>
        <w:rPr>
          <w:rFonts w:hint="eastAsia" w:ascii="仿宋_GB2312" w:hAnsi="仿宋_GB2312" w:eastAsia="仿宋_GB2312" w:cs="仿宋_GB2312"/>
          <w:i w:val="0"/>
          <w:iCs w:val="0"/>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i w:val="0"/>
          <w:iCs w:val="0"/>
          <w:snapToGrid/>
          <w:color w:val="000000" w:themeColor="text1"/>
          <w:spacing w:val="0"/>
          <w:kern w:val="2"/>
          <w:sz w:val="28"/>
          <w:szCs w:val="28"/>
          <w:highlight w:val="none"/>
          <w:lang w:val="en-US" w:eastAsia="zh-CN" w:bidi="ar-SA"/>
          <w14:textFill>
            <w14:solidFill>
              <w14:schemeClr w14:val="tx1"/>
            </w14:solidFill>
          </w14:textFill>
        </w:rPr>
        <w:t>提出乙方拟投入的团队人员名单，及各角色职责与分工：</w:t>
      </w:r>
    </w:p>
    <w:tbl>
      <w:tblPr>
        <w:tblStyle w:val="28"/>
        <w:tblW w:w="95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650"/>
        <w:gridCol w:w="649"/>
        <w:gridCol w:w="650"/>
        <w:gridCol w:w="773"/>
        <w:gridCol w:w="872"/>
        <w:gridCol w:w="673"/>
        <w:gridCol w:w="1517"/>
        <w:gridCol w:w="2885"/>
      </w:tblGrid>
      <w:tr w14:paraId="55A04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872" w:type="dxa"/>
            <w:tcBorders>
              <w:top w:val="single" w:color="000000" w:sz="12" w:space="0"/>
              <w:left w:val="single" w:color="000000" w:sz="12" w:space="0"/>
            </w:tcBorders>
            <w:vAlign w:val="center"/>
          </w:tcPr>
          <w:p w14:paraId="7D43DB89">
            <w:pPr>
              <w:widowControl/>
              <w:numPr>
                <w:ilvl w:val="0"/>
                <w:numId w:val="0"/>
              </w:numPr>
              <w:kinsoku/>
              <w:autoSpaceDE/>
              <w:autoSpaceDN/>
              <w:adjustRightInd/>
              <w:snapToGrid/>
              <w:spacing w:before="0" w:line="360" w:lineRule="exact"/>
              <w:ind w:left="0" w:firstLine="0"/>
              <w:jc w:val="center"/>
              <w:textAlignment w:val="auto"/>
              <w:rPr>
                <w:rFonts w:hint="eastAsia" w:ascii="仿宋_GB2312" w:hAnsi="仿宋_GB2312" w:eastAsia="仿宋_GB2312" w:cs="仿宋_GB2312"/>
                <w:snapToGrid/>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4"/>
                <w:szCs w:val="24"/>
                <w:highlight w:val="none"/>
                <w:lang w:val="en-US" w:eastAsia="zh-CN" w:bidi="ar-SA"/>
                <w14:textFill>
                  <w14:solidFill>
                    <w14:schemeClr w14:val="tx1"/>
                  </w14:solidFill>
                </w14:textFill>
              </w:rPr>
              <w:t>姓名</w:t>
            </w:r>
          </w:p>
        </w:tc>
        <w:tc>
          <w:tcPr>
            <w:tcW w:w="650" w:type="dxa"/>
            <w:tcBorders>
              <w:top w:val="single" w:color="000000" w:sz="12" w:space="0"/>
            </w:tcBorders>
            <w:vAlign w:val="center"/>
          </w:tcPr>
          <w:p w14:paraId="0179C00E">
            <w:pPr>
              <w:widowControl/>
              <w:numPr>
                <w:ilvl w:val="0"/>
                <w:numId w:val="0"/>
              </w:numPr>
              <w:kinsoku/>
              <w:autoSpaceDE/>
              <w:autoSpaceDN/>
              <w:adjustRightInd/>
              <w:snapToGrid/>
              <w:spacing w:before="0" w:line="360" w:lineRule="exact"/>
              <w:ind w:left="0" w:firstLine="0"/>
              <w:jc w:val="center"/>
              <w:textAlignment w:val="auto"/>
              <w:rPr>
                <w:rFonts w:hint="eastAsia" w:ascii="仿宋_GB2312" w:hAnsi="仿宋_GB2312" w:eastAsia="仿宋_GB2312" w:cs="仿宋_GB2312"/>
                <w:snapToGrid/>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4"/>
                <w:szCs w:val="24"/>
                <w:highlight w:val="none"/>
                <w:lang w:val="en-US" w:eastAsia="zh-CN" w:bidi="ar-SA"/>
                <w14:textFill>
                  <w14:solidFill>
                    <w14:schemeClr w14:val="tx1"/>
                  </w14:solidFill>
                </w14:textFill>
              </w:rPr>
              <w:t>性别</w:t>
            </w:r>
          </w:p>
        </w:tc>
        <w:tc>
          <w:tcPr>
            <w:tcW w:w="649" w:type="dxa"/>
            <w:tcBorders>
              <w:top w:val="single" w:color="000000" w:sz="12" w:space="0"/>
            </w:tcBorders>
            <w:vAlign w:val="center"/>
          </w:tcPr>
          <w:p w14:paraId="089E78AF">
            <w:pPr>
              <w:widowControl/>
              <w:numPr>
                <w:ilvl w:val="0"/>
                <w:numId w:val="0"/>
              </w:numPr>
              <w:kinsoku/>
              <w:autoSpaceDE/>
              <w:autoSpaceDN/>
              <w:adjustRightInd/>
              <w:snapToGrid/>
              <w:spacing w:before="0" w:line="360" w:lineRule="exact"/>
              <w:ind w:left="0" w:firstLine="0"/>
              <w:jc w:val="center"/>
              <w:textAlignment w:val="auto"/>
              <w:rPr>
                <w:rFonts w:hint="eastAsia" w:ascii="仿宋_GB2312" w:hAnsi="仿宋_GB2312" w:eastAsia="仿宋_GB2312" w:cs="仿宋_GB2312"/>
                <w:snapToGrid/>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4"/>
                <w:szCs w:val="24"/>
                <w:highlight w:val="none"/>
                <w:lang w:val="en-US" w:eastAsia="zh-CN" w:bidi="ar-SA"/>
                <w14:textFill>
                  <w14:solidFill>
                    <w14:schemeClr w14:val="tx1"/>
                  </w14:solidFill>
                </w14:textFill>
              </w:rPr>
              <w:t>年龄</w:t>
            </w:r>
          </w:p>
        </w:tc>
        <w:tc>
          <w:tcPr>
            <w:tcW w:w="650" w:type="dxa"/>
            <w:tcBorders>
              <w:top w:val="single" w:color="000000" w:sz="12" w:space="0"/>
            </w:tcBorders>
            <w:vAlign w:val="center"/>
          </w:tcPr>
          <w:p w14:paraId="6B774631">
            <w:pPr>
              <w:widowControl/>
              <w:numPr>
                <w:ilvl w:val="0"/>
                <w:numId w:val="0"/>
              </w:numPr>
              <w:kinsoku/>
              <w:autoSpaceDE/>
              <w:autoSpaceDN/>
              <w:adjustRightInd/>
              <w:snapToGrid/>
              <w:spacing w:before="0" w:line="360" w:lineRule="exact"/>
              <w:ind w:left="0" w:firstLine="0"/>
              <w:jc w:val="center"/>
              <w:textAlignment w:val="auto"/>
              <w:rPr>
                <w:rFonts w:hint="eastAsia" w:ascii="仿宋_GB2312" w:hAnsi="仿宋_GB2312" w:eastAsia="仿宋_GB2312" w:cs="仿宋_GB2312"/>
                <w:snapToGrid/>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4"/>
                <w:szCs w:val="24"/>
                <w:highlight w:val="none"/>
                <w:lang w:val="en-US" w:eastAsia="zh-CN" w:bidi="ar-SA"/>
                <w14:textFill>
                  <w14:solidFill>
                    <w14:schemeClr w14:val="tx1"/>
                  </w14:solidFill>
                </w14:textFill>
              </w:rPr>
              <w:t>学历</w:t>
            </w:r>
          </w:p>
        </w:tc>
        <w:tc>
          <w:tcPr>
            <w:tcW w:w="773" w:type="dxa"/>
            <w:tcBorders>
              <w:top w:val="single" w:color="000000" w:sz="12" w:space="0"/>
            </w:tcBorders>
            <w:vAlign w:val="center"/>
          </w:tcPr>
          <w:p w14:paraId="266209D4">
            <w:pPr>
              <w:widowControl/>
              <w:numPr>
                <w:ilvl w:val="0"/>
                <w:numId w:val="0"/>
              </w:numPr>
              <w:kinsoku/>
              <w:autoSpaceDE/>
              <w:autoSpaceDN/>
              <w:adjustRightInd/>
              <w:snapToGrid/>
              <w:spacing w:before="0" w:line="360" w:lineRule="exact"/>
              <w:ind w:left="0" w:firstLine="0"/>
              <w:jc w:val="center"/>
              <w:textAlignment w:val="auto"/>
              <w:rPr>
                <w:rFonts w:hint="eastAsia" w:ascii="仿宋_GB2312" w:hAnsi="仿宋_GB2312" w:eastAsia="仿宋_GB2312" w:cs="仿宋_GB2312"/>
                <w:snapToGrid/>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4"/>
                <w:szCs w:val="24"/>
                <w:highlight w:val="none"/>
                <w:lang w:val="en-US" w:eastAsia="zh-CN" w:bidi="ar-SA"/>
                <w14:textFill>
                  <w14:solidFill>
                    <w14:schemeClr w14:val="tx1"/>
                  </w14:solidFill>
                </w14:textFill>
              </w:rPr>
              <w:t>职称</w:t>
            </w:r>
          </w:p>
        </w:tc>
        <w:tc>
          <w:tcPr>
            <w:tcW w:w="872" w:type="dxa"/>
            <w:tcBorders>
              <w:top w:val="single" w:color="000000" w:sz="12" w:space="0"/>
            </w:tcBorders>
            <w:vAlign w:val="center"/>
          </w:tcPr>
          <w:p w14:paraId="319C50FC">
            <w:pPr>
              <w:widowControl/>
              <w:numPr>
                <w:ilvl w:val="0"/>
                <w:numId w:val="0"/>
              </w:numPr>
              <w:kinsoku/>
              <w:autoSpaceDE/>
              <w:autoSpaceDN/>
              <w:adjustRightInd/>
              <w:snapToGrid/>
              <w:spacing w:before="0" w:line="360" w:lineRule="exact"/>
              <w:ind w:left="0" w:firstLine="0"/>
              <w:jc w:val="center"/>
              <w:textAlignment w:val="auto"/>
              <w:rPr>
                <w:rFonts w:hint="eastAsia" w:ascii="仿宋_GB2312" w:hAnsi="仿宋_GB2312" w:eastAsia="仿宋_GB2312" w:cs="仿宋_GB2312"/>
                <w:snapToGrid/>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24"/>
                <w:szCs w:val="24"/>
                <w:highlight w:val="none"/>
                <w:lang w:val="en-US" w:eastAsia="zh-CN" w:bidi="ar-SA"/>
                <w14:textFill>
                  <w14:solidFill>
                    <w14:schemeClr w14:val="tx1"/>
                  </w14:solidFill>
                </w14:textFill>
              </w:rPr>
              <w:t>同类工</w:t>
            </w:r>
          </w:p>
          <w:p w14:paraId="594B5CE9">
            <w:pPr>
              <w:widowControl/>
              <w:numPr>
                <w:ilvl w:val="0"/>
                <w:numId w:val="0"/>
              </w:numPr>
              <w:kinsoku/>
              <w:autoSpaceDE/>
              <w:autoSpaceDN/>
              <w:adjustRightInd/>
              <w:snapToGrid/>
              <w:spacing w:before="0" w:line="360" w:lineRule="exact"/>
              <w:ind w:left="0" w:firstLine="0"/>
              <w:jc w:val="center"/>
              <w:textAlignment w:val="auto"/>
              <w:rPr>
                <w:rFonts w:hint="eastAsia" w:ascii="仿宋_GB2312" w:hAnsi="仿宋_GB2312" w:eastAsia="仿宋_GB2312" w:cs="仿宋_GB2312"/>
                <w:snapToGrid/>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4"/>
                <w:szCs w:val="24"/>
                <w:highlight w:val="none"/>
                <w:lang w:val="en-US" w:eastAsia="zh-CN" w:bidi="ar-SA"/>
                <w14:textFill>
                  <w14:solidFill>
                    <w14:schemeClr w14:val="tx1"/>
                  </w14:solidFill>
                </w14:textFill>
              </w:rPr>
              <w:t>作年限</w:t>
            </w:r>
          </w:p>
        </w:tc>
        <w:tc>
          <w:tcPr>
            <w:tcW w:w="673" w:type="dxa"/>
            <w:tcBorders>
              <w:top w:val="single" w:color="000000" w:sz="12" w:space="0"/>
            </w:tcBorders>
            <w:vAlign w:val="center"/>
          </w:tcPr>
          <w:p w14:paraId="5E9F5670">
            <w:pPr>
              <w:widowControl/>
              <w:numPr>
                <w:ilvl w:val="0"/>
                <w:numId w:val="0"/>
              </w:numPr>
              <w:kinsoku/>
              <w:autoSpaceDE/>
              <w:autoSpaceDN/>
              <w:adjustRightInd/>
              <w:snapToGrid/>
              <w:spacing w:before="0" w:line="360" w:lineRule="exact"/>
              <w:ind w:left="0" w:firstLine="0"/>
              <w:jc w:val="center"/>
              <w:textAlignment w:val="auto"/>
              <w:rPr>
                <w:rFonts w:hint="eastAsia" w:ascii="仿宋_GB2312" w:hAnsi="仿宋_GB2312" w:eastAsia="仿宋_GB2312" w:cs="仿宋_GB2312"/>
                <w:snapToGrid/>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4"/>
                <w:szCs w:val="24"/>
                <w:highlight w:val="none"/>
                <w:lang w:val="en-US" w:eastAsia="zh-CN" w:bidi="ar-SA"/>
                <w14:textFill>
                  <w14:solidFill>
                    <w14:schemeClr w14:val="tx1"/>
                  </w14:solidFill>
                </w14:textFill>
              </w:rPr>
              <w:t>公司</w:t>
            </w:r>
          </w:p>
          <w:p w14:paraId="7E6159ED">
            <w:pPr>
              <w:widowControl/>
              <w:numPr>
                <w:ilvl w:val="0"/>
                <w:numId w:val="0"/>
              </w:numPr>
              <w:kinsoku/>
              <w:autoSpaceDE/>
              <w:autoSpaceDN/>
              <w:adjustRightInd/>
              <w:snapToGrid/>
              <w:spacing w:before="0" w:line="360" w:lineRule="exact"/>
              <w:ind w:left="0" w:firstLine="0"/>
              <w:jc w:val="center"/>
              <w:textAlignment w:val="auto"/>
              <w:rPr>
                <w:rFonts w:hint="eastAsia" w:ascii="仿宋_GB2312" w:hAnsi="仿宋_GB2312" w:eastAsia="仿宋_GB2312" w:cs="仿宋_GB2312"/>
                <w:snapToGrid/>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4"/>
                <w:szCs w:val="24"/>
                <w:highlight w:val="none"/>
                <w:lang w:val="en-US" w:eastAsia="zh-CN" w:bidi="ar-SA"/>
                <w14:textFill>
                  <w14:solidFill>
                    <w14:schemeClr w14:val="tx1"/>
                  </w14:solidFill>
                </w14:textFill>
              </w:rPr>
              <w:t>职务</w:t>
            </w:r>
          </w:p>
        </w:tc>
        <w:tc>
          <w:tcPr>
            <w:tcW w:w="1517" w:type="dxa"/>
            <w:tcBorders>
              <w:top w:val="single" w:color="000000" w:sz="12" w:space="0"/>
            </w:tcBorders>
            <w:vAlign w:val="center"/>
          </w:tcPr>
          <w:p w14:paraId="75FAC01C">
            <w:pPr>
              <w:widowControl/>
              <w:numPr>
                <w:ilvl w:val="0"/>
                <w:numId w:val="0"/>
              </w:numPr>
              <w:kinsoku/>
              <w:autoSpaceDE/>
              <w:autoSpaceDN/>
              <w:adjustRightInd/>
              <w:snapToGrid/>
              <w:spacing w:before="0" w:line="360" w:lineRule="exact"/>
              <w:ind w:left="0" w:firstLine="0"/>
              <w:jc w:val="center"/>
              <w:textAlignment w:val="auto"/>
              <w:rPr>
                <w:rFonts w:hint="eastAsia" w:ascii="仿宋_GB2312" w:hAnsi="仿宋_GB2312" w:eastAsia="仿宋_GB2312" w:cs="仿宋_GB2312"/>
                <w:snapToGrid/>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4"/>
                <w:szCs w:val="24"/>
                <w:highlight w:val="none"/>
                <w:lang w:val="en-US" w:eastAsia="zh-CN" w:bidi="ar-SA"/>
                <w14:textFill>
                  <w14:solidFill>
                    <w14:schemeClr w14:val="tx1"/>
                  </w14:solidFill>
                </w14:textFill>
              </w:rPr>
              <w:t>本项目岗位</w:t>
            </w:r>
          </w:p>
        </w:tc>
        <w:tc>
          <w:tcPr>
            <w:tcW w:w="2885" w:type="dxa"/>
            <w:tcBorders>
              <w:top w:val="single" w:color="000000" w:sz="12" w:space="0"/>
              <w:right w:val="single" w:color="000000" w:sz="12" w:space="0"/>
            </w:tcBorders>
            <w:vAlign w:val="center"/>
          </w:tcPr>
          <w:p w14:paraId="0C9BE520">
            <w:pPr>
              <w:widowControl/>
              <w:numPr>
                <w:ilvl w:val="0"/>
                <w:numId w:val="0"/>
              </w:numPr>
              <w:kinsoku/>
              <w:autoSpaceDE/>
              <w:autoSpaceDN/>
              <w:adjustRightInd/>
              <w:snapToGrid/>
              <w:spacing w:before="0" w:line="360" w:lineRule="exact"/>
              <w:ind w:left="0" w:firstLine="0"/>
              <w:jc w:val="center"/>
              <w:textAlignment w:val="auto"/>
              <w:rPr>
                <w:rFonts w:hint="eastAsia" w:ascii="仿宋_GB2312" w:hAnsi="仿宋_GB2312" w:eastAsia="仿宋_GB2312" w:cs="仿宋_GB2312"/>
                <w:snapToGrid/>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4"/>
                <w:szCs w:val="24"/>
                <w:highlight w:val="none"/>
                <w:lang w:val="en-US" w:eastAsia="zh-CN" w:bidi="ar-SA"/>
                <w14:textFill>
                  <w14:solidFill>
                    <w14:schemeClr w14:val="tx1"/>
                  </w14:solidFill>
                </w14:textFill>
              </w:rPr>
              <w:t>承担工作</w:t>
            </w:r>
          </w:p>
        </w:tc>
      </w:tr>
      <w:tr w14:paraId="3FA5E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2" w:type="dxa"/>
            <w:tcBorders>
              <w:left w:val="single" w:color="000000" w:sz="12" w:space="0"/>
            </w:tcBorders>
            <w:vAlign w:val="top"/>
          </w:tcPr>
          <w:p w14:paraId="58F3169C">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50" w:type="dxa"/>
            <w:vAlign w:val="top"/>
          </w:tcPr>
          <w:p w14:paraId="698D4942">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49" w:type="dxa"/>
            <w:vAlign w:val="top"/>
          </w:tcPr>
          <w:p w14:paraId="5F862241">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50" w:type="dxa"/>
            <w:vAlign w:val="top"/>
          </w:tcPr>
          <w:p w14:paraId="2037C673">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773" w:type="dxa"/>
            <w:vAlign w:val="top"/>
          </w:tcPr>
          <w:p w14:paraId="73F69859">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872" w:type="dxa"/>
            <w:vAlign w:val="top"/>
          </w:tcPr>
          <w:p w14:paraId="0DD489C9">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73" w:type="dxa"/>
            <w:vAlign w:val="top"/>
          </w:tcPr>
          <w:p w14:paraId="238903E3">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1517" w:type="dxa"/>
            <w:vAlign w:val="top"/>
          </w:tcPr>
          <w:p w14:paraId="32D8E52A">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2885" w:type="dxa"/>
            <w:tcBorders>
              <w:right w:val="single" w:color="000000" w:sz="12" w:space="0"/>
            </w:tcBorders>
            <w:vAlign w:val="top"/>
          </w:tcPr>
          <w:p w14:paraId="00B72ABF">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r>
      <w:tr w14:paraId="7233E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2" w:type="dxa"/>
            <w:tcBorders>
              <w:left w:val="single" w:color="000000" w:sz="12" w:space="0"/>
            </w:tcBorders>
            <w:vAlign w:val="top"/>
          </w:tcPr>
          <w:p w14:paraId="13931891">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50" w:type="dxa"/>
            <w:vAlign w:val="top"/>
          </w:tcPr>
          <w:p w14:paraId="6F76EFB8">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49" w:type="dxa"/>
            <w:vAlign w:val="top"/>
          </w:tcPr>
          <w:p w14:paraId="1B4A1125">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50" w:type="dxa"/>
            <w:vAlign w:val="top"/>
          </w:tcPr>
          <w:p w14:paraId="51C3F68B">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773" w:type="dxa"/>
            <w:vAlign w:val="top"/>
          </w:tcPr>
          <w:p w14:paraId="35D40E8A">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872" w:type="dxa"/>
            <w:vAlign w:val="top"/>
          </w:tcPr>
          <w:p w14:paraId="3F552AE8">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73" w:type="dxa"/>
            <w:vAlign w:val="top"/>
          </w:tcPr>
          <w:p w14:paraId="6A7264B2">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1517" w:type="dxa"/>
            <w:vAlign w:val="top"/>
          </w:tcPr>
          <w:p w14:paraId="4DA77299">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2885" w:type="dxa"/>
            <w:tcBorders>
              <w:right w:val="single" w:color="000000" w:sz="12" w:space="0"/>
            </w:tcBorders>
            <w:vAlign w:val="top"/>
          </w:tcPr>
          <w:p w14:paraId="24BB8A4A">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r>
      <w:tr w14:paraId="3AB23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2" w:type="dxa"/>
            <w:tcBorders>
              <w:left w:val="single" w:color="000000" w:sz="12" w:space="0"/>
            </w:tcBorders>
            <w:vAlign w:val="top"/>
          </w:tcPr>
          <w:p w14:paraId="0E2ABD45">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50" w:type="dxa"/>
            <w:vAlign w:val="top"/>
          </w:tcPr>
          <w:p w14:paraId="2BE4F5FF">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49" w:type="dxa"/>
            <w:vAlign w:val="top"/>
          </w:tcPr>
          <w:p w14:paraId="2F87A916">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50" w:type="dxa"/>
            <w:vAlign w:val="top"/>
          </w:tcPr>
          <w:p w14:paraId="6F4D4664">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773" w:type="dxa"/>
            <w:vAlign w:val="top"/>
          </w:tcPr>
          <w:p w14:paraId="0AADC6F4">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872" w:type="dxa"/>
            <w:vAlign w:val="top"/>
          </w:tcPr>
          <w:p w14:paraId="0872B92B">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73" w:type="dxa"/>
            <w:vAlign w:val="top"/>
          </w:tcPr>
          <w:p w14:paraId="49CFFAFC">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1517" w:type="dxa"/>
            <w:vAlign w:val="top"/>
          </w:tcPr>
          <w:p w14:paraId="34CC5B51">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2885" w:type="dxa"/>
            <w:tcBorders>
              <w:right w:val="single" w:color="000000" w:sz="12" w:space="0"/>
            </w:tcBorders>
            <w:vAlign w:val="top"/>
          </w:tcPr>
          <w:p w14:paraId="51519D21">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r>
      <w:tr w14:paraId="6EAC2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2" w:type="dxa"/>
            <w:tcBorders>
              <w:left w:val="single" w:color="000000" w:sz="12" w:space="0"/>
            </w:tcBorders>
            <w:vAlign w:val="top"/>
          </w:tcPr>
          <w:p w14:paraId="0266D0FB">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50" w:type="dxa"/>
            <w:vAlign w:val="top"/>
          </w:tcPr>
          <w:p w14:paraId="0BB7B3D6">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49" w:type="dxa"/>
            <w:vAlign w:val="top"/>
          </w:tcPr>
          <w:p w14:paraId="5DC08FEB">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50" w:type="dxa"/>
            <w:vAlign w:val="top"/>
          </w:tcPr>
          <w:p w14:paraId="199E9FC6">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773" w:type="dxa"/>
            <w:vAlign w:val="top"/>
          </w:tcPr>
          <w:p w14:paraId="513A19F4">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872" w:type="dxa"/>
            <w:vAlign w:val="top"/>
          </w:tcPr>
          <w:p w14:paraId="1386563A">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73" w:type="dxa"/>
            <w:vAlign w:val="top"/>
          </w:tcPr>
          <w:p w14:paraId="17C787C5">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1517" w:type="dxa"/>
            <w:vAlign w:val="top"/>
          </w:tcPr>
          <w:p w14:paraId="772087DE">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2885" w:type="dxa"/>
            <w:tcBorders>
              <w:right w:val="single" w:color="000000" w:sz="12" w:space="0"/>
            </w:tcBorders>
            <w:vAlign w:val="top"/>
          </w:tcPr>
          <w:p w14:paraId="58E7F20D">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r>
      <w:tr w14:paraId="2E4DC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2" w:type="dxa"/>
            <w:tcBorders>
              <w:left w:val="single" w:color="000000" w:sz="12" w:space="0"/>
            </w:tcBorders>
            <w:vAlign w:val="top"/>
          </w:tcPr>
          <w:p w14:paraId="0DB6048D">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50" w:type="dxa"/>
            <w:vAlign w:val="top"/>
          </w:tcPr>
          <w:p w14:paraId="7D030B97">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49" w:type="dxa"/>
            <w:vAlign w:val="top"/>
          </w:tcPr>
          <w:p w14:paraId="4D9B3291">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50" w:type="dxa"/>
            <w:vAlign w:val="top"/>
          </w:tcPr>
          <w:p w14:paraId="5BF7A738">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773" w:type="dxa"/>
            <w:vAlign w:val="top"/>
          </w:tcPr>
          <w:p w14:paraId="557B7072">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872" w:type="dxa"/>
            <w:vAlign w:val="top"/>
          </w:tcPr>
          <w:p w14:paraId="3AD8E436">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673" w:type="dxa"/>
            <w:vAlign w:val="top"/>
          </w:tcPr>
          <w:p w14:paraId="0AEA81FE">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1517" w:type="dxa"/>
            <w:vAlign w:val="top"/>
          </w:tcPr>
          <w:p w14:paraId="3F6E1E0C">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c>
          <w:tcPr>
            <w:tcW w:w="2885" w:type="dxa"/>
            <w:tcBorders>
              <w:right w:val="single" w:color="000000" w:sz="12" w:space="0"/>
            </w:tcBorders>
            <w:vAlign w:val="top"/>
          </w:tcPr>
          <w:p w14:paraId="774E76B2">
            <w:pPr>
              <w:widowControl/>
              <w:kinsoku w:val="0"/>
              <w:autoSpaceDE w:val="0"/>
              <w:autoSpaceDN w:val="0"/>
              <w:spacing w:line="240" w:lineRule="auto"/>
              <w:ind w:firstLine="0" w:firstLineChars="0"/>
              <w:jc w:val="left"/>
              <w:textAlignment w:val="baseline"/>
              <w:rPr>
                <w:rFonts w:hint="eastAsia" w:ascii="仿宋_GB2312" w:hAnsi="仿宋_GB2312" w:eastAsia="仿宋_GB2312" w:cs="仿宋_GB2312"/>
                <w:snapToGrid w:val="0"/>
                <w:color w:val="auto"/>
                <w:kern w:val="0"/>
                <w:sz w:val="24"/>
                <w:szCs w:val="24"/>
                <w:highlight w:val="none"/>
                <w:lang w:eastAsia="en-US"/>
              </w:rPr>
            </w:pPr>
          </w:p>
        </w:tc>
      </w:tr>
      <w:tr w14:paraId="74A07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7" w:hRule="atLeast"/>
        </w:trPr>
        <w:tc>
          <w:tcPr>
            <w:tcW w:w="9541" w:type="dxa"/>
            <w:gridSpan w:val="9"/>
            <w:tcBorders>
              <w:left w:val="single" w:color="000000" w:sz="12" w:space="0"/>
              <w:bottom w:val="single" w:color="000000" w:sz="12" w:space="0"/>
              <w:right w:val="single" w:color="000000" w:sz="12" w:space="0"/>
            </w:tcBorders>
            <w:vAlign w:val="top"/>
          </w:tcPr>
          <w:p w14:paraId="12A529C2">
            <w:pPr>
              <w:widowControl/>
              <w:numPr>
                <w:ilvl w:val="0"/>
                <w:numId w:val="0"/>
              </w:numPr>
              <w:kinsoku/>
              <w:autoSpaceDE/>
              <w:autoSpaceDN/>
              <w:adjustRightInd/>
              <w:snapToGrid/>
              <w:spacing w:before="0" w:line="540" w:lineRule="exact"/>
              <w:ind w:firstLine="560"/>
              <w:jc w:val="left"/>
              <w:textAlignment w:val="auto"/>
              <w:rPr>
                <w:rFonts w:hint="eastAsia" w:ascii="仿宋_GB2312" w:hAnsi="仿宋_GB2312" w:eastAsia="仿宋_GB2312" w:cs="仿宋_GB2312"/>
                <w:snapToGrid w:val="0"/>
                <w:color w:val="auto"/>
                <w:kern w:val="0"/>
                <w:sz w:val="24"/>
                <w:szCs w:val="24"/>
                <w:highlight w:val="none"/>
                <w:lang w:val="en-US" w:eastAsia="en-US" w:bidi="ar-SA"/>
              </w:rPr>
            </w:pPr>
            <w:r>
              <w:rPr>
                <w:rFonts w:hint="eastAsia" w:ascii="仿宋_GB2312" w:hAnsi="仿宋_GB2312" w:eastAsia="仿宋_GB2312" w:cs="仿宋_GB2312"/>
                <w:snapToGrid/>
                <w:color w:val="000000" w:themeColor="text1"/>
                <w:spacing w:val="0"/>
                <w:kern w:val="2"/>
                <w:sz w:val="24"/>
                <w:szCs w:val="24"/>
                <w:highlight w:val="none"/>
                <w:lang w:val="en-US" w:eastAsia="zh-CN" w:bidi="ar-SA"/>
                <w14:textFill>
                  <w14:solidFill>
                    <w14:schemeClr w14:val="tx1"/>
                  </w14:solidFill>
                </w14:textFill>
              </w:rPr>
              <w:t>项目主要人员简历（毕业院校、曾任职、专长、承担同类项目历史情况）</w:t>
            </w:r>
          </w:p>
        </w:tc>
      </w:tr>
    </w:tbl>
    <w:p w14:paraId="567EC60E">
      <w:pPr>
        <w:widowControl/>
        <w:kinsoku w:val="0"/>
        <w:autoSpaceDE w:val="0"/>
        <w:autoSpaceDN w:val="0"/>
        <w:spacing w:line="240" w:lineRule="auto"/>
        <w:ind w:firstLine="0" w:firstLineChars="0"/>
        <w:jc w:val="left"/>
        <w:textAlignment w:val="baseline"/>
        <w:rPr>
          <w:rFonts w:ascii="Arial" w:hAnsi="Arial" w:eastAsia="Arial" w:cs="Arial"/>
          <w:snapToGrid w:val="0"/>
          <w:color w:val="auto"/>
          <w:kern w:val="0"/>
          <w:sz w:val="21"/>
          <w:szCs w:val="21"/>
          <w:highlight w:val="none"/>
          <w:lang w:eastAsia="en-US"/>
        </w:rPr>
      </w:pPr>
    </w:p>
    <w:p w14:paraId="022B9265">
      <w:pPr>
        <w:rPr>
          <w:rFonts w:ascii="Arial" w:hAnsi="Arial" w:eastAsia="Arial" w:cs="Arial"/>
          <w:color w:val="auto"/>
          <w:sz w:val="21"/>
          <w:szCs w:val="21"/>
          <w:highlight w:val="none"/>
        </w:rPr>
        <w:sectPr>
          <w:footerReference r:id="rId13" w:type="default"/>
          <w:pgSz w:w="11906" w:h="16839"/>
          <w:pgMar w:top="1431" w:right="1059" w:bottom="1170" w:left="1300" w:header="0" w:footer="956" w:gutter="0"/>
          <w:pgBorders>
            <w:top w:val="none" w:sz="0" w:space="0"/>
            <w:left w:val="none" w:sz="0" w:space="0"/>
            <w:bottom w:val="none" w:sz="0" w:space="0"/>
            <w:right w:val="none" w:sz="0" w:space="0"/>
          </w:pgBorders>
          <w:pgNumType w:fmt="decimal"/>
          <w:cols w:space="720" w:num="1"/>
        </w:sectPr>
      </w:pPr>
    </w:p>
    <w:p w14:paraId="069B1FE8">
      <w:pPr>
        <w:kinsoku w:val="0"/>
        <w:autoSpaceDE w:val="0"/>
        <w:autoSpaceDN w:val="0"/>
        <w:adjustRightInd w:val="0"/>
        <w:snapToGrid w:val="0"/>
        <w:spacing w:before="0" w:line="500" w:lineRule="exact"/>
        <w:ind w:firstLine="0" w:firstLineChars="0"/>
        <w:jc w:val="left"/>
        <w:textAlignment w:val="baseline"/>
        <w:outlineLvl w:val="0"/>
        <w:rPr>
          <w:rFonts w:hint="eastAsia" w:ascii="黑体" w:hAnsi="黑体" w:eastAsia="黑体" w:cs="黑体"/>
          <w:b/>
          <w:bCs/>
          <w:snapToGrid w:val="0"/>
          <w:color w:val="auto"/>
          <w:spacing w:val="5"/>
          <w:kern w:val="0"/>
          <w:sz w:val="28"/>
          <w:szCs w:val="28"/>
          <w:highlight w:val="none"/>
          <w:lang w:val="en-US" w:eastAsia="en-US" w:bidi="ar-SA"/>
        </w:rPr>
      </w:pPr>
      <w:r>
        <w:rPr>
          <w:rFonts w:hint="eastAsia" w:ascii="黑体" w:hAnsi="黑体" w:eastAsia="黑体" w:cs="黑体"/>
          <w:b/>
          <w:bCs/>
          <w:snapToGrid w:val="0"/>
          <w:color w:val="auto"/>
          <w:spacing w:val="5"/>
          <w:kern w:val="0"/>
          <w:sz w:val="28"/>
          <w:szCs w:val="28"/>
          <w:highlight w:val="none"/>
          <w:lang w:val="en-US" w:eastAsia="en-US" w:bidi="ar-SA"/>
        </w:rPr>
        <w:t>附件4</w:t>
      </w:r>
    </w:p>
    <w:p w14:paraId="7D4777DA">
      <w:pPr>
        <w:kinsoku w:val="0"/>
        <w:autoSpaceDE/>
        <w:autoSpaceDN/>
        <w:adjustRightInd w:val="0"/>
        <w:snapToGrid w:val="0"/>
        <w:spacing w:before="0" w:line="600" w:lineRule="exact"/>
        <w:ind w:firstLine="0" w:firstLineChars="0"/>
        <w:jc w:val="left"/>
        <w:textAlignment w:val="baseline"/>
        <w:outlineLvl w:val="0"/>
        <w:rPr>
          <w:rFonts w:hint="eastAsia" w:ascii="黑体" w:hAnsi="黑体" w:eastAsia="黑体" w:cs="黑体"/>
          <w:b/>
          <w:bCs/>
          <w:snapToGrid w:val="0"/>
          <w:color w:val="auto"/>
          <w:spacing w:val="5"/>
          <w:kern w:val="0"/>
          <w:sz w:val="28"/>
          <w:szCs w:val="28"/>
          <w:highlight w:val="none"/>
          <w:lang w:val="en-US" w:eastAsia="en-US" w:bidi="ar-SA"/>
        </w:rPr>
      </w:pPr>
    </w:p>
    <w:p w14:paraId="18FA3081">
      <w:pPr>
        <w:kinsoku w:val="0"/>
        <w:autoSpaceDE w:val="0"/>
        <w:autoSpaceDN w:val="0"/>
        <w:adjustRightInd w:val="0"/>
        <w:snapToGrid w:val="0"/>
        <w:spacing w:before="0" w:line="500" w:lineRule="exact"/>
        <w:ind w:firstLine="0" w:firstLineChars="0"/>
        <w:jc w:val="center"/>
        <w:textAlignment w:val="baseline"/>
        <w:outlineLvl w:val="0"/>
        <w:rPr>
          <w:rFonts w:hint="eastAsia" w:ascii="方正小标宋简体" w:hAnsi="方正小标宋简体" w:eastAsia="方正小标宋简体" w:cs="方正小标宋简体"/>
          <w:b/>
          <w:bCs/>
          <w:snapToGrid w:val="0"/>
          <w:color w:val="auto"/>
          <w:spacing w:val="5"/>
          <w:kern w:val="0"/>
          <w:sz w:val="32"/>
          <w:szCs w:val="32"/>
          <w:highlight w:val="none"/>
          <w:lang w:val="en-US" w:eastAsia="en-US" w:bidi="ar-SA"/>
        </w:rPr>
      </w:pPr>
      <w:r>
        <w:rPr>
          <w:rFonts w:hint="eastAsia" w:ascii="方正小标宋简体" w:hAnsi="方正小标宋简体" w:eastAsia="方正小标宋简体" w:cs="方正小标宋简体"/>
          <w:b/>
          <w:bCs/>
          <w:snapToGrid w:val="0"/>
          <w:color w:val="auto"/>
          <w:spacing w:val="5"/>
          <w:kern w:val="0"/>
          <w:sz w:val="32"/>
          <w:szCs w:val="32"/>
          <w:highlight w:val="none"/>
          <w:lang w:val="en-US" w:eastAsia="en-US" w:bidi="ar-SA"/>
        </w:rPr>
        <w:t>价格明细（若有）</w:t>
      </w:r>
    </w:p>
    <w:p w14:paraId="6F9A7E32">
      <w:pPr>
        <w:widowControl/>
        <w:numPr>
          <w:ilvl w:val="0"/>
          <w:numId w:val="0"/>
        </w:numPr>
        <w:kinsoku/>
        <w:autoSpaceDE/>
        <w:autoSpaceDN/>
        <w:adjustRightInd/>
        <w:snapToGrid/>
        <w:spacing w:before="0" w:line="500" w:lineRule="exact"/>
        <w:ind w:firstLine="561"/>
        <w:jc w:val="left"/>
        <w:textAlignment w:val="auto"/>
        <w:rPr>
          <w:rFonts w:hint="eastAsia" w:ascii="仿宋_GB2312" w:hAnsi="仿宋_GB2312" w:eastAsia="仿宋_GB2312" w:cs="仿宋_GB2312"/>
          <w:i w:val="0"/>
          <w:iCs w:val="0"/>
          <w:snapToGrid/>
          <w:color w:val="000000" w:themeColor="text1"/>
          <w:spacing w:val="0"/>
          <w:kern w:val="2"/>
          <w:sz w:val="28"/>
          <w:szCs w:val="28"/>
          <w:highlight w:val="none"/>
          <w:lang w:val="en-US" w:eastAsia="zh-CN" w:bidi="ar-SA"/>
          <w14:textFill>
            <w14:solidFill>
              <w14:schemeClr w14:val="tx1"/>
            </w14:solidFill>
          </w14:textFill>
        </w:rPr>
      </w:pPr>
    </w:p>
    <w:p w14:paraId="223B7C5C">
      <w:pPr>
        <w:widowControl/>
        <w:numPr>
          <w:ilvl w:val="0"/>
          <w:numId w:val="0"/>
        </w:numPr>
        <w:kinsoku/>
        <w:autoSpaceDE/>
        <w:autoSpaceDN/>
        <w:adjustRightInd/>
        <w:snapToGrid/>
        <w:spacing w:line="540" w:lineRule="exact"/>
        <w:ind w:firstLine="560" w:firstLineChars="0"/>
        <w:jc w:val="left"/>
        <w:textAlignment w:val="auto"/>
        <w:rPr>
          <w:rFonts w:ascii="Arial" w:hAnsi="Arial" w:eastAsia="Arial" w:cs="Arial"/>
          <w:b/>
          <w:bCs/>
          <w:snapToGrid w:val="0"/>
          <w:color w:val="auto"/>
          <w:spacing w:val="4"/>
          <w:kern w:val="0"/>
          <w:sz w:val="20"/>
          <w:szCs w:val="20"/>
          <w:highlight w:val="none"/>
          <w:lang w:eastAsia="en-US"/>
        </w:rPr>
      </w:pPr>
      <w:r>
        <w:rPr>
          <w:rFonts w:hint="eastAsia" w:ascii="仿宋_GB2312" w:hAnsi="仿宋_GB2312" w:eastAsia="仿宋_GB2312" w:cs="仿宋_GB2312"/>
          <w:i w:val="0"/>
          <w:iCs w:val="0"/>
          <w:snapToGrid/>
          <w:color w:val="000000" w:themeColor="text1"/>
          <w:spacing w:val="0"/>
          <w:kern w:val="2"/>
          <w:sz w:val="28"/>
          <w:szCs w:val="28"/>
          <w:highlight w:val="none"/>
          <w:lang w:val="en-US" w:eastAsia="zh-CN" w:bidi="ar-SA"/>
          <w14:textFill>
            <w14:solidFill>
              <w14:schemeClr w14:val="tx1"/>
            </w14:solidFill>
          </w14:textFill>
        </w:rPr>
        <w:t>提出乙方价格构成及分项明细表。</w:t>
      </w:r>
      <w:r>
        <w:rPr>
          <w:rFonts w:ascii="Arial" w:hAnsi="Arial" w:eastAsia="Arial" w:cs="Arial"/>
          <w:b/>
          <w:bCs/>
          <w:snapToGrid w:val="0"/>
          <w:color w:val="auto"/>
          <w:spacing w:val="4"/>
          <w:kern w:val="0"/>
          <w:sz w:val="20"/>
          <w:szCs w:val="20"/>
          <w:highlight w:val="none"/>
          <w:lang w:eastAsia="en-US"/>
        </w:rPr>
        <w:br w:type="page"/>
      </w:r>
    </w:p>
    <w:p w14:paraId="43397D95">
      <w:pPr>
        <w:kinsoku w:val="0"/>
        <w:autoSpaceDE w:val="0"/>
        <w:autoSpaceDN w:val="0"/>
        <w:adjustRightInd w:val="0"/>
        <w:snapToGrid w:val="0"/>
        <w:spacing w:before="0" w:line="500" w:lineRule="exact"/>
        <w:ind w:firstLine="0" w:firstLineChars="0"/>
        <w:jc w:val="left"/>
        <w:textAlignment w:val="baseline"/>
        <w:outlineLvl w:val="0"/>
        <w:rPr>
          <w:rFonts w:hint="eastAsia" w:ascii="黑体" w:hAnsi="黑体" w:eastAsia="黑体" w:cs="黑体"/>
          <w:b/>
          <w:bCs/>
          <w:snapToGrid w:val="0"/>
          <w:color w:val="auto"/>
          <w:spacing w:val="5"/>
          <w:kern w:val="0"/>
          <w:sz w:val="28"/>
          <w:szCs w:val="28"/>
          <w:highlight w:val="none"/>
          <w:lang w:val="en-US" w:eastAsia="en-US" w:bidi="ar-SA"/>
        </w:rPr>
      </w:pPr>
      <w:r>
        <w:rPr>
          <w:rFonts w:hint="eastAsia" w:ascii="黑体" w:hAnsi="黑体" w:eastAsia="黑体" w:cs="黑体"/>
          <w:b/>
          <w:bCs/>
          <w:snapToGrid w:val="0"/>
          <w:color w:val="auto"/>
          <w:spacing w:val="5"/>
          <w:kern w:val="0"/>
          <w:sz w:val="28"/>
          <w:szCs w:val="28"/>
          <w:highlight w:val="none"/>
          <w:lang w:val="en-US" w:eastAsia="en-US" w:bidi="ar-SA"/>
        </w:rPr>
        <w:t>附件5</w:t>
      </w:r>
    </w:p>
    <w:p w14:paraId="1FCFD17F">
      <w:pPr>
        <w:kinsoku w:val="0"/>
        <w:autoSpaceDE/>
        <w:autoSpaceDN/>
        <w:adjustRightInd w:val="0"/>
        <w:snapToGrid w:val="0"/>
        <w:spacing w:before="0" w:line="600" w:lineRule="exact"/>
        <w:ind w:firstLine="0" w:firstLineChars="0"/>
        <w:jc w:val="left"/>
        <w:textAlignment w:val="baseline"/>
        <w:rPr>
          <w:rFonts w:hint="eastAsia" w:ascii="黑体" w:hAnsi="黑体" w:eastAsia="黑体" w:cs="黑体"/>
          <w:b/>
          <w:bCs/>
          <w:snapToGrid w:val="0"/>
          <w:color w:val="auto"/>
          <w:spacing w:val="5"/>
          <w:kern w:val="0"/>
          <w:sz w:val="28"/>
          <w:szCs w:val="28"/>
          <w:highlight w:val="none"/>
          <w:lang w:val="en-US" w:eastAsia="en-US" w:bidi="ar-SA"/>
        </w:rPr>
      </w:pPr>
    </w:p>
    <w:p w14:paraId="5169CE88">
      <w:pPr>
        <w:pStyle w:val="2"/>
        <w:kinsoku/>
        <w:autoSpaceDE/>
        <w:autoSpaceDN/>
        <w:adjustRightInd w:val="0"/>
        <w:snapToGrid w:val="0"/>
        <w:spacing w:before="0" w:after="0" w:line="540" w:lineRule="exact"/>
        <w:ind w:firstLine="0" w:firstLineChars="0"/>
        <w:jc w:val="center"/>
        <w:textAlignment w:val="auto"/>
        <w:rPr>
          <w:rFonts w:hint="eastAsia" w:ascii="方正小标宋简体" w:hAnsi="Times New Roman" w:eastAsia="方正小标宋简体" w:cs="Times New Roman"/>
          <w:snapToGrid/>
          <w:color w:val="auto"/>
          <w:spacing w:val="0"/>
          <w:kern w:val="44"/>
          <w:sz w:val="32"/>
          <w:szCs w:val="32"/>
          <w:highlight w:val="none"/>
          <w:lang w:val="en-US" w:eastAsia="en-US" w:bidi="ar-SA"/>
        </w:rPr>
      </w:pPr>
      <w:r>
        <w:rPr>
          <w:rFonts w:hint="eastAsia" w:ascii="方正小标宋简体" w:hAnsi="Times New Roman" w:eastAsia="方正小标宋简体" w:cs="Times New Roman"/>
          <w:b/>
          <w:bCs/>
          <w:snapToGrid/>
          <w:color w:val="auto"/>
          <w:spacing w:val="0"/>
          <w:kern w:val="44"/>
          <w:sz w:val="32"/>
          <w:szCs w:val="32"/>
          <w:highlight w:val="none"/>
          <w:lang w:val="en-US" w:eastAsia="en-US" w:bidi="ar-SA"/>
        </w:rPr>
        <w:t>保密承诺书</w:t>
      </w:r>
    </w:p>
    <w:p w14:paraId="21A4B79E">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56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p>
    <w:p w14:paraId="2DAAF0A1">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0" w:firstLineChars="0"/>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致：</w:t>
      </w:r>
      <w:r>
        <w:rPr>
          <w:rFonts w:hint="eastAsia" w:ascii="仿宋_GB2312" w:hAnsi="仿宋_GB2312" w:eastAsia="仿宋_GB2312" w:cs="仿宋_GB2312"/>
          <w:snapToGrid/>
          <w:color w:val="000000" w:themeColor="text1"/>
          <w:kern w:val="2"/>
          <w:sz w:val="28"/>
          <w:szCs w:val="28"/>
          <w:highlight w:val="none"/>
          <w:u w:val="single" w:color="auto"/>
          <w:lang w:val="en-US" w:eastAsia="zh-CN" w:bidi="ar-SA"/>
          <w14:textFill>
            <w14:solidFill>
              <w14:schemeClr w14:val="tx1"/>
            </w14:solidFill>
          </w14:textFill>
        </w:rPr>
        <w:t xml:space="preserve">           </w:t>
      </w:r>
    </w:p>
    <w:p w14:paraId="5199AA1C">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560"/>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为保护合作方甲方的合法利益，保证合作双方实现顺利合作，避免因信息泄露而给甲方造成损失，本项目的服务方</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u w:val="single" w:color="auto"/>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以及参与本项目的所有员工承诺遵守本保密承诺书内容。</w:t>
      </w:r>
    </w:p>
    <w:p w14:paraId="420C38CC">
      <w:pPr>
        <w:keepNext w:val="0"/>
        <w:keepLines w:val="0"/>
        <w:pageBreakBefore w:val="0"/>
        <w:widowControl/>
        <w:kinsoku w:val="0"/>
        <w:wordWrap/>
        <w:overflowPunct/>
        <w:topLinePunct w:val="0"/>
        <w:autoSpaceDE/>
        <w:autoSpaceDN/>
        <w:bidi w:val="0"/>
        <w:adjustRightInd w:val="0"/>
        <w:snapToGrid w:val="0"/>
        <w:spacing w:line="400" w:lineRule="exact"/>
        <w:ind w:left="0" w:right="0"/>
        <w:jc w:val="both"/>
        <w:textAlignment w:val="baseline"/>
        <w:rPr>
          <w:rFonts w:hint="eastAsia" w:ascii="黑体" w:hAnsi="黑体" w:eastAsia="黑体" w:cs="黑体"/>
          <w:snapToGrid w:val="0"/>
          <w:color w:val="auto"/>
          <w:kern w:val="0"/>
          <w:sz w:val="28"/>
          <w:szCs w:val="28"/>
          <w:highlight w:val="none"/>
          <w:lang w:val="en-US" w:eastAsia="en-US" w:bidi="ar-SA"/>
        </w:rPr>
      </w:pPr>
      <w:r>
        <w:rPr>
          <w:rFonts w:hint="eastAsia" w:ascii="黑体" w:hAnsi="黑体" w:eastAsia="黑体" w:cs="黑体"/>
          <w:snapToGrid w:val="0"/>
          <w:color w:val="auto"/>
          <w:spacing w:val="8"/>
          <w:kern w:val="0"/>
          <w:sz w:val="28"/>
          <w:szCs w:val="28"/>
          <w:highlight w:val="none"/>
          <w:lang w:val="en-US" w:eastAsia="en-US" w:bidi="ar-SA"/>
        </w:rPr>
        <w:t>一、保密信息定义</w:t>
      </w:r>
    </w:p>
    <w:p w14:paraId="3EA826B6">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560"/>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本承诺书所称的“保密信息”是指所有涉密信息、商业秘密、技术秘密、通信或与该项目相关的其他信息，无论是书面的、口头的、图形的、电磁的或其他任何形式的信息，包括（但不限于）数据、用户名、口令、产品、文件、规划、方案、技术、方法、仪器设备和其他信息及文档等，上述信息在本项目以如下形式确定：</w:t>
      </w:r>
    </w:p>
    <w:p w14:paraId="030632A5">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560"/>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1.甲方在项目实施中为乙方及乙方工作人员提供必要的数据、程序、用户名、口令和资料等；</w:t>
      </w:r>
    </w:p>
    <w:p w14:paraId="4867A648">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560"/>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2.在对甲方提供服务工作中涉及的业务及技术文档，包括政策、方案设计细节、程序文件、数据结构，以及相关业务系统的硬软件、文档，测试和测试产生的数据等；</w:t>
      </w:r>
    </w:p>
    <w:p w14:paraId="11D06810">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560"/>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3.服务过程中产生的所有成果为保密的内容；</w:t>
      </w:r>
    </w:p>
    <w:p w14:paraId="3A3D8D82">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560"/>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4.其他甲方合理认为并申明属于保密信息的内容。</w:t>
      </w:r>
    </w:p>
    <w:p w14:paraId="3FEBCA31">
      <w:pPr>
        <w:keepNext w:val="0"/>
        <w:keepLines w:val="0"/>
        <w:pageBreakBefore w:val="0"/>
        <w:widowControl/>
        <w:kinsoku w:val="0"/>
        <w:wordWrap/>
        <w:overflowPunct/>
        <w:topLinePunct w:val="0"/>
        <w:autoSpaceDE/>
        <w:autoSpaceDN/>
        <w:bidi w:val="0"/>
        <w:adjustRightInd w:val="0"/>
        <w:snapToGrid w:val="0"/>
        <w:spacing w:line="400" w:lineRule="exact"/>
        <w:ind w:left="0" w:right="0"/>
        <w:jc w:val="both"/>
        <w:textAlignment w:val="baseline"/>
        <w:rPr>
          <w:rFonts w:hint="eastAsia" w:ascii="黑体" w:hAnsi="黑体" w:eastAsia="黑体" w:cs="黑体"/>
          <w:snapToGrid w:val="0"/>
          <w:color w:val="auto"/>
          <w:spacing w:val="8"/>
          <w:kern w:val="0"/>
          <w:sz w:val="28"/>
          <w:szCs w:val="28"/>
          <w:highlight w:val="none"/>
          <w:lang w:val="en-US" w:eastAsia="en-US" w:bidi="ar-SA"/>
        </w:rPr>
      </w:pPr>
      <w:r>
        <w:rPr>
          <w:rFonts w:hint="eastAsia" w:ascii="黑体" w:hAnsi="黑体" w:eastAsia="黑体" w:cs="黑体"/>
          <w:snapToGrid w:val="0"/>
          <w:color w:val="auto"/>
          <w:spacing w:val="8"/>
          <w:kern w:val="0"/>
          <w:sz w:val="28"/>
          <w:szCs w:val="28"/>
          <w:highlight w:val="none"/>
          <w:lang w:val="en-US" w:eastAsia="en-US" w:bidi="ar-SA"/>
        </w:rPr>
        <w:t>二、保密要求</w:t>
      </w:r>
    </w:p>
    <w:p w14:paraId="6B4CCDF5">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560"/>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我公司在国家相关法律法规、规章政策所规定的前提下，全力限制“保密信息”的使用范围以利保密防范，并仅用于为甲方提供服务。在未经甲方书面形式授权下，我公司不会直接或间接使用“项目资料 ”的利益或目的性的任何专有信息，亦不会把任何专用信息披露给他人,我公司的所有员工均有义务受约束，并负有保密的义务。</w:t>
      </w:r>
    </w:p>
    <w:p w14:paraId="29C3B450">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560"/>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1.承诺人始终对保密资料保密，不在项目之外使用甲方提供的保密信息及因履行本项目而掌握的保密信息。</w:t>
      </w:r>
    </w:p>
    <w:p w14:paraId="6DB8E1AD">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560"/>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2.未经甲方书面同意，不向任何第三方提供保密信息以及可以接触上述保密信息的手段，包括在公开场合展览，公开对外宣传，作为文章、讯息、参考数据发表等。</w:t>
      </w:r>
    </w:p>
    <w:p w14:paraId="08E84940">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560"/>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3.只向项目相关人员（包括各自的领导﹑同事和雇员等）为商讨合作项目而有需要知悉保密信息的人士披露保密信息；并保证上述各相关人员的行为将会符合本守则的规定。</w:t>
      </w:r>
    </w:p>
    <w:p w14:paraId="296BCFC5">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56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4.在商讨合作项目的过程中，若需向第三方披露甲方的保密信息，应取得甲方书面许，并要求该第三方不得向任何其他人士泄露保密信息。</w:t>
      </w:r>
    </w:p>
    <w:p w14:paraId="10DF5C31">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56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5.有关保密的内容和义务，未经甲方解封则长期有效。</w:t>
      </w:r>
    </w:p>
    <w:p w14:paraId="070858A3">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56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p>
    <w:p w14:paraId="08D8A650">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56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p>
    <w:p w14:paraId="5F1A6381">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560"/>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p>
    <w:p w14:paraId="7587D588">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right="0" w:firstLine="3360" w:firstLineChars="1200"/>
        <w:jc w:val="left"/>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承诺人:</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kern w:val="2"/>
          <w:sz w:val="28"/>
          <w:szCs w:val="28"/>
          <w:highlight w:val="none"/>
          <w:u w:val="single" w:color="auto"/>
          <w:lang w:val="en-US" w:eastAsia="zh-CN" w:bidi="ar-SA"/>
          <w14:textFill>
            <w14:solidFill>
              <w14:schemeClr w14:val="tx1"/>
            </w14:solidFill>
          </w14:textFill>
        </w:rPr>
        <w:t xml:space="preserve">                                  </w:t>
      </w:r>
    </w:p>
    <w:p w14:paraId="0E4E8067">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firstLine="560" w:firstLineChars="0"/>
        <w:jc w:val="right"/>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（法定代表人或委托代理人签名并盖单位公章）</w:t>
      </w:r>
    </w:p>
    <w:p w14:paraId="1496E081">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firstLine="3570" w:firstLineChars="1275"/>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p>
    <w:p w14:paraId="6F1C811B">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firstLine="3570" w:firstLineChars="1275"/>
        <w:jc w:val="both"/>
        <w:textAlignment w:val="auto"/>
        <w:rPr>
          <w:rFonts w:hint="default" w:ascii="仿宋_GB2312" w:hAnsi="仿宋_GB2312" w:eastAsia="仿宋_GB2312" w:cs="仿宋_GB2312"/>
          <w:snapToGrid/>
          <w:color w:val="000000" w:themeColor="text1"/>
          <w:kern w:val="2"/>
          <w:sz w:val="28"/>
          <w:szCs w:val="28"/>
          <w:highlight w:val="none"/>
          <w:u w:val="singl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日期：      年    月    日</w:t>
      </w:r>
    </w:p>
    <w:p w14:paraId="53C355CA">
      <w:pPr>
        <w:widowControl/>
        <w:numPr>
          <w:ilvl w:val="0"/>
          <w:numId w:val="0"/>
        </w:numPr>
        <w:kinsoku/>
        <w:autoSpaceDE/>
        <w:autoSpaceDN/>
        <w:adjustRightInd/>
        <w:snapToGrid/>
        <w:spacing w:line="540" w:lineRule="exact"/>
        <w:ind w:firstLine="560" w:firstLineChars="0"/>
        <w:jc w:val="right"/>
        <w:textAlignment w:val="auto"/>
        <w:rPr>
          <w:rFonts w:hint="eastAsia" w:ascii="仿宋_GB2312" w:hAnsi="仿宋_GB2312" w:eastAsia="仿宋_GB2312" w:cs="仿宋_GB2312"/>
          <w:b w:val="0"/>
          <w:bCs w:val="0"/>
          <w:snapToGrid/>
          <w:color w:val="000000" w:themeColor="text1"/>
          <w:spacing w:val="0"/>
          <w:kern w:val="2"/>
          <w:sz w:val="28"/>
          <w:szCs w:val="28"/>
          <w:highlight w:val="none"/>
          <w:lang w:eastAsia="zh-CN"/>
          <w14:textFill>
            <w14:solidFill>
              <w14:schemeClr w14:val="tx1"/>
            </w14:solidFill>
          </w14:textFill>
        </w:rPr>
      </w:pPr>
      <w:r>
        <w:rPr>
          <w:rFonts w:hint="eastAsia" w:ascii="仿宋_GB2312" w:hAnsi="仿宋_GB2312" w:eastAsia="仿宋_GB2312" w:cs="仿宋_GB2312"/>
          <w:b w:val="0"/>
          <w:bCs w:val="0"/>
          <w:snapToGrid/>
          <w:color w:val="000000" w:themeColor="text1"/>
          <w:spacing w:val="0"/>
          <w:kern w:val="2"/>
          <w:sz w:val="28"/>
          <w:szCs w:val="28"/>
          <w:highlight w:val="none"/>
          <w:lang w:eastAsia="zh-CN"/>
          <w14:textFill>
            <w14:solidFill>
              <w14:schemeClr w14:val="tx1"/>
            </w14:solidFill>
          </w14:textFill>
        </w:rPr>
        <w:br w:type="page"/>
      </w:r>
    </w:p>
    <w:p w14:paraId="1BE0D8E3">
      <w:pPr>
        <w:kinsoku w:val="0"/>
        <w:autoSpaceDE w:val="0"/>
        <w:autoSpaceDN w:val="0"/>
        <w:adjustRightInd w:val="0"/>
        <w:snapToGrid w:val="0"/>
        <w:spacing w:before="0" w:line="500" w:lineRule="exact"/>
        <w:ind w:firstLine="0" w:firstLineChars="0"/>
        <w:jc w:val="left"/>
        <w:textAlignment w:val="baseline"/>
        <w:outlineLvl w:val="0"/>
        <w:rPr>
          <w:rFonts w:hint="eastAsia" w:ascii="黑体" w:hAnsi="黑体" w:eastAsia="黑体" w:cs="黑体"/>
          <w:b/>
          <w:bCs/>
          <w:snapToGrid w:val="0"/>
          <w:color w:val="auto"/>
          <w:spacing w:val="5"/>
          <w:kern w:val="0"/>
          <w:sz w:val="28"/>
          <w:szCs w:val="28"/>
          <w:highlight w:val="none"/>
          <w:lang w:val="en-US" w:eastAsia="en-US" w:bidi="ar-SA"/>
        </w:rPr>
      </w:pPr>
      <w:r>
        <w:rPr>
          <w:rFonts w:hint="eastAsia" w:ascii="黑体" w:hAnsi="黑体" w:eastAsia="黑体" w:cs="黑体"/>
          <w:b/>
          <w:bCs/>
          <w:snapToGrid w:val="0"/>
          <w:color w:val="auto"/>
          <w:spacing w:val="5"/>
          <w:kern w:val="0"/>
          <w:sz w:val="28"/>
          <w:szCs w:val="28"/>
          <w:highlight w:val="none"/>
          <w:lang w:val="en-US" w:eastAsia="en-US" w:bidi="ar-SA"/>
        </w:rPr>
        <w:t>附件6</w:t>
      </w:r>
    </w:p>
    <w:p w14:paraId="1A84B37A">
      <w:pPr>
        <w:widowControl/>
        <w:kinsoku w:val="0"/>
        <w:autoSpaceDE/>
        <w:autoSpaceDN/>
        <w:spacing w:line="600" w:lineRule="exact"/>
        <w:ind w:firstLine="0" w:firstLineChars="0"/>
        <w:jc w:val="left"/>
        <w:textAlignment w:val="baseline"/>
        <w:rPr>
          <w:rFonts w:hint="eastAsia" w:ascii="黑体" w:hAnsi="黑体" w:eastAsia="黑体" w:cs="黑体"/>
          <w:b/>
          <w:bCs/>
          <w:snapToGrid w:val="0"/>
          <w:color w:val="auto"/>
          <w:spacing w:val="5"/>
          <w:kern w:val="0"/>
          <w:sz w:val="28"/>
          <w:szCs w:val="28"/>
          <w:highlight w:val="none"/>
          <w:lang w:eastAsia="en-US"/>
        </w:rPr>
      </w:pPr>
    </w:p>
    <w:p w14:paraId="11ED33E6">
      <w:pPr>
        <w:pStyle w:val="2"/>
        <w:kinsoku/>
        <w:autoSpaceDE/>
        <w:autoSpaceDN/>
        <w:adjustRightInd w:val="0"/>
        <w:snapToGrid w:val="0"/>
        <w:spacing w:before="0" w:after="0" w:line="600" w:lineRule="exact"/>
        <w:ind w:firstLine="0" w:firstLineChars="0"/>
        <w:jc w:val="center"/>
        <w:textAlignment w:val="auto"/>
        <w:rPr>
          <w:rFonts w:hint="eastAsia" w:ascii="方正小标宋简体" w:hAnsi="Times New Roman" w:eastAsia="方正小标宋简体" w:cs="Times New Roman"/>
          <w:b/>
          <w:bCs/>
          <w:snapToGrid/>
          <w:color w:val="auto"/>
          <w:spacing w:val="0"/>
          <w:kern w:val="44"/>
          <w:sz w:val="32"/>
          <w:szCs w:val="32"/>
          <w:highlight w:val="none"/>
          <w:lang w:val="en-US" w:eastAsia="en-US" w:bidi="ar-SA"/>
        </w:rPr>
      </w:pPr>
      <w:r>
        <w:rPr>
          <w:rFonts w:hint="eastAsia" w:ascii="方正小标宋简体" w:hAnsi="Times New Roman" w:eastAsia="方正小标宋简体" w:cs="Times New Roman"/>
          <w:b/>
          <w:bCs/>
          <w:snapToGrid/>
          <w:color w:val="auto"/>
          <w:spacing w:val="0"/>
          <w:kern w:val="44"/>
          <w:sz w:val="32"/>
          <w:szCs w:val="32"/>
          <w:highlight w:val="none"/>
          <w:lang w:val="en-US" w:eastAsia="en-US" w:bidi="ar-SA"/>
        </w:rPr>
        <w:t>反商业贿赂协议</w:t>
      </w:r>
    </w:p>
    <w:p w14:paraId="1C4BAA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p>
    <w:p w14:paraId="5BA93A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根据中央办公厅《关于开展治理商业贿赂专项工作的意见》（中办发〔2006〕9号）以及有关项目服务、廉政建设规定，为做好项目服务中的反商业贿赂工作，建立起责任机制、督查机制和保障机制，保证项目服务高效优质，保证建设资金的安全和有效使用以及投资效益，本项目甲方与乙方特订立如下协议。</w:t>
      </w:r>
    </w:p>
    <w:p w14:paraId="6B4C58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一、甲乙双方的权利和义务</w:t>
      </w:r>
    </w:p>
    <w:p w14:paraId="1DE64B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1.严格遵守党的政策规定和国家有关法律法规及广东省委、省政府关于反商业贿赂和加强党风廉政建设的有关规定。</w:t>
      </w:r>
    </w:p>
    <w:p w14:paraId="2E1801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2.严格执行本项目的合同文件，自觉按合同办事。</w:t>
      </w:r>
    </w:p>
    <w:p w14:paraId="413F69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3.双方的业务活动坚持公开、公正、诚信、透明的原则(法律认定的商业秘密和合同文件另有规定除外)，不得损害国家和集体利益，违反项目管理规章制度。</w:t>
      </w:r>
    </w:p>
    <w:p w14:paraId="644955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4.建立健全反商业贿赂和廉政制度，开展相关教育，设立反商业贿赂和廉政告示牌。公布举报电话，监督并认真查处违法违纪行为。</w:t>
      </w:r>
    </w:p>
    <w:p w14:paraId="20808D4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5.发现对方在业务活动中有违反商业贿赂和廉政规定的行为，有及时提醒对方纠正的权利和义务。</w:t>
      </w:r>
    </w:p>
    <w:p w14:paraId="34B18D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6.发现对方严重违反合同义务条款的行为，有向其上级有关部门举报、建议给予处理并要求告知处理结果的权利。</w:t>
      </w:r>
    </w:p>
    <w:p w14:paraId="2A83D6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7.双方或双方与系统设计、软件开发、系统集成、设备材料供应等相关单位不得串通、弄虚作假谋取不正当利益或降低服务质量等损害国家利益。</w:t>
      </w:r>
    </w:p>
    <w:p w14:paraId="671F89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8.乙方遵守《反商业贿赂协议》情况纳入甲方对乙方的绩效考评范围。</w:t>
      </w:r>
    </w:p>
    <w:p w14:paraId="190299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二、甲方的义务</w:t>
      </w:r>
    </w:p>
    <w:p w14:paraId="0F0921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1.甲方及其工作人员不索要或接受乙方的礼金、有价证券和贵重物品，不得在乙方报销任何应由甲方或甲方工作人员个人支付的费用等。</w:t>
      </w:r>
    </w:p>
    <w:p w14:paraId="65D4C1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2.甲方工作人员不得参加乙方安排的超标准宴请和娱乐活动；不得接受乙方提供的通讯工具、交通工具和高档办公用品等。</w:t>
      </w:r>
    </w:p>
    <w:p w14:paraId="3DFAF2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3.甲方及其工作人员不得要求或者接受乙方为其住房装修、婚丧嫁娶活动、配偶子女的工作安排以及出国出境、旅游等提供方便等。</w:t>
      </w:r>
    </w:p>
    <w:p w14:paraId="4AA000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4.甲方工作人员及其配偶、子女不得从事与项目有关的材料设备供应、服务承包、劳务活动等。</w:t>
      </w:r>
    </w:p>
    <w:p w14:paraId="35DA953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5.甲方及其工作人员不得利用职权插手项目活动谋求不正当利益，不得以任何理由向乙方推荐项目建设相关单位或推销材料，不得要求乙方购买合同规定外的材料和设备。</w:t>
      </w:r>
    </w:p>
    <w:p w14:paraId="015442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6.甲方工作人员要秉公办事，不准营私舞弊，不准利用职权从事各种个人有偿中介活动和安排介绍服务团队。</w:t>
      </w:r>
    </w:p>
    <w:p w14:paraId="01A52E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三、乙方义务</w:t>
      </w:r>
    </w:p>
    <w:p w14:paraId="06B75E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1.乙方不得以任何理由向甲方及其工作人员、服务单位行贿或馈赠礼金、有价证券、贵重礼品。</w:t>
      </w:r>
    </w:p>
    <w:p w14:paraId="50E7D5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2.乙方不得以任何名义为甲方及其工作人员报销应由甲方单位或个人支付的任何费用。</w:t>
      </w:r>
    </w:p>
    <w:p w14:paraId="6F9EAC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3.乙方不得以任何理由安排甲方工作人员参加超标准宴请及娱乐活动。</w:t>
      </w:r>
    </w:p>
    <w:p w14:paraId="24A2EB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4.乙方不得为甲方单位和个人购置或提供通讯工具、交通工具和高档办公用品等。</w:t>
      </w:r>
    </w:p>
    <w:p w14:paraId="460743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四、违约责任</w:t>
      </w:r>
    </w:p>
    <w:p w14:paraId="7CE198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1.甲方及其工作人员违反本合同第一、二条，按管理权限，依据有关规定给予党纪、政纪或组织处理；涉嫌犯罪的，移交司法机关追究刑事责任；给乙方单位造成经济损失的，应予以赔偿。</w:t>
      </w:r>
    </w:p>
    <w:p w14:paraId="04EF50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2.乙方及其工作人员违反本合同第一、三条，按合同金额的50%向甲方支付违约金，同时按管理权限，依据有关规定给予党纪、政纪组织处理；给甲方单位造成经济损失的，应予以经济赔偿。</w:t>
      </w:r>
    </w:p>
    <w:p w14:paraId="00DB53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五、双方约定，双方有义务对合同执行情况开展自查自纠，并自觉接受有关部门监督。</w:t>
      </w:r>
    </w:p>
    <w:p w14:paraId="311E14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六、本协议有效期为甲乙双方签署之日起至该项目服务期满止。</w:t>
      </w:r>
    </w:p>
    <w:p w14:paraId="6ECF3E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1"/>
        <w:jc w:val="both"/>
        <w:textAlignment w:val="auto"/>
        <w:rPr>
          <w:rFonts w:hint="eastAsia" w:ascii="仿宋_GB2312" w:hAnsi="仿宋_GB2312" w:eastAsia="仿宋_GB2312" w:cs="仿宋_GB2312"/>
          <w:snapToGrid/>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七、本协议作为</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u w:val="single" w:color="auto"/>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snapToGrid/>
          <w:color w:val="000000" w:themeColor="text1"/>
          <w:spacing w:val="0"/>
          <w:kern w:val="2"/>
          <w:sz w:val="28"/>
          <w:szCs w:val="28"/>
          <w:highlight w:val="none"/>
          <w:lang w:val="en-US" w:eastAsia="zh-CN" w:bidi="ar-SA"/>
          <w14:textFill>
            <w14:solidFill>
              <w14:schemeClr w14:val="tx1"/>
            </w14:solidFill>
          </w14:textFill>
        </w:rPr>
        <w:t>合同的附件，与上述合同具有同等的法律效力，经合同双方签署后生效。</w:t>
      </w:r>
    </w:p>
    <w:p w14:paraId="0CDA7503">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0" w:firstLineChars="0"/>
        <w:jc w:val="left"/>
        <w:textAlignment w:val="baseline"/>
        <w:rPr>
          <w:rFonts w:hint="eastAsia" w:ascii="宋体" w:hAnsi="宋体" w:eastAsia="宋体" w:cs="宋体"/>
          <w:snapToGrid w:val="0"/>
          <w:color w:val="auto"/>
          <w:kern w:val="0"/>
          <w:sz w:val="21"/>
          <w:szCs w:val="21"/>
          <w:highlight w:val="none"/>
          <w:lang w:eastAsia="en-US"/>
        </w:rPr>
      </w:pPr>
    </w:p>
    <w:p w14:paraId="325A6CEC">
      <w:pPr>
        <w:keepNext w:val="0"/>
        <w:keepLines w:val="0"/>
        <w:pageBreakBefore w:val="0"/>
        <w:widowControl w:val="0"/>
        <w:kinsoku/>
        <w:wordWrap/>
        <w:overflowPunct/>
        <w:topLinePunct w:val="0"/>
        <w:autoSpaceDE/>
        <w:autoSpaceDN/>
        <w:bidi w:val="0"/>
        <w:adjustRightInd/>
        <w:snapToGrid/>
        <w:spacing w:line="360" w:lineRule="exact"/>
        <w:ind w:left="0" w:hanging="6240" w:hangingChars="2600"/>
        <w:jc w:val="left"/>
        <w:textAlignment w:val="auto"/>
        <w:rPr>
          <w:rFonts w:hint="eastAsia" w:ascii="仿宋_GB2312" w:hAnsi="宋体" w:eastAsia="仿宋_GB2312" w:cs="Times New Roman"/>
          <w:snapToGrid/>
          <w:color w:val="auto"/>
          <w:kern w:val="2"/>
          <w:sz w:val="24"/>
          <w:szCs w:val="24"/>
          <w:highlight w:val="none"/>
          <w:u w:val="single"/>
          <w:lang w:val="en-US" w:eastAsia="en-US" w:bidi="ar-SA"/>
        </w:rPr>
      </w:pPr>
      <w:r>
        <w:rPr>
          <w:rFonts w:hint="eastAsia" w:ascii="仿宋_GB2312" w:hAnsi="宋体" w:eastAsia="仿宋_GB2312" w:cs="Times New Roman"/>
          <w:snapToGrid/>
          <w:color w:val="auto"/>
          <w:spacing w:val="0"/>
          <w:kern w:val="2"/>
          <w:sz w:val="24"/>
          <w:szCs w:val="24"/>
          <w:highlight w:val="none"/>
          <w:lang w:val="en-US" w:eastAsia="en-US" w:bidi="ar-SA"/>
        </w:rPr>
        <w:t>委托方（甲方）：</w:t>
      </w:r>
      <w:r>
        <w:rPr>
          <w:rFonts w:hint="eastAsia" w:ascii="仿宋_GB2312" w:hAnsi="宋体" w:eastAsia="仿宋_GB2312" w:cs="Times New Roman"/>
          <w:snapToGrid/>
          <w:color w:val="auto"/>
          <w:spacing w:val="0"/>
          <w:kern w:val="2"/>
          <w:sz w:val="24"/>
          <w:szCs w:val="24"/>
          <w:highlight w:val="none"/>
          <w:u w:val="single"/>
          <w:lang w:val="en-US" w:eastAsia="en-US" w:bidi="ar-SA"/>
        </w:rPr>
        <w:t xml:space="preserve">         （盖单位公章）</w:t>
      </w:r>
      <w:r>
        <w:rPr>
          <w:rFonts w:hint="eastAsia" w:ascii="仿宋_GB2312" w:hAnsi="宋体" w:eastAsia="仿宋_GB2312" w:cs="Times New Roman"/>
          <w:snapToGrid/>
          <w:color w:val="auto"/>
          <w:spacing w:val="0"/>
          <w:kern w:val="2"/>
          <w:sz w:val="24"/>
          <w:szCs w:val="24"/>
          <w:highlight w:val="none"/>
          <w:lang w:val="en-US" w:eastAsia="en-US" w:bidi="ar-SA"/>
        </w:rPr>
        <w:t xml:space="preserve">  受托方（乙方）：</w:t>
      </w:r>
      <w:r>
        <w:rPr>
          <w:rFonts w:hint="eastAsia" w:ascii="仿宋_GB2312" w:hAnsi="宋体" w:eastAsia="仿宋_GB2312" w:cs="Times New Roman"/>
          <w:snapToGrid/>
          <w:color w:val="auto"/>
          <w:kern w:val="2"/>
          <w:sz w:val="24"/>
          <w:szCs w:val="24"/>
          <w:highlight w:val="none"/>
          <w:u w:val="single"/>
          <w:lang w:val="en-US" w:eastAsia="en-US" w:bidi="ar-SA"/>
        </w:rPr>
        <w:t xml:space="preserve">        </w:t>
      </w:r>
      <w:r>
        <w:rPr>
          <w:rFonts w:hint="eastAsia" w:ascii="仿宋_GB2312" w:hAnsi="宋体" w:eastAsia="仿宋_GB2312" w:cs="Times New Roman"/>
          <w:snapToGrid/>
          <w:color w:val="auto"/>
          <w:spacing w:val="0"/>
          <w:kern w:val="2"/>
          <w:sz w:val="24"/>
          <w:szCs w:val="24"/>
          <w:highlight w:val="none"/>
          <w:u w:val="single"/>
          <w:lang w:val="en-US" w:eastAsia="en-US" w:bidi="ar-SA"/>
        </w:rPr>
        <w:t>（盖公章）</w:t>
      </w:r>
    </w:p>
    <w:p w14:paraId="22E2C96B">
      <w:pPr>
        <w:keepNext w:val="0"/>
        <w:keepLines w:val="0"/>
        <w:pageBreakBefore w:val="0"/>
        <w:widowControl w:val="0"/>
        <w:kinsoku/>
        <w:wordWrap/>
        <w:overflowPunct/>
        <w:topLinePunct w:val="0"/>
        <w:autoSpaceDE/>
        <w:autoSpaceDN/>
        <w:bidi w:val="0"/>
        <w:adjustRightInd/>
        <w:snapToGrid/>
        <w:spacing w:line="360" w:lineRule="exact"/>
        <w:ind w:left="0" w:hanging="6240" w:hangingChars="2600"/>
        <w:jc w:val="left"/>
        <w:textAlignment w:val="auto"/>
        <w:rPr>
          <w:rFonts w:hint="eastAsia" w:ascii="仿宋_GB2312" w:hAnsi="宋体" w:eastAsia="仿宋_GB2312" w:cs="Times New Roman"/>
          <w:snapToGrid/>
          <w:color w:val="auto"/>
          <w:kern w:val="2"/>
          <w:sz w:val="24"/>
          <w:szCs w:val="24"/>
          <w:highlight w:val="none"/>
          <w:lang w:val="en-US" w:eastAsia="en-US" w:bidi="ar-SA"/>
        </w:rPr>
      </w:pPr>
      <w:r>
        <w:rPr>
          <w:rFonts w:hint="eastAsia" w:ascii="仿宋_GB2312" w:hAnsi="宋体" w:eastAsia="仿宋_GB2312" w:cs="Times New Roman"/>
          <w:snapToGrid/>
          <w:color w:val="auto"/>
          <w:spacing w:val="0"/>
          <w:kern w:val="2"/>
          <w:sz w:val="24"/>
          <w:szCs w:val="24"/>
          <w:highlight w:val="none"/>
          <w:lang w:val="en-US" w:eastAsia="en-US" w:bidi="ar-SA"/>
        </w:rPr>
        <w:t>法定代表人                               法定代表人</w:t>
      </w:r>
    </w:p>
    <w:p w14:paraId="6C50D014">
      <w:pPr>
        <w:keepNext w:val="0"/>
        <w:keepLines w:val="0"/>
        <w:pageBreakBefore w:val="0"/>
        <w:widowControl w:val="0"/>
        <w:kinsoku/>
        <w:wordWrap/>
        <w:overflowPunct/>
        <w:topLinePunct w:val="0"/>
        <w:autoSpaceDE/>
        <w:autoSpaceDN/>
        <w:bidi w:val="0"/>
        <w:adjustRightInd/>
        <w:snapToGrid/>
        <w:spacing w:line="360" w:lineRule="exact"/>
        <w:ind w:left="0" w:hanging="6240" w:hangingChars="2600"/>
        <w:jc w:val="left"/>
        <w:textAlignment w:val="auto"/>
        <w:rPr>
          <w:rFonts w:hint="eastAsia" w:ascii="仿宋_GB2312" w:hAnsi="宋体" w:eastAsia="仿宋_GB2312" w:cs="Times New Roman"/>
          <w:snapToGrid/>
          <w:color w:val="auto"/>
          <w:kern w:val="2"/>
          <w:sz w:val="24"/>
          <w:szCs w:val="24"/>
          <w:highlight w:val="none"/>
          <w:lang w:val="en-US" w:eastAsia="en-US" w:bidi="ar-SA"/>
        </w:rPr>
      </w:pPr>
      <w:r>
        <w:rPr>
          <w:rFonts w:hint="eastAsia" w:ascii="仿宋_GB2312" w:hAnsi="宋体" w:eastAsia="仿宋_GB2312" w:cs="Times New Roman"/>
          <w:snapToGrid/>
          <w:color w:val="auto"/>
          <w:spacing w:val="0"/>
          <w:kern w:val="2"/>
          <w:sz w:val="24"/>
          <w:szCs w:val="24"/>
          <w:highlight w:val="none"/>
          <w:lang w:val="en-US" w:eastAsia="en-US" w:bidi="ar-SA"/>
        </w:rPr>
        <w:t>或其委托代理人（签名/章）：</w:t>
      </w:r>
      <w:r>
        <w:rPr>
          <w:rFonts w:hint="eastAsia" w:ascii="仿宋_GB2312" w:hAnsi="宋体" w:eastAsia="仿宋_GB2312" w:cs="Times New Roman"/>
          <w:snapToGrid/>
          <w:color w:val="auto"/>
          <w:kern w:val="2"/>
          <w:sz w:val="24"/>
          <w:szCs w:val="24"/>
          <w:highlight w:val="none"/>
          <w:lang w:val="en-US" w:eastAsia="en-US" w:bidi="ar-SA"/>
        </w:rPr>
        <w:t xml:space="preserve">              </w:t>
      </w:r>
      <w:r>
        <w:rPr>
          <w:rFonts w:hint="eastAsia" w:ascii="仿宋_GB2312" w:hAnsi="宋体" w:eastAsia="仿宋_GB2312" w:cs="Times New Roman"/>
          <w:snapToGrid/>
          <w:color w:val="auto"/>
          <w:spacing w:val="0"/>
          <w:kern w:val="2"/>
          <w:sz w:val="24"/>
          <w:szCs w:val="24"/>
          <w:highlight w:val="none"/>
          <w:lang w:val="en-US" w:eastAsia="en-US" w:bidi="ar-SA"/>
        </w:rPr>
        <w:t>或其委托代理人（签名/章）：</w:t>
      </w:r>
    </w:p>
    <w:p w14:paraId="0898D324">
      <w:pPr>
        <w:adjustRightInd/>
        <w:snapToGrid/>
        <w:spacing w:line="360" w:lineRule="exact"/>
        <w:ind w:hanging="6240" w:hangingChars="2600"/>
        <w:jc w:val="left"/>
        <w:rPr>
          <w:color w:val="auto"/>
          <w:szCs w:val="32"/>
          <w:highlight w:val="none"/>
        </w:rPr>
      </w:pPr>
      <w:r>
        <w:rPr>
          <w:rFonts w:hint="eastAsia" w:ascii="仿宋_GB2312" w:hAnsi="宋体" w:eastAsia="仿宋_GB2312" w:cs="Times New Roman"/>
          <w:snapToGrid/>
          <w:color w:val="auto"/>
          <w:spacing w:val="0"/>
          <w:kern w:val="2"/>
          <w:sz w:val="24"/>
          <w:szCs w:val="24"/>
          <w:highlight w:val="none"/>
          <w:lang w:val="en-US" w:eastAsia="en-US" w:bidi="ar-SA"/>
        </w:rPr>
        <w:t xml:space="preserve">日 期：      </w:t>
      </w:r>
      <w:r>
        <w:rPr>
          <w:rFonts w:hint="eastAsia" w:ascii="仿宋_GB2312" w:hAnsi="宋体" w:eastAsia="仿宋_GB2312" w:cs="Times New Roman"/>
          <w:snapToGrid/>
          <w:color w:val="auto"/>
          <w:spacing w:val="0"/>
          <w:kern w:val="2"/>
          <w:sz w:val="24"/>
          <w:szCs w:val="24"/>
          <w:highlight w:val="none"/>
          <w:lang w:val="en-US" w:eastAsia="zh-CN" w:bidi="ar-SA"/>
        </w:rPr>
        <w:t xml:space="preserve">年  </w:t>
      </w:r>
      <w:r>
        <w:rPr>
          <w:rFonts w:hint="eastAsia" w:ascii="仿宋_GB2312" w:hAnsi="宋体" w:eastAsia="仿宋_GB2312" w:cs="Times New Roman"/>
          <w:snapToGrid/>
          <w:color w:val="auto"/>
          <w:spacing w:val="0"/>
          <w:kern w:val="2"/>
          <w:sz w:val="24"/>
          <w:szCs w:val="24"/>
          <w:highlight w:val="none"/>
          <w:lang w:val="en-US" w:eastAsia="en-US" w:bidi="ar-SA"/>
        </w:rPr>
        <w:t xml:space="preserve">   </w:t>
      </w:r>
      <w:r>
        <w:rPr>
          <w:rFonts w:hint="eastAsia" w:ascii="仿宋_GB2312" w:hAnsi="宋体" w:eastAsia="仿宋_GB2312" w:cs="Times New Roman"/>
          <w:snapToGrid/>
          <w:color w:val="auto"/>
          <w:spacing w:val="0"/>
          <w:kern w:val="2"/>
          <w:sz w:val="24"/>
          <w:szCs w:val="24"/>
          <w:highlight w:val="none"/>
          <w:lang w:val="en-US" w:eastAsia="zh-CN" w:bidi="ar-SA"/>
        </w:rPr>
        <w:t>月</w:t>
      </w:r>
      <w:r>
        <w:rPr>
          <w:rFonts w:hint="eastAsia" w:ascii="仿宋_GB2312" w:hAnsi="宋体" w:eastAsia="仿宋_GB2312" w:cs="Times New Roman"/>
          <w:snapToGrid/>
          <w:color w:val="auto"/>
          <w:spacing w:val="0"/>
          <w:kern w:val="2"/>
          <w:sz w:val="24"/>
          <w:szCs w:val="24"/>
          <w:highlight w:val="none"/>
          <w:lang w:val="en-US" w:eastAsia="en-US" w:bidi="ar-SA"/>
        </w:rPr>
        <w:t xml:space="preserve">     </w:t>
      </w:r>
      <w:r>
        <w:rPr>
          <w:rFonts w:hint="eastAsia" w:ascii="仿宋_GB2312" w:hAnsi="宋体" w:eastAsia="仿宋_GB2312" w:cs="Times New Roman"/>
          <w:snapToGrid/>
          <w:color w:val="auto"/>
          <w:spacing w:val="0"/>
          <w:kern w:val="2"/>
          <w:sz w:val="24"/>
          <w:szCs w:val="24"/>
          <w:highlight w:val="none"/>
          <w:lang w:val="en-US" w:eastAsia="zh-CN" w:bidi="ar-SA"/>
        </w:rPr>
        <w:t>日</w:t>
      </w:r>
      <w:r>
        <w:rPr>
          <w:rFonts w:hint="eastAsia" w:ascii="仿宋_GB2312" w:hAnsi="宋体" w:eastAsia="仿宋_GB2312" w:cs="Times New Roman"/>
          <w:snapToGrid/>
          <w:color w:val="auto"/>
          <w:spacing w:val="0"/>
          <w:kern w:val="2"/>
          <w:sz w:val="24"/>
          <w:szCs w:val="24"/>
          <w:highlight w:val="none"/>
          <w:lang w:val="en-US" w:eastAsia="en-US" w:bidi="ar-SA"/>
        </w:rPr>
        <w:t xml:space="preserve">            日 期：      </w:t>
      </w:r>
      <w:r>
        <w:rPr>
          <w:rFonts w:hint="eastAsia" w:ascii="仿宋_GB2312" w:hAnsi="宋体" w:eastAsia="仿宋_GB2312" w:cs="Times New Roman"/>
          <w:snapToGrid/>
          <w:color w:val="auto"/>
          <w:spacing w:val="0"/>
          <w:kern w:val="2"/>
          <w:sz w:val="24"/>
          <w:szCs w:val="24"/>
          <w:highlight w:val="none"/>
          <w:lang w:val="en-US" w:eastAsia="zh-CN" w:bidi="ar-SA"/>
        </w:rPr>
        <w:t xml:space="preserve">年  </w:t>
      </w:r>
      <w:r>
        <w:rPr>
          <w:rFonts w:hint="eastAsia" w:ascii="仿宋_GB2312" w:hAnsi="宋体" w:eastAsia="仿宋_GB2312" w:cs="Times New Roman"/>
          <w:snapToGrid/>
          <w:color w:val="auto"/>
          <w:spacing w:val="0"/>
          <w:kern w:val="2"/>
          <w:sz w:val="24"/>
          <w:szCs w:val="24"/>
          <w:highlight w:val="none"/>
          <w:lang w:val="en-US" w:eastAsia="en-US" w:bidi="ar-SA"/>
        </w:rPr>
        <w:t xml:space="preserve">   </w:t>
      </w:r>
      <w:r>
        <w:rPr>
          <w:rFonts w:hint="eastAsia" w:ascii="仿宋_GB2312" w:hAnsi="宋体" w:eastAsia="仿宋_GB2312" w:cs="Times New Roman"/>
          <w:snapToGrid/>
          <w:color w:val="auto"/>
          <w:spacing w:val="0"/>
          <w:kern w:val="2"/>
          <w:sz w:val="24"/>
          <w:szCs w:val="24"/>
          <w:highlight w:val="none"/>
          <w:lang w:val="en-US" w:eastAsia="zh-CN" w:bidi="ar-SA"/>
        </w:rPr>
        <w:t>月</w:t>
      </w:r>
      <w:r>
        <w:rPr>
          <w:rFonts w:hint="eastAsia" w:ascii="仿宋_GB2312" w:hAnsi="宋体" w:eastAsia="仿宋_GB2312" w:cs="Times New Roman"/>
          <w:snapToGrid/>
          <w:color w:val="auto"/>
          <w:spacing w:val="0"/>
          <w:kern w:val="2"/>
          <w:sz w:val="24"/>
          <w:szCs w:val="24"/>
          <w:highlight w:val="none"/>
          <w:lang w:val="en-US" w:eastAsia="en-US" w:bidi="ar-SA"/>
        </w:rPr>
        <w:t xml:space="preserve">     </w:t>
      </w:r>
      <w:r>
        <w:rPr>
          <w:rFonts w:hint="eastAsia" w:ascii="仿宋_GB2312" w:hAnsi="宋体" w:eastAsia="仿宋_GB2312" w:cs="Times New Roman"/>
          <w:snapToGrid/>
          <w:color w:val="auto"/>
          <w:spacing w:val="0"/>
          <w:kern w:val="2"/>
          <w:sz w:val="24"/>
          <w:szCs w:val="24"/>
          <w:highlight w:val="none"/>
          <w:lang w:val="en-US" w:eastAsia="zh-CN" w:bidi="ar-SA"/>
        </w:rPr>
        <w:t>日</w:t>
      </w:r>
    </w:p>
    <w:sectPr>
      <w:footerReference r:id="rId14" w:type="default"/>
      <w:footerReference r:id="rId15" w:type="even"/>
      <w:pgSz w:w="11906" w:h="16838"/>
      <w:pgMar w:top="1701" w:right="1474" w:bottom="1474" w:left="1474" w:header="851" w:footer="851" w:gutter="0"/>
      <w:pgBorders>
        <w:top w:val="none" w:sz="0" w:space="0"/>
        <w:left w:val="none" w:sz="0" w:space="0"/>
        <w:bottom w:val="none" w:sz="0" w:space="0"/>
        <w:right w:val="none" w:sz="0" w:space="0"/>
      </w:pgBorders>
      <w:pgNumType w:fmt="decimal"/>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48D3">
    <w:pPr>
      <w:pStyle w:val="8"/>
      <w:ind w:left="8010" w:firstLine="0" w:firstLineChars="0"/>
      <w:rPr>
        <w:rFonts w:ascii="仿宋_GB2312" w:eastAsia="仿宋_GB2312"/>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5B16C">
                          <w:pPr>
                            <w:pStyle w:val="8"/>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78E5B16C">
                    <w:pPr>
                      <w:pStyle w:val="8"/>
                      <w:ind w:firstLine="360"/>
                    </w:pP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235"/>
                          </w:sdtPr>
                          <w:sdtEndPr>
                            <w:rPr>
                              <w:rFonts w:ascii="仿宋_GB2312" w:eastAsia="仿宋_GB2312"/>
                              <w:sz w:val="32"/>
                              <w:szCs w:val="32"/>
                            </w:rPr>
                          </w:sdtEndPr>
                          <w:sdtContent>
                            <w:p w14:paraId="01B01844">
                              <w:pPr>
                                <w:pStyle w:val="8"/>
                                <w:ind w:left="8010" w:firstLine="0" w:firstLineChars="0"/>
                              </w:pPr>
                            </w:p>
                          </w:sdtContent>
                        </w:sdt>
                        <w:p w14:paraId="5AB6397E">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147463235"/>
                    </w:sdtPr>
                    <w:sdtEndPr>
                      <w:rPr>
                        <w:rFonts w:ascii="仿宋_GB2312" w:eastAsia="仿宋_GB2312"/>
                        <w:sz w:val="32"/>
                        <w:szCs w:val="32"/>
                      </w:rPr>
                    </w:sdtEndPr>
                    <w:sdtContent>
                      <w:p w14:paraId="01B01844">
                        <w:pPr>
                          <w:pStyle w:val="8"/>
                          <w:ind w:left="8010" w:firstLine="0" w:firstLineChars="0"/>
                        </w:pPr>
                      </w:p>
                    </w:sdtContent>
                  </w:sdt>
                  <w:p w14:paraId="5AB6397E">
                    <w:pPr>
                      <w:ind w:firstLine="64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74EC">
    <w:pPr>
      <w:pStyle w:val="8"/>
      <w:ind w:firstLine="0" w:firstLineChars="0"/>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DBFC6">
                          <w:pPr>
                            <w:pStyle w:val="8"/>
                            <w:ind w:firstLine="0" w:firstLineChars="0"/>
                          </w:pPr>
                        </w:p>
                        <w:p w14:paraId="21790342">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0ADBFC6">
                    <w:pPr>
                      <w:pStyle w:val="8"/>
                      <w:ind w:firstLine="0" w:firstLineChars="0"/>
                    </w:pPr>
                  </w:p>
                  <w:p w14:paraId="21790342">
                    <w:pPr>
                      <w:ind w:firstLine="64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19C98">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8B598">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mc:AlternateContent>
        <mc:Choice Requires="wps">
          <w:drawing>
            <wp:anchor distT="0" distB="0" distL="114300" distR="114300" simplePos="0" relativeHeight="251664384" behindDoc="0" locked="0" layoutInCell="1" allowOverlap="1">
              <wp:simplePos x="0" y="0"/>
              <wp:positionH relativeFrom="margin">
                <wp:posOffset>2473960</wp:posOffset>
              </wp:positionH>
              <wp:positionV relativeFrom="paragraph">
                <wp:posOffset>0</wp:posOffset>
              </wp:positionV>
              <wp:extent cx="488950" cy="1504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8950" cy="150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357178">
                          <w:pPr>
                            <w:tabs>
                              <w:tab w:val="center" w:pos="4153"/>
                              <w:tab w:val="right" w:pos="8306"/>
                            </w:tabs>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fldChar w:fldCharType="begin"/>
                          </w:r>
                          <w:r>
                            <w:rPr>
                              <w:rFonts w:hint="eastAsia" w:ascii="仿宋_GB2312" w:hAnsi="仿宋_GB2312" w:eastAsia="仿宋_GB2312" w:cs="仿宋_GB2312"/>
                              <w:snapToGrid w:val="0"/>
                              <w:color w:val="000000"/>
                              <w:kern w:val="0"/>
                              <w:sz w:val="21"/>
                              <w:szCs w:val="21"/>
                              <w:lang w:val="en-US" w:eastAsia="en-US" w:bidi="ar-SA"/>
                            </w:rPr>
                            <w:instrText xml:space="preserve"> PAGE  \* MERGEFORMAT </w:instrText>
                          </w:r>
                          <w:r>
                            <w:rPr>
                              <w:rFonts w:hint="eastAsia" w:ascii="仿宋_GB2312" w:hAnsi="仿宋_GB2312" w:eastAsia="仿宋_GB2312" w:cs="仿宋_GB2312"/>
                              <w:snapToGrid w:val="0"/>
                              <w:color w:val="000000"/>
                              <w:kern w:val="0"/>
                              <w:sz w:val="21"/>
                              <w:szCs w:val="21"/>
                              <w:lang w:val="en-US" w:eastAsia="en-US" w:bidi="ar-SA"/>
                            </w:rPr>
                            <w:fldChar w:fldCharType="separate"/>
                          </w:r>
                          <w:r>
                            <w:rPr>
                              <w:rFonts w:hint="eastAsia" w:ascii="仿宋_GB2312" w:hAnsi="仿宋_GB2312" w:eastAsia="仿宋_GB2312" w:cs="仿宋_GB2312"/>
                              <w:snapToGrid w:val="0"/>
                              <w:color w:val="000000"/>
                              <w:kern w:val="0"/>
                              <w:sz w:val="21"/>
                              <w:szCs w:val="21"/>
                              <w:lang w:val="en-US" w:eastAsia="en-US" w:bidi="ar-SA"/>
                            </w:rPr>
                            <w:t>1</w:t>
                          </w:r>
                          <w:r>
                            <w:rPr>
                              <w:rFonts w:hint="eastAsia" w:ascii="仿宋_GB2312" w:hAnsi="仿宋_GB2312" w:eastAsia="仿宋_GB2312" w:cs="仿宋_GB2312"/>
                              <w:snapToGrid w:val="0"/>
                              <w:color w:val="000000"/>
                              <w:kern w:val="0"/>
                              <w:sz w:val="21"/>
                              <w:szCs w:val="21"/>
                              <w:lang w:val="en-US" w:eastAsia="en-US"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4.8pt;margin-top:0pt;height:11.85pt;width:38.5pt;mso-position-horizontal-relative:margin;z-index:251664384;mso-width-relative:page;mso-height-relative:page;" filled="f" stroked="f" coordsize="21600,21600" o:gfxdata="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o5qCNYAAAAHAQAADwAAAAAAAAABACAAAAAiAAAAZHJzL2Rv&#10;d25yZXYueG1sUEsBAhQAFAAAAAgAh07iQA/7H2I8AgAAbwQAAA4AAAAAAAAAAQAgAAAAJQEAAGRy&#10;cy9lMm9Eb2MueG1sUEsFBgAAAAAGAAYAWQEAANMFAAAAAA==&#10;">
              <v:fill on="f" focussize="0,0"/>
              <v:stroke on="f" weight="0.5pt"/>
              <v:imagedata o:title=""/>
              <o:lock v:ext="edit" aspectratio="f"/>
              <v:textbox inset="0mm,0mm,0mm,0mm">
                <w:txbxContent>
                  <w:p w14:paraId="73357178">
                    <w:pPr>
                      <w:tabs>
                        <w:tab w:val="center" w:pos="4153"/>
                        <w:tab w:val="right" w:pos="8306"/>
                      </w:tabs>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fldChar w:fldCharType="begin"/>
                    </w:r>
                    <w:r>
                      <w:rPr>
                        <w:rFonts w:hint="eastAsia" w:ascii="仿宋_GB2312" w:hAnsi="仿宋_GB2312" w:eastAsia="仿宋_GB2312" w:cs="仿宋_GB2312"/>
                        <w:snapToGrid w:val="0"/>
                        <w:color w:val="000000"/>
                        <w:kern w:val="0"/>
                        <w:sz w:val="21"/>
                        <w:szCs w:val="21"/>
                        <w:lang w:val="en-US" w:eastAsia="en-US" w:bidi="ar-SA"/>
                      </w:rPr>
                      <w:instrText xml:space="preserve"> PAGE  \* MERGEFORMAT </w:instrText>
                    </w:r>
                    <w:r>
                      <w:rPr>
                        <w:rFonts w:hint="eastAsia" w:ascii="仿宋_GB2312" w:hAnsi="仿宋_GB2312" w:eastAsia="仿宋_GB2312" w:cs="仿宋_GB2312"/>
                        <w:snapToGrid w:val="0"/>
                        <w:color w:val="000000"/>
                        <w:kern w:val="0"/>
                        <w:sz w:val="21"/>
                        <w:szCs w:val="21"/>
                        <w:lang w:val="en-US" w:eastAsia="en-US" w:bidi="ar-SA"/>
                      </w:rPr>
                      <w:fldChar w:fldCharType="separate"/>
                    </w:r>
                    <w:r>
                      <w:rPr>
                        <w:rFonts w:hint="eastAsia" w:ascii="仿宋_GB2312" w:hAnsi="仿宋_GB2312" w:eastAsia="仿宋_GB2312" w:cs="仿宋_GB2312"/>
                        <w:snapToGrid w:val="0"/>
                        <w:color w:val="000000"/>
                        <w:kern w:val="0"/>
                        <w:sz w:val="21"/>
                        <w:szCs w:val="21"/>
                        <w:lang w:val="en-US" w:eastAsia="en-US" w:bidi="ar-SA"/>
                      </w:rPr>
                      <w:t>1</w:t>
                    </w:r>
                    <w:r>
                      <w:rPr>
                        <w:rFonts w:hint="eastAsia" w:ascii="仿宋_GB2312" w:hAnsi="仿宋_GB2312" w:eastAsia="仿宋_GB2312" w:cs="仿宋_GB2312"/>
                        <w:snapToGrid w:val="0"/>
                        <w:color w:val="000000"/>
                        <w:kern w:val="0"/>
                        <w:sz w:val="21"/>
                        <w:szCs w:val="21"/>
                        <w:lang w:val="en-US" w:eastAsia="en-US"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CF536">
    <w:pPr>
      <w:pStyle w:val="8"/>
      <w:ind w:firstLine="0" w:firstLineChars="0"/>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334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334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F802E">
                          <w:pPr>
                            <w:pStyle w:val="8"/>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2pt;mso-position-horizontal:center;mso-position-horizontal-relative:margin;z-index:251667456;mso-width-relative:page;mso-height-relative:page;" filled="f" stroked="f" coordsize="21600,21600" o:gfxdata="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bfo2a0wAAAAQBAAAPAAAAAAAAAAEAIAAAACIAAABkcnMvZG93bnJldi54&#10;bWxQSwECFAAUAAAACACHTuJA+3QqRzgCAABiBAAADgAAAAAAAAABACAAAAAiAQAAZHJzL2Uyb0Rv&#10;Yy54bWxQSwUGAAAAAAYABgBZAQAAzAUAAAAA&#10;">
              <v:fill on="f" focussize="0,0"/>
              <v:stroke on="f" weight="0.5pt"/>
              <v:imagedata o:title=""/>
              <o:lock v:ext="edit" aspectratio="f"/>
              <v:textbox inset="0mm,0mm,0mm,0mm" style="mso-fit-shape-to-text:t;">
                <w:txbxContent>
                  <w:p w14:paraId="200F802E">
                    <w:pPr>
                      <w:pStyle w:val="8"/>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2BA91">
                          <w:pPr>
                            <w:pStyle w:val="8"/>
                            <w:ind w:firstLine="0" w:firstLineChars="0"/>
                          </w:pPr>
                        </w:p>
                        <w:p w14:paraId="5EC35488">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4F2BA91">
                    <w:pPr>
                      <w:pStyle w:val="8"/>
                      <w:ind w:firstLine="0" w:firstLineChars="0"/>
                    </w:pPr>
                  </w:p>
                  <w:p w14:paraId="5EC35488">
                    <w:pPr>
                      <w:ind w:firstLine="640"/>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45060">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5EF95C">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B5EF95C">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93394">
    <w:pPr>
      <w:pStyle w:val="8"/>
      <w:ind w:left="8010" w:firstLine="0" w:firstLineChars="0"/>
      <w:rPr>
        <w:rFonts w:ascii="仿宋_GB2312" w:eastAsia="仿宋_GB2312"/>
        <w:sz w:val="32"/>
        <w:szCs w:val="32"/>
      </w:rPr>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92360">
                          <w:pPr>
                            <w:pStyle w:val="8"/>
                            <w:ind w:firstLine="0" w:firstLineChars="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41392360">
                    <w:pPr>
                      <w:pStyle w:val="8"/>
                      <w:ind w:firstLine="0" w:firstLineChars="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B6974">
    <w:pPr>
      <w:pStyle w:val="8"/>
      <w:ind w:firstLine="0" w:firstLineChars="0"/>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0F2A0">
                          <w:pPr>
                            <w:pStyle w:val="8"/>
                            <w:ind w:firstLine="0" w:firstLineChars="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27D0F2A0">
                    <w:pPr>
                      <w:pStyle w:val="8"/>
                      <w:ind w:firstLine="0" w:firstLineChars="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48EDE">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8D206">
    <w:pPr>
      <w:pStyle w:val="9"/>
      <w:pBdr>
        <w:bottom w:val="none" w:color="auto" w:sz="0" w:space="0"/>
      </w:pBdr>
      <w:tabs>
        <w:tab w:val="left" w:pos="3693"/>
      </w:tabs>
      <w:ind w:firstLine="360"/>
      <w:jc w:val="both"/>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FEDE9">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C3450"/>
    <w:multiLevelType w:val="singleLevel"/>
    <w:tmpl w:val="955C3450"/>
    <w:lvl w:ilvl="0" w:tentative="0">
      <w:start w:val="2"/>
      <w:numFmt w:val="decimal"/>
      <w:lvlText w:val="%1."/>
      <w:lvlJc w:val="left"/>
      <w:pPr>
        <w:tabs>
          <w:tab w:val="left" w:pos="312"/>
        </w:tabs>
      </w:pPr>
    </w:lvl>
  </w:abstractNum>
  <w:abstractNum w:abstractNumId="1">
    <w:nsid w:val="07382404"/>
    <w:multiLevelType w:val="singleLevel"/>
    <w:tmpl w:val="07382404"/>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43"/>
    <w:rsid w:val="000C4D20"/>
    <w:rsid w:val="00122740"/>
    <w:rsid w:val="00186EDA"/>
    <w:rsid w:val="00243235"/>
    <w:rsid w:val="002E040C"/>
    <w:rsid w:val="0030173E"/>
    <w:rsid w:val="00316E6E"/>
    <w:rsid w:val="003C0E43"/>
    <w:rsid w:val="003E4AB6"/>
    <w:rsid w:val="004D6E02"/>
    <w:rsid w:val="00550735"/>
    <w:rsid w:val="00593EC8"/>
    <w:rsid w:val="005D3D80"/>
    <w:rsid w:val="00621443"/>
    <w:rsid w:val="006B4519"/>
    <w:rsid w:val="006C67EE"/>
    <w:rsid w:val="007106D8"/>
    <w:rsid w:val="007E0D61"/>
    <w:rsid w:val="0089600E"/>
    <w:rsid w:val="008C4A39"/>
    <w:rsid w:val="008C7382"/>
    <w:rsid w:val="008F43FB"/>
    <w:rsid w:val="00971304"/>
    <w:rsid w:val="00994CCF"/>
    <w:rsid w:val="009C0FED"/>
    <w:rsid w:val="00A10622"/>
    <w:rsid w:val="00A123DF"/>
    <w:rsid w:val="00A4121B"/>
    <w:rsid w:val="00A526F7"/>
    <w:rsid w:val="00AF50B6"/>
    <w:rsid w:val="00B71E2A"/>
    <w:rsid w:val="00B966D6"/>
    <w:rsid w:val="00C278A4"/>
    <w:rsid w:val="00C418CD"/>
    <w:rsid w:val="00C50E53"/>
    <w:rsid w:val="00C521F4"/>
    <w:rsid w:val="00CC6D1E"/>
    <w:rsid w:val="00CD4D4B"/>
    <w:rsid w:val="00D32E3F"/>
    <w:rsid w:val="00E334EA"/>
    <w:rsid w:val="00E42757"/>
    <w:rsid w:val="00E5086E"/>
    <w:rsid w:val="00E7335E"/>
    <w:rsid w:val="00EB67C1"/>
    <w:rsid w:val="00EC16AF"/>
    <w:rsid w:val="01141165"/>
    <w:rsid w:val="014F11BB"/>
    <w:rsid w:val="02B17475"/>
    <w:rsid w:val="02B46F11"/>
    <w:rsid w:val="02D85BF6"/>
    <w:rsid w:val="03B95ECF"/>
    <w:rsid w:val="03EF7C67"/>
    <w:rsid w:val="04117BDE"/>
    <w:rsid w:val="04BF0077"/>
    <w:rsid w:val="04FC573E"/>
    <w:rsid w:val="051A0D14"/>
    <w:rsid w:val="05232B5E"/>
    <w:rsid w:val="055B56B2"/>
    <w:rsid w:val="068D0171"/>
    <w:rsid w:val="07836D5F"/>
    <w:rsid w:val="079A4B4C"/>
    <w:rsid w:val="07AD07C6"/>
    <w:rsid w:val="07E87C3A"/>
    <w:rsid w:val="082A386B"/>
    <w:rsid w:val="09273A00"/>
    <w:rsid w:val="09324748"/>
    <w:rsid w:val="09420839"/>
    <w:rsid w:val="09CB3650"/>
    <w:rsid w:val="0A116943"/>
    <w:rsid w:val="0A974951"/>
    <w:rsid w:val="0AA35BC4"/>
    <w:rsid w:val="0AFF3D3B"/>
    <w:rsid w:val="0B403560"/>
    <w:rsid w:val="0C532922"/>
    <w:rsid w:val="0CC16FB5"/>
    <w:rsid w:val="0E643B97"/>
    <w:rsid w:val="0E6F3E7F"/>
    <w:rsid w:val="0EF94A4C"/>
    <w:rsid w:val="0F884394"/>
    <w:rsid w:val="0F8C43E2"/>
    <w:rsid w:val="0F917316"/>
    <w:rsid w:val="10EF2973"/>
    <w:rsid w:val="110D3CB0"/>
    <w:rsid w:val="11314837"/>
    <w:rsid w:val="11C12C43"/>
    <w:rsid w:val="12483E5A"/>
    <w:rsid w:val="12955E7E"/>
    <w:rsid w:val="12C17A4D"/>
    <w:rsid w:val="12E05166"/>
    <w:rsid w:val="14D464B1"/>
    <w:rsid w:val="1528210C"/>
    <w:rsid w:val="15342107"/>
    <w:rsid w:val="15440ACF"/>
    <w:rsid w:val="154D3F6C"/>
    <w:rsid w:val="15546F17"/>
    <w:rsid w:val="176864CA"/>
    <w:rsid w:val="18202101"/>
    <w:rsid w:val="18895C8A"/>
    <w:rsid w:val="194D1260"/>
    <w:rsid w:val="1A6B5E42"/>
    <w:rsid w:val="1A951111"/>
    <w:rsid w:val="1AC438A8"/>
    <w:rsid w:val="1B3F5DE8"/>
    <w:rsid w:val="1B4A1095"/>
    <w:rsid w:val="1C8333C9"/>
    <w:rsid w:val="1D780ABF"/>
    <w:rsid w:val="1E9E647A"/>
    <w:rsid w:val="1F42097C"/>
    <w:rsid w:val="1FA92F69"/>
    <w:rsid w:val="1FD54E20"/>
    <w:rsid w:val="202A40A9"/>
    <w:rsid w:val="207A3855"/>
    <w:rsid w:val="20A26336"/>
    <w:rsid w:val="210C5F71"/>
    <w:rsid w:val="220E3BD8"/>
    <w:rsid w:val="221E1458"/>
    <w:rsid w:val="223C494F"/>
    <w:rsid w:val="22A631A6"/>
    <w:rsid w:val="2331574F"/>
    <w:rsid w:val="2389331B"/>
    <w:rsid w:val="23926470"/>
    <w:rsid w:val="2433701E"/>
    <w:rsid w:val="25096983"/>
    <w:rsid w:val="251315B0"/>
    <w:rsid w:val="254F010E"/>
    <w:rsid w:val="259E5343"/>
    <w:rsid w:val="25EE5A8E"/>
    <w:rsid w:val="26AA39AE"/>
    <w:rsid w:val="26CB4F62"/>
    <w:rsid w:val="270513CC"/>
    <w:rsid w:val="27A42993"/>
    <w:rsid w:val="28735DBB"/>
    <w:rsid w:val="29BA6E8E"/>
    <w:rsid w:val="29DC7A5D"/>
    <w:rsid w:val="2AD1761C"/>
    <w:rsid w:val="2C1C6B24"/>
    <w:rsid w:val="2C31073F"/>
    <w:rsid w:val="2C365B84"/>
    <w:rsid w:val="2C4D7790"/>
    <w:rsid w:val="2DA132CF"/>
    <w:rsid w:val="2DF64418"/>
    <w:rsid w:val="2E954277"/>
    <w:rsid w:val="2EF642AF"/>
    <w:rsid w:val="2F681164"/>
    <w:rsid w:val="2FC837D3"/>
    <w:rsid w:val="30C94242"/>
    <w:rsid w:val="31F9465D"/>
    <w:rsid w:val="34272982"/>
    <w:rsid w:val="34AE0C6C"/>
    <w:rsid w:val="356B2B56"/>
    <w:rsid w:val="3577206D"/>
    <w:rsid w:val="35EF127D"/>
    <w:rsid w:val="3659693E"/>
    <w:rsid w:val="36641223"/>
    <w:rsid w:val="36761449"/>
    <w:rsid w:val="368109A1"/>
    <w:rsid w:val="368C5A69"/>
    <w:rsid w:val="36A929D4"/>
    <w:rsid w:val="36BB213E"/>
    <w:rsid w:val="376616B6"/>
    <w:rsid w:val="37770108"/>
    <w:rsid w:val="37AC183A"/>
    <w:rsid w:val="380940FC"/>
    <w:rsid w:val="385E05BC"/>
    <w:rsid w:val="396675B0"/>
    <w:rsid w:val="397F0B6A"/>
    <w:rsid w:val="3A4B1822"/>
    <w:rsid w:val="3A743BD8"/>
    <w:rsid w:val="3A8372C2"/>
    <w:rsid w:val="3B3F4A55"/>
    <w:rsid w:val="3B5D1F57"/>
    <w:rsid w:val="3BDA29D0"/>
    <w:rsid w:val="3C3519B4"/>
    <w:rsid w:val="3C517B68"/>
    <w:rsid w:val="3CC44D40"/>
    <w:rsid w:val="3D383367"/>
    <w:rsid w:val="3D3A7368"/>
    <w:rsid w:val="3DE03829"/>
    <w:rsid w:val="3EAD50A5"/>
    <w:rsid w:val="3EC075D9"/>
    <w:rsid w:val="3ED41E95"/>
    <w:rsid w:val="3EE15E23"/>
    <w:rsid w:val="3F1E77F7"/>
    <w:rsid w:val="3F2D2E17"/>
    <w:rsid w:val="411202E0"/>
    <w:rsid w:val="41350D1C"/>
    <w:rsid w:val="41371959"/>
    <w:rsid w:val="41687204"/>
    <w:rsid w:val="41A76055"/>
    <w:rsid w:val="42BF6296"/>
    <w:rsid w:val="42EB3DF6"/>
    <w:rsid w:val="435E5C94"/>
    <w:rsid w:val="43A538C3"/>
    <w:rsid w:val="43C7383A"/>
    <w:rsid w:val="44794C85"/>
    <w:rsid w:val="44DC072C"/>
    <w:rsid w:val="46101827"/>
    <w:rsid w:val="46C92BA6"/>
    <w:rsid w:val="46E95737"/>
    <w:rsid w:val="476008C9"/>
    <w:rsid w:val="479A77CF"/>
    <w:rsid w:val="47A56068"/>
    <w:rsid w:val="47B47015"/>
    <w:rsid w:val="48077796"/>
    <w:rsid w:val="48B75554"/>
    <w:rsid w:val="48D91809"/>
    <w:rsid w:val="48F5648E"/>
    <w:rsid w:val="4964439B"/>
    <w:rsid w:val="498F37FA"/>
    <w:rsid w:val="4994129C"/>
    <w:rsid w:val="4A084FAB"/>
    <w:rsid w:val="4AE6781E"/>
    <w:rsid w:val="4B635F5B"/>
    <w:rsid w:val="4B7C76BC"/>
    <w:rsid w:val="4C725FBA"/>
    <w:rsid w:val="4CB550A9"/>
    <w:rsid w:val="4D2A689B"/>
    <w:rsid w:val="4D574DED"/>
    <w:rsid w:val="4E606D65"/>
    <w:rsid w:val="4E802F63"/>
    <w:rsid w:val="4EDE1B9C"/>
    <w:rsid w:val="4EE407CD"/>
    <w:rsid w:val="505A77E4"/>
    <w:rsid w:val="50C851B6"/>
    <w:rsid w:val="50CF7392"/>
    <w:rsid w:val="51AC531B"/>
    <w:rsid w:val="52990A97"/>
    <w:rsid w:val="53251EF8"/>
    <w:rsid w:val="535270BF"/>
    <w:rsid w:val="536B2C7B"/>
    <w:rsid w:val="54A33D12"/>
    <w:rsid w:val="5640122A"/>
    <w:rsid w:val="56AB04B2"/>
    <w:rsid w:val="56AE76A6"/>
    <w:rsid w:val="58C56AF2"/>
    <w:rsid w:val="58DE746A"/>
    <w:rsid w:val="59AF0BA0"/>
    <w:rsid w:val="5A675BA0"/>
    <w:rsid w:val="5A7A7525"/>
    <w:rsid w:val="5A973040"/>
    <w:rsid w:val="5ADF26A5"/>
    <w:rsid w:val="5B13369B"/>
    <w:rsid w:val="5BCC4678"/>
    <w:rsid w:val="5BD112A2"/>
    <w:rsid w:val="5C10156D"/>
    <w:rsid w:val="5C9026A6"/>
    <w:rsid w:val="5D156F6C"/>
    <w:rsid w:val="5D297776"/>
    <w:rsid w:val="5D775071"/>
    <w:rsid w:val="5D8532B6"/>
    <w:rsid w:val="5E0E212F"/>
    <w:rsid w:val="5E2F741A"/>
    <w:rsid w:val="5E485899"/>
    <w:rsid w:val="5E8C3B32"/>
    <w:rsid w:val="5EEE4F30"/>
    <w:rsid w:val="5EF66CE1"/>
    <w:rsid w:val="5F357D99"/>
    <w:rsid w:val="5FD4389C"/>
    <w:rsid w:val="602F2A3B"/>
    <w:rsid w:val="61803A85"/>
    <w:rsid w:val="623F6839"/>
    <w:rsid w:val="62C05E92"/>
    <w:rsid w:val="63074807"/>
    <w:rsid w:val="63A22399"/>
    <w:rsid w:val="64DE18E8"/>
    <w:rsid w:val="65134D9B"/>
    <w:rsid w:val="66417024"/>
    <w:rsid w:val="666D1BC7"/>
    <w:rsid w:val="676B09BE"/>
    <w:rsid w:val="677B0E02"/>
    <w:rsid w:val="6784541A"/>
    <w:rsid w:val="68247FD2"/>
    <w:rsid w:val="69591285"/>
    <w:rsid w:val="69747A1B"/>
    <w:rsid w:val="6ADE204A"/>
    <w:rsid w:val="6B7439F8"/>
    <w:rsid w:val="6C4D4359"/>
    <w:rsid w:val="6CF75FE8"/>
    <w:rsid w:val="6D3E250F"/>
    <w:rsid w:val="6D735F82"/>
    <w:rsid w:val="6DBB77E3"/>
    <w:rsid w:val="6FAA77A2"/>
    <w:rsid w:val="6FAE2A7D"/>
    <w:rsid w:val="70060FCF"/>
    <w:rsid w:val="703A5210"/>
    <w:rsid w:val="708316E8"/>
    <w:rsid w:val="7088334B"/>
    <w:rsid w:val="70B84386"/>
    <w:rsid w:val="70DC30D6"/>
    <w:rsid w:val="713411F6"/>
    <w:rsid w:val="71C97A48"/>
    <w:rsid w:val="71EC078C"/>
    <w:rsid w:val="71F959CF"/>
    <w:rsid w:val="720260E1"/>
    <w:rsid w:val="725B798F"/>
    <w:rsid w:val="73F6308E"/>
    <w:rsid w:val="74684BCE"/>
    <w:rsid w:val="74AE3AD6"/>
    <w:rsid w:val="74CB0F1F"/>
    <w:rsid w:val="74D774D1"/>
    <w:rsid w:val="75907A1B"/>
    <w:rsid w:val="75EB2B08"/>
    <w:rsid w:val="76041BD9"/>
    <w:rsid w:val="77BA4E88"/>
    <w:rsid w:val="784E063E"/>
    <w:rsid w:val="78B25909"/>
    <w:rsid w:val="793F7BE2"/>
    <w:rsid w:val="7AFA5B89"/>
    <w:rsid w:val="7B072F82"/>
    <w:rsid w:val="7B430918"/>
    <w:rsid w:val="7BA15E72"/>
    <w:rsid w:val="7BA342E6"/>
    <w:rsid w:val="7BDD3F09"/>
    <w:rsid w:val="7BE854D9"/>
    <w:rsid w:val="7C815F74"/>
    <w:rsid w:val="7C991510"/>
    <w:rsid w:val="7DBA3A6D"/>
    <w:rsid w:val="7F8C449B"/>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ind w:firstLine="200" w:firstLineChars="200"/>
      <w:jc w:val="both"/>
    </w:pPr>
    <w:rPr>
      <w:rFonts w:eastAsia="仿宋" w:asciiTheme="minorHAnsi" w:hAnsiTheme="minorHAnsi" w:cstheme="minorBidi"/>
      <w:kern w:val="2"/>
      <w:sz w:val="32"/>
      <w:szCs w:val="22"/>
      <w:lang w:val="en-US" w:eastAsia="zh-CN" w:bidi="ar-SA"/>
    </w:rPr>
  </w:style>
  <w:style w:type="paragraph" w:styleId="2">
    <w:name w:val="heading 1"/>
    <w:basedOn w:val="1"/>
    <w:next w:val="1"/>
    <w:link w:val="15"/>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6"/>
    <w:unhideWhenUsed/>
    <w:qFormat/>
    <w:uiPriority w:val="9"/>
    <w:pPr>
      <w:keepNext/>
      <w:keepLines/>
      <w:ind w:firstLine="643"/>
      <w:outlineLvl w:val="1"/>
    </w:pPr>
    <w:rPr>
      <w:rFonts w:eastAsia="黑体" w:asciiTheme="majorHAnsi" w:hAnsiTheme="majorHAnsi" w:cstheme="majorBidi"/>
      <w:b/>
      <w:bCs/>
      <w:szCs w:val="32"/>
    </w:rPr>
  </w:style>
  <w:style w:type="paragraph" w:styleId="4">
    <w:name w:val="heading 3"/>
    <w:basedOn w:val="1"/>
    <w:next w:val="1"/>
    <w:link w:val="18"/>
    <w:unhideWhenUsed/>
    <w:qFormat/>
    <w:uiPriority w:val="9"/>
    <w:pPr>
      <w:keepNext/>
      <w:keepLines/>
      <w:ind w:firstLine="640"/>
      <w:outlineLvl w:val="2"/>
    </w:pPr>
    <w:rPr>
      <w:rFonts w:ascii="楷体" w:hAnsi="楷体" w:eastAsia="楷体"/>
      <w:szCs w:val="32"/>
    </w:rPr>
  </w:style>
  <w:style w:type="paragraph" w:styleId="5">
    <w:name w:val="heading 4"/>
    <w:basedOn w:val="1"/>
    <w:next w:val="1"/>
    <w:link w:val="17"/>
    <w:unhideWhenUsed/>
    <w:qFormat/>
    <w:uiPriority w:val="9"/>
    <w:pPr>
      <w:keepNext/>
      <w:keepLines/>
      <w:ind w:firstLine="643"/>
      <w:outlineLvl w:val="3"/>
    </w:pPr>
    <w:rPr>
      <w:rFonts w:ascii="仿宋_GB2312" w:hAnsi="Times New Roman" w:eastAsia="仿宋_GB2312" w:cs="Times New Roman"/>
      <w:b/>
      <w:szCs w:val="32"/>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unhideWhenUsed/>
    <w:qFormat/>
    <w:uiPriority w:val="99"/>
  </w:style>
  <w:style w:type="paragraph" w:styleId="8">
    <w:name w:val="footer"/>
    <w:basedOn w:val="1"/>
    <w:link w:val="20"/>
    <w:unhideWhenUsed/>
    <w:qFormat/>
    <w:uiPriority w:val="99"/>
    <w:pPr>
      <w:tabs>
        <w:tab w:val="center" w:pos="4153"/>
        <w:tab w:val="right" w:pos="8306"/>
      </w:tabs>
      <w:spacing w:line="240" w:lineRule="atLeast"/>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0">
    <w:name w:val="Normal (Web)"/>
    <w:basedOn w:val="1"/>
    <w:semiHidden/>
    <w:unhideWhenUsed/>
    <w:qFormat/>
    <w:uiPriority w:val="99"/>
    <w:pPr>
      <w:spacing w:beforeAutospacing="1" w:afterAutospacing="1"/>
      <w:jc w:val="left"/>
    </w:pPr>
    <w:rPr>
      <w:rFonts w:cs="Times New Roman"/>
      <w:kern w:val="0"/>
      <w:sz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标题 1 字符"/>
    <w:basedOn w:val="13"/>
    <w:link w:val="2"/>
    <w:qFormat/>
    <w:uiPriority w:val="9"/>
    <w:rPr>
      <w:rFonts w:eastAsia="仿宋"/>
      <w:b/>
      <w:bCs/>
      <w:kern w:val="44"/>
      <w:sz w:val="44"/>
      <w:szCs w:val="44"/>
    </w:rPr>
  </w:style>
  <w:style w:type="character" w:customStyle="1" w:styleId="16">
    <w:name w:val="标题 2 字符"/>
    <w:basedOn w:val="13"/>
    <w:link w:val="3"/>
    <w:qFormat/>
    <w:uiPriority w:val="9"/>
    <w:rPr>
      <w:rFonts w:eastAsia="黑体" w:asciiTheme="majorHAnsi" w:hAnsiTheme="majorHAnsi" w:cstheme="majorBidi"/>
      <w:b/>
      <w:bCs/>
      <w:sz w:val="32"/>
      <w:szCs w:val="32"/>
    </w:rPr>
  </w:style>
  <w:style w:type="character" w:customStyle="1" w:styleId="17">
    <w:name w:val="标题 4 字符"/>
    <w:basedOn w:val="13"/>
    <w:link w:val="5"/>
    <w:qFormat/>
    <w:uiPriority w:val="9"/>
    <w:rPr>
      <w:rFonts w:ascii="仿宋_GB2312" w:hAnsi="Times New Roman" w:eastAsia="仿宋_GB2312" w:cs="Times New Roman"/>
      <w:b/>
      <w:sz w:val="32"/>
      <w:szCs w:val="32"/>
    </w:rPr>
  </w:style>
  <w:style w:type="character" w:customStyle="1" w:styleId="18">
    <w:name w:val="标题 3 字符"/>
    <w:basedOn w:val="13"/>
    <w:link w:val="4"/>
    <w:qFormat/>
    <w:uiPriority w:val="9"/>
    <w:rPr>
      <w:rFonts w:ascii="楷体" w:hAnsi="楷体" w:eastAsia="楷体"/>
      <w:sz w:val="32"/>
      <w:szCs w:val="32"/>
    </w:rPr>
  </w:style>
  <w:style w:type="character" w:customStyle="1" w:styleId="19">
    <w:name w:val="页眉 字符"/>
    <w:basedOn w:val="13"/>
    <w:link w:val="9"/>
    <w:qFormat/>
    <w:uiPriority w:val="99"/>
    <w:rPr>
      <w:rFonts w:eastAsia="仿宋"/>
      <w:sz w:val="18"/>
      <w:szCs w:val="18"/>
    </w:rPr>
  </w:style>
  <w:style w:type="character" w:customStyle="1" w:styleId="20">
    <w:name w:val="页脚 字符"/>
    <w:basedOn w:val="13"/>
    <w:link w:val="8"/>
    <w:qFormat/>
    <w:uiPriority w:val="99"/>
    <w:rPr>
      <w:rFonts w:eastAsia="仿宋"/>
      <w:sz w:val="18"/>
      <w:szCs w:val="18"/>
    </w:rPr>
  </w:style>
  <w:style w:type="paragraph" w:styleId="21">
    <w:name w:val="List Paragraph"/>
    <w:basedOn w:val="1"/>
    <w:qFormat/>
    <w:uiPriority w:val="34"/>
    <w:pPr>
      <w:ind w:firstLine="420"/>
    </w:pPr>
  </w:style>
  <w:style w:type="paragraph" w:customStyle="1" w:styleId="22">
    <w:name w:val="null3"/>
    <w:hidden/>
    <w:qFormat/>
    <w:uiPriority w:val="0"/>
    <w:rPr>
      <w:rFonts w:hint="eastAsia" w:asciiTheme="minorHAnsi" w:hAnsiTheme="minorHAnsi" w:eastAsiaTheme="minorEastAsia" w:cstheme="minorBidi"/>
      <w:lang w:val="en-US" w:eastAsia="zh-Hans" w:bidi="ar-SA"/>
    </w:rPr>
  </w:style>
  <w:style w:type="paragraph" w:customStyle="1" w:styleId="23">
    <w:name w:val="Revision"/>
    <w:hidden/>
    <w:unhideWhenUsed/>
    <w:qFormat/>
    <w:uiPriority w:val="99"/>
    <w:rPr>
      <w:rFonts w:eastAsia="仿宋" w:asciiTheme="minorHAnsi" w:hAnsiTheme="minorHAnsi" w:cstheme="minorBidi"/>
      <w:kern w:val="2"/>
      <w:sz w:val="32"/>
      <w:szCs w:val="22"/>
      <w:lang w:val="en-US" w:eastAsia="zh-CN" w:bidi="ar-SA"/>
    </w:rPr>
  </w:style>
  <w:style w:type="character" w:customStyle="1" w:styleId="24">
    <w:name w:val="font11"/>
    <w:basedOn w:val="13"/>
    <w:qFormat/>
    <w:uiPriority w:val="0"/>
    <w:rPr>
      <w:rFonts w:hint="eastAsia" w:ascii="仿宋_GB2312" w:eastAsia="仿宋_GB2312" w:cs="仿宋_GB2312"/>
      <w:color w:val="000000"/>
      <w:sz w:val="28"/>
      <w:szCs w:val="28"/>
      <w:u w:val="none"/>
    </w:rPr>
  </w:style>
  <w:style w:type="character" w:customStyle="1" w:styleId="25">
    <w:name w:val="font41"/>
    <w:basedOn w:val="13"/>
    <w:qFormat/>
    <w:uiPriority w:val="0"/>
    <w:rPr>
      <w:rFonts w:hint="eastAsia" w:ascii="宋体" w:hAnsi="宋体" w:eastAsia="宋体" w:cs="宋体"/>
      <w:color w:val="000000"/>
      <w:sz w:val="28"/>
      <w:szCs w:val="28"/>
      <w:u w:val="none"/>
    </w:rPr>
  </w:style>
  <w:style w:type="character" w:customStyle="1" w:styleId="26">
    <w:name w:val="font21"/>
    <w:basedOn w:val="13"/>
    <w:qFormat/>
    <w:uiPriority w:val="0"/>
    <w:rPr>
      <w:rFonts w:hint="eastAsia" w:ascii="宋体" w:hAnsi="宋体" w:eastAsia="宋体" w:cs="宋体"/>
      <w:color w:val="000000"/>
      <w:sz w:val="28"/>
      <w:szCs w:val="28"/>
      <w:u w:val="none"/>
    </w:rPr>
  </w:style>
  <w:style w:type="character" w:customStyle="1" w:styleId="27">
    <w:name w:val="font31"/>
    <w:basedOn w:val="13"/>
    <w:qFormat/>
    <w:uiPriority w:val="0"/>
    <w:rPr>
      <w:rFonts w:hint="eastAsia" w:ascii="宋体" w:hAnsi="宋体" w:eastAsia="宋体" w:cs="宋体"/>
      <w:color w:val="000000"/>
      <w:sz w:val="28"/>
      <w:szCs w:val="28"/>
      <w:u w:val="none"/>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C1E4B-7091-4112-9F21-2839BB3C802B}">
  <ds:schemaRefs/>
</ds:datastoreItem>
</file>

<file path=docProps/app.xml><?xml version="1.0" encoding="utf-8"?>
<Properties xmlns="http://schemas.openxmlformats.org/officeDocument/2006/extended-properties" xmlns:vt="http://schemas.openxmlformats.org/officeDocument/2006/docPropsVTypes">
  <Template>Normal</Template>
  <Pages>79</Pages>
  <Words>4366</Words>
  <Characters>4829</Characters>
  <Lines>385</Lines>
  <Paragraphs>108</Paragraphs>
  <TotalTime>69</TotalTime>
  <ScaleCrop>false</ScaleCrop>
  <LinksUpToDate>false</LinksUpToDate>
  <CharactersWithSpaces>4842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2025-06-03T07:10:00Z</dcterms:created>
  <dc:creator>8618589285566</dc:creator>
  <cp:lastModifiedBy>admin</cp:lastModifiedBy>
  <cp:lastPrinted>2025-11-07T08:19:00Z</cp:lastPrinted>
  <dcterms:modified xsi:type="dcterms:W3CDTF">2025-11-10T10:56:56Z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eyJoZGlkIjoiN2M2YWNlOTlhNjM2YzhhZWMzYjYwOTg3OTU1ZmQwYzYiLCJ1c2VySWQiOiI0MjMwMjExNjEifQ==</vt:lpwstr>
  </property>
  <property fmtid="{D5CDD505-2E9C-101B-9397-08002B2CF9AE}" pid="3" name="KSOProductBuildVer">
    <vt:lpwstr>2052-12.1.0.23125</vt:lpwstr>
  </property>
  <property fmtid="{D5CDD505-2E9C-101B-9397-08002B2CF9AE}" pid="4" name="ICV">
    <vt:lpwstr>AA3367FC446142EB89B41BD4BF56D446_13</vt:lpwstr>
  </property>
</Properties>
</file>