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79" w:lineRule="exact"/>
        <w:ind w:right="39" w:firstLine="640" w:firstLineChars="200"/>
        <w:jc w:val="right"/>
        <w:rPr>
          <w:rFonts w:hint="eastAsia" w:asciiTheme="minorEastAsia" w:hAnsiTheme="minorEastAsia" w:eastAsiaTheme="minorEastAsia" w:cstheme="minorEastAsia"/>
          <w:color w:val="000000" w:themeColor="text1"/>
          <w:sz w:val="32"/>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21"/>
          <w:highlight w:val="none"/>
          <w:lang w:val="en-US" w:eastAsia="zh-CN"/>
          <w14:textFill>
            <w14:solidFill>
              <w14:schemeClr w14:val="tx1"/>
            </w14:solidFill>
          </w14:textFill>
        </w:rPr>
        <w:t xml:space="preserve">             </w:t>
      </w:r>
    </w:p>
    <w:p>
      <w:pPr>
        <w:spacing w:line="360" w:lineRule="auto"/>
        <w:jc w:val="center"/>
        <w:rPr>
          <w:rFonts w:hint="eastAsia" w:asciiTheme="minorEastAsia" w:hAnsiTheme="minorEastAsia" w:eastAsiaTheme="minorEastAsia" w:cstheme="minorEastAsia"/>
          <w:color w:val="000000" w:themeColor="text1"/>
          <w:sz w:val="4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40"/>
          <w:szCs w:val="21"/>
          <w:highlight w:val="none"/>
          <w:lang w:eastAsia="zh-CN"/>
          <w14:textFill>
            <w14:solidFill>
              <w14:schemeClr w14:val="tx1"/>
            </w14:solidFill>
          </w14:textFill>
        </w:rPr>
        <w:t>新疆维吾尔自治区第三人民医院（新疆维吾尔自治区职业病防治院）法律咨询服务采购项目</w:t>
      </w:r>
    </w:p>
    <w:p>
      <w:pPr>
        <w:spacing w:line="360" w:lineRule="auto"/>
        <w:jc w:val="center"/>
        <w:rPr>
          <w:rFonts w:hint="eastAsia" w:asciiTheme="minorEastAsia" w:hAnsiTheme="minorEastAsia" w:eastAsiaTheme="minorEastAsia" w:cstheme="minorEastAsia"/>
          <w:color w:val="000000" w:themeColor="text1"/>
          <w:sz w:val="4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2"/>
          <w:szCs w:val="21"/>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21"/>
          <w:highlight w:val="none"/>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z w:val="32"/>
          <w:szCs w:val="21"/>
          <w:highlight w:val="none"/>
          <w:lang w:val="en-US" w:eastAsia="zh-CN"/>
          <w14:textFill>
            <w14:solidFill>
              <w14:schemeClr w14:val="tx1"/>
            </w14:solidFill>
          </w14:textFill>
        </w:rPr>
        <w:t>XJZH-CG-202355</w:t>
      </w:r>
    </w:p>
    <w:p>
      <w:pPr>
        <w:spacing w:line="579" w:lineRule="exact"/>
        <w:jc w:val="center"/>
        <w:rPr>
          <w:rFonts w:hint="eastAsia" w:asciiTheme="minorEastAsia" w:hAnsiTheme="minorEastAsia" w:eastAsiaTheme="minorEastAsia" w:cstheme="minorEastAsia"/>
          <w:color w:val="000000" w:themeColor="text1"/>
          <w:sz w:val="44"/>
          <w:szCs w:val="36"/>
          <w:highlight w:val="none"/>
          <w:lang w:eastAsia="zh-CN"/>
          <w14:textFill>
            <w14:solidFill>
              <w14:schemeClr w14:val="tx1"/>
            </w14:solidFill>
          </w14:textFill>
        </w:rPr>
      </w:pPr>
    </w:p>
    <w:p>
      <w:pPr>
        <w:spacing w:line="579" w:lineRule="exact"/>
        <w:jc w:val="center"/>
        <w:rPr>
          <w:rFonts w:hint="eastAsia" w:asciiTheme="minorEastAsia" w:hAnsiTheme="minorEastAsia" w:eastAsiaTheme="minorEastAsia" w:cstheme="minorEastAsia"/>
          <w:color w:val="000000" w:themeColor="text1"/>
          <w:sz w:val="44"/>
          <w:szCs w:val="36"/>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36"/>
          <w:highlight w:val="none"/>
          <w:lang w:eastAsia="zh-CN"/>
          <w14:textFill>
            <w14:solidFill>
              <w14:schemeClr w14:val="tx1"/>
            </w14:solidFill>
          </w14:textFill>
        </w:rPr>
        <w:t>竞争性磋商文件</w:t>
      </w:r>
    </w:p>
    <w:p>
      <w:pPr>
        <w:spacing w:line="579"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14:textFill>
            <w14:solidFill>
              <w14:schemeClr w14:val="tx1"/>
            </w14:solidFill>
          </w14:textFill>
        </w:rPr>
        <w:t xml:space="preserve"> </w:t>
      </w: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ind w:left="1200" w:hanging="1200" w:hangingChars="5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项目名称：新疆维吾尔自治区第三人民医院（新疆维吾尔自治区职业病防治院）法律咨询服务采购项目</w:t>
      </w:r>
    </w:p>
    <w:p>
      <w:pPr>
        <w:spacing w:line="579"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 购 人：</w:t>
      </w:r>
      <w:r>
        <w:rPr>
          <w:rStyle w:val="34"/>
          <w:rFonts w:hint="eastAsia" w:asciiTheme="minorEastAsia" w:hAnsiTheme="minorEastAsia" w:eastAsiaTheme="minorEastAsia" w:cstheme="minorEastAsia"/>
          <w:i w:val="0"/>
          <w:iCs w:val="0"/>
          <w:caps w:val="0"/>
          <w:color w:val="000000"/>
          <w:spacing w:val="0"/>
          <w:sz w:val="24"/>
          <w:szCs w:val="24"/>
          <w:highlight w:val="none"/>
          <w:lang w:eastAsia="zh-CN"/>
        </w:rPr>
        <w:t>新疆维吾尔自治区第三人民医院（新疆维吾尔自治区职业病防治院）</w:t>
      </w:r>
    </w:p>
    <w:p>
      <w:pPr>
        <w:pStyle w:val="44"/>
        <w:tabs>
          <w:tab w:val="left" w:pos="775"/>
        </w:tabs>
        <w:spacing w:line="579" w:lineRule="exact"/>
        <w:ind w:right="2837"/>
        <w:jc w:val="both"/>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联 系 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龚老师</w:t>
      </w:r>
    </w:p>
    <w:p>
      <w:pPr>
        <w:spacing w:line="579"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联系电话：0991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7886687</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pPr>
        <w:pStyle w:val="14"/>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101600</wp:posOffset>
                </wp:positionV>
                <wp:extent cx="592645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926455" cy="635"/>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_x0000_s1026" o:spid="_x0000_s1026" o:spt="20" style="position:absolute;left:0pt;margin-left:0.55pt;margin-top:8pt;height:0.05pt;width:466.65pt;z-index:251661312;mso-width-relative:page;mso-height-relative:page;" filled="f" stroked="t" coordsize="21600,21600" o:gfxdata="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cIzQ71AAAAAcBAAAPAAAAAAAAAAEAIAAAACIAAABkcnMvZG93bnJldi54bWxQSwECFAAU&#10;AAAACACHTuJA3lrq/fUBAADqAwAADgAAAAAAAAABACAAAAAjAQAAZHJzL2Uyb0RvYy54bWxQSwUG&#10;AAAAAAYABgBZAQAAigUAAAAA&#10;">
                <v:fill on="f" focussize="0,0"/>
                <v:stroke weight="1pt" color="#000000" joinstyle="round" dashstyle="1 1"/>
                <v:imagedata o:title=""/>
                <o:lock v:ext="edit" aspectratio="f"/>
              </v:line>
            </w:pict>
          </mc:Fallback>
        </mc:AlternateContent>
      </w:r>
    </w:p>
    <w:p>
      <w:pPr>
        <w:spacing w:line="579"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采购代理机构：新疆卓恒工程项目管理有限公司（公章）</w:t>
      </w:r>
    </w:p>
    <w:p>
      <w:pPr>
        <w:spacing w:line="579"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联  系  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王嘉鹏</w:t>
      </w:r>
    </w:p>
    <w:p>
      <w:pPr>
        <w:spacing w:line="579" w:lineRule="exact"/>
        <w:rPr>
          <w:rFonts w:hint="default"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电      话：</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18699328180</w:t>
      </w:r>
    </w:p>
    <w:p>
      <w:pPr>
        <w:spacing w:line="579"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邮      箱：</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247299024</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@qq.com</w:t>
      </w:r>
    </w:p>
    <w:p>
      <w:pPr>
        <w:spacing w:line="579"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地      址：新疆乌鲁木齐市水磨沟区龙盛街 898号万科中央公园 S2 座 20 楼 2002 室</w:t>
      </w:r>
    </w:p>
    <w:p>
      <w:pPr>
        <w:spacing w:line="579" w:lineRule="exact"/>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二〇二</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十</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月</w:t>
      </w:r>
    </w:p>
    <w:p>
      <w:pPr>
        <w:spacing w:line="579" w:lineRule="exact"/>
        <w:rPr>
          <w:rFonts w:hint="eastAsia" w:asciiTheme="minorEastAsia" w:hAnsiTheme="minorEastAsia" w:eastAsiaTheme="minorEastAsia" w:cstheme="minorEastAsia"/>
          <w:color w:val="000000" w:themeColor="text1"/>
          <w:sz w:val="24"/>
          <w:szCs w:val="20"/>
          <w:highlight w:val="none"/>
          <w14:textFill>
            <w14:solidFill>
              <w14:schemeClr w14:val="tx1"/>
            </w14:solidFill>
          </w14:textFill>
        </w:rPr>
        <w:sectPr>
          <w:pgSz w:w="11906" w:h="16838"/>
          <w:pgMar w:top="1418" w:right="1826" w:bottom="1418" w:left="1361" w:header="851" w:footer="992" w:gutter="0"/>
          <w:cols w:space="720" w:num="1"/>
          <w:docGrid w:type="linesAndChars" w:linePitch="332" w:charSpace="0"/>
        </w:sectPr>
      </w:pPr>
    </w:p>
    <w:p>
      <w:pPr>
        <w:pStyle w:val="22"/>
        <w:tabs>
          <w:tab w:val="right" w:leader="dot" w:pos="9050"/>
        </w:tabs>
        <w:spacing w:line="579" w:lineRule="exact"/>
        <w:jc w:val="center"/>
        <w:rPr>
          <w:rStyle w:val="35"/>
          <w:rFonts w:hint="eastAsia" w:asciiTheme="minorEastAsia" w:hAnsiTheme="minorEastAsia" w:eastAsiaTheme="minorEastAsia" w:cstheme="minorEastAsia"/>
          <w:color w:val="000000" w:themeColor="text1"/>
          <w:sz w:val="36"/>
          <w:szCs w:val="36"/>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36"/>
          <w:szCs w:val="36"/>
          <w:highlight w:val="none"/>
          <w:lang w:eastAsia="zh-CN"/>
          <w14:textFill>
            <w14:solidFill>
              <w14:schemeClr w14:val="tx1"/>
            </w14:solidFill>
          </w14:textFill>
        </w:rPr>
        <w:t>目录</w:t>
      </w:r>
    </w:p>
    <w:p>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Style w:val="35"/>
          <w:rFonts w:hint="eastAsia" w:asciiTheme="minorEastAsia" w:hAnsiTheme="minorEastAsia" w:eastAsiaTheme="minorEastAsia" w:cstheme="minorEastAsia"/>
          <w:sz w:val="24"/>
          <w:szCs w:val="24"/>
          <w:highlight w:val="none"/>
        </w:rPr>
        <w:fldChar w:fldCharType="begin"/>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instrText xml:space="preserve">TOC \o "1-3" \h \u </w:instrText>
      </w:r>
      <w:r>
        <w:rPr>
          <w:rStyle w:val="35"/>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\l _Toc25397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lang w:eastAsia="zh-CN"/>
        </w:rPr>
        <w:t>第一部分</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竞争性磋商公告</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_Toc25397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end"/>
      </w:r>
    </w:p>
    <w:p>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_Toc23691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bCs/>
          <w:w w:val="95"/>
          <w:sz w:val="24"/>
          <w:szCs w:val="24"/>
          <w:highlight w:val="none"/>
          <w:lang w:eastAsia="zh-CN"/>
        </w:rPr>
        <w:t>第二部分</w:t>
      </w:r>
      <w:r>
        <w:rPr>
          <w:rFonts w:hint="eastAsia" w:asciiTheme="minorEastAsia" w:hAnsiTheme="minorEastAsia" w:eastAsiaTheme="minorEastAsia" w:cstheme="minorEastAsia"/>
          <w:bCs/>
          <w:w w:val="95"/>
          <w:sz w:val="24"/>
          <w:szCs w:val="24"/>
          <w:highlight w:val="none"/>
          <w:lang w:val="en-US" w:eastAsia="zh-CN"/>
        </w:rPr>
        <w:t xml:space="preserve"> </w:t>
      </w:r>
      <w:r>
        <w:rPr>
          <w:rFonts w:hint="eastAsia" w:asciiTheme="minorEastAsia" w:hAnsiTheme="minorEastAsia" w:eastAsiaTheme="minorEastAsia" w:cstheme="minorEastAsia"/>
          <w:bCs/>
          <w:w w:val="95"/>
          <w:sz w:val="24"/>
          <w:szCs w:val="24"/>
          <w:highlight w:val="none"/>
          <w:lang w:eastAsia="zh-CN"/>
        </w:rPr>
        <w:t>供应商须知</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_Toc23691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_Toc2444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第一章供应商须知</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_Toc2444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_Toc22315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第二章 竞争性磋商文件的编写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_Toc22315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_Toc20820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第三章 响应文件的编写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_Toc20820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_Toc22266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第四章 响应文件的递交</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_Toc22266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_Toc21017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第五章 开标</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_Toc21017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_Toc17205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第六章 评标</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_Toc17205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_Toc29795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第七章 授予合同</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_Toc29795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_Toc3973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第八章 其他</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_Toc3973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_Toc15756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bCs/>
          <w:sz w:val="24"/>
          <w:szCs w:val="24"/>
          <w:highlight w:val="none"/>
          <w:lang w:eastAsia="zh-CN"/>
        </w:rPr>
        <w:t>第九章 质疑的提出及处理</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_Toc15756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_Toc21221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bCs/>
          <w:sz w:val="24"/>
          <w:szCs w:val="24"/>
          <w:highlight w:val="none"/>
          <w:lang w:eastAsia="zh-CN"/>
        </w:rPr>
        <w:t>第三部分采购</w:t>
      </w:r>
      <w:r>
        <w:rPr>
          <w:rFonts w:hint="eastAsia" w:asciiTheme="minorEastAsia" w:hAnsiTheme="minorEastAsia" w:eastAsiaTheme="minorEastAsia" w:cstheme="minorEastAsia"/>
          <w:bCs/>
          <w:sz w:val="24"/>
          <w:szCs w:val="24"/>
          <w:highlight w:val="none"/>
          <w:lang w:val="en-US" w:eastAsia="zh-CN"/>
        </w:rPr>
        <w:t>需求</w:t>
      </w:r>
      <w:r>
        <w:rPr>
          <w:rFonts w:hint="eastAsia" w:asciiTheme="minorEastAsia" w:hAnsiTheme="minorEastAsia" w:eastAsiaTheme="minorEastAsia" w:cstheme="minorEastAsia"/>
          <w:bCs/>
          <w:sz w:val="24"/>
          <w:szCs w:val="24"/>
          <w:highlight w:val="none"/>
          <w:lang w:eastAsia="zh-CN"/>
        </w:rPr>
        <w:t>及要求</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_Toc21221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_Toc7042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bCs/>
          <w:sz w:val="24"/>
          <w:szCs w:val="24"/>
          <w:highlight w:val="none"/>
          <w:lang w:eastAsia="zh-CN"/>
        </w:rPr>
        <w:t>第四部分  合同条款</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_Toc7042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43</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2"/>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_Toc13022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第五部分附件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_Toc13022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_Toc14236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第一部分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资格证明文件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_Toc14236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58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_Toc11678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第二部分</w:t>
      </w:r>
      <w:r>
        <w:rPr>
          <w:rFonts w:hint="eastAsia" w:asciiTheme="minorEastAsia" w:hAnsiTheme="minorEastAsia" w:eastAsiaTheme="minorEastAsia" w:cstheme="minorEastAsia"/>
          <w:sz w:val="24"/>
          <w:szCs w:val="24"/>
          <w:highlight w:val="none"/>
          <w:lang w:eastAsia="zh-CN"/>
        </w:rPr>
        <w:t>）报价文件</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_Toc11678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66</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25"/>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_Toc20694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第三部分</w:t>
      </w:r>
      <w:r>
        <w:rPr>
          <w:rFonts w:hint="eastAsia" w:asciiTheme="minorEastAsia" w:hAnsiTheme="minorEastAsia" w:eastAsiaTheme="minorEastAsia" w:cstheme="minorEastAsia"/>
          <w:sz w:val="24"/>
          <w:szCs w:val="24"/>
          <w:highlight w:val="none"/>
          <w:lang w:eastAsia="zh-CN"/>
        </w:rPr>
        <w:t>）商务及技术部分</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_Toc20694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68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_Toc25000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bidi="ar"/>
        </w:rPr>
        <w:t>（一）投标函</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_Toc25000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69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_Toc24884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bidi="ar"/>
        </w:rPr>
        <w:t>（二）法定代表人诚信投标承诺书</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_Toc24884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70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_Toc10295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三</w:t>
      </w:r>
      <w:r>
        <w:rPr>
          <w:rFonts w:hint="eastAsia" w:asciiTheme="minorEastAsia" w:hAnsiTheme="minorEastAsia" w:eastAsiaTheme="minorEastAsia" w:cstheme="minorEastAsia"/>
          <w:sz w:val="24"/>
          <w:szCs w:val="24"/>
          <w:highlight w:val="none"/>
          <w:lang w:eastAsia="zh-CN" w:bidi="ar"/>
        </w:rPr>
        <w:t>）磋商保证金</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_Toc10295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71</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_Toc12075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四</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企业</w:t>
      </w:r>
      <w:r>
        <w:rPr>
          <w:rFonts w:hint="eastAsia" w:asciiTheme="minorEastAsia" w:hAnsiTheme="minorEastAsia" w:eastAsiaTheme="minorEastAsia" w:cstheme="minorEastAsia"/>
          <w:sz w:val="24"/>
          <w:szCs w:val="24"/>
          <w:highlight w:val="none"/>
          <w:lang w:eastAsia="zh-CN" w:bidi="ar"/>
        </w:rPr>
        <w:t>业绩一览表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_Toc12075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72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_Toc16265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五</w:t>
      </w:r>
      <w:r>
        <w:rPr>
          <w:rFonts w:hint="eastAsia" w:asciiTheme="minorEastAsia" w:hAnsiTheme="minorEastAsia" w:eastAsiaTheme="minorEastAsia" w:cstheme="minorEastAsia"/>
          <w:sz w:val="24"/>
          <w:szCs w:val="24"/>
          <w:highlight w:val="none"/>
          <w:lang w:eastAsia="zh-CN" w:bidi="ar"/>
        </w:rPr>
        <w:t>）项目团队成员一览表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_Toc16265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74</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_Toc13103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val="en-US" w:eastAsia="zh-CN"/>
        </w:rPr>
        <w:t>（六）认证证书</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_Toc13103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77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_Toc27820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val="en-US" w:eastAsia="zh-CN"/>
        </w:rPr>
        <w:t>（七）技术部分</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_Toc27820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77</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_Toc15069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八</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商务</w:t>
      </w:r>
      <w:r>
        <w:rPr>
          <w:rFonts w:hint="eastAsia" w:asciiTheme="minorEastAsia" w:hAnsiTheme="minorEastAsia" w:eastAsiaTheme="minorEastAsia" w:cstheme="minorEastAsia"/>
          <w:sz w:val="24"/>
          <w:szCs w:val="24"/>
          <w:highlight w:val="none"/>
          <w:lang w:eastAsia="zh-CN"/>
        </w:rPr>
        <w:t>条款偏离表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_Toc15069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78</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_Toc30849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技术（服务）</w:t>
      </w:r>
      <w:r>
        <w:rPr>
          <w:rFonts w:hint="eastAsia" w:asciiTheme="minorEastAsia" w:hAnsiTheme="minorEastAsia" w:eastAsiaTheme="minorEastAsia" w:cstheme="minorEastAsia"/>
          <w:sz w:val="24"/>
          <w:szCs w:val="24"/>
          <w:highlight w:val="none"/>
          <w:lang w:eastAsia="zh-CN"/>
        </w:rPr>
        <w:t>条款偏离表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_Toc30849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79</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_Toc15968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（十）供应商企业类型声明函</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_Toc15968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80</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pStyle w:val="16"/>
        <w:keepNext w:val="0"/>
        <w:keepLines w:val="0"/>
        <w:pageBreakBefore w:val="0"/>
        <w:widowControl/>
        <w:tabs>
          <w:tab w:val="right" w:leader="dot" w:pos="9050"/>
        </w:tabs>
        <w:kinsoku/>
        <w:wordWrap/>
        <w:overflowPunct/>
        <w:topLinePunct w:val="0"/>
        <w:autoSpaceDE/>
        <w:autoSpaceDN/>
        <w:bidi w:val="0"/>
        <w:adjustRightInd/>
        <w:snapToGrid/>
        <w:spacing w:line="360" w:lineRule="exact"/>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begin"/>
      </w:r>
      <w:r>
        <w:rPr>
          <w:rFonts w:hint="eastAsia" w:asciiTheme="minorEastAsia" w:hAnsiTheme="minorEastAsia" w:eastAsiaTheme="minorEastAsia" w:cstheme="minorEastAsia"/>
          <w:sz w:val="24"/>
          <w:szCs w:val="24"/>
          <w:highlight w:val="none"/>
          <w:lang w:eastAsia="zh-CN"/>
        </w:rPr>
        <w:instrText xml:space="preserve"> HYPERLINK \l _Toc18963 </w:instrText>
      </w:r>
      <w:r>
        <w:rPr>
          <w:rFonts w:hint="eastAsia" w:asciiTheme="minorEastAsia" w:hAnsiTheme="minorEastAsia" w:eastAsiaTheme="minorEastAsia" w:cstheme="minorEastAsia"/>
          <w:sz w:val="24"/>
          <w:szCs w:val="24"/>
          <w:highlight w:val="none"/>
          <w:lang w:eastAsia="zh-CN"/>
        </w:rPr>
        <w:fldChar w:fldCharType="separate"/>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十一</w:t>
      </w:r>
      <w:r>
        <w:rPr>
          <w:rFonts w:hint="eastAsia" w:asciiTheme="minorEastAsia" w:hAnsiTheme="minorEastAsia" w:eastAsiaTheme="minorEastAsia" w:cstheme="minorEastAsia"/>
          <w:sz w:val="24"/>
          <w:szCs w:val="24"/>
          <w:highlight w:val="none"/>
          <w:lang w:eastAsia="zh-CN"/>
        </w:rPr>
        <w:t>）供应商认为有必要提交的其他资料</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PAGEREF _Toc18963 \h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82</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baseline"/>
        <w:rPr>
          <w:rStyle w:val="35"/>
          <w:rFonts w:hint="eastAsia" w:asciiTheme="minorEastAsia" w:hAnsiTheme="minorEastAsia" w:eastAsiaTheme="minorEastAsia" w:cstheme="minorEastAsia"/>
          <w:color w:val="000000" w:themeColor="text1"/>
          <w:sz w:val="44"/>
          <w:highlight w:val="none"/>
          <w:lang w:eastAsia="zh-CN"/>
          <w14:textFill>
            <w14:solidFill>
              <w14:schemeClr w14:val="tx1"/>
            </w14:solidFill>
          </w14:textFill>
        </w:rPr>
        <w:sectPr>
          <w:footerReference r:id="rId3" w:type="default"/>
          <w:pgSz w:w="11910" w:h="16840"/>
          <w:pgMar w:top="1400" w:right="1220" w:bottom="980" w:left="1640" w:header="720" w:footer="796" w:gutter="0"/>
          <w:pgNumType w:start="1"/>
          <w:cols w:space="720" w:num="1"/>
        </w:sect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fldChar w:fldCharType="end"/>
      </w:r>
    </w:p>
    <w:p>
      <w:pPr>
        <w:spacing w:before="108" w:line="360" w:lineRule="auto"/>
        <w:ind w:right="-29" w:rightChars="-13"/>
        <w:jc w:val="center"/>
        <w:outlineLvl w:val="0"/>
        <w:rPr>
          <w:rFonts w:hint="eastAsia" w:asciiTheme="minorEastAsia" w:hAnsiTheme="minorEastAsia" w:eastAsiaTheme="minorEastAsia" w:cstheme="minorEastAsia"/>
          <w:color w:val="000000" w:themeColor="text1"/>
          <w:sz w:val="36"/>
          <w:szCs w:val="36"/>
          <w:highlight w:val="none"/>
          <w:lang w:eastAsia="zh-CN"/>
          <w14:textFill>
            <w14:solidFill>
              <w14:schemeClr w14:val="tx1"/>
            </w14:solidFill>
          </w14:textFill>
        </w:rPr>
      </w:pPr>
      <w:bookmarkStart w:id="0" w:name="_Toc20541"/>
      <w:bookmarkStart w:id="1" w:name="_Toc25397"/>
      <w:bookmarkStart w:id="2" w:name="_Toc20343"/>
      <w:bookmarkStart w:id="3" w:name="_Toc326"/>
      <w:bookmarkStart w:id="4" w:name="_Toc25337"/>
      <w:bookmarkStart w:id="5" w:name="_Toc4733"/>
      <w:bookmarkStart w:id="6" w:name="_Toc29792"/>
      <w:r>
        <w:rPr>
          <w:rStyle w:val="35"/>
          <w:rFonts w:hint="eastAsia" w:asciiTheme="minorEastAsia" w:hAnsiTheme="minorEastAsia" w:eastAsiaTheme="minorEastAsia" w:cstheme="minorEastAsia"/>
          <w:b/>
          <w:color w:val="000000" w:themeColor="text1"/>
          <w:sz w:val="30"/>
          <w:szCs w:val="30"/>
          <w:highlight w:val="none"/>
          <w:lang w:eastAsia="zh-CN"/>
          <w14:textFill>
            <w14:solidFill>
              <w14:schemeClr w14:val="tx1"/>
            </w14:solidFill>
          </w14:textFill>
        </w:rPr>
        <w:t>第一部分</w:t>
      </w:r>
      <w:r>
        <w:rPr>
          <w:rStyle w:val="35"/>
          <w:rFonts w:hint="eastAsia" w:asciiTheme="minorEastAsia" w:hAnsiTheme="minorEastAsia" w:eastAsiaTheme="minorEastAsia" w:cstheme="minorEastAsia"/>
          <w:b/>
          <w:color w:val="000000" w:themeColor="text1"/>
          <w:sz w:val="30"/>
          <w:szCs w:val="30"/>
          <w:highlight w:val="none"/>
          <w:lang w:val="en-US" w:eastAsia="zh-CN"/>
          <w14:textFill>
            <w14:solidFill>
              <w14:schemeClr w14:val="tx1"/>
            </w14:solidFill>
          </w14:textFill>
        </w:rPr>
        <w:t xml:space="preserve"> </w:t>
      </w:r>
      <w:r>
        <w:rPr>
          <w:rStyle w:val="35"/>
          <w:rFonts w:hint="eastAsia" w:asciiTheme="minorEastAsia" w:hAnsiTheme="minorEastAsia" w:eastAsiaTheme="minorEastAsia" w:cstheme="minorEastAsia"/>
          <w:b/>
          <w:color w:val="000000" w:themeColor="text1"/>
          <w:sz w:val="30"/>
          <w:szCs w:val="30"/>
          <w:highlight w:val="none"/>
          <w:lang w:eastAsia="zh-CN"/>
          <w14:textFill>
            <w14:solidFill>
              <w14:schemeClr w14:val="tx1"/>
            </w14:solidFill>
          </w14:textFill>
        </w:rPr>
        <w:t>竞争性磋商公告</w:t>
      </w:r>
      <w:bookmarkEnd w:id="0"/>
      <w:bookmarkEnd w:id="1"/>
      <w:bookmarkEnd w:id="2"/>
      <w:bookmarkEnd w:id="3"/>
      <w:bookmarkEnd w:id="4"/>
      <w:bookmarkEnd w:id="5"/>
    </w:p>
    <w:bookmarkEnd w:id="6"/>
    <w:p>
      <w:pPr>
        <w:overflowPunct w:val="0"/>
        <w:spacing w:line="579" w:lineRule="exact"/>
        <w:textAlignment w:val="auto"/>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eastAsia="zh-CN"/>
          <w14:textFill>
            <w14:solidFill>
              <w14:schemeClr w14:val="tx1"/>
            </w14:solidFill>
          </w14:textFill>
        </w:rPr>
        <w:t>项目概况:</w:t>
      </w:r>
    </w:p>
    <w:p>
      <w:pPr>
        <w:pStyle w:val="26"/>
        <w:keepNext w:val="0"/>
        <w:keepLines w:val="0"/>
        <w:pageBreakBefore w:val="0"/>
        <w:widowControl/>
        <w:kinsoku/>
        <w:wordWrap/>
        <w:overflowPunct/>
        <w:topLinePunct w:val="0"/>
        <w:autoSpaceDE/>
        <w:autoSpaceDN/>
        <w:bidi w:val="0"/>
        <w:adjustRightInd/>
        <w:snapToGrid/>
        <w:spacing w:before="20" w:beforeAutospacing="0" w:after="20" w:afterAutospacing="0" w:line="579" w:lineRule="exact"/>
        <w:ind w:firstLine="480" w:firstLineChars="200"/>
        <w:jc w:val="both"/>
        <w:textAlignment w:val="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新疆维吾尔自治区第三人民医院（新疆维吾尔自治区职业病防治院）法律咨询服务采购项目</w:t>
      </w:r>
      <w:r>
        <w:rPr>
          <w:rFonts w:hint="eastAsia" w:asciiTheme="minorEastAsia" w:hAnsiTheme="minorEastAsia" w:eastAsiaTheme="minorEastAsia" w:cstheme="minorEastAsia"/>
          <w:color w:val="000000" w:themeColor="text1"/>
          <w:highlight w:val="none"/>
          <w14:textFill>
            <w14:solidFill>
              <w14:schemeClr w14:val="tx1"/>
            </w14:solidFill>
          </w14:textFill>
        </w:rPr>
        <w:t>的潜在供应商应在</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新疆政府采购网</w:t>
      </w:r>
      <w:r>
        <w:rPr>
          <w:rFonts w:hint="eastAsia" w:asciiTheme="minorEastAsia" w:hAnsiTheme="minorEastAsia" w:eastAsiaTheme="minorEastAsia" w:cstheme="minorEastAsia"/>
          <w:color w:val="000000" w:themeColor="text1"/>
          <w:highlight w:val="none"/>
          <w14:textFill>
            <w14:solidFill>
              <w14:schemeClr w14:val="tx1"/>
            </w14:solidFill>
          </w14:textFill>
        </w:rPr>
        <w:t>（政府采购云平台）获取</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highlight w:val="none"/>
          <w14:textFill>
            <w14:solidFill>
              <w14:schemeClr w14:val="tx1"/>
            </w14:solidFill>
          </w14:textFill>
        </w:rPr>
        <w:t>文件，并于202</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highlight w:val="none"/>
          <w14:textFill>
            <w14:solidFill>
              <w14:schemeClr w14:val="tx1"/>
            </w14:solidFill>
          </w14:textFill>
        </w:rPr>
        <w:t>月</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日</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highlight w:val="none"/>
          <w14:textFill>
            <w14:solidFill>
              <w14:schemeClr w14:val="tx1"/>
            </w14:solidFill>
          </w14:textFill>
        </w:rPr>
        <w:t>（北京时间）前递交投标文件。</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Style w:val="31"/>
          <w:rFonts w:hint="eastAsia" w:asciiTheme="minorEastAsia" w:hAnsiTheme="minorEastAsia" w:eastAsiaTheme="minorEastAsia" w:cstheme="minorEastAsia"/>
          <w:i w:val="0"/>
          <w:iCs w:val="0"/>
          <w:caps w:val="0"/>
          <w:color w:val="000000"/>
          <w:spacing w:val="0"/>
          <w:sz w:val="24"/>
          <w:szCs w:val="24"/>
          <w:highlight w:val="none"/>
        </w:rPr>
        <w:t>一、项目基本情况</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rPr>
        <w:t xml:space="preserve">    </w:t>
      </w:r>
      <w:r>
        <w:rPr>
          <w:rFonts w:hint="eastAsia" w:asciiTheme="minorEastAsia" w:hAnsiTheme="minorEastAsia" w:eastAsiaTheme="minorEastAsia" w:cstheme="minorEastAsia"/>
          <w:i w:val="0"/>
          <w:iCs w:val="0"/>
          <w:caps w:val="0"/>
          <w:color w:val="000000"/>
          <w:spacing w:val="0"/>
          <w:sz w:val="24"/>
          <w:szCs w:val="24"/>
          <w:highlight w:val="none"/>
          <w:lang w:eastAsia="zh-CN"/>
        </w:rPr>
        <w:t>项目编号:</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XJZH-CG-202355</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项目名称：</w:t>
      </w:r>
      <w:r>
        <w:rPr>
          <w:rFonts w:hint="eastAsia" w:asciiTheme="minorEastAsia" w:hAnsiTheme="minorEastAsia" w:eastAsiaTheme="minorEastAsia" w:cstheme="minorEastAsia"/>
          <w:i w:val="0"/>
          <w:iCs w:val="0"/>
          <w:caps w:val="0"/>
          <w:color w:val="000000"/>
          <w:spacing w:val="0"/>
          <w:sz w:val="24"/>
          <w:szCs w:val="24"/>
          <w:highlight w:val="none"/>
          <w:lang w:eastAsia="zh-CN"/>
        </w:rPr>
        <w:t>新疆维吾尔自治区第三人民医院（新疆维吾尔自治区职业病防治院）法律咨询服务采购项目</w:t>
      </w:r>
      <w:r>
        <w:rPr>
          <w:rFonts w:hint="eastAsia" w:asciiTheme="minorEastAsia" w:hAnsiTheme="minorEastAsia" w:eastAsiaTheme="minorEastAsia" w:cstheme="minorEastAsia"/>
          <w:i w:val="0"/>
          <w:iCs w:val="0"/>
          <w:caps w:val="0"/>
          <w:color w:val="000000"/>
          <w:spacing w:val="0"/>
          <w:sz w:val="24"/>
          <w:szCs w:val="24"/>
          <w:highlight w:val="none"/>
        </w:rPr>
        <w:t> </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采购方式：竞争性磋商 </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rPr>
        <w:t>    预算金额（元）：</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210000.00</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rPr>
        <w:t>    最高限价（元）：</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210000.00</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采购需求：</w:t>
      </w:r>
    </w:p>
    <w:p>
      <w:pPr>
        <w:keepNext w:val="0"/>
        <w:keepLines w:val="0"/>
        <w:pageBreakBefore w:val="0"/>
        <w:widowControl w:val="0"/>
        <w:kinsoku/>
        <w:wordWrap/>
        <w:overflowPunct/>
        <w:topLinePunct w:val="0"/>
        <w:autoSpaceDE w:val="0"/>
        <w:autoSpaceDN w:val="0"/>
        <w:bidi w:val="0"/>
        <w:adjustRightInd/>
        <w:snapToGrid/>
        <w:spacing w:before="0" w:line="480" w:lineRule="exact"/>
        <w:textAlignment w:val="auto"/>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   简要规格描述：为医院经营管理提供日常法律咨询</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等内容。</w:t>
      </w:r>
      <w:r>
        <w:rPr>
          <w:rFonts w:hint="eastAsia" w:asciiTheme="minorEastAsia" w:hAnsiTheme="minorEastAsia" w:eastAsiaTheme="minorEastAsia" w:cstheme="minorEastAsia"/>
          <w:i w:val="0"/>
          <w:iCs w:val="0"/>
          <w:caps w:val="0"/>
          <w:color w:val="000000"/>
          <w:spacing w:val="0"/>
          <w:sz w:val="24"/>
          <w:szCs w:val="24"/>
          <w:highlight w:val="none"/>
        </w:rPr>
        <w:t>（详细</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服务</w:t>
      </w:r>
      <w:r>
        <w:rPr>
          <w:rFonts w:hint="eastAsia" w:asciiTheme="minorEastAsia" w:hAnsiTheme="minorEastAsia" w:eastAsiaTheme="minorEastAsia" w:cstheme="minorEastAsia"/>
          <w:i w:val="0"/>
          <w:iCs w:val="0"/>
          <w:caps w:val="0"/>
          <w:color w:val="000000"/>
          <w:spacing w:val="0"/>
          <w:sz w:val="24"/>
          <w:szCs w:val="24"/>
          <w:highlight w:val="none"/>
        </w:rPr>
        <w:t>要求见</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竞争性磋商</w:t>
      </w:r>
      <w:r>
        <w:rPr>
          <w:rFonts w:hint="eastAsia" w:asciiTheme="minorEastAsia" w:hAnsiTheme="minorEastAsia" w:eastAsiaTheme="minorEastAsia" w:cstheme="minorEastAsia"/>
          <w:i w:val="0"/>
          <w:iCs w:val="0"/>
          <w:caps w:val="0"/>
          <w:color w:val="000000"/>
          <w:spacing w:val="0"/>
          <w:sz w:val="24"/>
          <w:szCs w:val="24"/>
          <w:highlight w:val="none"/>
        </w:rPr>
        <w:t>文件）</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备注： </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合同履约期限：</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3年</w:t>
      </w:r>
      <w:r>
        <w:rPr>
          <w:rFonts w:hint="eastAsia" w:asciiTheme="minorEastAsia" w:hAnsiTheme="minorEastAsia" w:eastAsiaTheme="minorEastAsia" w:cstheme="minorEastAsia"/>
          <w:i w:val="0"/>
          <w:iCs w:val="0"/>
          <w:caps w:val="0"/>
          <w:color w:val="000000"/>
          <w:spacing w:val="0"/>
          <w:sz w:val="24"/>
          <w:szCs w:val="24"/>
          <w:highlight w:val="none"/>
          <w:lang w:val="zh-CN"/>
        </w:rPr>
        <w:t>；</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本标项（</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否</w:t>
      </w:r>
      <w:r>
        <w:rPr>
          <w:rFonts w:hint="eastAsia" w:asciiTheme="minorEastAsia" w:hAnsiTheme="minorEastAsia" w:eastAsiaTheme="minorEastAsia" w:cstheme="minorEastAsia"/>
          <w:i w:val="0"/>
          <w:iCs w:val="0"/>
          <w:caps w:val="0"/>
          <w:color w:val="000000"/>
          <w:spacing w:val="0"/>
          <w:sz w:val="24"/>
          <w:szCs w:val="24"/>
          <w:highlight w:val="none"/>
        </w:rPr>
        <w:t>）接受联合体投标。</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Style w:val="31"/>
          <w:rFonts w:hint="eastAsia" w:asciiTheme="minorEastAsia" w:hAnsiTheme="minorEastAsia" w:eastAsiaTheme="minorEastAsia" w:cstheme="minorEastAsia"/>
          <w:i w:val="0"/>
          <w:iCs w:val="0"/>
          <w:caps w:val="0"/>
          <w:color w:val="000000"/>
          <w:spacing w:val="0"/>
          <w:sz w:val="24"/>
          <w:szCs w:val="24"/>
          <w:highlight w:val="none"/>
        </w:rPr>
        <w:t>二、申请人的资格要求：</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1.满足《中华人民共和国政府采购法》第二十二条规定；</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rPr>
        <w:t>    2.落实政府采购政策需满足的资格要求：本项目为专门面向中小企业(含中型、小型企业、微型企业) 采购项目，根据《政府采购促进中小企业发展管理办法》(财库[2020]46号) 的 规定，不再执行价格评审优惠的扶持政策，必须提供此声明函。</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right="0" w:firstLine="480" w:firstLineChars="200"/>
        <w:textAlignment w:val="auto"/>
        <w:rPr>
          <w:rFonts w:hint="default"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rPr>
        <w:t>3.本项目的特定资格要求：</w:t>
      </w:r>
      <w:r>
        <w:rPr>
          <w:rFonts w:hint="eastAsia" w:ascii="宋体" w:hAnsi="宋体" w:eastAsia="宋体" w:cs="Times New Roman"/>
          <w:color w:val="auto"/>
          <w:sz w:val="24"/>
          <w:szCs w:val="24"/>
          <w:highlight w:val="none"/>
          <w:lang w:val="en-US" w:eastAsia="zh-CN"/>
        </w:rPr>
        <w:t>具有司法行政部门颁发的律师事务所执业证书。</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Style w:val="31"/>
          <w:rFonts w:hint="eastAsia" w:asciiTheme="minorEastAsia" w:hAnsiTheme="minorEastAsia" w:eastAsiaTheme="minorEastAsia" w:cstheme="minorEastAsia"/>
          <w:i w:val="0"/>
          <w:iCs w:val="0"/>
          <w:caps w:val="0"/>
          <w:color w:val="000000"/>
          <w:spacing w:val="0"/>
          <w:sz w:val="24"/>
          <w:szCs w:val="24"/>
          <w:highlight w:val="none"/>
        </w:rPr>
        <w:t>三、获取采购文件</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w:t>
      </w:r>
      <w:r>
        <w:rPr>
          <w:rFonts w:hint="eastAsia" w:asciiTheme="minorEastAsia" w:hAnsiTheme="minorEastAsia" w:eastAsiaTheme="minorEastAsia" w:cstheme="minorEastAsia"/>
          <w:i w:val="0"/>
          <w:iCs w:val="0"/>
          <w:caps w:val="0"/>
          <w:color w:val="000000"/>
          <w:spacing w:val="0"/>
          <w:sz w:val="24"/>
          <w:szCs w:val="24"/>
          <w:highlight w:val="none"/>
          <w:u w:val="none"/>
        </w:rPr>
        <w:t>时间：202</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3</w:t>
      </w:r>
      <w:r>
        <w:rPr>
          <w:rFonts w:hint="eastAsia" w:asciiTheme="minorEastAsia" w:hAnsiTheme="minorEastAsia" w:eastAsiaTheme="minorEastAsia" w:cstheme="minorEastAsia"/>
          <w:i w:val="0"/>
          <w:iCs w:val="0"/>
          <w:caps w:val="0"/>
          <w:color w:val="000000"/>
          <w:spacing w:val="0"/>
          <w:sz w:val="24"/>
          <w:szCs w:val="24"/>
          <w:highlight w:val="none"/>
          <w:u w:val="none"/>
        </w:rPr>
        <w:t>年</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10</w:t>
      </w:r>
      <w:r>
        <w:rPr>
          <w:rFonts w:hint="eastAsia" w:asciiTheme="minorEastAsia" w:hAnsiTheme="minorEastAsia" w:eastAsiaTheme="minorEastAsia" w:cstheme="minorEastAsia"/>
          <w:i w:val="0"/>
          <w:iCs w:val="0"/>
          <w:caps w:val="0"/>
          <w:color w:val="000000"/>
          <w:spacing w:val="0"/>
          <w:sz w:val="24"/>
          <w:szCs w:val="24"/>
          <w:highlight w:val="none"/>
          <w:u w:val="none"/>
        </w:rPr>
        <w:t>月</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23</w:t>
      </w:r>
      <w:r>
        <w:rPr>
          <w:rFonts w:hint="eastAsia" w:asciiTheme="minorEastAsia" w:hAnsiTheme="minorEastAsia" w:eastAsiaTheme="minorEastAsia" w:cstheme="minorEastAsia"/>
          <w:i w:val="0"/>
          <w:iCs w:val="0"/>
          <w:caps w:val="0"/>
          <w:color w:val="000000"/>
          <w:spacing w:val="0"/>
          <w:sz w:val="24"/>
          <w:szCs w:val="24"/>
          <w:highlight w:val="none"/>
          <w:u w:val="none"/>
        </w:rPr>
        <w:t>日至202</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3</w:t>
      </w:r>
      <w:r>
        <w:rPr>
          <w:rFonts w:hint="eastAsia" w:asciiTheme="minorEastAsia" w:hAnsiTheme="minorEastAsia" w:eastAsiaTheme="minorEastAsia" w:cstheme="minorEastAsia"/>
          <w:i w:val="0"/>
          <w:iCs w:val="0"/>
          <w:caps w:val="0"/>
          <w:color w:val="000000"/>
          <w:spacing w:val="0"/>
          <w:sz w:val="24"/>
          <w:szCs w:val="24"/>
          <w:highlight w:val="none"/>
          <w:u w:val="none"/>
        </w:rPr>
        <w:t>年</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10</w:t>
      </w:r>
      <w:r>
        <w:rPr>
          <w:rFonts w:hint="eastAsia" w:asciiTheme="minorEastAsia" w:hAnsiTheme="minorEastAsia" w:eastAsiaTheme="minorEastAsia" w:cstheme="minorEastAsia"/>
          <w:i w:val="0"/>
          <w:iCs w:val="0"/>
          <w:caps w:val="0"/>
          <w:color w:val="000000"/>
          <w:spacing w:val="0"/>
          <w:sz w:val="24"/>
          <w:szCs w:val="24"/>
          <w:highlight w:val="none"/>
          <w:u w:val="none"/>
        </w:rPr>
        <w:t>月</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30</w:t>
      </w:r>
      <w:r>
        <w:rPr>
          <w:rFonts w:hint="eastAsia" w:asciiTheme="minorEastAsia" w:hAnsiTheme="minorEastAsia" w:eastAsiaTheme="minorEastAsia" w:cstheme="minorEastAsia"/>
          <w:i w:val="0"/>
          <w:iCs w:val="0"/>
          <w:caps w:val="0"/>
          <w:color w:val="000000"/>
          <w:spacing w:val="0"/>
          <w:sz w:val="24"/>
          <w:szCs w:val="24"/>
          <w:highlight w:val="none"/>
          <w:u w:val="none"/>
        </w:rPr>
        <w:t>日，每天上午</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0</w:t>
      </w:r>
      <w:r>
        <w:rPr>
          <w:rFonts w:hint="eastAsia" w:asciiTheme="minorEastAsia" w:hAnsiTheme="minorEastAsia" w:eastAsiaTheme="minorEastAsia" w:cstheme="minorEastAsia"/>
          <w:i w:val="0"/>
          <w:iCs w:val="0"/>
          <w:caps w:val="0"/>
          <w:color w:val="000000"/>
          <w:spacing w:val="0"/>
          <w:sz w:val="24"/>
          <w:szCs w:val="24"/>
          <w:highlight w:val="none"/>
          <w:u w:val="none"/>
        </w:rPr>
        <w:t>0:00至1</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2</w:t>
      </w:r>
      <w:r>
        <w:rPr>
          <w:rFonts w:hint="eastAsia" w:asciiTheme="minorEastAsia" w:hAnsiTheme="minorEastAsia" w:eastAsiaTheme="minorEastAsia" w:cstheme="minorEastAsia"/>
          <w:i w:val="0"/>
          <w:iCs w:val="0"/>
          <w:caps w:val="0"/>
          <w:color w:val="000000"/>
          <w:spacing w:val="0"/>
          <w:sz w:val="24"/>
          <w:szCs w:val="24"/>
          <w:highlight w:val="none"/>
          <w:u w:val="none"/>
        </w:rPr>
        <w:t>:</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0</w:t>
      </w:r>
      <w:r>
        <w:rPr>
          <w:rFonts w:hint="eastAsia" w:asciiTheme="minorEastAsia" w:hAnsiTheme="minorEastAsia" w:eastAsiaTheme="minorEastAsia" w:cstheme="minorEastAsia"/>
          <w:i w:val="0"/>
          <w:iCs w:val="0"/>
          <w:caps w:val="0"/>
          <w:color w:val="000000"/>
          <w:spacing w:val="0"/>
          <w:sz w:val="24"/>
          <w:szCs w:val="24"/>
          <w:highlight w:val="none"/>
          <w:u w:val="none"/>
        </w:rPr>
        <w:t>0，下午1</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2</w:t>
      </w:r>
      <w:r>
        <w:rPr>
          <w:rFonts w:hint="eastAsia" w:asciiTheme="minorEastAsia" w:hAnsiTheme="minorEastAsia" w:eastAsiaTheme="minorEastAsia" w:cstheme="minorEastAsia"/>
          <w:i w:val="0"/>
          <w:iCs w:val="0"/>
          <w:caps w:val="0"/>
          <w:color w:val="000000"/>
          <w:spacing w:val="0"/>
          <w:sz w:val="24"/>
          <w:szCs w:val="24"/>
          <w:highlight w:val="none"/>
          <w:u w:val="none"/>
        </w:rPr>
        <w:t>:</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00</w:t>
      </w:r>
      <w:r>
        <w:rPr>
          <w:rFonts w:hint="eastAsia" w:asciiTheme="minorEastAsia" w:hAnsiTheme="minorEastAsia" w:eastAsiaTheme="minorEastAsia" w:cstheme="minorEastAsia"/>
          <w:i w:val="0"/>
          <w:iCs w:val="0"/>
          <w:caps w:val="0"/>
          <w:color w:val="000000"/>
          <w:spacing w:val="0"/>
          <w:sz w:val="24"/>
          <w:szCs w:val="24"/>
          <w:highlight w:val="none"/>
          <w:u w:val="none"/>
        </w:rPr>
        <w:t>至</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25</w:t>
      </w:r>
      <w:r>
        <w:rPr>
          <w:rFonts w:hint="eastAsia" w:asciiTheme="minorEastAsia" w:hAnsiTheme="minorEastAsia" w:eastAsiaTheme="minorEastAsia" w:cstheme="minorEastAsia"/>
          <w:i w:val="0"/>
          <w:iCs w:val="0"/>
          <w:caps w:val="0"/>
          <w:color w:val="000000"/>
          <w:spacing w:val="0"/>
          <w:sz w:val="24"/>
          <w:szCs w:val="24"/>
          <w:highlight w:val="none"/>
          <w:u w:val="none"/>
        </w:rPr>
        <w:t>:</w:t>
      </w:r>
      <w:r>
        <w:rPr>
          <w:rFonts w:hint="eastAsia" w:asciiTheme="minorEastAsia" w:hAnsiTheme="minorEastAsia" w:eastAsiaTheme="minorEastAsia" w:cstheme="minorEastAsia"/>
          <w:i w:val="0"/>
          <w:iCs w:val="0"/>
          <w:caps w:val="0"/>
          <w:color w:val="000000"/>
          <w:spacing w:val="0"/>
          <w:sz w:val="24"/>
          <w:szCs w:val="24"/>
          <w:highlight w:val="none"/>
          <w:u w:val="none"/>
          <w:lang w:val="en-US" w:eastAsia="zh-CN"/>
        </w:rPr>
        <w:t>59</w:t>
      </w:r>
      <w:r>
        <w:rPr>
          <w:rFonts w:hint="eastAsia" w:asciiTheme="minorEastAsia" w:hAnsiTheme="minorEastAsia" w:eastAsiaTheme="minorEastAsia" w:cstheme="minorEastAsia"/>
          <w:i w:val="0"/>
          <w:iCs w:val="0"/>
          <w:caps w:val="0"/>
          <w:color w:val="000000"/>
          <w:spacing w:val="0"/>
          <w:sz w:val="24"/>
          <w:szCs w:val="24"/>
          <w:highlight w:val="none"/>
          <w:u w:val="none"/>
        </w:rPr>
        <w:t>（北京时间，法定节假日除外）</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地点：</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新疆政府采购网</w:t>
      </w:r>
      <w:r>
        <w:rPr>
          <w:rFonts w:hint="eastAsia" w:asciiTheme="minorEastAsia" w:hAnsiTheme="minorEastAsia" w:eastAsiaTheme="minorEastAsia" w:cstheme="minorEastAsia"/>
          <w:color w:val="000000" w:themeColor="text1"/>
          <w:highlight w:val="none"/>
          <w14:textFill>
            <w14:solidFill>
              <w14:schemeClr w14:val="tx1"/>
            </w14:solidFill>
          </w14:textFill>
        </w:rPr>
        <w:t>（政府采购云平台）</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方式：供应商登录政采云平台https://www.zcygov.cn/在线申请获取磋商文件（进入“项目采购”应用，在获取采购文件菜单中选择项目，申请获取采购文件）</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    售价（元）：</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0</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Style w:val="31"/>
          <w:rFonts w:hint="eastAsia" w:asciiTheme="minorEastAsia" w:hAnsiTheme="minorEastAsia" w:eastAsiaTheme="minorEastAsia" w:cstheme="minorEastAsia"/>
          <w:i w:val="0"/>
          <w:iCs w:val="0"/>
          <w:caps w:val="0"/>
          <w:color w:val="000000"/>
          <w:spacing w:val="0"/>
          <w:sz w:val="24"/>
          <w:szCs w:val="24"/>
          <w:highlight w:val="none"/>
        </w:rPr>
        <w:t>四、响应文件提交</w:t>
      </w:r>
      <w:r>
        <w:rPr>
          <w:rFonts w:hint="eastAsia" w:asciiTheme="minorEastAsia" w:hAnsiTheme="minorEastAsia" w:eastAsiaTheme="minorEastAsia" w:cstheme="minorEastAsia"/>
          <w:i w:val="0"/>
          <w:iCs w:val="0"/>
          <w:caps w:val="0"/>
          <w:color w:val="000000"/>
          <w:spacing w:val="0"/>
          <w:sz w:val="24"/>
          <w:szCs w:val="24"/>
          <w:highlight w:val="none"/>
        </w:rPr>
        <w:t> </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截止时间：202</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3</w:t>
      </w:r>
      <w:r>
        <w:rPr>
          <w:rFonts w:hint="eastAsia" w:asciiTheme="minorEastAsia" w:hAnsiTheme="minorEastAsia" w:eastAsiaTheme="minorEastAsia" w:cstheme="minorEastAsia"/>
          <w:i w:val="0"/>
          <w:iCs w:val="0"/>
          <w:caps w:val="0"/>
          <w:color w:val="000000"/>
          <w:spacing w:val="0"/>
          <w:sz w:val="24"/>
          <w:szCs w:val="24"/>
          <w:highlight w:val="none"/>
        </w:rPr>
        <w:t>年</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11</w:t>
      </w:r>
      <w:r>
        <w:rPr>
          <w:rFonts w:hint="eastAsia" w:asciiTheme="minorEastAsia" w:hAnsiTheme="minorEastAsia" w:eastAsiaTheme="minorEastAsia" w:cstheme="minorEastAsia"/>
          <w:i w:val="0"/>
          <w:iCs w:val="0"/>
          <w:caps w:val="0"/>
          <w:color w:val="000000"/>
          <w:spacing w:val="0"/>
          <w:sz w:val="24"/>
          <w:szCs w:val="24"/>
          <w:highlight w:val="none"/>
        </w:rPr>
        <w:t>月</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2 </w:t>
      </w:r>
      <w:r>
        <w:rPr>
          <w:rFonts w:hint="eastAsia" w:asciiTheme="minorEastAsia" w:hAnsiTheme="minorEastAsia" w:eastAsiaTheme="minorEastAsia" w:cstheme="minorEastAsia"/>
          <w:i w:val="0"/>
          <w:iCs w:val="0"/>
          <w:caps w:val="0"/>
          <w:color w:val="000000"/>
          <w:spacing w:val="0"/>
          <w:sz w:val="24"/>
          <w:szCs w:val="24"/>
          <w:highlight w:val="none"/>
        </w:rPr>
        <w:t>日</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16</w:t>
      </w:r>
      <w:r>
        <w:rPr>
          <w:rFonts w:hint="eastAsia" w:asciiTheme="minorEastAsia" w:hAnsiTheme="minorEastAsia" w:eastAsiaTheme="minorEastAsia" w:cstheme="minorEastAsia"/>
          <w:i w:val="0"/>
          <w:iCs w:val="0"/>
          <w:caps w:val="0"/>
          <w:color w:val="000000"/>
          <w:spacing w:val="0"/>
          <w:sz w:val="24"/>
          <w:szCs w:val="24"/>
          <w:highlight w:val="none"/>
        </w:rPr>
        <w:t>:</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00（</w:t>
      </w:r>
      <w:r>
        <w:rPr>
          <w:rFonts w:hint="eastAsia" w:asciiTheme="minorEastAsia" w:hAnsiTheme="minorEastAsia" w:eastAsiaTheme="minorEastAsia" w:cstheme="minorEastAsia"/>
          <w:i w:val="0"/>
          <w:iCs w:val="0"/>
          <w:caps w:val="0"/>
          <w:color w:val="000000"/>
          <w:spacing w:val="0"/>
          <w:sz w:val="24"/>
          <w:szCs w:val="24"/>
          <w:highlight w:val="none"/>
        </w:rPr>
        <w:t>北京时间）</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地点：政采云平台http://www.zcygov.cn </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Style w:val="31"/>
          <w:rFonts w:hint="eastAsia" w:asciiTheme="minorEastAsia" w:hAnsiTheme="minorEastAsia" w:eastAsiaTheme="minorEastAsia" w:cstheme="minorEastAsia"/>
          <w:i w:val="0"/>
          <w:iCs w:val="0"/>
          <w:caps w:val="0"/>
          <w:color w:val="000000"/>
          <w:spacing w:val="0"/>
          <w:sz w:val="24"/>
          <w:szCs w:val="24"/>
          <w:highlight w:val="none"/>
        </w:rPr>
        <w:t>五、响应文件开启</w:t>
      </w:r>
      <w:r>
        <w:rPr>
          <w:rFonts w:hint="eastAsia" w:asciiTheme="minorEastAsia" w:hAnsiTheme="minorEastAsia" w:eastAsiaTheme="minorEastAsia" w:cstheme="minorEastAsia"/>
          <w:i w:val="0"/>
          <w:iCs w:val="0"/>
          <w:caps w:val="0"/>
          <w:color w:val="000000"/>
          <w:spacing w:val="0"/>
          <w:sz w:val="24"/>
          <w:szCs w:val="24"/>
          <w:highlight w:val="none"/>
        </w:rPr>
        <w:t> </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开启时间：202</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3</w:t>
      </w:r>
      <w:r>
        <w:rPr>
          <w:rFonts w:hint="eastAsia" w:asciiTheme="minorEastAsia" w:hAnsiTheme="minorEastAsia" w:eastAsiaTheme="minorEastAsia" w:cstheme="minorEastAsia"/>
          <w:i w:val="0"/>
          <w:iCs w:val="0"/>
          <w:caps w:val="0"/>
          <w:color w:val="000000"/>
          <w:spacing w:val="0"/>
          <w:sz w:val="24"/>
          <w:szCs w:val="24"/>
          <w:highlight w:val="none"/>
        </w:rPr>
        <w:t>年</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11</w:t>
      </w:r>
      <w:r>
        <w:rPr>
          <w:rFonts w:hint="eastAsia" w:asciiTheme="minorEastAsia" w:hAnsiTheme="minorEastAsia" w:eastAsiaTheme="minorEastAsia" w:cstheme="minorEastAsia"/>
          <w:i w:val="0"/>
          <w:iCs w:val="0"/>
          <w:caps w:val="0"/>
          <w:color w:val="000000"/>
          <w:spacing w:val="0"/>
          <w:sz w:val="24"/>
          <w:szCs w:val="24"/>
          <w:highlight w:val="none"/>
        </w:rPr>
        <w:t>月</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2</w:t>
      </w:r>
      <w:r>
        <w:rPr>
          <w:rFonts w:hint="eastAsia" w:asciiTheme="minorEastAsia" w:hAnsiTheme="minorEastAsia" w:eastAsiaTheme="minorEastAsia" w:cstheme="minorEastAsia"/>
          <w:i w:val="0"/>
          <w:iCs w:val="0"/>
          <w:caps w:val="0"/>
          <w:color w:val="000000"/>
          <w:spacing w:val="0"/>
          <w:sz w:val="24"/>
          <w:szCs w:val="24"/>
          <w:highlight w:val="none"/>
        </w:rPr>
        <w:t>日</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16</w:t>
      </w:r>
      <w:r>
        <w:rPr>
          <w:rFonts w:hint="eastAsia" w:asciiTheme="minorEastAsia" w:hAnsiTheme="minorEastAsia" w:eastAsiaTheme="minorEastAsia" w:cstheme="minorEastAsia"/>
          <w:i w:val="0"/>
          <w:iCs w:val="0"/>
          <w:caps w:val="0"/>
          <w:color w:val="000000"/>
          <w:spacing w:val="0"/>
          <w:sz w:val="24"/>
          <w:szCs w:val="24"/>
          <w:highlight w:val="none"/>
        </w:rPr>
        <w:t>:</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00</w:t>
      </w:r>
      <w:r>
        <w:rPr>
          <w:rFonts w:hint="eastAsia" w:asciiTheme="minorEastAsia" w:hAnsiTheme="minorEastAsia" w:eastAsiaTheme="minorEastAsia" w:cstheme="minorEastAsia"/>
          <w:i w:val="0"/>
          <w:iCs w:val="0"/>
          <w:caps w:val="0"/>
          <w:color w:val="000000"/>
          <w:spacing w:val="0"/>
          <w:sz w:val="24"/>
          <w:szCs w:val="24"/>
          <w:highlight w:val="none"/>
        </w:rPr>
        <w:t>（北京时间）</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    地点：政采云网上不见面开标系统</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Style w:val="31"/>
          <w:rFonts w:hint="eastAsia" w:asciiTheme="minorEastAsia" w:hAnsiTheme="minorEastAsia" w:eastAsiaTheme="minorEastAsia" w:cstheme="minorEastAsia"/>
          <w:i w:val="0"/>
          <w:iCs w:val="0"/>
          <w:caps w:val="0"/>
          <w:color w:val="000000"/>
          <w:spacing w:val="0"/>
          <w:sz w:val="24"/>
          <w:szCs w:val="24"/>
          <w:highlight w:val="none"/>
        </w:rPr>
        <w:t>六、公告期限</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    自本公告发布之日起</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5</w:t>
      </w:r>
      <w:r>
        <w:rPr>
          <w:rFonts w:hint="eastAsia" w:asciiTheme="minorEastAsia" w:hAnsiTheme="minorEastAsia" w:eastAsiaTheme="minorEastAsia" w:cstheme="minorEastAsia"/>
          <w:i w:val="0"/>
          <w:iCs w:val="0"/>
          <w:caps w:val="0"/>
          <w:color w:val="000000"/>
          <w:spacing w:val="0"/>
          <w:sz w:val="24"/>
          <w:szCs w:val="24"/>
          <w:highlight w:val="none"/>
        </w:rPr>
        <w:t>个工作日。</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jc w:val="both"/>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Style w:val="31"/>
          <w:rFonts w:hint="eastAsia" w:asciiTheme="minorEastAsia" w:hAnsiTheme="minorEastAsia" w:eastAsiaTheme="minorEastAsia" w:cstheme="minorEastAsia"/>
          <w:i w:val="0"/>
          <w:iCs w:val="0"/>
          <w:caps w:val="0"/>
          <w:color w:val="000000"/>
          <w:spacing w:val="0"/>
          <w:sz w:val="24"/>
          <w:szCs w:val="24"/>
          <w:highlight w:val="none"/>
        </w:rPr>
        <w:t>七、其他补充事宜</w:t>
      </w:r>
      <w:r>
        <w:rPr>
          <w:rFonts w:hint="eastAsia" w:asciiTheme="minorEastAsia" w:hAnsiTheme="minorEastAsia" w:eastAsiaTheme="minorEastAsia" w:cstheme="minorEastAsia"/>
          <w:i w:val="0"/>
          <w:iCs w:val="0"/>
          <w:caps w:val="0"/>
          <w:color w:val="000000"/>
          <w:spacing w:val="0"/>
          <w:sz w:val="24"/>
          <w:szCs w:val="24"/>
          <w:highlight w:val="none"/>
        </w:rPr>
        <w:t> </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    </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rPr>
        <w:t>（1）本项目采用全流程不见面电子开评标，供应商需要使用CA加密设备，供应商可通过新疆数字证书认证中心官网（https://www.xjca.com.cn/）或下载“新疆政务通”APP自行进行申领。</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rPr>
        <w:t>（2）本项目实行网上投标，采用加密电子投标响应文件(供应商须使用CA加密设备通过政采云电子投标客户端制作投标响应文件)。若供应商参与投标，自行承担投标一切费用。</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rPr>
        <w:t>（3）各投标人在开标前应确保成为新疆政府采购网正式注册入库供应商，并完成CA数字证书申领。因未注册入库、未办理CA数字证书等原因造成无法投标或投标失败等后果由供应商自行承担。</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rPr>
        <w:t>（4）投标人将政采云电子交易客户端下载、安装完成后，可通过账号密码或CA登录客户端进行投标响应文件制作。在使用政采云投标客户端时，建议使用WIN7及以上操作系统。客户端请至政采云平台（https://login.zcygov.cn/user-login/#/login）下载专区查看，如有问题可拨打政采云客户服务热线400-881-7190进行咨询。</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rPr>
        <w:t>（5）投标人在开标时须使用制作加密电子投标响应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Theme="minorEastAsia" w:hAnsiTheme="minorEastAsia" w:eastAsiaTheme="minorEastAsia" w:cstheme="minorEastAsia"/>
          <w:i w:val="0"/>
          <w:iCs w:val="0"/>
          <w:caps w:val="0"/>
          <w:color w:val="000000"/>
          <w:spacing w:val="0"/>
          <w:sz w:val="24"/>
          <w:szCs w:val="24"/>
          <w:highlight w:val="none"/>
          <w:lang w:val="en-US" w:eastAsia="zh-CN"/>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rPr>
        <w:t>（6）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政采云在线客服获取服务支持。</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0"/>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Style w:val="31"/>
          <w:rFonts w:hint="eastAsia" w:asciiTheme="minorEastAsia" w:hAnsiTheme="minorEastAsia" w:eastAsiaTheme="minorEastAsia" w:cstheme="minorEastAsia"/>
          <w:i w:val="0"/>
          <w:iCs w:val="0"/>
          <w:caps w:val="0"/>
          <w:color w:val="000000"/>
          <w:spacing w:val="0"/>
          <w:sz w:val="24"/>
          <w:szCs w:val="24"/>
          <w:highlight w:val="none"/>
        </w:rPr>
        <w:t>八、凡对本次招标提出询问，请按以下方式联系</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1.采购人信息</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名 称：</w:t>
      </w:r>
      <w:r>
        <w:rPr>
          <w:rStyle w:val="34"/>
          <w:rFonts w:hint="eastAsia" w:asciiTheme="minorEastAsia" w:hAnsiTheme="minorEastAsia" w:eastAsiaTheme="minorEastAsia" w:cstheme="minorEastAsia"/>
          <w:i w:val="0"/>
          <w:iCs w:val="0"/>
          <w:caps w:val="0"/>
          <w:color w:val="000000"/>
          <w:spacing w:val="0"/>
          <w:sz w:val="24"/>
          <w:szCs w:val="24"/>
          <w:highlight w:val="none"/>
          <w:lang w:eastAsia="zh-CN"/>
        </w:rPr>
        <w:t>新疆维吾尔自治区第三人民医院（新疆维吾尔自治区职业病防治院）</w:t>
      </w:r>
    </w:p>
    <w:p>
      <w:pPr>
        <w:pStyle w:val="44"/>
        <w:tabs>
          <w:tab w:val="left" w:pos="775"/>
        </w:tabs>
        <w:spacing w:line="579" w:lineRule="exact"/>
        <w:ind w:right="2837" w:firstLine="480" w:firstLineChars="200"/>
        <w:jc w:val="both"/>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联 系 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龚</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老师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pPr>
        <w:spacing w:line="579"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联系电话：0991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7886687</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2.采购代理机构信息</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名 称：</w:t>
      </w:r>
      <w:r>
        <w:rPr>
          <w:rFonts w:hint="eastAsia" w:asciiTheme="minorEastAsia" w:hAnsiTheme="minorEastAsia" w:eastAsiaTheme="minorEastAsia" w:cstheme="minorEastAsia"/>
          <w:i w:val="0"/>
          <w:iCs w:val="0"/>
          <w:caps w:val="0"/>
          <w:color w:val="000000"/>
          <w:spacing w:val="0"/>
          <w:sz w:val="24"/>
          <w:szCs w:val="24"/>
          <w:highlight w:val="none"/>
          <w:lang w:eastAsia="zh-CN"/>
        </w:rPr>
        <w:t>新疆卓恒工程项目管理有限公司</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地 址：</w:t>
      </w:r>
      <w:r>
        <w:rPr>
          <w:rFonts w:hint="eastAsia" w:asciiTheme="minorEastAsia" w:hAnsiTheme="minorEastAsia" w:eastAsiaTheme="minorEastAsia" w:cstheme="minorEastAsia"/>
          <w:i w:val="0"/>
          <w:iCs w:val="0"/>
          <w:caps w:val="0"/>
          <w:color w:val="000000"/>
          <w:spacing w:val="0"/>
          <w:sz w:val="24"/>
          <w:szCs w:val="24"/>
          <w:highlight w:val="none"/>
          <w:lang w:eastAsia="zh-CN"/>
        </w:rPr>
        <w:t>新疆乌鲁木齐市水磨沟区龙盛街 898号万科中央公园 S2 座 20 楼 2002 室</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联系方式：</w:t>
      </w:r>
      <w:r>
        <w:rPr>
          <w:rFonts w:hint="eastAsia" w:asciiTheme="minorEastAsia" w:hAnsiTheme="minorEastAsia" w:eastAsiaTheme="minorEastAsia" w:cstheme="minorEastAsia"/>
          <w:i w:val="0"/>
          <w:iCs w:val="0"/>
          <w:caps w:val="0"/>
          <w:color w:val="000000"/>
          <w:spacing w:val="0"/>
          <w:sz w:val="24"/>
          <w:szCs w:val="24"/>
          <w:highlight w:val="none"/>
          <w:lang w:eastAsia="zh-CN"/>
        </w:rPr>
        <w:t>18699328180</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Fonts w:hint="eastAsia" w:asciiTheme="minorEastAsia" w:hAnsiTheme="minorEastAsia" w:eastAsiaTheme="minorEastAsia" w:cstheme="minorEastAsia"/>
          <w:i w:val="0"/>
          <w:iCs w:val="0"/>
          <w:caps w:val="0"/>
          <w:color w:val="000000"/>
          <w:spacing w:val="0"/>
          <w:sz w:val="24"/>
          <w:szCs w:val="24"/>
          <w:highlight w:val="none"/>
        </w:rPr>
      </w:pPr>
      <w:r>
        <w:rPr>
          <w:rFonts w:hint="eastAsia" w:asciiTheme="minorEastAsia" w:hAnsiTheme="minorEastAsia" w:eastAsiaTheme="minorEastAsia" w:cstheme="minorEastAsia"/>
          <w:i w:val="0"/>
          <w:iCs w:val="0"/>
          <w:caps w:val="0"/>
          <w:color w:val="000000"/>
          <w:spacing w:val="0"/>
          <w:sz w:val="24"/>
          <w:szCs w:val="24"/>
          <w:highlight w:val="none"/>
        </w:rPr>
        <w:t>3.项目联系方式</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4"/>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项目联系人：</w:t>
      </w:r>
      <w:r>
        <w:rPr>
          <w:rStyle w:val="34"/>
          <w:rFonts w:hint="eastAsia" w:asciiTheme="minorEastAsia" w:hAnsiTheme="minorEastAsia" w:eastAsiaTheme="minorEastAsia" w:cstheme="minorEastAsia"/>
          <w:i w:val="0"/>
          <w:iCs w:val="0"/>
          <w:caps w:val="0"/>
          <w:color w:val="000000"/>
          <w:spacing w:val="0"/>
          <w:sz w:val="24"/>
          <w:szCs w:val="24"/>
          <w:highlight w:val="none"/>
          <w:lang w:eastAsia="zh-CN"/>
        </w:rPr>
        <w:t>王嘉鹏</w:t>
      </w:r>
    </w:p>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firstLine="420"/>
        <w:textAlignment w:val="auto"/>
        <w:rPr>
          <w:rStyle w:val="34"/>
          <w:rFonts w:hint="eastAsia" w:asciiTheme="minorEastAsia" w:hAnsiTheme="minorEastAsia" w:eastAsiaTheme="minorEastAsia" w:cstheme="minorEastAsia"/>
          <w:i w:val="0"/>
          <w:iCs w:val="0"/>
          <w:caps w:val="0"/>
          <w:color w:val="000000"/>
          <w:spacing w:val="0"/>
          <w:sz w:val="24"/>
          <w:szCs w:val="24"/>
          <w:highlight w:val="none"/>
          <w:lang w:eastAsia="zh-CN"/>
        </w:rPr>
      </w:pPr>
      <w:r>
        <w:rPr>
          <w:rFonts w:hint="eastAsia" w:asciiTheme="minorEastAsia" w:hAnsiTheme="minorEastAsia" w:eastAsiaTheme="minorEastAsia" w:cstheme="minorEastAsia"/>
          <w:i w:val="0"/>
          <w:iCs w:val="0"/>
          <w:caps w:val="0"/>
          <w:color w:val="000000"/>
          <w:spacing w:val="0"/>
          <w:sz w:val="24"/>
          <w:szCs w:val="24"/>
          <w:highlight w:val="none"/>
        </w:rPr>
        <w:t>电 话：</w:t>
      </w:r>
      <w:r>
        <w:rPr>
          <w:rStyle w:val="34"/>
          <w:rFonts w:hint="eastAsia" w:asciiTheme="minorEastAsia" w:hAnsiTheme="minorEastAsia" w:eastAsiaTheme="minorEastAsia" w:cstheme="minorEastAsia"/>
          <w:i w:val="0"/>
          <w:iCs w:val="0"/>
          <w:caps w:val="0"/>
          <w:color w:val="000000"/>
          <w:spacing w:val="0"/>
          <w:sz w:val="24"/>
          <w:szCs w:val="24"/>
          <w:highlight w:val="none"/>
          <w:lang w:eastAsia="zh-CN"/>
        </w:rPr>
        <w:t>18699328180</w:t>
      </w:r>
    </w:p>
    <w:p>
      <w:pPr>
        <w:rPr>
          <w:rStyle w:val="34"/>
          <w:rFonts w:hint="eastAsia" w:asciiTheme="minorEastAsia" w:hAnsiTheme="minorEastAsia" w:eastAsiaTheme="minorEastAsia" w:cstheme="minorEastAsia"/>
          <w:i w:val="0"/>
          <w:iCs w:val="0"/>
          <w:caps w:val="0"/>
          <w:color w:val="000000"/>
          <w:spacing w:val="0"/>
          <w:sz w:val="24"/>
          <w:szCs w:val="24"/>
          <w:highlight w:val="none"/>
        </w:rPr>
      </w:pPr>
      <w:r>
        <w:rPr>
          <w:rStyle w:val="34"/>
          <w:rFonts w:hint="eastAsia" w:asciiTheme="minorEastAsia" w:hAnsiTheme="minorEastAsia" w:eastAsiaTheme="minorEastAsia" w:cstheme="minorEastAsia"/>
          <w:i w:val="0"/>
          <w:iCs w:val="0"/>
          <w:caps w:val="0"/>
          <w:color w:val="000000"/>
          <w:spacing w:val="0"/>
          <w:sz w:val="24"/>
          <w:szCs w:val="24"/>
          <w:highlight w:val="none"/>
        </w:rPr>
        <w:br w:type="page"/>
      </w:r>
    </w:p>
    <w:p>
      <w:pPr>
        <w:tabs>
          <w:tab w:val="left" w:pos="1809"/>
        </w:tabs>
        <w:spacing w:line="433" w:lineRule="exact"/>
        <w:ind w:right="187"/>
        <w:jc w:val="center"/>
        <w:outlineLvl w:val="0"/>
        <w:rPr>
          <w:rStyle w:val="35"/>
          <w:rFonts w:hint="eastAsia" w:asciiTheme="minorEastAsia" w:hAnsiTheme="minorEastAsia" w:eastAsiaTheme="minorEastAsia" w:cstheme="minorEastAsia"/>
          <w:b/>
          <w:bCs/>
          <w:color w:val="000000" w:themeColor="text1"/>
          <w:w w:val="95"/>
          <w:sz w:val="30"/>
          <w:szCs w:val="30"/>
          <w:highlight w:val="none"/>
          <w:lang w:eastAsia="zh-CN"/>
          <w14:textFill>
            <w14:solidFill>
              <w14:schemeClr w14:val="tx1"/>
            </w14:solidFill>
          </w14:textFill>
        </w:rPr>
      </w:pPr>
      <w:bookmarkStart w:id="7" w:name="_Toc22440"/>
      <w:bookmarkStart w:id="8" w:name="_Toc9771"/>
      <w:bookmarkStart w:id="9" w:name="_Toc22514"/>
      <w:bookmarkStart w:id="10" w:name="_Toc29809"/>
      <w:bookmarkStart w:id="11" w:name="_Toc23691"/>
      <w:bookmarkStart w:id="12" w:name="_Toc19379"/>
      <w:r>
        <w:rPr>
          <w:rStyle w:val="35"/>
          <w:rFonts w:hint="eastAsia" w:asciiTheme="minorEastAsia" w:hAnsiTheme="minorEastAsia" w:eastAsiaTheme="minorEastAsia" w:cstheme="minorEastAsia"/>
          <w:b/>
          <w:bCs/>
          <w:color w:val="000000" w:themeColor="text1"/>
          <w:w w:val="95"/>
          <w:sz w:val="30"/>
          <w:szCs w:val="30"/>
          <w:highlight w:val="none"/>
          <w:lang w:eastAsia="zh-CN"/>
          <w14:textFill>
            <w14:solidFill>
              <w14:schemeClr w14:val="tx1"/>
            </w14:solidFill>
          </w14:textFill>
        </w:rPr>
        <w:t>第二部分</w:t>
      </w:r>
      <w:r>
        <w:rPr>
          <w:rStyle w:val="35"/>
          <w:rFonts w:hint="eastAsia" w:asciiTheme="minorEastAsia" w:hAnsiTheme="minorEastAsia" w:eastAsiaTheme="minorEastAsia" w:cstheme="minorEastAsia"/>
          <w:b/>
          <w:bCs/>
          <w:color w:val="000000" w:themeColor="text1"/>
          <w:w w:val="95"/>
          <w:sz w:val="30"/>
          <w:szCs w:val="30"/>
          <w:highlight w:val="none"/>
          <w:lang w:val="en-US" w:eastAsia="zh-CN"/>
          <w14:textFill>
            <w14:solidFill>
              <w14:schemeClr w14:val="tx1"/>
            </w14:solidFill>
          </w14:textFill>
        </w:rPr>
        <w:t xml:space="preserve"> </w:t>
      </w:r>
      <w:r>
        <w:rPr>
          <w:rStyle w:val="35"/>
          <w:rFonts w:hint="eastAsia" w:asciiTheme="minorEastAsia" w:hAnsiTheme="minorEastAsia" w:eastAsiaTheme="minorEastAsia" w:cstheme="minorEastAsia"/>
          <w:b/>
          <w:bCs/>
          <w:color w:val="000000" w:themeColor="text1"/>
          <w:w w:val="95"/>
          <w:sz w:val="30"/>
          <w:szCs w:val="30"/>
          <w:highlight w:val="none"/>
          <w:lang w:eastAsia="zh-CN"/>
          <w14:textFill>
            <w14:solidFill>
              <w14:schemeClr w14:val="tx1"/>
            </w14:solidFill>
          </w14:textFill>
        </w:rPr>
        <w:t>供应商须知</w:t>
      </w:r>
      <w:bookmarkEnd w:id="7"/>
      <w:bookmarkEnd w:id="8"/>
      <w:bookmarkEnd w:id="9"/>
      <w:bookmarkEnd w:id="10"/>
      <w:bookmarkEnd w:id="11"/>
      <w:bookmarkEnd w:id="12"/>
    </w:p>
    <w:p>
      <w:pPr>
        <w:pStyle w:val="43"/>
        <w:spacing w:before="98" w:after="58"/>
        <w:ind w:left="0" w:right="186"/>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供应商须知前附表</w:t>
      </w:r>
    </w:p>
    <w:tbl>
      <w:tblPr>
        <w:tblStyle w:val="28"/>
        <w:tblW w:w="9639"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701"/>
        <w:gridCol w:w="1415"/>
        <w:gridCol w:w="652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24" w:hRule="atLeast"/>
        </w:trPr>
        <w:tc>
          <w:tcPr>
            <w:tcW w:w="1701" w:type="dxa"/>
            <w:tcBorders>
              <w:top w:val="single" w:color="000000" w:sz="12"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条款号</w:t>
            </w:r>
          </w:p>
        </w:tc>
        <w:tc>
          <w:tcPr>
            <w:tcW w:w="1415" w:type="dxa"/>
            <w:tcBorders>
              <w:top w:val="single" w:color="000000" w:sz="12"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条款名称</w:t>
            </w:r>
          </w:p>
        </w:tc>
        <w:tc>
          <w:tcPr>
            <w:tcW w:w="6523" w:type="dxa"/>
            <w:tcBorders>
              <w:top w:val="single" w:color="000000" w:sz="12"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编列内容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第一章1.1款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项目名称</w:t>
            </w:r>
          </w:p>
        </w:tc>
        <w:tc>
          <w:tcPr>
            <w:tcW w:w="6523" w:type="dxa"/>
            <w:tcBorders>
              <w:top w:val="single" w:color="000000" w:sz="6" w:space="0"/>
              <w:left w:val="single" w:color="000000" w:sz="6" w:space="0"/>
              <w:bottom w:val="single" w:color="000000" w:sz="6" w:space="0"/>
              <w:right w:val="single" w:color="000000" w:sz="12" w:space="0"/>
            </w:tcBorders>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新疆维吾尔自治区第三人民医院（新疆维吾尔自治区职业病防治院）法律咨询服务采购项目</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XJZH-CG-202355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16"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第一章1.2款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采购方式</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竞争性磋商；</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待评审小组与供应商对采购标的的技术、服务等磋商结束后，评审小</w:t>
            </w:r>
            <w:r>
              <w:rPr>
                <w:rStyle w:val="35"/>
                <w:rFonts w:hint="eastAsia" w:asciiTheme="minorEastAsia" w:hAnsiTheme="minorEastAsia" w:eastAsiaTheme="minorEastAsia" w:cstheme="minorEastAsia"/>
                <w:color w:val="000000" w:themeColor="text1"/>
                <w:spacing w:val="-6"/>
                <w:sz w:val="24"/>
                <w:szCs w:val="24"/>
                <w:highlight w:val="none"/>
                <w:lang w:eastAsia="zh-CN"/>
                <w14:textFill>
                  <w14:solidFill>
                    <w14:schemeClr w14:val="tx1"/>
                  </w14:solidFill>
                </w14:textFill>
              </w:rPr>
              <w:t>组要求所有实质性响应的供应商，在规定的时间内提交最后报价</w:t>
            </w:r>
            <w:r>
              <w:rPr>
                <w:rStyle w:val="35"/>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第一章1.3款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采购内容</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Style w:val="35"/>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spacing w:val="0"/>
                <w:sz w:val="24"/>
                <w:szCs w:val="24"/>
                <w:highlight w:val="none"/>
              </w:rPr>
              <w:t>为医院经营管理提供日常法律咨询</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等内容。</w:t>
            </w:r>
            <w:r>
              <w:rPr>
                <w:rStyle w:val="35"/>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（详</w:t>
            </w:r>
            <w:r>
              <w:rPr>
                <w:rStyle w:val="35"/>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见第三部分</w:t>
            </w:r>
            <w:r>
              <w:rPr>
                <w:rStyle w:val="35"/>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第一章1.4款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资金来源</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left"/>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财政资金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第一章1.5款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地点</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采购人指定的地点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5"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第一章1.6款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合同履行期限</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26"/>
              <w:keepNext w:val="0"/>
              <w:keepLines w:val="0"/>
              <w:pageBreakBefore w:val="0"/>
              <w:widowControl/>
              <w:suppressLineNumbers w:val="0"/>
              <w:kinsoku/>
              <w:wordWrap/>
              <w:overflowPunct/>
              <w:topLinePunct w:val="0"/>
              <w:autoSpaceDE/>
              <w:autoSpaceDN/>
              <w:bidi w:val="0"/>
              <w:adjustRightInd/>
              <w:snapToGrid/>
              <w:spacing w:before="20" w:beforeAutospacing="0" w:after="20" w:afterAutospacing="0" w:line="579" w:lineRule="exact"/>
              <w:ind w:left="0" w:right="0"/>
              <w:textAlignment w:val="auto"/>
              <w:rPr>
                <w:rStyle w:val="35"/>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spacing w:val="0"/>
                <w:sz w:val="24"/>
                <w:szCs w:val="24"/>
                <w:highlight w:val="none"/>
                <w:lang w:val="en-US" w:eastAsia="zh-CN"/>
              </w:rPr>
              <w:t>3年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第一章2.1款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采购人</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t>采购人：</w:t>
            </w:r>
            <w:r>
              <w:rPr>
                <w:rStyle w:val="34"/>
                <w:rFonts w:hint="eastAsia" w:asciiTheme="minorEastAsia" w:hAnsiTheme="minorEastAsia" w:eastAsiaTheme="minorEastAsia" w:cstheme="minorEastAsia"/>
                <w:i w:val="0"/>
                <w:iCs w:val="0"/>
                <w:caps w:val="0"/>
                <w:color w:val="000000"/>
                <w:spacing w:val="0"/>
                <w:sz w:val="24"/>
                <w:szCs w:val="24"/>
                <w:highlight w:val="none"/>
                <w:lang w:eastAsia="zh-CN"/>
              </w:rPr>
              <w:t>新疆维吾尔自治区第三人民医院（新疆维吾尔自治区职业病防治院）</w:t>
            </w:r>
          </w:p>
          <w:p>
            <w:pPr>
              <w:pStyle w:val="44"/>
              <w:tabs>
                <w:tab w:val="left" w:pos="775"/>
              </w:tabs>
              <w:spacing w:line="579" w:lineRule="exact"/>
              <w:ind w:right="2837"/>
              <w:jc w:val="both"/>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联 系 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龚</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老师</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p>
            <w:pPr>
              <w:spacing w:line="579" w:lineRule="exact"/>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联系电话：0991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7886687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第一章2.2款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代理机构</w:t>
            </w:r>
          </w:p>
        </w:tc>
        <w:tc>
          <w:tcPr>
            <w:tcW w:w="6523" w:type="dxa"/>
            <w:tcBorders>
              <w:top w:val="single" w:color="000000" w:sz="6" w:space="0"/>
              <w:left w:val="single" w:color="000000" w:sz="6" w:space="0"/>
              <w:bottom w:val="single" w:color="000000" w:sz="6" w:space="0"/>
              <w:right w:val="single" w:color="000000" w:sz="12" w:space="0"/>
            </w:tcBorders>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t>名称：新疆卓恒工程项目管理有限公司</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t>地址：新疆乌鲁木齐市水磨沟区龙盛街 898号万科中央公园 S2 座 20 楼 2002 室</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t>联系人：王嘉鹏</w:t>
            </w:r>
          </w:p>
          <w:p>
            <w:pPr>
              <w:pStyle w:val="44"/>
              <w:keepNext w:val="0"/>
              <w:keepLines w:val="0"/>
              <w:pageBreakBefore w:val="0"/>
              <w:widowControl/>
              <w:tabs>
                <w:tab w:val="left" w:pos="3706"/>
              </w:tabs>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t>电话：18699328180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第一章2.8款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偏离</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t>不接受实质性负偏离</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第一章3.1款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供应商资格</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详见竞争性磋商公告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79"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第一章5.1款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108" w:leftChars="0" w:right="0" w:rightChars="0" w:hanging="108"/>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是否接受联合体投标</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第一章6.1款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质保期</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3"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第三章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15.7</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业绩</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3"/>
                <w:sz w:val="24"/>
                <w:szCs w:val="24"/>
                <w:highlight w:val="none"/>
                <w:lang w:val="en-US" w:eastAsia="zh-CN"/>
                <w14:textFill>
                  <w14:solidFill>
                    <w14:schemeClr w14:val="tx1"/>
                  </w14:solidFill>
                </w14:textFill>
              </w:rPr>
              <w:t>业绩合同签订时间要求为2020年1月1日至今</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t>业绩证明材料为：</w:t>
            </w:r>
            <w:r>
              <w:rPr>
                <w:rStyle w:val="35"/>
                <w:rFonts w:hint="eastAsia" w:asciiTheme="minorEastAsia" w:hAnsiTheme="minorEastAsia" w:eastAsiaTheme="minorEastAsia" w:cstheme="minorEastAsia"/>
                <w:color w:val="000000" w:themeColor="text1"/>
                <w:spacing w:val="-10"/>
                <w:sz w:val="24"/>
                <w:szCs w:val="24"/>
                <w:highlight w:val="none"/>
                <w:lang w:val="en-US" w:eastAsia="zh-CN"/>
                <w14:textFill>
                  <w14:solidFill>
                    <w14:schemeClr w14:val="tx1"/>
                  </w14:solidFill>
                </w14:textFill>
              </w:rPr>
              <w:t>中标通知书或</w:t>
            </w:r>
            <w:r>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t>合同（</w:t>
            </w:r>
            <w:r>
              <w:rPr>
                <w:rStyle w:val="35"/>
                <w:rFonts w:hint="eastAsia" w:asciiTheme="minorEastAsia" w:hAnsiTheme="minorEastAsia" w:eastAsiaTheme="minorEastAsia" w:cstheme="minorEastAsia"/>
                <w:color w:val="000000" w:themeColor="text1"/>
                <w:spacing w:val="-10"/>
                <w:sz w:val="24"/>
                <w:szCs w:val="24"/>
                <w:highlight w:val="none"/>
                <w:lang w:val="en-US" w:eastAsia="zh-CN"/>
                <w14:textFill>
                  <w14:solidFill>
                    <w14:schemeClr w14:val="tx1"/>
                  </w14:solidFill>
                </w14:textFill>
              </w:rPr>
              <w:t>加盖公章的复印件</w:t>
            </w:r>
            <w:r>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t>）；</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t>合</w:t>
            </w:r>
            <w:r>
              <w:rPr>
                <w:rStyle w:val="35"/>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同仅需提供包含合同首页、标的内容及金额所在页、供货合同签字盖章页即可，需加盖公章</w:t>
            </w:r>
            <w:r>
              <w:rPr>
                <w:rStyle w:val="35"/>
                <w:rFonts w:hint="eastAsia" w:asciiTheme="minorEastAsia" w:hAnsiTheme="minorEastAsia" w:eastAsiaTheme="minorEastAsia" w:cstheme="minorEastAsia"/>
                <w:color w:val="000000" w:themeColor="text1"/>
                <w:spacing w:val="-70"/>
                <w:sz w:val="24"/>
                <w:szCs w:val="24"/>
                <w:highlight w:val="none"/>
                <w:lang w:eastAsia="zh-CN"/>
                <w14:textFill>
                  <w14:solidFill>
                    <w14:schemeClr w14:val="tx1"/>
                  </w14:solidFill>
                </w14:textFill>
              </w:rPr>
              <w:t>）</w:t>
            </w:r>
            <w:r>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t>。</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t>未提供业绩证明</w:t>
            </w:r>
            <w:r>
              <w:rPr>
                <w:rStyle w:val="35"/>
                <w:rFonts w:hint="eastAsia" w:asciiTheme="minorEastAsia" w:hAnsiTheme="minorEastAsia" w:eastAsiaTheme="minorEastAsia" w:cstheme="minorEastAsia"/>
                <w:color w:val="000000" w:themeColor="text1"/>
                <w:spacing w:val="-10"/>
                <w:sz w:val="24"/>
                <w:szCs w:val="24"/>
                <w:highlight w:val="none"/>
                <w:lang w:val="en-US" w:eastAsia="zh-CN"/>
                <w14:textFill>
                  <w14:solidFill>
                    <w14:schemeClr w14:val="tx1"/>
                  </w14:solidFill>
                </w14:textFill>
              </w:rPr>
              <w:t>材料</w:t>
            </w:r>
            <w:r>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t>或内容模糊不清的，</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其业绩不予认定。</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同一业绩不重复计算得分。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8"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第三章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16.3</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firstLine="31"/>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最高投标限价（采</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firstLine="31"/>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购预算）</w:t>
            </w:r>
          </w:p>
        </w:tc>
        <w:tc>
          <w:tcPr>
            <w:tcW w:w="6523" w:type="dxa"/>
            <w:tcBorders>
              <w:top w:val="single" w:color="000000" w:sz="6" w:space="0"/>
              <w:left w:val="single" w:color="000000" w:sz="6" w:space="0"/>
              <w:bottom w:val="single" w:color="000000" w:sz="6" w:space="0"/>
              <w:right w:val="single" w:color="000000" w:sz="12" w:space="0"/>
            </w:tcBorders>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最高投标限价(即采购预算)为</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210000.00</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元（</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贰拾壹万元整</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服务期限3年最高投标限价为210000.00元</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供应商的投标报价不得超过最高投标限价，否则其响应文件按否决投标处理。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第三章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17.1</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投标有效期</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90日历天（从投标截止之日算起）。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第三章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18.1</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磋商保证金</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磋商保证金的金额：</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2100.00</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元（大写：</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贰仟壹佰元整</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磋商保证金的形式：银行电汇或银行转账</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或保函</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等</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形式</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账户名称：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新疆卓恒工程项目管理有限公司</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银行账号：0000020010110080938057</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开户行：乌鲁木齐银行环宇支行</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自投标截止之日起</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90</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天。</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未按时缴纳投标保证金的以投标人自动放弃投标处理。</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财务电话：0991-8891882</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附注：（项目名称）投标保证金</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磋商保证金必须在响应文件递交截止时间前确保到帐；供应商未按竞争性磋商文件要求提交磋商保证金的，响应文件无效。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第三章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18.2</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磋商保证金的退还</w:t>
            </w:r>
          </w:p>
        </w:tc>
        <w:tc>
          <w:tcPr>
            <w:tcW w:w="6523"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保证金的退还：</w:t>
            </w:r>
          </w:p>
          <w:p>
            <w:pPr>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（1）供应商在投标截止时间前撤回已提交的响应文件的，采购人或者采购代理机构应当自收到供应商书面撤回通知之日起5个工作日内，退还已收取的磋商保证金，但因供应商自身原因导致无法及时退还的除外。</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（2）采购人或者采购代理机构应当自中标通知书发出之日起5个工作日内退还未中标人的磋商保证金，自采购合同签订之日起5个工作日内退还中标人的磋商保证金或者转为中标人的履约保证金。</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4"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第三章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18.3</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不予退还保证金的情形</w:t>
            </w:r>
          </w:p>
        </w:tc>
        <w:tc>
          <w:tcPr>
            <w:tcW w:w="6523" w:type="dxa"/>
            <w:tcBorders>
              <w:top w:val="single" w:color="000000" w:sz="6" w:space="0"/>
              <w:left w:val="single" w:color="000000" w:sz="6" w:space="0"/>
              <w:bottom w:val="single" w:color="000000" w:sz="6" w:space="0"/>
              <w:right w:val="single" w:color="000000" w:sz="12" w:space="0"/>
            </w:tcBorders>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有下列情形之一的，保证金不予退还：</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（1）供应商在提交响应文件截止时间后撤回响应文件的；</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（2）供应商在响应文件中提供虚假材料的；</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（3）除因不可抗力或竞争性磋商文件认可的情形以外，成交供应商不与采购人签订合同的；</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（4）供应商与采购人、其他供应商或者采购代理机构恶意串通的；</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（5）竞争性磋商文件规定的其他情形。</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第三章</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20</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响应文件份数</w:t>
            </w:r>
          </w:p>
        </w:tc>
        <w:tc>
          <w:tcPr>
            <w:tcW w:w="6523" w:type="dxa"/>
            <w:tcBorders>
              <w:top w:val="single" w:color="000000" w:sz="6" w:space="0"/>
              <w:left w:val="single" w:color="000000" w:sz="6" w:space="0"/>
              <w:bottom w:val="single" w:color="000000" w:sz="6" w:space="0"/>
              <w:right w:val="single" w:color="000000" w:sz="12" w:space="0"/>
            </w:tcBorders>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加密的电子响应文件壹份(.jmbs格式)在政采云平台指定位置上传；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8"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第四章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21.1</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响应文件递交截止时间及地点</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时间：</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00</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（北京时间）</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地点：政采云平台http://www.zcygov.cn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第五章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开标时间及地点</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时间：</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202</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w:t>
            </w:r>
            <w:bookmarkStart w:id="226" w:name="_GoBack"/>
            <w:bookmarkEnd w:id="226"/>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16</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00</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（北京时间）</w:t>
            </w:r>
          </w:p>
          <w:p>
            <w:pPr>
              <w:pStyle w:val="44"/>
              <w:keepNext w:val="0"/>
              <w:keepLines w:val="0"/>
              <w:pageBreakBefore w:val="0"/>
              <w:widowControl/>
              <w:tabs>
                <w:tab w:val="left" w:pos="3300"/>
                <w:tab w:val="left" w:pos="3960"/>
              </w:tabs>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地点：政采云网上不见面开标系统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62"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第五章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开标</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2、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pPr>
              <w:spacing w:line="579" w:lineRule="exact"/>
              <w:rPr>
                <w:rStyle w:val="35"/>
                <w:rFonts w:hint="eastAsia" w:asciiTheme="minorEastAsia" w:hAnsiTheme="minorEastAsia" w:eastAsiaTheme="minorEastAsia" w:cstheme="minorEastAsia"/>
                <w:b/>
                <w:bCs/>
                <w:color w:val="000000" w:themeColor="text1"/>
                <w:sz w:val="24"/>
                <w:szCs w:val="24"/>
                <w:highlight w:val="none"/>
                <w:lang w:val="en-US" w:eastAsia="zh-CN" w:bidi="ar-SA"/>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val="en-US" w:eastAsia="zh-CN" w:bidi="ar-SA"/>
                <w14:textFill>
                  <w14:solidFill>
                    <w14:schemeClr w14:val="tx1"/>
                  </w14:solidFill>
                </w14:textFill>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pPr>
              <w:spacing w:line="579" w:lineRule="exact"/>
              <w:rPr>
                <w:rStyle w:val="35"/>
                <w:rFonts w:hint="eastAsia" w:asciiTheme="minorEastAsia" w:hAnsiTheme="minorEastAsia" w:eastAsiaTheme="minorEastAsia" w:cstheme="minorEastAsia"/>
                <w:b/>
                <w:bCs/>
                <w:color w:val="000000" w:themeColor="text1"/>
                <w:sz w:val="24"/>
                <w:szCs w:val="24"/>
                <w:highlight w:val="none"/>
                <w:lang w:val="en-US" w:eastAsia="zh-CN" w:bidi="ar-SA"/>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val="en-US" w:eastAsia="zh-CN" w:bidi="ar-SA"/>
                <w14:textFill>
                  <w14:solidFill>
                    <w14:schemeClr w14:val="tx1"/>
                  </w14:solidFill>
                </w14:textFill>
              </w:rPr>
              <w:t xml:space="preserve"> 4、参与竞争性谈判和竞争性磋商项目供应商，开标结束后，请及时进入“网上报价”页面（详见操作手册），等待最终报价通知。如未在系统提示的报价时限内报价，则视为上一轮报价为最终报价。</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5、</w:t>
            </w: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第六章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26.2</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评标方法</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综合评分法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第六章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30.1</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推荐的中标候选人数量</w:t>
            </w:r>
            <w:r>
              <w:rPr>
                <w:rStyle w:val="35"/>
                <w:rFonts w:hint="eastAsia" w:asciiTheme="minorEastAsia" w:hAnsiTheme="minorEastAsia" w:eastAsiaTheme="minorEastAsia" w:cstheme="minorEastAsia"/>
                <w:color w:val="000000" w:themeColor="text1"/>
                <w:sz w:val="24"/>
                <w:szCs w:val="24"/>
                <w:highlight w:val="none"/>
                <w:u w:val="thick"/>
                <w:lang w:eastAsia="zh-CN"/>
                <w14:textFill>
                  <w14:solidFill>
                    <w14:schemeClr w14:val="tx1"/>
                  </w14:solidFill>
                </w14:textFill>
              </w:rPr>
              <w:t>3</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4"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第七章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34.1</w:t>
            </w:r>
            <w:r>
              <w:rPr>
                <w:rStyle w:val="35"/>
                <w:rFonts w:hint="eastAsia" w:asciiTheme="minorEastAsia" w:hAnsiTheme="minorEastAsia" w:eastAsiaTheme="minorEastAsia" w:cstheme="minorEastAsia"/>
                <w:color w:val="000000" w:themeColor="text1"/>
                <w:spacing w:val="-35"/>
                <w:sz w:val="24"/>
                <w:szCs w:val="24"/>
                <w:highlight w:val="none"/>
                <w14:textFill>
                  <w14:solidFill>
                    <w14:schemeClr w14:val="tx1"/>
                  </w14:solidFill>
                </w14:textFill>
              </w:rPr>
              <w:t>款</w:t>
            </w:r>
          </w:p>
        </w:tc>
        <w:tc>
          <w:tcPr>
            <w:tcW w:w="1415" w:type="dxa"/>
            <w:tcBorders>
              <w:top w:val="single" w:color="000000" w:sz="6" w:space="0"/>
              <w:left w:val="single" w:color="000000" w:sz="6" w:space="0"/>
              <w:bottom w:val="single" w:color="000000" w:sz="6" w:space="0"/>
              <w:right w:val="single" w:color="000000" w:sz="6" w:space="0"/>
            </w:tcBorders>
            <w:vAlign w:val="center"/>
          </w:tcPr>
          <w:p>
            <w:pPr>
              <w:pStyle w:val="44"/>
              <w:keepNext w:val="0"/>
              <w:keepLines w:val="0"/>
              <w:pageBreakBefore w:val="0"/>
              <w:widowControl/>
              <w:tabs>
                <w:tab w:val="left" w:pos="1320"/>
              </w:tabs>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履约担保</w:t>
            </w:r>
          </w:p>
        </w:tc>
        <w:tc>
          <w:tcPr>
            <w:tcW w:w="6523" w:type="dxa"/>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8"/>
                <w:sz w:val="24"/>
                <w:szCs w:val="24"/>
                <w:highlight w:val="none"/>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第八章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baseline"/>
              <w:rPr>
                <w:rStyle w:val="35"/>
                <w:rFonts w:hint="default"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付款方式：一年一付，其他案件以实际发生量计算（以签订合同为准）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4"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第八章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特别提示1：供应商须自行查询信用记录；</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查询时间为：自公告发布之日起至响应文件递交截止时间止（该时间段内任一时间</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Style w:val="35"/>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。查询渠道为：“信用中国”网站及“中国政府采购网”。</w:t>
            </w:r>
          </w:p>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对列入失信被执行人、</w:t>
            </w:r>
            <w:r>
              <w:rPr>
                <w:rFonts w:hint="eastAsia" w:asciiTheme="minorEastAsia" w:hAnsiTheme="minorEastAsia" w:eastAsiaTheme="minorEastAsia" w:cstheme="minorEastAsia"/>
                <w:i w:val="0"/>
                <w:iCs w:val="0"/>
                <w:caps w:val="0"/>
                <w:color w:val="auto"/>
                <w:spacing w:val="0"/>
                <w:sz w:val="24"/>
                <w:szCs w:val="24"/>
                <w:highlight w:val="none"/>
              </w:rPr>
              <w:t>重大税收违法</w:t>
            </w:r>
            <w:r>
              <w:rPr>
                <w:rFonts w:hint="eastAsia" w:asciiTheme="minorEastAsia" w:hAnsiTheme="minorEastAsia" w:eastAsiaTheme="minorEastAsia" w:cstheme="minorEastAsia"/>
                <w:i w:val="0"/>
                <w:iCs w:val="0"/>
                <w:caps w:val="0"/>
                <w:color w:val="auto"/>
                <w:spacing w:val="0"/>
                <w:sz w:val="24"/>
                <w:szCs w:val="24"/>
                <w:highlight w:val="none"/>
                <w:lang w:val="en-US" w:eastAsia="zh-CN"/>
              </w:rPr>
              <w:t>失信主体</w:t>
            </w:r>
            <w:r>
              <w:rPr>
                <w:rFonts w:hint="eastAsia" w:asciiTheme="minorEastAsia" w:hAnsiTheme="minorEastAsia" w:eastAsiaTheme="minorEastAsia" w:cstheme="minorEastAsia"/>
                <w:i w:val="0"/>
                <w:iCs w:val="0"/>
                <w:caps w:val="0"/>
                <w:color w:val="auto"/>
                <w:spacing w:val="0"/>
                <w:sz w:val="24"/>
                <w:szCs w:val="24"/>
                <w:highlight w:val="none"/>
              </w:rPr>
              <w:t>、</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政府采购严重违法失信行为记录名单及其他不符合《中华人民共和国政府采购法》的供应商，其响应文件将被拒绝。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第八章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的同时不得耽误本项目供货和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17"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第八章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注：如本《供应商须知前附表》相关内容与竞争性磋商文件中的相关内容如有不一致处，则以本《供应商须知前附表》相关内容为准。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7" w:hRule="atLeast"/>
        </w:trPr>
        <w:tc>
          <w:tcPr>
            <w:tcW w:w="1701" w:type="dxa"/>
            <w:tcBorders>
              <w:top w:val="single" w:color="000000" w:sz="6" w:space="0"/>
              <w:left w:val="single" w:color="000000" w:sz="12" w:space="0"/>
              <w:bottom w:val="single" w:color="000000" w:sz="6" w:space="0"/>
              <w:right w:val="single" w:color="000000" w:sz="6"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center"/>
              <w:textAlignment w:val="baseline"/>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第八章</w:t>
            </w: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36.1</w:t>
            </w:r>
          </w:p>
        </w:tc>
        <w:tc>
          <w:tcPr>
            <w:tcW w:w="7938" w:type="dxa"/>
            <w:gridSpan w:val="2"/>
            <w:tcBorders>
              <w:top w:val="single" w:color="000000" w:sz="6" w:space="0"/>
              <w:left w:val="single" w:color="000000" w:sz="6" w:space="0"/>
              <w:bottom w:val="single" w:color="000000" w:sz="6" w:space="0"/>
              <w:right w:val="single" w:color="000000" w:sz="12" w:space="0"/>
            </w:tcBorders>
            <w:vAlign w:val="center"/>
          </w:tcPr>
          <w:p>
            <w:pPr>
              <w:pStyle w:val="44"/>
              <w:keepNext w:val="0"/>
              <w:keepLines w:val="0"/>
              <w:pageBreakBefore w:val="0"/>
              <w:widowControl/>
              <w:kinsoku/>
              <w:wordWrap/>
              <w:overflowPunct/>
              <w:topLinePunct w:val="0"/>
              <w:autoSpaceDE/>
              <w:autoSpaceDN/>
              <w:bidi w:val="0"/>
              <w:adjustRightInd/>
              <w:snapToGrid/>
              <w:spacing w:line="579" w:lineRule="exact"/>
              <w:ind w:left="0" w:leftChars="0" w:right="0" w:rightChars="0"/>
              <w:jc w:val="both"/>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备注：中标单位在领取本项目成交通知书时，按照《国家计委关于印发招标代理服务 收费管理暂行办法的通知 (计价格[2002]1980号) 及《招标代理服务收费有关问题》  (发改办价格〔2003〕857号文) 中规定下浮 </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0%由中标单位向招标代理机构支付本项目代理费。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trPr>
        <w:tc>
          <w:tcPr>
            <w:tcW w:w="1701" w:type="dxa"/>
            <w:vMerge w:val="restart"/>
            <w:tcBorders>
              <w:top w:val="single" w:color="000000" w:sz="6" w:space="0"/>
              <w:left w:val="single" w:color="000000" w:sz="12" w:space="0"/>
              <w:right w:val="single" w:color="000000" w:sz="6" w:space="0"/>
            </w:tcBorders>
            <w:vAlign w:val="center"/>
          </w:tcPr>
          <w:p>
            <w:pPr>
              <w:numPr>
                <w:ilvl w:val="0"/>
                <w:numId w:val="0"/>
              </w:numPr>
              <w:spacing w:before="40" w:line="268" w:lineRule="auto"/>
              <w:ind w:right="97" w:rightChars="0"/>
              <w:jc w:val="center"/>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bookmarkStart w:id="13" w:name="_Toc2444"/>
            <w:bookmarkStart w:id="14" w:name="_Toc1619"/>
            <w:bookmarkStart w:id="15" w:name="_Toc3325"/>
            <w:bookmarkStart w:id="16" w:name="_Toc28100"/>
            <w:bookmarkStart w:id="17" w:name="_Toc12436"/>
            <w:bookmarkStart w:id="18" w:name="_Toc7923"/>
            <w:r>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t>中小微企业政策文件</w:t>
            </w:r>
          </w:p>
        </w:tc>
        <w:tc>
          <w:tcPr>
            <w:tcW w:w="7938" w:type="dxa"/>
            <w:gridSpan w:val="2"/>
            <w:tcBorders>
              <w:top w:val="single" w:color="000000" w:sz="6" w:space="0"/>
              <w:left w:val="single" w:color="000000" w:sz="6" w:space="0"/>
              <w:bottom w:val="single" w:color="000000" w:sz="6" w:space="0"/>
              <w:right w:val="single" w:color="000000" w:sz="12" w:space="0"/>
            </w:tcBorders>
            <w:vAlign w:val="top"/>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t>(1) 根据财政部、工业和信息化部关于印发《政府采购促进中小企业发展管理 办法》的通知(财库(2020)46 号)，投标人及其所投产品的制造商均属于《工业 和信息化部、国家统计局、国家发展和改革委员会、财政部关于印发中小企业划型标准规定的通知》  (工信部联企业[2011]300 号) 中规定的小型、微型企业标 准的，按招标文件格式提供《中小企业声明函》。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3" w:hRule="atLeast"/>
        </w:trPr>
        <w:tc>
          <w:tcPr>
            <w:tcW w:w="1701" w:type="dxa"/>
            <w:vMerge w:val="continue"/>
            <w:tcBorders>
              <w:left w:val="single" w:color="000000" w:sz="12" w:space="0"/>
              <w:right w:val="single" w:color="000000" w:sz="6" w:space="0"/>
            </w:tcBorders>
            <w:vAlign w:val="top"/>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p>
        </w:tc>
        <w:tc>
          <w:tcPr>
            <w:tcW w:w="7938" w:type="dxa"/>
            <w:gridSpan w:val="2"/>
            <w:tcBorders>
              <w:top w:val="single" w:color="000000" w:sz="6" w:space="0"/>
              <w:left w:val="single" w:color="000000" w:sz="6" w:space="0"/>
              <w:bottom w:val="single" w:color="000000" w:sz="6" w:space="0"/>
              <w:right w:val="single" w:color="000000" w:sz="12" w:space="0"/>
            </w:tcBorders>
            <w:vAlign w:val="top"/>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t>(2) 根据财政部、司法部《关于政府采购支持监狱企业发展有关问题》的通知 财库[2014]68 号，监狱企业参加本项目投标时，应当提供由省级以上监狱管理局、戒毒管理局 (新疆生产建设兵团) 出具的属于监狱企业的证明文件。监狱企业视同小型、微型企业。</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7" w:hRule="atLeast"/>
        </w:trPr>
        <w:tc>
          <w:tcPr>
            <w:tcW w:w="1701" w:type="dxa"/>
            <w:vMerge w:val="continue"/>
            <w:tcBorders>
              <w:left w:val="single" w:color="000000" w:sz="12" w:space="0"/>
              <w:bottom w:val="single" w:color="000000" w:sz="6" w:space="0"/>
              <w:right w:val="single" w:color="000000" w:sz="6" w:space="0"/>
            </w:tcBorders>
            <w:vAlign w:val="top"/>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p>
        </w:tc>
        <w:tc>
          <w:tcPr>
            <w:tcW w:w="7938" w:type="dxa"/>
            <w:gridSpan w:val="2"/>
            <w:tcBorders>
              <w:top w:val="single" w:color="000000" w:sz="6" w:space="0"/>
              <w:left w:val="single" w:color="000000" w:sz="6" w:space="0"/>
              <w:bottom w:val="single" w:color="000000" w:sz="6" w:space="0"/>
              <w:right w:val="single" w:color="000000" w:sz="12" w:space="0"/>
            </w:tcBorders>
            <w:vAlign w:val="top"/>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t>(3) 根据财政部、民政部、中国残疾人联合会《关于促进残疾人就业政府采购 政策的通知》  (财库[2017]141 号) ，在政府采购活动中，残疾人福利性单位视同小型、微型企业。投标人属于残疾人福利性单位的，按照招标文件格式提供残 疾人福利性单位声明函。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2" w:hRule="atLeast"/>
        </w:trPr>
        <w:tc>
          <w:tcPr>
            <w:tcW w:w="1701" w:type="dxa"/>
            <w:vMerge w:val="restart"/>
            <w:tcBorders>
              <w:top w:val="single" w:color="000000" w:sz="6" w:space="0"/>
              <w:left w:val="single" w:color="000000" w:sz="12" w:space="0"/>
              <w:right w:val="single" w:color="000000" w:sz="6" w:space="0"/>
            </w:tcBorders>
            <w:vAlign w:val="center"/>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en-US" w:bidi="ar-SA"/>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val="en-US" w:eastAsia="en-US" w:bidi="ar-SA"/>
                <w14:textFill>
                  <w14:solidFill>
                    <w14:schemeClr w14:val="tx1"/>
                  </w14:solidFill>
                </w14:textFill>
              </w:rPr>
              <w:t>中小微企业政策文件说明</w:t>
            </w:r>
          </w:p>
        </w:tc>
        <w:tc>
          <w:tcPr>
            <w:tcW w:w="7938" w:type="dxa"/>
            <w:gridSpan w:val="2"/>
            <w:tcBorders>
              <w:top w:val="single" w:color="000000" w:sz="6" w:space="0"/>
              <w:left w:val="single" w:color="000000" w:sz="6" w:space="0"/>
              <w:bottom w:val="single" w:color="000000" w:sz="6" w:space="0"/>
              <w:right w:val="single" w:color="000000" w:sz="12" w:space="0"/>
            </w:tcBorders>
            <w:vAlign w:val="top"/>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val="en-US" w:eastAsia="en-US" w:bidi="ar-SA"/>
                <w14:textFill>
                  <w14:solidFill>
                    <w14:schemeClr w14:val="tx1"/>
                  </w14:solidFill>
                </w14:textFill>
              </w:rPr>
              <w:t>(1)本项目专门面向中小企业采购</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2" w:hRule="atLeast"/>
        </w:trPr>
        <w:tc>
          <w:tcPr>
            <w:tcW w:w="1701" w:type="dxa"/>
            <w:vMerge w:val="continue"/>
            <w:tcBorders>
              <w:left w:val="single" w:color="000000" w:sz="12" w:space="0"/>
              <w:right w:val="single" w:color="000000" w:sz="6" w:space="0"/>
            </w:tcBorders>
            <w:vAlign w:val="top"/>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en-US" w:bidi="ar-SA"/>
                <w14:textFill>
                  <w14:solidFill>
                    <w14:schemeClr w14:val="tx1"/>
                  </w14:solidFill>
                </w14:textFill>
              </w:rPr>
            </w:pPr>
          </w:p>
        </w:tc>
        <w:tc>
          <w:tcPr>
            <w:tcW w:w="7938" w:type="dxa"/>
            <w:gridSpan w:val="2"/>
            <w:tcBorders>
              <w:top w:val="single" w:color="000000" w:sz="6" w:space="0"/>
              <w:left w:val="single" w:color="000000" w:sz="6" w:space="0"/>
              <w:bottom w:val="single" w:color="000000" w:sz="6" w:space="0"/>
              <w:right w:val="single" w:color="000000" w:sz="12" w:space="0"/>
            </w:tcBorders>
            <w:vAlign w:val="top"/>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val="en-US" w:eastAsia="en-US" w:bidi="ar-SA"/>
                <w14:textFill>
                  <w14:solidFill>
                    <w14:schemeClr w14:val="tx1"/>
                  </w14:solidFill>
                </w14:textFill>
              </w:rPr>
              <w:t>(2)不符合上述适用情形的投标人无需提供上述声明函件。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2" w:hRule="atLeast"/>
        </w:trPr>
        <w:tc>
          <w:tcPr>
            <w:tcW w:w="1701" w:type="dxa"/>
            <w:vMerge w:val="continue"/>
            <w:tcBorders>
              <w:left w:val="single" w:color="000000" w:sz="12" w:space="0"/>
              <w:bottom w:val="single" w:color="000000" w:sz="6" w:space="0"/>
              <w:right w:val="single" w:color="000000" w:sz="6" w:space="0"/>
            </w:tcBorders>
            <w:vAlign w:val="top"/>
          </w:tcPr>
          <w:p>
            <w:pPr>
              <w:numPr>
                <w:ilvl w:val="0"/>
                <w:numId w:val="0"/>
              </w:numPr>
              <w:spacing w:before="40" w:line="268" w:lineRule="auto"/>
              <w:ind w:right="97" w:rightChars="0"/>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p>
        </w:tc>
        <w:tc>
          <w:tcPr>
            <w:tcW w:w="7938" w:type="dxa"/>
            <w:gridSpan w:val="2"/>
            <w:tcBorders>
              <w:top w:val="single" w:color="000000" w:sz="6" w:space="0"/>
              <w:left w:val="single" w:color="000000" w:sz="6" w:space="0"/>
              <w:bottom w:val="single" w:color="000000" w:sz="6" w:space="0"/>
              <w:right w:val="single" w:color="000000" w:sz="12" w:space="0"/>
            </w:tcBorders>
            <w:vAlign w:val="top"/>
          </w:tcPr>
          <w:p>
            <w:pPr>
              <w:numPr>
                <w:ilvl w:val="0"/>
                <w:numId w:val="0"/>
              </w:numPr>
              <w:spacing w:before="40" w:line="268" w:lineRule="auto"/>
              <w:ind w:right="97" w:rightChars="0"/>
              <w:rPr>
                <w:rStyle w:val="35"/>
                <w:rFonts w:hint="default"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pPr>
            <w:r>
              <w:rPr>
                <w:rStyle w:val="35"/>
                <w:rFonts w:hint="eastAsia" w:asciiTheme="minorEastAsia" w:hAnsiTheme="minorEastAsia" w:eastAsiaTheme="minorEastAsia" w:cstheme="minorEastAsia"/>
                <w:color w:val="000000" w:themeColor="text1"/>
                <w:spacing w:val="10"/>
                <w:sz w:val="24"/>
                <w:szCs w:val="24"/>
                <w:highlight w:val="none"/>
                <w:lang w:val="en-US" w:eastAsia="en-US" w:bidi="ar-SA"/>
                <w14:textFill>
                  <w14:solidFill>
                    <w14:schemeClr w14:val="tx1"/>
                  </w14:solidFill>
                </w14:textFill>
              </w:rPr>
              <w:t>(</w:t>
            </w:r>
            <w:r>
              <w:rPr>
                <w:rStyle w:val="35"/>
                <w:rFonts w:hint="eastAsia" w:asciiTheme="minorEastAsia" w:hAnsiTheme="minorEastAsia" w:eastAsiaTheme="minorEastAsia" w:cstheme="minorEastAsia"/>
                <w:color w:val="000000" w:themeColor="text1"/>
                <w:spacing w:val="10"/>
                <w:sz w:val="24"/>
                <w:szCs w:val="24"/>
                <w:highlight w:val="none"/>
                <w:lang w:val="en-US" w:eastAsia="zh-CN" w:bidi="ar-SA"/>
                <w14:textFill>
                  <w14:solidFill>
                    <w14:schemeClr w14:val="tx1"/>
                  </w14:solidFill>
                </w14:textFill>
              </w:rPr>
              <w:t>3</w:t>
            </w:r>
            <w:r>
              <w:rPr>
                <w:rStyle w:val="35"/>
                <w:rFonts w:hint="eastAsia" w:asciiTheme="minorEastAsia" w:hAnsiTheme="minorEastAsia" w:eastAsiaTheme="minorEastAsia" w:cstheme="minorEastAsia"/>
                <w:color w:val="000000" w:themeColor="text1"/>
                <w:spacing w:val="10"/>
                <w:sz w:val="24"/>
                <w:szCs w:val="24"/>
                <w:highlight w:val="none"/>
                <w:lang w:val="en-US" w:eastAsia="en-US" w:bidi="ar-SA"/>
                <w14:textFill>
                  <w14:solidFill>
                    <w14:schemeClr w14:val="tx1"/>
                  </w14:solidFill>
                </w14:textFill>
              </w:rPr>
              <w:t>)依据2011年300号中小企业划分标准，本项目采购标的所属行业为：租赁和商务服务业</w:t>
            </w:r>
          </w:p>
        </w:tc>
      </w:tr>
    </w:tbl>
    <w:p>
      <w:pPr>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br w:type="page"/>
      </w:r>
    </w:p>
    <w:p>
      <w:pPr>
        <w:spacing w:line="579" w:lineRule="exact"/>
        <w:ind w:firstLine="643" w:firstLineChars="200"/>
        <w:jc w:val="center"/>
        <w:outlineLvl w:val="1"/>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第一章供应商须知</w:t>
      </w:r>
      <w:bookmarkEnd w:id="13"/>
      <w:bookmarkEnd w:id="14"/>
      <w:bookmarkEnd w:id="15"/>
      <w:bookmarkEnd w:id="16"/>
      <w:bookmarkEnd w:id="17"/>
      <w:bookmarkEnd w:id="18"/>
    </w:p>
    <w:p>
      <w:pPr>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1.项目概况</w:t>
      </w:r>
    </w:p>
    <w:p>
      <w:pPr>
        <w:spacing w:line="579" w:lineRule="exact"/>
        <w:ind w:firstLine="480" w:firstLineChars="200"/>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1.1项目名称：详见供应商须知前附表；</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1.2招标方式：详见供应商须知前附表；</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1.3采购内容：详见供应商须知前附表；</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1.4资金来源：详见供应商须知前附表；</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1.5</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交货</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地点：详见供应商须知前附表；</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1.6合同履行期限：详见供应商须知前附表；</w:t>
      </w:r>
    </w:p>
    <w:p>
      <w:pPr>
        <w:spacing w:line="579" w:lineRule="exact"/>
        <w:ind w:firstLine="45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pacing w:val="-8"/>
          <w:sz w:val="24"/>
          <w:szCs w:val="24"/>
          <w:highlight w:val="none"/>
          <w:lang w:eastAsia="zh-CN"/>
          <w14:textFill>
            <w14:solidFill>
              <w14:schemeClr w14:val="tx1"/>
            </w14:solidFill>
          </w14:textFill>
        </w:rPr>
        <w:t>2</w:t>
      </w:r>
      <w:r>
        <w:rPr>
          <w:rStyle w:val="35"/>
          <w:rFonts w:hint="eastAsia" w:asciiTheme="minorEastAsia" w:hAnsiTheme="minorEastAsia" w:eastAsiaTheme="minorEastAsia" w:cstheme="minorEastAsia"/>
          <w:b/>
          <w:color w:val="000000" w:themeColor="text1"/>
          <w:spacing w:val="-3"/>
          <w:sz w:val="24"/>
          <w:szCs w:val="24"/>
          <w:highlight w:val="none"/>
          <w:lang w:eastAsia="zh-CN"/>
          <w14:textFill>
            <w14:solidFill>
              <w14:schemeClr w14:val="tx1"/>
            </w14:solidFill>
          </w14:textFill>
        </w:rPr>
        <w:t>.定义</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下述术语和缩写的定义为：</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2.1“招标人”“采购人”系指依法进行政府采购的国家机关、事业单位、团体组织。本次政府采购的采购人名称、地址、联系人、电话详见供应商须知前附表。</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2.2“</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招标</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代理机构”“采购代理机构”系指接受采购人委托，代理采购项目的采购代理机构。本次政府采购的采购代理机构名称、地址、联系人、电话详见供应商须知前附表。</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2.3“供应商”系指向采购人提供货物、工程或者服务的法人、其他组织或者自然人。</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2.4“货物”系指各种形态和种类的物品，包括原材料、设备、产品等。</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2.5“工程”系指建设工程，包括建筑物和构筑物的新建、改建、扩建，装修、拆除，修缮等。</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2.6“服务”系指除货物和工程以外的其他政府采购对象。</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2.8偏离</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2.8.1本条所称偏离为响应文件对竞争性磋商文件的偏离，即不满足、或不响应竞争性磋商文件的要求。偏离分为对竞争性磋商文件的实质性要求条款偏离和对竞争性磋商文件的一般商务和技术条款偏离。</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2.8.2除法律、法规和规章规定外。竞争性磋商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供应商注意，并认真查看竞争性磋商文件中的每一个条款及要求，因误读竞争性磋商文件而造成的后果，采购人概不负责。</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2.9特别说明</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2.9.1供应商所使用的资格、信誉、荣誉、业绩与企业认证等必须为供应商所拥有。</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2.9.2供应商应仔细阅读竞争性磋商文件中的所有内容，按照竞争性磋商文件的要求编制、提交响应文件，并对其所提供的全部资料的真实性承担法律责任。</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2.9.3竞争性磋商文件所提供的资料，是采购人现有的能被供应商利用的资料，采购人对供应商做出的任何推论、理解和结论均不负任何责任。</w:t>
      </w:r>
    </w:p>
    <w:p>
      <w:pPr>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3.供应商资格</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3.1供应商资格：详见供应商须知前附表。</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3.2供应商应遵守中华人民共和国法律、法规和行政规章。</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3.3供应商不得存在下列情形之一：</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（1）与采购人、代理机构存在利害关系。</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（2）单位负责人为同一人或者存在控股、管理关系的不同供应商，不得参加同一合同项下的政府采购活动。</w:t>
      </w:r>
    </w:p>
    <w:p>
      <w:pPr>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4.投标费用</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4.1无论投标过程中的做法和结果如何，供应商将自行承担所有与参加投标有关的费用。</w:t>
      </w:r>
    </w:p>
    <w:p>
      <w:pPr>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5.联合体形式</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5.1除供应商须知前附表中另有规定，本次招标不接受为联合体形式的供应商。</w:t>
      </w:r>
    </w:p>
    <w:p>
      <w:pPr>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6．现场勘察</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6.1供应商应按供应商须知前附表中规定对采购项目现场和周围环境进行考察。</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6.2勘察现场的费用由供应商自己承担，勘察期间所发生的人身伤害及财产损失由供应商自己负责。</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6.3采购人不对供应商据此而做出的推论、理解和结论负责。一旦成交，供应商不得以任何借口，而提出额外补偿，或延长合同期限的要求。</w:t>
      </w:r>
    </w:p>
    <w:p>
      <w:pPr>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7.采购进口产品</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7.1除供应商须知前附表另有规定外，本项目不接受进口产品参加采购活动。</w:t>
      </w:r>
    </w:p>
    <w:p>
      <w:pPr>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8.政府采购政策的支持</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8.1政府采购有关的货物采购执行环境标志产品政府优先采购政策。在采购过程中执行最新一期的环境标志产品政府采购清单。优先采购政策规定可在：中国政府采购网（http://www.ccgp.gov.cn/）查询。</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8.2政府采购有关的货物采购应当执行节能产品政府强制采购和优先采购政策。在采购过程中执行最新一期的节能产品政府采购清单。优先采购政策规定可在：中国政府采购网（http://www.ccgp.gov.cn/）查询。</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8.3本项目</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专门面向中小企业预留份额</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100%。专门面向中小企业采购的项目或者采购包，不再执行价格评审优惠的扶持政策。</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8.</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供应商在签署相关承诺、提供相关信息前，应当认真阅读财政部门的相关政策规定。符合本章第8.1-8.3款规定的，应当提供相关的证明材料。</w:t>
      </w:r>
    </w:p>
    <w:p>
      <w:pPr>
        <w:spacing w:before="20" w:line="579" w:lineRule="exact"/>
        <w:ind w:left="1933" w:right="1780"/>
        <w:jc w:val="center"/>
        <w:outlineLvl w:val="1"/>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pPr>
      <w:bookmarkStart w:id="19" w:name="_Toc12869"/>
      <w:bookmarkStart w:id="20" w:name="_Toc29622"/>
      <w:bookmarkStart w:id="21" w:name="_Toc22315"/>
      <w:bookmarkStart w:id="22" w:name="_Toc18208"/>
      <w:bookmarkStart w:id="23" w:name="_Toc29726"/>
      <w:bookmarkStart w:id="24" w:name="_Toc7015"/>
      <w:r>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第二章 竞争性磋商文件的编写</w:t>
      </w:r>
      <w:bookmarkEnd w:id="19"/>
      <w:bookmarkEnd w:id="20"/>
      <w:bookmarkEnd w:id="21"/>
      <w:bookmarkEnd w:id="22"/>
      <w:bookmarkEnd w:id="23"/>
      <w:bookmarkEnd w:id="24"/>
    </w:p>
    <w:p>
      <w:pPr>
        <w:pStyle w:val="46"/>
        <w:spacing w:before="111" w:line="579" w:lineRule="exact"/>
        <w:ind w:left="0" w:firstLine="482"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9.竞争性磋商文件的构成</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9.1竞争性磋商文件由下述部分组成：</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第一部分竞争性磋商公告</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第二部分供应商须知</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第三部分采购内容及参数要求</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第四部分合同条款</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第五部分附件</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9.2竞争性磋商文件以中文书写。</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9.3供应商被视为熟悉本招标项目的各种情况以及与履行合同有关的一切其他情况。</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9.4供应商获取竞争性磋商文件后，应仔细检查竞争性磋商文件的所有内容，如有残缺应在领到竞争性磋商文件后1日内向采购人提出，否则，由此引起的投标损失自负；供应商同时应认真审阅竞争性磋商文件中所有的事项、格式、条款和规范要求等，如果供应商编制的响应文件，没有按照竞争性磋商文件要求提交全部资料或者没有对竞争性磋商文件做出实质性响应，其风险应由供应商自行承担，并根据有关条款规定，其投标有可能被拒绝。</w:t>
      </w:r>
    </w:p>
    <w:p>
      <w:pPr>
        <w:pStyle w:val="46"/>
        <w:spacing w:before="111" w:line="579" w:lineRule="exact"/>
        <w:ind w:left="0" w:firstLine="482"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10.竞争性磋商文件的澄清、标前会议</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10.1供应商对竞争性磋商文件如有疑点，可在投标截止期5日前按竞争性磋商文件中载明的地址以书面形式（包括信函、电报或传真，下同）通知采购人要求澄清。采购人将视情况确定采用适当方式予以澄清或以书面形式予以答复。采购人认为有必要时，可将答复内容（包括原提出问题，但不包括问题的来源）分发给所有供应商。</w:t>
      </w:r>
    </w:p>
    <w:p>
      <w:pPr>
        <w:pStyle w:val="46"/>
        <w:spacing w:before="111" w:line="579" w:lineRule="exact"/>
        <w:ind w:left="0" w:firstLine="482"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11.竞争性磋商文件的修改或补充</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11.1在投标截止期5日前的任何时间，采购人可主动或依据供应商要求澄清的问题而修改或补充竞争性磋商文件，并以书面形式通知所有供应商，供应商在收到该通知后应立即以电报或传真的形式予以确认。</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11.2为使供应商在准备投标时有适当的时间考虑响应文件的修改，采购人有权决定推迟投标截止日期和开标日期，并将此变更通知所有的供应商。</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11.3竞争性磋商文件的修改书和补充文件将构成竞争性磋商文件的一部分，并且比竞争性磋商文件对供应商具有优先的约束力。</w:t>
      </w:r>
    </w:p>
    <w:p>
      <w:pPr>
        <w:pStyle w:val="47"/>
        <w:spacing w:line="579" w:lineRule="exact"/>
        <w:ind w:left="52" w:firstLine="482"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spacing w:before="21" w:line="579" w:lineRule="exact"/>
        <w:ind w:left="1043" w:right="992"/>
        <w:jc w:val="center"/>
        <w:outlineLvl w:val="1"/>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pPr>
      <w:bookmarkStart w:id="25" w:name="_Toc20820"/>
      <w:bookmarkStart w:id="26" w:name="_Toc9127"/>
      <w:bookmarkStart w:id="27" w:name="_Toc25160"/>
      <w:bookmarkStart w:id="28" w:name="_Toc11037"/>
      <w:bookmarkStart w:id="29" w:name="_Toc16274"/>
      <w:bookmarkStart w:id="30" w:name="_Toc7496"/>
      <w:r>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第三章 响应文件的编写</w:t>
      </w:r>
      <w:bookmarkEnd w:id="25"/>
      <w:bookmarkEnd w:id="26"/>
      <w:bookmarkEnd w:id="27"/>
      <w:bookmarkEnd w:id="28"/>
      <w:bookmarkEnd w:id="29"/>
      <w:bookmarkEnd w:id="30"/>
    </w:p>
    <w:p>
      <w:pPr>
        <w:pStyle w:val="46"/>
        <w:snapToGrid w:val="0"/>
        <w:spacing w:before="114" w:line="579" w:lineRule="exact"/>
        <w:ind w:left="0" w:firstLine="458"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12.要求</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12.1供应商应详细阅读竞争性磋商文件中的条款、格式、表示、条件和规范等所有内容，按竞争性磋商文件的要求份数提供响应文件，并保证所提供的全部材料的真实性，以使其投标对竞争性磋商文件做出实质性响应。否则，其投标可能被拒绝。</w:t>
      </w:r>
    </w:p>
    <w:p>
      <w:pPr>
        <w:pStyle w:val="46"/>
        <w:snapToGrid w:val="0"/>
        <w:spacing w:before="114"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13.响应文件语言和度量单位</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13.1响应文件及供应商和采购人就招标、投标交换的文件和往来信件，须以中文书写。供应商可提交其他语言的资料，但应附中文注释，在有差异时，以中文为主。</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13.2除在竞争性磋商文件的技术规格中另有规定外，计量单位应使用中华人民共和国法定计量单位（国际单位制和国家选定的其它计量单位）。</w:t>
      </w:r>
    </w:p>
    <w:p>
      <w:pPr>
        <w:pStyle w:val="46"/>
        <w:snapToGrid w:val="0"/>
        <w:spacing w:before="114"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14.响应文件的组成</w:t>
      </w:r>
    </w:p>
    <w:p>
      <w:pPr>
        <w:snapToGrid w:val="0"/>
        <w:spacing w:line="579" w:lineRule="exact"/>
        <w:ind w:firstLine="480" w:firstLineChars="200"/>
        <w:rPr>
          <w:rFonts w:hint="eastAsia" w:asciiTheme="minorEastAsia" w:hAnsiTheme="minorEastAsia" w:eastAsiaTheme="minorEastAsia" w:cstheme="minorEastAsia"/>
          <w:b/>
          <w:iCs/>
          <w:color w:val="000000" w:themeColor="text1"/>
          <w:sz w:val="24"/>
          <w:highlight w:val="none"/>
          <w:u w:val="singl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14.1</w:t>
      </w: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响应文件</w:t>
      </w:r>
      <w:r>
        <w:rPr>
          <w:rStyle w:val="35"/>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组成内容详见第五部分附件</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14.2所有资格证明文件，正本中的资格证明文件（如业绩、资质证书等）均须为加盖供应商公章的复印件或扫描件，以备开标时与原件核对（有特别说明的除外），副本为正本的复印件；开标结束后，可根据供应商的需要退回原件（针对本招标项目的特定授权原件不予退还）。</w:t>
      </w:r>
    </w:p>
    <w:p>
      <w:pPr>
        <w:snapToGrid w:val="0"/>
        <w:spacing w:line="579" w:lineRule="exact"/>
        <w:ind w:firstLine="482" w:firstLineChars="200"/>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14.3</w:t>
      </w:r>
      <w:r>
        <w:rPr>
          <w:rStyle w:val="35"/>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评审前，采购人或采购代理机构将根据供应商提供的资格证明文件对其进行资格审查。</w:t>
      </w: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所有资格证明文件必须满足竞争性磋商文件的要求，否则将导致投标被否决。</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14.4供应商可按竞争性磋商文件的范本格式中提供的响应文件格式填写响应文件；如提供的范本格式有不完善之处，请自行补充完善。</w:t>
      </w:r>
    </w:p>
    <w:p>
      <w:pPr>
        <w:pStyle w:val="46"/>
        <w:snapToGrid w:val="0"/>
        <w:spacing w:before="114"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15.符合竞争性磋商文件规定的证明文件</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15.1供应商提供的资格证明材料，须满足供应商须知前附表的要求。</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15.2供应商为联合体形式的，则应提交联合体各方的资格文件，否则将视为未实质性响应条款而被拒绝。</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15.3供应商确保所提供货物（或服务），其质量满足中华人民共和国国家相关标准，使用的原辅材料要符合质量要求，拟投入的设备完好率足以胜任本项目的工作。</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15.4供应商须提交证明拟供货物（或服务）符合竞争性磋商文件规定的技术响应文件，作为响应文件的一部分。</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15.5提供的货物（或服务）符合规定的相应技术标准、环保及节能标准等。</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15.6对照采购人的采购内容及技术要求，逐条确定，指出所提供的货物（或服务）是否实质性响应竞争性磋商文件的要求，如有偏离，须填报偏离表（见附件）。</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15.7供应商应当提交符合竞争性磋商文件规定的业绩证明文件，该证明文件作为响应文件的一部分，业绩证明文件的要求详见供应商须知前附表没有按要求提供资料或提供资料不完全，其风险由供应商自行承担。</w:t>
      </w:r>
    </w:p>
    <w:p>
      <w:pPr>
        <w:pStyle w:val="46"/>
        <w:snapToGrid w:val="0"/>
        <w:spacing w:before="114"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16.投标报价</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16.1供应商应在投标报价表中标明其提供的所有货物（或服务）及其完成本项目相关工作范围内所有费用的总价，采购人不接受有任何选择性报价。供应商漏报的单价或单价中漏报、少报的费用，均视为此项费用已隐含在其他报价中，中标后不予调整。</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16.2其报价须保证在投标有效期及交付期内固定不变。采购人不接受有任何选择性报价。</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16.3为了防止本次招标的投标报价过高，超出采购人为本次采购项目的资金支付能力，采购人依据主管部门的批复为本次招标项目的设定了最高投标限价（即采购预算），如果供应商的投标报价高于本项目的最高投标限价，其响应文件将被拒绝；如果所有供应商的投标报价均超出最高投标限价，采购人有权重新组织招标。</w:t>
      </w:r>
    </w:p>
    <w:p>
      <w:pPr>
        <w:spacing w:line="579" w:lineRule="exact"/>
        <w:ind w:firstLine="480" w:firstLineChars="200"/>
        <w:rPr>
          <w:rFonts w:hint="eastAsia" w:asciiTheme="minorEastAsia" w:hAnsiTheme="minorEastAsia" w:eastAsiaTheme="minorEastAsia" w:cstheme="minorEastAsia"/>
          <w:color w:val="000000" w:themeColor="text1"/>
          <w:kern w:val="0"/>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0"/>
          <w:highlight w:val="none"/>
          <w:lang w:val="en-US" w:eastAsia="zh-CN" w:bidi="ar"/>
          <w14:textFill>
            <w14:solidFill>
              <w14:schemeClr w14:val="tx1"/>
            </w14:solidFill>
          </w14:textFill>
        </w:rPr>
        <w:t>16</w:t>
      </w:r>
      <w:r>
        <w:rPr>
          <w:rFonts w:hint="eastAsia" w:asciiTheme="minorEastAsia" w:hAnsiTheme="minorEastAsia" w:eastAsiaTheme="minorEastAsia" w:cstheme="minorEastAsia"/>
          <w:color w:val="000000" w:themeColor="text1"/>
          <w:kern w:val="0"/>
          <w:sz w:val="24"/>
          <w:szCs w:val="20"/>
          <w:highlight w:val="none"/>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0"/>
          <w:highlight w:val="none"/>
          <w:lang w:val="en-US" w:eastAsia="zh-CN" w:bidi="ar"/>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0"/>
          <w:highlight w:val="none"/>
          <w:lang w:bidi="ar"/>
          <w14:textFill>
            <w14:solidFill>
              <w14:schemeClr w14:val="tx1"/>
            </w14:solidFill>
          </w14:textFill>
        </w:rPr>
        <w:t xml:space="preserve"> 磋商结束后，磋商小组可根据磋商情况，要求</w:t>
      </w:r>
      <w:r>
        <w:rPr>
          <w:rFonts w:hint="eastAsia" w:asciiTheme="minorEastAsia" w:hAnsiTheme="minorEastAsia" w:eastAsiaTheme="minorEastAsia" w:cstheme="minorEastAsia"/>
          <w:color w:val="000000" w:themeColor="text1"/>
          <w:kern w:val="0"/>
          <w:sz w:val="24"/>
          <w:szCs w:val="20"/>
          <w:highlight w:val="none"/>
          <w:lang w:val="en-US" w:eastAsia="zh-CN" w:bidi="ar"/>
          <w14:textFill>
            <w14:solidFill>
              <w14:schemeClr w14:val="tx1"/>
            </w14:solidFill>
          </w14:textFill>
        </w:rPr>
        <w:t>供应商</w:t>
      </w:r>
      <w:r>
        <w:rPr>
          <w:rFonts w:hint="eastAsia" w:asciiTheme="minorEastAsia" w:hAnsiTheme="minorEastAsia" w:eastAsiaTheme="minorEastAsia" w:cstheme="minorEastAsia"/>
          <w:color w:val="000000" w:themeColor="text1"/>
          <w:kern w:val="0"/>
          <w:sz w:val="24"/>
          <w:szCs w:val="20"/>
          <w:highlight w:val="none"/>
          <w:lang w:bidi="ar"/>
          <w14:textFill>
            <w14:solidFill>
              <w14:schemeClr w14:val="tx1"/>
            </w14:solidFill>
          </w14:textFill>
        </w:rPr>
        <w:t>进行第二次报价和第三次报价，并确定最终报价。最终报价是响应文件的有效组成部分。</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0"/>
          <w:highlight w:val="none"/>
          <w:lang w:val="en-US" w:eastAsia="zh-CN" w:bidi="ar"/>
          <w14:textFill>
            <w14:solidFill>
              <w14:schemeClr w14:val="tx1"/>
            </w14:solidFill>
          </w14:textFill>
        </w:rPr>
        <w:t>16</w:t>
      </w:r>
      <w:r>
        <w:rPr>
          <w:rFonts w:hint="eastAsia" w:asciiTheme="minorEastAsia" w:hAnsiTheme="minorEastAsia" w:eastAsiaTheme="minorEastAsia" w:cstheme="minorEastAsia"/>
          <w:color w:val="000000" w:themeColor="text1"/>
          <w:kern w:val="0"/>
          <w:sz w:val="24"/>
          <w:szCs w:val="20"/>
          <w:highlight w:val="none"/>
          <w:lang w:bidi="ar"/>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0"/>
          <w:highlight w:val="none"/>
          <w:lang w:val="en-US" w:eastAsia="zh-CN" w:bidi="ar"/>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0"/>
          <w:highlight w:val="none"/>
          <w:lang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0"/>
          <w:highlight w:val="none"/>
          <w:lang w:eastAsia="zh-CN" w:bidi="ar"/>
          <w14:textFill>
            <w14:solidFill>
              <w14:schemeClr w14:val="tx1"/>
            </w14:solidFill>
          </w14:textFill>
        </w:rPr>
        <w:t>参与竞争性谈判和竞争性磋商项目供应商，开标结束后，请及时进入“网上报价”页面（详见操作手册），等待最终报价通知。如未在系统提示的报价时限内报价，则视为上一轮报价为最终报价</w:t>
      </w:r>
      <w:r>
        <w:rPr>
          <w:rFonts w:hint="eastAsia" w:asciiTheme="minorEastAsia" w:hAnsiTheme="minorEastAsia" w:eastAsiaTheme="minorEastAsia" w:cstheme="minorEastAsia"/>
          <w:color w:val="000000" w:themeColor="text1"/>
          <w:kern w:val="0"/>
          <w:sz w:val="24"/>
          <w:szCs w:val="20"/>
          <w:highlight w:val="none"/>
          <w:lang w:bidi="ar"/>
          <w14:textFill>
            <w14:solidFill>
              <w14:schemeClr w14:val="tx1"/>
            </w14:solidFill>
          </w14:textFill>
        </w:rPr>
        <w:t>。</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16.</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投标报价货币单位：人民币。</w:t>
      </w:r>
    </w:p>
    <w:p>
      <w:pPr>
        <w:pStyle w:val="46"/>
        <w:snapToGrid w:val="0"/>
        <w:spacing w:before="114"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17.投标有效期</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17.1投标有效期详见供应商须知前附表，如不满足其投标将被否决。</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17.2特殊情况下，采购人可于投标有效期期满之前，要求供应商同意延长投标有效期。供应商可以拒绝或同意上述要求，但要求与答复均须是书面文件。对于同意该要求的供应商，采购人既不要求也不允许其修改响应文件。</w:t>
      </w:r>
    </w:p>
    <w:p>
      <w:pPr>
        <w:pStyle w:val="46"/>
        <w:snapToGrid w:val="0"/>
        <w:spacing w:before="114"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18．磋商保证金</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18.1磋商保证金的缴纳详见供应商须知前附表。未按规定提交磋商保证金的投标，将被视为投标无效。</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18.2磋商保证金的退还详见供应商须知前附表。</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18.3不予退还保证金的情形，详见供应商须知前附表。</w:t>
      </w:r>
    </w:p>
    <w:p>
      <w:pPr>
        <w:pStyle w:val="46"/>
        <w:snapToGrid w:val="0"/>
        <w:spacing w:before="114"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19.响应文件的签署及规定</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19.1电子响应文件使用政采云平台响应文件制作工具以及磋商文件要求进行制作编制。响应文件制作时，按照磋商文件中明确的响应文件目录和格式进行编制，保证目录清晰、内容完整。</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19.2电子响应文件须使用供应商电子公章及法定代表人的电子签名。若无电子签章和签名，则视为无效响应。</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19.3电子招投标文件具有法律效力，与其他形式的招投标文件在内容和格式上等同，若响应文件与磋商文件要求不一致，其内容影响成交结果时，责任由供应商自行承担。供应商递交的电子响应文件因供应商自身原因而导致无法导入电子辅助评标系统，该响应文件视为无效响应文件，将导致其响应被拒绝。</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pStyle w:val="47"/>
        <w:spacing w:before="30" w:line="579" w:lineRule="exact"/>
        <w:ind w:left="2874"/>
        <w:jc w:val="left"/>
        <w:outlineLvl w:val="1"/>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31" w:name="_Toc2843"/>
      <w:bookmarkStart w:id="32" w:name="_Toc22266"/>
      <w:bookmarkStart w:id="33" w:name="_Toc895"/>
      <w:bookmarkStart w:id="34" w:name="_Toc8392"/>
      <w:bookmarkStart w:id="35" w:name="_Toc1653"/>
      <w:bookmarkStart w:id="36" w:name="_Toc10035"/>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第四章 响应文件的递交</w:t>
      </w:r>
      <w:bookmarkEnd w:id="31"/>
      <w:bookmarkEnd w:id="32"/>
      <w:bookmarkEnd w:id="33"/>
      <w:bookmarkEnd w:id="34"/>
      <w:bookmarkEnd w:id="35"/>
      <w:bookmarkEnd w:id="36"/>
    </w:p>
    <w:p>
      <w:pPr>
        <w:pStyle w:val="46"/>
        <w:spacing w:before="26" w:line="579" w:lineRule="exact"/>
        <w:ind w:left="0" w:firstLine="482"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20.响应性文件的密封与标记</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20.1加密的电子响应文件（.jmbs格式）应在响应文件递交截止时间前通过政采云平台上传完成。</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20.2逾期上传或者未上传指定地点的响应文件，采购人不予受理。</w:t>
      </w:r>
    </w:p>
    <w:p>
      <w:pPr>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21.响应文件递交截止时间</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 供应商应在供应商须知前附表规定的提交响应文件截止时间前，将响应文件上传至平台。逾期上传或者未上传指定地点的响应文件，采购人不予受理。</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21.</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出现因竞争性磋商文件的修改推迟投标截止时间时，则按采购人修改通知规定的时间递交。</w:t>
      </w:r>
    </w:p>
    <w:p>
      <w:pPr>
        <w:spacing w:line="579" w:lineRule="exact"/>
        <w:ind w:firstLine="482"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22.响应文件的修改和撤回</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22.</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供应商不得在开标时间起至投标有效期期满前撤回响应文件。</w:t>
      </w:r>
    </w:p>
    <w:p>
      <w:pPr>
        <w:pStyle w:val="47"/>
        <w:keepNext w:val="0"/>
        <w:keepLines w:val="0"/>
        <w:pageBreakBefore w:val="0"/>
        <w:widowControl/>
        <w:kinsoku/>
        <w:wordWrap/>
        <w:overflowPunct/>
        <w:topLinePunct w:val="0"/>
        <w:autoSpaceDE/>
        <w:autoSpaceDN/>
        <w:bidi w:val="0"/>
        <w:adjustRightInd/>
        <w:snapToGrid/>
        <w:spacing w:before="34" w:line="579" w:lineRule="exact"/>
        <w:ind w:left="0" w:leftChars="0" w:firstLine="0" w:firstLineChars="0"/>
        <w:jc w:val="both"/>
        <w:textAlignment w:val="baseline"/>
        <w:outlineLvl w:val="9"/>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37" w:name="_Toc15274"/>
      <w:bookmarkStart w:id="38" w:name="_Toc2807"/>
      <w:bookmarkStart w:id="39" w:name="_Toc13653"/>
      <w:bookmarkStart w:id="40" w:name="_Toc5219"/>
      <w:bookmarkStart w:id="41" w:name="_Toc19864"/>
    </w:p>
    <w:p>
      <w:pPr>
        <w:pStyle w:val="47"/>
        <w:spacing w:before="34" w:line="579" w:lineRule="exact"/>
        <w:ind w:left="153"/>
        <w:outlineLvl w:val="1"/>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42" w:name="_Toc21017"/>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第五章 开标</w:t>
      </w:r>
      <w:bookmarkEnd w:id="37"/>
      <w:bookmarkEnd w:id="38"/>
      <w:bookmarkEnd w:id="39"/>
      <w:bookmarkEnd w:id="40"/>
      <w:bookmarkEnd w:id="41"/>
      <w:bookmarkEnd w:id="42"/>
    </w:p>
    <w:p>
      <w:pPr>
        <w:spacing w:line="579" w:lineRule="exact"/>
        <w:ind w:firstLine="458" w:firstLineChars="200"/>
        <w:rPr>
          <w:rStyle w:val="35"/>
          <w:rFonts w:hint="eastAsia" w:asciiTheme="minorEastAsia" w:hAnsiTheme="minorEastAsia" w:eastAsiaTheme="minorEastAsia" w:cstheme="minorEastAsia"/>
          <w:b/>
          <w:color w:val="000000" w:themeColor="text1"/>
          <w:w w:val="95"/>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w w:val="95"/>
          <w:sz w:val="24"/>
          <w:szCs w:val="24"/>
          <w:highlight w:val="none"/>
          <w:lang w:eastAsia="zh-CN"/>
          <w14:textFill>
            <w14:solidFill>
              <w14:schemeClr w14:val="tx1"/>
            </w14:solidFill>
          </w14:textFill>
        </w:rPr>
        <w:t>23．</w:t>
      </w:r>
      <w:r>
        <w:rPr>
          <w:rStyle w:val="35"/>
          <w:rFonts w:hint="eastAsia" w:asciiTheme="minorEastAsia" w:hAnsiTheme="minorEastAsia" w:eastAsiaTheme="minorEastAsia" w:cstheme="minorEastAsia"/>
          <w:b/>
          <w:color w:val="000000" w:themeColor="text1"/>
          <w:w w:val="95"/>
          <w:sz w:val="24"/>
          <w:szCs w:val="24"/>
          <w:highlight w:val="none"/>
          <w:lang w:val="en-US" w:eastAsia="zh-CN"/>
          <w14:textFill>
            <w14:solidFill>
              <w14:schemeClr w14:val="tx1"/>
            </w14:solidFill>
          </w14:textFill>
        </w:rPr>
        <w:t>1</w:t>
      </w:r>
      <w:r>
        <w:rPr>
          <w:rStyle w:val="35"/>
          <w:rFonts w:hint="eastAsia" w:asciiTheme="minorEastAsia" w:hAnsiTheme="minorEastAsia" w:eastAsiaTheme="minorEastAsia" w:cstheme="minorEastAsia"/>
          <w:b/>
          <w:color w:val="000000" w:themeColor="text1"/>
          <w:w w:val="95"/>
          <w:sz w:val="24"/>
          <w:szCs w:val="24"/>
          <w:highlight w:val="none"/>
          <w:lang w:eastAsia="zh-CN"/>
          <w14:textFill>
            <w14:solidFill>
              <w14:schemeClr w14:val="tx1"/>
            </w14:solidFill>
          </w14:textFill>
        </w:rPr>
        <w:t>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pPr>
        <w:spacing w:line="579" w:lineRule="exact"/>
        <w:ind w:firstLine="458" w:firstLineChars="200"/>
        <w:rPr>
          <w:rStyle w:val="35"/>
          <w:rFonts w:hint="eastAsia" w:asciiTheme="minorEastAsia" w:hAnsiTheme="minorEastAsia" w:eastAsiaTheme="minorEastAsia" w:cstheme="minorEastAsia"/>
          <w:b/>
          <w:color w:val="000000" w:themeColor="text1"/>
          <w:w w:val="95"/>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w w:val="95"/>
          <w:sz w:val="24"/>
          <w:szCs w:val="24"/>
          <w:highlight w:val="none"/>
          <w:lang w:val="en-US" w:eastAsia="zh-CN"/>
          <w14:textFill>
            <w14:solidFill>
              <w14:schemeClr w14:val="tx1"/>
            </w14:solidFill>
          </w14:textFill>
        </w:rPr>
        <w:t>23.2</w:t>
      </w:r>
      <w:r>
        <w:rPr>
          <w:rStyle w:val="35"/>
          <w:rFonts w:hint="eastAsia" w:asciiTheme="minorEastAsia" w:hAnsiTheme="minorEastAsia" w:eastAsiaTheme="minorEastAsia" w:cstheme="minorEastAsia"/>
          <w:b/>
          <w:color w:val="000000" w:themeColor="text1"/>
          <w:w w:val="95"/>
          <w:sz w:val="24"/>
          <w:szCs w:val="24"/>
          <w:highlight w:val="none"/>
          <w:lang w:eastAsia="zh-CN"/>
          <w14:textFill>
            <w14:solidFill>
              <w14:schemeClr w14:val="tx1"/>
            </w14:solidFill>
          </w14:textFill>
        </w:rPr>
        <w:t>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pPr>
        <w:spacing w:line="579" w:lineRule="exact"/>
        <w:ind w:firstLine="458" w:firstLineChars="200"/>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w w:val="95"/>
          <w:sz w:val="24"/>
          <w:szCs w:val="24"/>
          <w:highlight w:val="none"/>
          <w:lang w:val="en-US" w:eastAsia="zh-CN"/>
          <w14:textFill>
            <w14:solidFill>
              <w14:schemeClr w14:val="tx1"/>
            </w14:solidFill>
          </w14:textFill>
        </w:rPr>
        <w:t xml:space="preserve">  23.3</w:t>
      </w:r>
      <w:r>
        <w:rPr>
          <w:rStyle w:val="35"/>
          <w:rFonts w:hint="eastAsia" w:asciiTheme="minorEastAsia" w:hAnsiTheme="minorEastAsia" w:eastAsiaTheme="minorEastAsia" w:cstheme="minorEastAsia"/>
          <w:b/>
          <w:color w:val="000000" w:themeColor="text1"/>
          <w:w w:val="95"/>
          <w:sz w:val="24"/>
          <w:szCs w:val="24"/>
          <w:highlight w:val="none"/>
          <w:lang w:eastAsia="zh-CN"/>
          <w14:textFill>
            <w14:solidFill>
              <w14:schemeClr w14:val="tx1"/>
            </w14:solidFill>
          </w14:textFill>
        </w:rPr>
        <w:t>参与竞争性谈判和竞争性磋商项目供应商，开标结束后，请及时进入“网上报价”页面（详见操作手册），等待最终报价通知。如未在系统提示的报价时限内报价，则视为上一轮报价为最终报价。</w:t>
      </w:r>
      <w:bookmarkStart w:id="43" w:name="_Toc7217"/>
    </w:p>
    <w:p>
      <w:pPr>
        <w:spacing w:line="579" w:lineRule="exact"/>
        <w:jc w:val="center"/>
        <w:outlineLvl w:val="1"/>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pPr>
      <w:bookmarkStart w:id="44" w:name="_Toc2700"/>
      <w:bookmarkStart w:id="45" w:name="_Toc17205"/>
      <w:bookmarkStart w:id="46" w:name="_Toc3015"/>
      <w:bookmarkStart w:id="47" w:name="_Toc25316"/>
      <w:bookmarkStart w:id="48" w:name="_Toc21833"/>
      <w:r>
        <w:rPr>
          <w:rStyle w:val="35"/>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第六章 评标</w:t>
      </w:r>
      <w:bookmarkEnd w:id="43"/>
      <w:bookmarkEnd w:id="44"/>
      <w:bookmarkEnd w:id="45"/>
      <w:bookmarkEnd w:id="46"/>
      <w:bookmarkEnd w:id="47"/>
      <w:bookmarkEnd w:id="48"/>
    </w:p>
    <w:p>
      <w:pPr>
        <w:pStyle w:val="46"/>
        <w:snapToGrid w:val="0"/>
        <w:spacing w:before="113" w:line="579" w:lineRule="exact"/>
        <w:ind w:left="0" w:firstLine="458"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24.评审小组</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24.1采购人将根据《中华人民共和国政府采购法》及相关的法律、法规等，依法组建本次招标的评审小组，负责本次招标的评审、评标等活动。评审小组负责向采购人推荐中标候选人或者根据采购人的授权直接确定中标人。</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24.2评审小组成员名单在评标结果公告前应当保密。</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24.3评审小组由采购人代表和评审专家组成，成员人数应当为3人或以上单数，其中评审专家不得少于成员总数的三分之二。</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24.4采购人或者采购代理机构应当从省级以上财政部门设立的政府采购评审专家库中，通过随机方式抽取评审专家。对技术复杂、专业性强的采购项目，通过随机方式难以确定合适评审专家的，经主管预算单位同意，采购人可以自行选定相应专业领域的评审专家。</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24.5评标中因评审成员缺席、回避或者健康等特殊原因导致评审小组组成不符合相关规定的，采购人或者采购代理机构应当依法补足后继续评标。被更换的评审小组成员所作出的评标意见无效。无法及时补足评审小组成员的，采购人或者采购代理机构应当停止评标活动，封存所有响应文件和开标、评标资料，依法重新组建评审小组进行评标。原评审小组所作出的评标意见无效。采购人或者采购代理机构应当将变更、重新组建评审小组的情况予以记录，并随采购文件一并存档。</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24.6评标专家应符合下列条件：</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24.6.1具有良好的职业道德，廉洁自律，遵纪守法，无行贿、受贿、欺诈等不良信用记录；</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24.6.2具有中级专业技术职称或同等专业水平且从事相关领域工作满8年，或者具有高级专业技术职称或同等专业水平；</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24.6.3熟悉政府采购相关政策法规；</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24.6.4承诺以独立身份参加评审工作，依法履行评审专家工作职责并承担相应法律责任的中国公民；</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24.6.5身体健康，能够承担评审工作；</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24.6.6申请成为评审专家前三年内，无《政府采购评审专家管理办法》中规定的不良行为记录。</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有下列情形之一的，不得担任评审小组成员：</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(1)参加采购活动前三年内，与供应商存在劳动关系，或者担任过供应商的董事、监事,或者是供应商的控股股东或实际控制人；</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(2)与供应商的法定代表人或者负责人有夫妻、直系血亲、三代以内旁系血亲或者近姻亲关系；</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(3)与供应商有其他可能影响政府采购活动公平、公正进行的关系。</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24.7评审小组负责具体评标事务，并独立履行下列职责：</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(1)审查、评价响应文件是否符合竞争性磋商文件的商务、技术等实质性要求；</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(2)要求供应商对响应文件的有关事项作出澄清或者说明；</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(3)对响应文件进行比较和评价；</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(4)确定中标候选人名单，以及根据采购人委托直接确定中标人；</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(5)向采购人、采购代理机构或者有关部门报告评标中发现的违法行为。</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24.8评审小组及其成员不得有下列行为：</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(1)确定参与评标至评标结束前私自接触供应商；</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(2)接受供应商提出的与响应文件不一致的澄清或者说明，本竞争性磋商文件第</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27.1款规定的情形除外；</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(3)违反评标纪律发表倾向性意见或者征询采购人的倾向性意见；</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(4)对需要专业判断的主观评审因素协商评分；</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(5)在评标过程中擅离职守，影响评标程序正常进行的；</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(6)记录、复制或者带走任何评标资料；</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(7)其他不遵守评标纪律的行为。</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评审小组成员有前款第(1)至(5)项行为之一的，其评审意见无效，并不得获取评审劳务报酬和报销异地评审差旅费。</w:t>
      </w:r>
    </w:p>
    <w:p>
      <w:pPr>
        <w:pStyle w:val="46"/>
        <w:snapToGrid w:val="0"/>
        <w:spacing w:before="113"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25.评审过程的保密性</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25.1采购人、采购代理机构应当采取必要措施，保证评审在严格保密的情况下进行。除采购人代表、评审现场组织人员外，采购人的其他工作人员以及与评审工作无关的人员不得进入评审现场。</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25.2开标后，直到授予中标人合同为止，凡属于对响应文件的审查、澄清、评价和比较的有关资料以及中标候选人的推荐情况和授标建议等内容、与评标有关的其他任何情况均应严格保密；评审小组成员及参与评标的有关工作人员均不得向供应商或其他无关的人员透露，违者给予警告、取消担任评审小组成员的资格。</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25.3投标供应商在评审过程中，所进行的力图影响评审结果的、不符合《中华人民共和国政府采购法》及其相关法律、法规的、以及不符合本次招标的有关规定的活动，将被取消其中标资格。</w:t>
      </w:r>
    </w:p>
    <w:p>
      <w:pPr>
        <w:pStyle w:val="46"/>
        <w:snapToGrid w:val="0"/>
        <w:spacing w:before="113"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26.评审依据及评标办法</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26.1评审的依据：采购人的竞争性磋商文件和供应商的响应文件。</w:t>
      </w:r>
    </w:p>
    <w:p>
      <w:pPr>
        <w:snapToGrid w:val="0"/>
        <w:spacing w:line="579" w:lineRule="exact"/>
        <w:ind w:firstLine="480"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26.2评标办法：</w:t>
      </w: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综合评分法</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综合评分法，是指响应文件满足竞争性磋商文件全部实质性要求，且按照评审因素的量化指标评审得分最高的供应商为中标候选人的评标方法。</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26.3评审程序：</w:t>
      </w:r>
    </w:p>
    <w:p>
      <w:pPr>
        <w:snapToGrid w:val="0"/>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成立评标委员会→初步评审（符合性审查）→错误性修正→详细评审（商务、技术部分评审，报价得分计算）→推荐中标候选人→完成评标报告</w:t>
      </w:r>
    </w:p>
    <w:p>
      <w:pPr>
        <w:snapToGrid w:val="0"/>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通过初步评审的响应文件，方可进入下一环节的评审。</w:t>
      </w:r>
    </w:p>
    <w:p>
      <w:pPr>
        <w:pStyle w:val="46"/>
        <w:snapToGrid w:val="0"/>
        <w:spacing w:before="113"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27.初步评审</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27.1评审小组对响应文件的有效性、完整性和响应程度进行审查时，应当以书面方式要求供应商对响应文件中含义不明确、对同类问题表述不一致或者有明显文字和计算错误的内容作必要的澄清、说明或补正。</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供应商的澄清、说明或补正应以书面方式进行，并加盖公章，或者由法定代表人或其授权的代表签字。供应商的澄清、说明或者补正不得超出响应文件的范围或者改变竞争性磋商文件的实质性内容。</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按上述规定，经供应商确认后，对供应商起约束作用。如果供应商不确认的，则其投标无效。</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27.2采购方不接受不符合国家有关部门相关规定的投标报价或优惠方案。</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27.3在评审过程中，评审小组发现供应商以他人名义投标、串通投标、以行贿手段谋取中标或者以其他弄虚作假方式投标的，该供应商的投标将被否决。</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27.4有下列情形之一的，视为供应商串通投标，其投标无效：</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(1)不同供应商的响应文件由同一单位或者个人编制；</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(2)不同供应商委托同一单位或者个人办理投标事宜；</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(3)不同供应商的响应文件载明的项目管理成员或者联系人员为同一人；</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(4)不同供应商的响应文件异常一致或者投标报价呈规律性差异；</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(5)不同供应商的响应文件相互混装；</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(6)不同供应商的磋商保证金从同一单位或者个人的账户转出。</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27.5供应商存在下列情况之一的，投标无效：</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(1)未按照竞争性磋商文件的规定提交磋商保证金的；</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(2)响应文件未按竞争性磋商文件要求签署、盖章的；</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(3)不具备竞争性磋商文件中规定的资格要求的；</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(4)报价超过竞争性磋商文件中规定的预算金额或者最高限价的；</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(5)响应文件含有采购人不能接受的附加条件的；</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(6)法律、法规和竞争性磋商文件规定的其他无效情形。</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27.6评审小组应当审查每一响应文件是否对竞争性磋商文件提出的所有实质性要求和条件做出响应。未能在实质上响应的投标，其投标将被否决。</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27.7供应商不得误导、干扰采购方的评审活动，否则将废除其投标。</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27.8评审小组根据上述规定否决不合格投标，因有效投标不足本次评审办法规定数量而使得投标明显缺乏竞争性时，根据《中华人民共和国政府采购法》的相关规定，将作流标处理。</w:t>
      </w:r>
    </w:p>
    <w:p>
      <w:pPr>
        <w:snapToGrid w:val="0"/>
        <w:spacing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初步评审的标准详见附表1、</w:t>
      </w:r>
      <w:r>
        <w:rPr>
          <w:rStyle w:val="35"/>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2</w:t>
      </w:r>
    </w:p>
    <w:p>
      <w:pPr>
        <w:pStyle w:val="46"/>
        <w:snapToGrid w:val="0"/>
        <w:spacing w:before="113"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28.响应文件计算错误的修正</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28.1响应文件中报价出现前后不一致的，评审小组按以下原则对投标报价进行修正：</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a.响应文件中开标一览表（报价表）内容与响应文件中相应内容不一致的，以开标一览表（报价表）为准；</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b.大写金额和小写金额不一致的，以大写金额为准；</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c.单价金额小数点或者百分比有明显错位的，以开标一览表的总价为准，并修改单价；</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d.总价金额与按单价汇总金额不一致的，以单价金额计算结果为准。</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同时出现两种以上不一致的，按照前款规定的顺序修正。</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28.2修正后的最终投标报价若超过最高投标限价（如有），评审小组应当否决其投标。</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28.3按上述修正错误的原则及方法调整或修正响应文件的投标报价，经供应商确认后，对供应商起约束作用。如果供应商不确认的，则其投标无效。</w:t>
      </w:r>
    </w:p>
    <w:p>
      <w:pPr>
        <w:pStyle w:val="46"/>
        <w:snapToGrid w:val="0"/>
        <w:spacing w:before="113" w:line="579" w:lineRule="exact"/>
        <w:ind w:left="0" w:firstLine="458" w:firstLineChars="200"/>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29.详细评审</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29.1经符合性审查合格的响应文件，评审小组应当根据竞争性磋商文件确定的评审标准和方法，确定最终采购需求和提交最后报价的供应商后，由评审小组采用综合评分法对提交最后报价的供应商的响应文件进行综合评分。</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29.3磋商小组所有成员应当集中与单一供应商分别进行磋商，并给予所有参加磋商的供应商平等的磋商机会。</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29.4根据综合评分法完成评审工作后，评审小组应当向采购人递交书面评审报告。</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评审因素及标准(详见评分细则)</w:t>
      </w:r>
    </w:p>
    <w:p>
      <w:pPr>
        <w:snapToGrid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评审因素：与供应商所提供货物服务的质量相关，包括投标报价、技术或者服务水平、履约能力、售后服务等。</w:t>
      </w:r>
    </w:p>
    <w:p>
      <w:pPr>
        <w:pStyle w:val="46"/>
        <w:spacing w:line="579" w:lineRule="exact"/>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（1）商务技术部分</w:t>
      </w:r>
      <w:r>
        <w:rPr>
          <w:rStyle w:val="35"/>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90</w:t>
      </w: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分；</w:t>
      </w:r>
    </w:p>
    <w:p>
      <w:pPr>
        <w:spacing w:before="125" w:line="579" w:lineRule="exact"/>
        <w:ind w:left="591"/>
        <w:rPr>
          <w:rStyle w:val="35"/>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（2）投标报价部分</w:t>
      </w:r>
      <w:r>
        <w:rPr>
          <w:rStyle w:val="35"/>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10</w:t>
      </w:r>
      <w:r>
        <w:rPr>
          <w:rStyle w:val="35"/>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分。</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计算各项分值时，按四舍五入的原则，保留小数点后二位。</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29.7报价</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29.7.1本次采购方式为竞争性磋商，待评审小组与供应商对采购标的的技术、服务等磋商结束后，评审小组要求所有实质性响应的供应商，在规定的时间内提交最后报价。</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29.7.2</w:t>
      </w:r>
      <w:r>
        <w:rPr>
          <w:rStyle w:val="35"/>
          <w:rFonts w:hint="eastAsia" w:asciiTheme="minorEastAsia" w:hAnsiTheme="minorEastAsia" w:eastAsiaTheme="minorEastAsia" w:cstheme="minorEastAsia"/>
          <w:b/>
          <w:color w:val="000000" w:themeColor="text1"/>
          <w:w w:val="95"/>
          <w:sz w:val="24"/>
          <w:szCs w:val="24"/>
          <w:highlight w:val="none"/>
          <w:lang w:eastAsia="zh-CN"/>
          <w14:textFill>
            <w14:solidFill>
              <w14:schemeClr w14:val="tx1"/>
            </w14:solidFill>
          </w14:textFill>
        </w:rPr>
        <w:t>参与竞争性磋商项目供应商，开标结束后，进入“网上报价”页面，等待最终报价通知。如未在系统提示的报价时限内报价，则视为上一轮报价为最终报价。</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最后报价不进行公开唱标。</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29.7.3经磋商确定最终采购需求和提交最后报价的供应商后，由评审小组采用综合评分法对提交最后报价的供应商的价格得分进行计算。</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29.7.4供应商的投标报价得分计算说明：</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价格分统一采用低价优先法计算，即满足磋商文件要求且最</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终</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报价最低的供应商的价格为磋商基准价，其价格分为满分。其他供应商的价格分统一按照下列公式计算：</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磋商报价得分=（磋商基准价/最后磋商报价）×价格权值×100</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本项目的价格权值为</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项目评审过程中，不得去掉最终报价中的最高报价和最低报价。</w:t>
      </w:r>
    </w:p>
    <w:p>
      <w:pPr>
        <w:spacing w:line="579" w:lineRule="exact"/>
        <w:ind w:firstLine="480" w:firstLineChars="200"/>
        <w:rPr>
          <w:rFonts w:hint="eastAsia" w:asciiTheme="minorEastAsia" w:hAnsiTheme="minorEastAsia" w:eastAsiaTheme="minorEastAsia" w:cstheme="minorEastAsia"/>
          <w:highlight w:val="none"/>
          <w:lang w:eastAsia="zh-CN"/>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29.7.5评审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评审小组应当将其作为无效投标处理。</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29.</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综合得分</w:t>
      </w:r>
    </w:p>
    <w:p>
      <w:pPr>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综合得分=商务技术部分得分+投标报价部分得分。</w:t>
      </w:r>
    </w:p>
    <w:p>
      <w:pPr>
        <w:spacing w:before="127" w:line="579" w:lineRule="exact"/>
        <w:ind w:left="581" w:right="3232"/>
        <w:rPr>
          <w:rStyle w:val="35"/>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详细评审的标准详见附表</w:t>
      </w:r>
      <w:r>
        <w:rPr>
          <w:rStyle w:val="35"/>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3</w:t>
      </w:r>
      <w:r>
        <w:rPr>
          <w:rStyle w:val="35"/>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w:t>
      </w:r>
    </w:p>
    <w:p>
      <w:pPr>
        <w:pStyle w:val="46"/>
        <w:spacing w:before="28" w:line="360" w:lineRule="auto"/>
        <w:ind w:left="581"/>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rPr>
          <w:rStyle w:val="35"/>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sectPr>
          <w:footerReference r:id="rId4" w:type="default"/>
          <w:pgSz w:w="11910" w:h="16840"/>
          <w:pgMar w:top="1480" w:right="1180" w:bottom="1180" w:left="1480" w:header="0" w:footer="912" w:gutter="0"/>
          <w:pgNumType w:fmt="decimal" w:start="1"/>
          <w:cols w:space="720" w:num="1"/>
        </w:sectPr>
      </w:pPr>
    </w:p>
    <w:p>
      <w:pPr>
        <w:spacing w:after="42" w:line="361" w:lineRule="exact"/>
        <w:ind w:left="169"/>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t>附表1：初步评审-</w:t>
      </w:r>
      <w:r>
        <w:rPr>
          <w:rStyle w:val="35"/>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t>资格</w:t>
      </w:r>
      <w:r>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t>性审查表</w:t>
      </w:r>
    </w:p>
    <w:tbl>
      <w:tblPr>
        <w:tblStyle w:val="28"/>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spacing w:before="1"/>
              <w:ind w:left="13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spacing w:before="1"/>
              <w:ind w:left="2412"/>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资格</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pPr>
              <w:pStyle w:val="44"/>
              <w:spacing w:before="157"/>
              <w:ind w:left="25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pP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84" w:type="dxa"/>
            <w:vMerge w:val="continue"/>
            <w:tcBorders>
              <w:top w:val="nil"/>
              <w:left w:val="single" w:color="000000" w:sz="4" w:space="0"/>
              <w:bottom w:val="single" w:color="000000" w:sz="4" w:space="0"/>
              <w:right w:val="single" w:color="000000" w:sz="4" w:space="0"/>
            </w:tcBorders>
          </w:tcPr>
          <w:p>
            <w:pP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31" w:type="dxa"/>
            <w:tcBorders>
              <w:top w:val="single" w:color="000000" w:sz="4" w:space="0"/>
              <w:left w:val="single" w:color="000000" w:sz="4" w:space="0"/>
              <w:bottom w:val="single" w:color="000000" w:sz="4" w:space="0"/>
              <w:right w:val="single" w:color="000000" w:sz="4" w:space="0"/>
            </w:tcBorders>
          </w:tcPr>
          <w:p>
            <w:pPr>
              <w:pStyle w:val="44"/>
              <w:spacing w:before="157"/>
              <w:ind w:left="235"/>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w:t>
            </w:r>
          </w:p>
        </w:tc>
        <w:tc>
          <w:tcPr>
            <w:tcW w:w="665" w:type="dxa"/>
            <w:tcBorders>
              <w:top w:val="single" w:color="000000" w:sz="4" w:space="0"/>
              <w:left w:val="single" w:color="000000" w:sz="4" w:space="0"/>
              <w:bottom w:val="single" w:color="000000" w:sz="4" w:space="0"/>
              <w:right w:val="single" w:color="000000" w:sz="4" w:space="0"/>
            </w:tcBorders>
          </w:tcPr>
          <w:p>
            <w:pPr>
              <w:pStyle w:val="44"/>
              <w:spacing w:before="157"/>
              <w:ind w:left="25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
              <w:rPr>
                <w:rStyle w:val="35"/>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44"/>
              <w:spacing w:before="1"/>
              <w:ind w:left="65"/>
              <w:jc w:val="cente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70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35"/>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具有独立承担民事责任的能力；（提供合法有效的营业执照）</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31" w:type="dxa"/>
            <w:tcBorders>
              <w:top w:val="single" w:color="000000" w:sz="4" w:space="0"/>
              <w:left w:val="single" w:color="000000" w:sz="4" w:space="0"/>
              <w:bottom w:val="single" w:color="000000" w:sz="4" w:space="0"/>
              <w:right w:val="single" w:color="000000" w:sz="4" w:space="0"/>
            </w:tcBorders>
            <w:vAlign w:val="center"/>
          </w:tcPr>
          <w:p>
            <w:pPr>
              <w:pStyle w:val="44"/>
              <w:spacing w:before="1"/>
              <w:ind w:left="65"/>
              <w:jc w:val="cente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70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35"/>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提供法定代表人身份证明或法定代表人授权委托书；</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5"/>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ind w:left="65"/>
              <w:jc w:val="cente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70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35"/>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有良好的商业信誉和健全的财务会计制度；（须提供相关证明材料，财务会计制度提供参加本次政府采购活动前一个月的会计报表或2021（或2022)年财务审计报告或近一个月银行开具的资信证明,成立不满一个月不需提供）；</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71"/>
              <w:ind w:left="65"/>
              <w:jc w:val="cente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70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35"/>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具有履行合同所必需的设备和专业技术能力；（根据项目需求提供履行合同所必需的设备和专业技术能力的证明材料或加盖单位章的书面承诺函）</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spacing w:before="154"/>
              <w:ind w:left="65"/>
              <w:jc w:val="cente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70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35"/>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有依法缴纳税收和社会保障资金的良好记录；（提供参加本次政府采购活动前六个月内（至少一个月）依法缴纳税收和社会保障资金的相关材料）</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2"/>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ind w:left="65"/>
              <w:jc w:val="cente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70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Style w:val="35"/>
                <w:rFonts w:hint="eastAsia" w:asciiTheme="minorEastAsia" w:hAnsiTheme="minorEastAsia" w:eastAsiaTheme="minorEastAsia" w:cstheme="minorEastAsia"/>
                <w:color w:val="000000" w:themeColor="text1"/>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参加政府采购活动前三年内，在经营活动中没有重大违法记录；（提供参加本次政府采购活动前3年内在经营活动中没有重大违法记录的书面承诺函并加盖单位章）</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vAlign w:val="top"/>
          </w:tcPr>
          <w:p>
            <w:pPr>
              <w:pStyle w:val="44"/>
              <w:spacing w:before="168"/>
              <w:ind w:left="65" w:leftChars="0"/>
              <w:jc w:val="cente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70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6"/>
                <w:szCs w:val="26"/>
                <w:highlight w:val="none"/>
                <w:u w:val="none"/>
                <w:lang w:val="en-US" w:eastAsia="zh-CN" w:bidi="ar"/>
              </w:rPr>
            </w:pPr>
            <w:r>
              <w:rPr>
                <w:rFonts w:hint="eastAsia" w:asciiTheme="minorEastAsia" w:hAnsiTheme="minorEastAsia" w:eastAsiaTheme="minorEastAsia" w:cstheme="minorEastAsia"/>
                <w:i w:val="0"/>
                <w:iCs w:val="0"/>
                <w:color w:val="000000"/>
                <w:kern w:val="0"/>
                <w:sz w:val="26"/>
                <w:szCs w:val="26"/>
                <w:highlight w:val="none"/>
                <w:u w:val="none"/>
                <w:lang w:val="en-US" w:eastAsia="zh-CN" w:bidi="ar"/>
              </w:rPr>
              <w:t>提供供应商无关联关系书面声明函；</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68"/>
              <w:ind w:left="65"/>
              <w:jc w:val="cente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70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6"/>
                <w:szCs w:val="26"/>
                <w:highlight w:val="none"/>
                <w:u w:val="none"/>
                <w:lang w:val="en-US" w:eastAsia="zh-CN" w:bidi="ar"/>
              </w:rPr>
            </w:pPr>
            <w:r>
              <w:rPr>
                <w:rFonts w:hint="eastAsia" w:ascii="宋体" w:hAnsi="宋体" w:eastAsia="宋体" w:cs="Times New Roman"/>
                <w:color w:val="auto"/>
                <w:sz w:val="24"/>
                <w:szCs w:val="24"/>
                <w:highlight w:val="none"/>
                <w:lang w:val="en-US" w:eastAsia="zh-CN"/>
              </w:rPr>
              <w:t>具有司法行政部门颁发的律师事务所执业证书</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68"/>
              <w:ind w:left="65"/>
              <w:jc w:val="cente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tc>
        <w:tc>
          <w:tcPr>
            <w:tcW w:w="70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6"/>
                <w:szCs w:val="26"/>
                <w:highlight w:val="none"/>
                <w:u w:val="none"/>
                <w:lang w:val="en-US" w:eastAsia="zh-CN" w:bidi="ar"/>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提供《中小企业声明函》，供应商必须为中小企业（含中型、小型、微型企业）。（监狱企业、残疾人福利性单位视同小微企业）</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7084" w:type="dxa"/>
            <w:tcBorders>
              <w:top w:val="single" w:color="000000" w:sz="4" w:space="0"/>
              <w:left w:val="single" w:color="000000" w:sz="4" w:space="0"/>
              <w:bottom w:val="single" w:color="000000" w:sz="4" w:space="0"/>
              <w:right w:val="single" w:color="000000" w:sz="4" w:space="0"/>
            </w:tcBorders>
          </w:tcPr>
          <w:p>
            <w:pPr>
              <w:pStyle w:val="44"/>
              <w:tabs>
                <w:tab w:val="left" w:pos="686"/>
              </w:tabs>
              <w:spacing w:before="121"/>
              <w:ind w:left="55"/>
              <w:jc w:val="cente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结论</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pStyle w:val="12"/>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pPr>
    </w:p>
    <w:p>
      <w:pPr>
        <w:spacing w:before="49"/>
        <w:ind w:left="531"/>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t>说明：（1）上述各项中用“√”表示通过，“×”表示不通过；</w:t>
      </w:r>
    </w:p>
    <w:p>
      <w:pPr>
        <w:spacing w:before="83" w:line="326" w:lineRule="auto"/>
        <w:ind w:left="171" w:right="208" w:firstLine="360"/>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5"/>
          <w:sz w:val="20"/>
          <w:szCs w:val="24"/>
          <w:highlight w:val="none"/>
          <w:lang w:eastAsia="zh-CN"/>
          <w14:textFill>
            <w14:solidFill>
              <w14:schemeClr w14:val="tx1"/>
            </w14:solidFill>
          </w14:textFill>
        </w:rPr>
        <w:t>（2）上述各项中如有一项为“×”，则结论为“×”，表示该响应文件不能通过</w:t>
      </w:r>
      <w:r>
        <w:rPr>
          <w:rStyle w:val="35"/>
          <w:rFonts w:hint="eastAsia" w:asciiTheme="minorEastAsia" w:hAnsiTheme="minorEastAsia" w:eastAsiaTheme="minorEastAsia" w:cstheme="minorEastAsia"/>
          <w:color w:val="000000" w:themeColor="text1"/>
          <w:spacing w:val="-5"/>
          <w:sz w:val="20"/>
          <w:szCs w:val="24"/>
          <w:highlight w:val="none"/>
          <w:lang w:val="en-US" w:eastAsia="zh-CN"/>
          <w14:textFill>
            <w14:solidFill>
              <w14:schemeClr w14:val="tx1"/>
            </w14:solidFill>
          </w14:textFill>
        </w:rPr>
        <w:t>资格审查，其响应文件不予评审</w:t>
      </w:r>
      <w:r>
        <w:rPr>
          <w:rStyle w:val="35"/>
          <w:rFonts w:hint="eastAsia" w:asciiTheme="minorEastAsia" w:hAnsiTheme="minorEastAsia" w:eastAsiaTheme="minorEastAsia" w:cstheme="minorEastAsia"/>
          <w:color w:val="000000" w:themeColor="text1"/>
          <w:spacing w:val="-5"/>
          <w:sz w:val="20"/>
          <w:szCs w:val="24"/>
          <w:highlight w:val="none"/>
          <w:lang w:eastAsia="zh-CN"/>
          <w14:textFill>
            <w14:solidFill>
              <w14:schemeClr w14:val="tx1"/>
            </w14:solidFill>
          </w14:textFill>
        </w:rPr>
        <w:t>。</w:t>
      </w:r>
    </w:p>
    <w:p>
      <w:pPr>
        <w:spacing w:before="83" w:line="326" w:lineRule="auto"/>
        <w:ind w:left="171" w:right="122" w:firstLine="360"/>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t>（</w:t>
      </w:r>
      <w:r>
        <w:rPr>
          <w:rStyle w:val="35"/>
          <w:rFonts w:hint="eastAsia" w:asciiTheme="minorEastAsia" w:hAnsiTheme="minorEastAsia" w:eastAsiaTheme="minorEastAsia" w:cstheme="minorEastAsia"/>
          <w:color w:val="000000" w:themeColor="text1"/>
          <w:sz w:val="20"/>
          <w:szCs w:val="24"/>
          <w:highlight w:val="none"/>
          <w:lang w:val="en-US" w:eastAsia="zh-CN"/>
          <w14:textFill>
            <w14:solidFill>
              <w14:schemeClr w14:val="tx1"/>
            </w14:solidFill>
          </w14:textFill>
        </w:rPr>
        <w:t>3</w:t>
      </w:r>
      <w:r>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t>）供应商请认真阅读和理解上述内容，避免响应文件中有违背上述审查标准之一的情况发生而造成投标被否决。</w:t>
      </w:r>
    </w:p>
    <w:p>
      <w:pPr>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pPr>
    </w:p>
    <w:p>
      <w:pPr>
        <w:pStyle w:val="2"/>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pPr>
    </w:p>
    <w:p>
      <w:pPr>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pPr>
    </w:p>
    <w:p>
      <w:pPr>
        <w:pStyle w:val="2"/>
        <w:rPr>
          <w:rFonts w:hint="eastAsia"/>
          <w:lang w:eastAsia="zh-CN"/>
        </w:rPr>
      </w:pPr>
    </w:p>
    <w:p>
      <w:pPr>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pPr>
    </w:p>
    <w:p>
      <w:pPr>
        <w:pStyle w:val="12"/>
        <w:rPr>
          <w:rFonts w:hint="eastAsia" w:asciiTheme="minorEastAsia" w:hAnsiTheme="minorEastAsia" w:eastAsiaTheme="minorEastAsia" w:cstheme="minorEastAsia"/>
          <w:highlight w:val="none"/>
          <w:lang w:eastAsia="zh-CN"/>
        </w:rPr>
      </w:pPr>
      <w:r>
        <w:rPr>
          <w:rStyle w:val="35"/>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t>附表2：</w:t>
      </w:r>
      <w:r>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t>初步评审-</w:t>
      </w:r>
      <w:r>
        <w:rPr>
          <w:rStyle w:val="35"/>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t>符合</w:t>
      </w:r>
      <w:r>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t>性审查表</w:t>
      </w:r>
    </w:p>
    <w:tbl>
      <w:tblPr>
        <w:tblStyle w:val="28"/>
        <w:tblW w:w="901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7084"/>
        <w:gridCol w:w="631"/>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5" w:hRule="atLeast"/>
        </w:trPr>
        <w:tc>
          <w:tcPr>
            <w:tcW w:w="631" w:type="dxa"/>
            <w:vMerge w:val="restart"/>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spacing w:before="1"/>
              <w:ind w:left="13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7084" w:type="dxa"/>
            <w:vMerge w:val="restart"/>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spacing w:before="1"/>
              <w:ind w:left="2412"/>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响应文件符合性审查内容</w:t>
            </w:r>
          </w:p>
        </w:tc>
        <w:tc>
          <w:tcPr>
            <w:tcW w:w="1296" w:type="dxa"/>
            <w:gridSpan w:val="2"/>
            <w:tcBorders>
              <w:top w:val="single" w:color="000000" w:sz="4" w:space="0"/>
              <w:left w:val="single" w:color="000000" w:sz="4" w:space="0"/>
              <w:bottom w:val="single" w:color="000000" w:sz="4" w:space="0"/>
              <w:right w:val="single" w:color="000000" w:sz="4" w:space="0"/>
            </w:tcBorders>
          </w:tcPr>
          <w:p>
            <w:pPr>
              <w:pStyle w:val="44"/>
              <w:spacing w:before="157"/>
              <w:ind w:left="25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评审意见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atLeast"/>
        </w:trPr>
        <w:tc>
          <w:tcPr>
            <w:tcW w:w="631" w:type="dxa"/>
            <w:vMerge w:val="continue"/>
            <w:tcBorders>
              <w:top w:val="nil"/>
              <w:left w:val="single" w:color="000000" w:sz="4" w:space="0"/>
              <w:bottom w:val="single" w:color="000000" w:sz="4" w:space="0"/>
              <w:right w:val="single" w:color="000000" w:sz="4" w:space="0"/>
            </w:tcBorders>
          </w:tcPr>
          <w:p>
            <w:pP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7084" w:type="dxa"/>
            <w:vMerge w:val="continue"/>
            <w:tcBorders>
              <w:top w:val="nil"/>
              <w:left w:val="single" w:color="000000" w:sz="4" w:space="0"/>
              <w:bottom w:val="single" w:color="000000" w:sz="4" w:space="0"/>
              <w:right w:val="single" w:color="000000" w:sz="4" w:space="0"/>
            </w:tcBorders>
          </w:tcPr>
          <w:p>
            <w:pP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31" w:type="dxa"/>
            <w:tcBorders>
              <w:top w:val="single" w:color="000000" w:sz="4" w:space="0"/>
              <w:left w:val="single" w:color="000000" w:sz="4" w:space="0"/>
              <w:bottom w:val="single" w:color="000000" w:sz="4" w:space="0"/>
              <w:right w:val="single" w:color="000000" w:sz="4" w:space="0"/>
            </w:tcBorders>
          </w:tcPr>
          <w:p>
            <w:pPr>
              <w:pStyle w:val="44"/>
              <w:spacing w:before="157"/>
              <w:ind w:left="235"/>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是</w:t>
            </w:r>
          </w:p>
        </w:tc>
        <w:tc>
          <w:tcPr>
            <w:tcW w:w="665" w:type="dxa"/>
            <w:tcBorders>
              <w:top w:val="single" w:color="000000" w:sz="4" w:space="0"/>
              <w:left w:val="single" w:color="000000" w:sz="4" w:space="0"/>
              <w:bottom w:val="single" w:color="000000" w:sz="4" w:space="0"/>
              <w:right w:val="single" w:color="000000" w:sz="4" w:space="0"/>
            </w:tcBorders>
          </w:tcPr>
          <w:p>
            <w:pPr>
              <w:pStyle w:val="44"/>
              <w:spacing w:before="157"/>
              <w:ind w:left="25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
              <w:rPr>
                <w:rStyle w:val="35"/>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44"/>
              <w:spacing w:before="1"/>
              <w:ind w:left="65"/>
              <w:jc w:val="cente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114" w:line="242" w:lineRule="auto"/>
              <w:ind w:left="55" w:right="72"/>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凡竞争性磋商文件中要求盖章或签字处，是否按要求加盖单位公章、法定代表人或被授权委托人签字或盖章的。</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5"/>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ind w:left="65"/>
              <w:jc w:val="cente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49" w:line="244" w:lineRule="auto"/>
              <w:ind w:left="55" w:right="72"/>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响应文件组成齐全完整，内容均按规定填写；响应文件的关键内容无字迹模糊、无法辨认的情形。</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71"/>
              <w:ind w:left="65"/>
              <w:jc w:val="cente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122"/>
              <w:ind w:left="55"/>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供应商按照竞争性磋商文件规定的金额、形式、时效和内容提供了投标担保</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0" w:hRule="atLeast"/>
        </w:trPr>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spacing w:before="154"/>
              <w:ind w:left="65"/>
              <w:jc w:val="cente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112" w:line="244" w:lineRule="auto"/>
              <w:ind w:left="55" w:right="72"/>
              <w:jc w:val="both"/>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响应文件是否实质上响应了竞争性磋商文件的要求。实质上响应的投标应该是与竞争性磋商文件要求的全部条款、条件等相符，没有重大偏离或保留的投标。</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2"/>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p>
          <w:p>
            <w:pPr>
              <w:pStyle w:val="44"/>
              <w:ind w:left="65"/>
              <w:jc w:val="cente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49" w:line="242" w:lineRule="auto"/>
              <w:ind w:left="55" w:right="32"/>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一份响应文件应只有一个投标报价，在竞争性磋商文件没有规定的情况下，未提交选择性的报价。</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71"/>
              <w:ind w:left="65"/>
              <w:jc w:val="cente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6</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171"/>
              <w:ind w:left="65"/>
              <w:jc w:val="left"/>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投标报价未超出最高限价，且按照要求提供报价明细表。</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71"/>
              <w:ind w:left="65"/>
              <w:jc w:val="cente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7</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171"/>
              <w:ind w:left="65"/>
              <w:jc w:val="left"/>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供应商的合同履行期限未超出竞争性磋商文件规定的期限要求。</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71"/>
              <w:ind w:left="65"/>
              <w:jc w:val="cente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121"/>
              <w:ind w:left="55"/>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供应商未提出不同的验收、计量、支付办法。</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71"/>
              <w:ind w:left="218" w:right="153"/>
              <w:jc w:val="cente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121"/>
              <w:ind w:left="55"/>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响应文件未附有采购人不能接受的附加条件的。</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71"/>
              <w:ind w:left="218" w:right="153"/>
              <w:jc w:val="cente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121"/>
              <w:ind w:left="55"/>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不存在与其他供应商相互串通报价，或者与采购人串通投标的情形。</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31" w:type="dxa"/>
            <w:tcBorders>
              <w:top w:val="single" w:color="000000" w:sz="4" w:space="0"/>
              <w:left w:val="single" w:color="000000" w:sz="4" w:space="0"/>
              <w:bottom w:val="single" w:color="000000" w:sz="4" w:space="0"/>
              <w:right w:val="single" w:color="000000" w:sz="4" w:space="0"/>
            </w:tcBorders>
          </w:tcPr>
          <w:p>
            <w:pPr>
              <w:pStyle w:val="44"/>
              <w:spacing w:before="171"/>
              <w:ind w:left="218" w:right="153"/>
              <w:jc w:val="cente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11</w:t>
            </w:r>
          </w:p>
        </w:tc>
        <w:tc>
          <w:tcPr>
            <w:tcW w:w="7084" w:type="dxa"/>
            <w:tcBorders>
              <w:top w:val="single" w:color="000000" w:sz="4" w:space="0"/>
              <w:left w:val="single" w:color="000000" w:sz="4" w:space="0"/>
              <w:bottom w:val="single" w:color="000000" w:sz="4" w:space="0"/>
              <w:right w:val="single" w:color="000000" w:sz="4" w:space="0"/>
            </w:tcBorders>
          </w:tcPr>
          <w:p>
            <w:pPr>
              <w:pStyle w:val="44"/>
              <w:spacing w:before="121"/>
              <w:ind w:left="55"/>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不存在法律、法规和竞争性磋商文件规定的其他无效情形。</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tc>
        <w:tc>
          <w:tcPr>
            <w:tcW w:w="7084" w:type="dxa"/>
            <w:tcBorders>
              <w:top w:val="single" w:color="000000" w:sz="4" w:space="0"/>
              <w:left w:val="single" w:color="000000" w:sz="4" w:space="0"/>
              <w:bottom w:val="single" w:color="000000" w:sz="4" w:space="0"/>
              <w:right w:val="single" w:color="000000" w:sz="4" w:space="0"/>
            </w:tcBorders>
          </w:tcPr>
          <w:p>
            <w:pPr>
              <w:pStyle w:val="44"/>
              <w:tabs>
                <w:tab w:val="left" w:pos="686"/>
              </w:tabs>
              <w:spacing w:before="121"/>
              <w:ind w:left="55"/>
              <w:jc w:val="cente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结论</w:t>
            </w:r>
          </w:p>
        </w:tc>
        <w:tc>
          <w:tcPr>
            <w:tcW w:w="631"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665" w:type="dxa"/>
            <w:tcBorders>
              <w:top w:val="single" w:color="000000" w:sz="4" w:space="0"/>
              <w:left w:val="single" w:color="000000" w:sz="4" w:space="0"/>
              <w:bottom w:val="single" w:color="000000" w:sz="4" w:space="0"/>
              <w:right w:val="single" w:color="000000" w:sz="4" w:space="0"/>
            </w:tcBorders>
          </w:tcPr>
          <w:p>
            <w:pPr>
              <w:pStyle w:val="44"/>
              <w:rPr>
                <w:rStyle w:val="35"/>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spacing w:before="49"/>
        <w:ind w:left="531"/>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t>说明：（1）上述各项中用“√”表示通过，“×”表示不通过；</w:t>
      </w:r>
    </w:p>
    <w:p>
      <w:pPr>
        <w:spacing w:before="83" w:line="326" w:lineRule="auto"/>
        <w:ind w:left="171" w:right="208" w:firstLine="360"/>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5"/>
          <w:sz w:val="20"/>
          <w:szCs w:val="24"/>
          <w:highlight w:val="none"/>
          <w:lang w:eastAsia="zh-CN"/>
          <w14:textFill>
            <w14:solidFill>
              <w14:schemeClr w14:val="tx1"/>
            </w14:solidFill>
          </w14:textFill>
        </w:rPr>
        <w:t>（2）上述各项中如有一项为“×”，则结论为“×”，表示该响应文件中存在重大偏差，不能通过初步评审评委对某一分项评审认为不合格时，必须要写明原因。</w:t>
      </w:r>
    </w:p>
    <w:p>
      <w:pPr>
        <w:spacing w:before="20"/>
        <w:ind w:left="531"/>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t>（3）响应文件最终合格与否，以所有评委的评审意见中少数服从多数为原则定论。</w:t>
      </w:r>
    </w:p>
    <w:p>
      <w:pPr>
        <w:spacing w:before="83" w:line="326" w:lineRule="auto"/>
        <w:ind w:left="171" w:right="122" w:firstLine="360"/>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0"/>
          <w:szCs w:val="24"/>
          <w:highlight w:val="none"/>
          <w:lang w:eastAsia="zh-CN"/>
          <w14:textFill>
            <w14:solidFill>
              <w14:schemeClr w14:val="tx1"/>
            </w14:solidFill>
          </w14:textFill>
        </w:rPr>
        <w:t>（4）供应商请认真阅读和理解上述内容，避免响应文件中有违背上述审查标准之一的情况发生而造成投标被否决。</w:t>
      </w:r>
    </w:p>
    <w:p>
      <w:pPr>
        <w:spacing w:line="333" w:lineRule="exact"/>
        <w:ind w:left="169"/>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pPr>
    </w:p>
    <w:p>
      <w:pPr>
        <w:spacing w:before="32"/>
        <w:ind w:left="169"/>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pPr>
    </w:p>
    <w:p>
      <w:pPr>
        <w:rPr>
          <w:rStyle w:val="35"/>
          <w:rFonts w:hint="eastAsia" w:asciiTheme="minorEastAsia" w:hAnsiTheme="minorEastAsia" w:eastAsiaTheme="minorEastAsia" w:cstheme="minorEastAsia"/>
          <w:color w:val="000000" w:themeColor="text1"/>
          <w:sz w:val="28"/>
          <w:highlight w:val="none"/>
          <w:lang w:eastAsia="zh-CN"/>
          <w14:textFill>
            <w14:solidFill>
              <w14:schemeClr w14:val="tx1"/>
            </w14:solidFill>
          </w14:textFill>
        </w:rPr>
        <w:sectPr>
          <w:pgSz w:w="11910" w:h="16840"/>
          <w:pgMar w:top="1420" w:right="1240" w:bottom="1180" w:left="1420" w:header="0" w:footer="912" w:gutter="0"/>
          <w:pgNumType w:fmt="decimal"/>
          <w:cols w:space="720" w:num="1"/>
        </w:sectPr>
      </w:pPr>
    </w:p>
    <w:p>
      <w:pPr>
        <w:keepNext w:val="0"/>
        <w:keepLines w:val="0"/>
        <w:pageBreakBefore w:val="0"/>
        <w:kinsoku/>
        <w:wordWrap/>
        <w:overflowPunct/>
        <w:topLinePunct w:val="0"/>
        <w:bidi w:val="0"/>
        <w:spacing w:line="361" w:lineRule="exact"/>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t>附表</w:t>
      </w:r>
      <w:r>
        <w:rPr>
          <w:rStyle w:val="35"/>
          <w:rFonts w:hint="eastAsia" w:asciiTheme="minorEastAsia" w:hAnsiTheme="minorEastAsia" w:eastAsiaTheme="minorEastAsia" w:cstheme="minorEastAsia"/>
          <w:b/>
          <w:color w:val="000000" w:themeColor="text1"/>
          <w:sz w:val="28"/>
          <w:highlight w:val="none"/>
          <w:lang w:val="en-US" w:eastAsia="zh-CN"/>
          <w14:textFill>
            <w14:solidFill>
              <w14:schemeClr w14:val="tx1"/>
            </w14:solidFill>
          </w14:textFill>
        </w:rPr>
        <w:t>3</w:t>
      </w:r>
      <w:r>
        <w:rPr>
          <w:rStyle w:val="35"/>
          <w:rFonts w:hint="eastAsia" w:asciiTheme="minorEastAsia" w:hAnsiTheme="minorEastAsia" w:eastAsiaTheme="minorEastAsia" w:cstheme="minorEastAsia"/>
          <w:b/>
          <w:color w:val="000000" w:themeColor="text1"/>
          <w:sz w:val="28"/>
          <w:highlight w:val="none"/>
          <w:lang w:eastAsia="zh-CN"/>
          <w14:textFill>
            <w14:solidFill>
              <w14:schemeClr w14:val="tx1"/>
            </w14:solidFill>
          </w14:textFill>
        </w:rPr>
        <w:t>：详细评审标准</w:t>
      </w:r>
    </w:p>
    <w:tbl>
      <w:tblPr>
        <w:tblStyle w:val="29"/>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2"/>
        <w:gridCol w:w="7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962" w:type="dxa"/>
            <w:vMerge w:val="restart"/>
            <w:noWrap w:val="0"/>
            <w:vAlign w:val="center"/>
          </w:tcPr>
          <w:p>
            <w:pPr>
              <w:widowControl w:val="0"/>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zh-CN" w:eastAsia="zh-CN"/>
              </w:rPr>
              <w:t>商务部分（</w:t>
            </w:r>
            <w:r>
              <w:rPr>
                <w:rFonts w:hint="eastAsia" w:ascii="宋体" w:hAnsi="宋体" w:eastAsia="宋体" w:cs="宋体"/>
                <w:sz w:val="24"/>
                <w:szCs w:val="24"/>
                <w:lang w:val="en-US" w:eastAsia="zh-CN"/>
              </w:rPr>
              <w:t>45</w:t>
            </w:r>
            <w:r>
              <w:rPr>
                <w:rFonts w:hint="eastAsia" w:ascii="宋体" w:hAnsi="宋体" w:eastAsia="宋体" w:cs="宋体"/>
                <w:sz w:val="24"/>
                <w:szCs w:val="24"/>
                <w:lang w:val="zh-CN" w:eastAsia="zh-CN"/>
              </w:rPr>
              <w:t>分）</w:t>
            </w:r>
          </w:p>
        </w:tc>
        <w:tc>
          <w:tcPr>
            <w:tcW w:w="7462" w:type="dxa"/>
            <w:noWrap w:val="0"/>
            <w:vAlign w:val="top"/>
          </w:tcPr>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业绩评分（15分）：</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default" w:ascii="宋体" w:hAnsi="宋体" w:eastAsia="宋体" w:cs="宋体"/>
                <w:sz w:val="24"/>
                <w:szCs w:val="24"/>
                <w:lang w:val="en-US" w:eastAsia="zh-CN"/>
              </w:rPr>
              <w:t>供应商近三年（20</w:t>
            </w:r>
            <w:r>
              <w:rPr>
                <w:rFonts w:hint="eastAsia" w:ascii="宋体" w:hAnsi="宋体" w:eastAsia="宋体" w:cs="宋体"/>
                <w:sz w:val="24"/>
                <w:szCs w:val="24"/>
                <w:lang w:val="en-US" w:eastAsia="zh-CN"/>
              </w:rPr>
              <w:t>20</w:t>
            </w:r>
            <w:r>
              <w:rPr>
                <w:rFonts w:hint="default" w:ascii="宋体" w:hAnsi="宋体" w:eastAsia="宋体" w:cs="宋体"/>
                <w:sz w:val="24"/>
                <w:szCs w:val="24"/>
                <w:lang w:val="en-US" w:eastAsia="zh-CN"/>
              </w:rPr>
              <w:t>年1月1日-至今）</w:t>
            </w:r>
            <w:r>
              <w:rPr>
                <w:rFonts w:hint="eastAsia" w:ascii="宋体" w:hAnsi="宋体" w:eastAsia="宋体" w:cs="宋体"/>
                <w:sz w:val="24"/>
                <w:szCs w:val="24"/>
                <w:lang w:val="en-US" w:eastAsia="zh-CN"/>
              </w:rPr>
              <w:t>在</w:t>
            </w:r>
            <w:r>
              <w:rPr>
                <w:rFonts w:hint="default" w:ascii="宋体" w:hAnsi="宋体" w:eastAsia="宋体" w:cs="宋体"/>
                <w:sz w:val="24"/>
                <w:szCs w:val="24"/>
                <w:lang w:val="en-US" w:eastAsia="zh-CN"/>
              </w:rPr>
              <w:t>医疗机构从事医疗诉讼</w:t>
            </w:r>
            <w:r>
              <w:rPr>
                <w:rFonts w:hint="eastAsia" w:ascii="宋体" w:hAnsi="宋体" w:eastAsia="宋体" w:cs="宋体"/>
                <w:sz w:val="24"/>
                <w:szCs w:val="24"/>
                <w:lang w:val="en-US" w:eastAsia="zh-CN"/>
              </w:rPr>
              <w:t>类</w:t>
            </w:r>
            <w:r>
              <w:rPr>
                <w:rFonts w:hint="default" w:ascii="宋体" w:hAnsi="宋体" w:eastAsia="宋体" w:cs="宋体"/>
                <w:sz w:val="24"/>
                <w:szCs w:val="24"/>
                <w:lang w:val="en-US" w:eastAsia="zh-CN"/>
              </w:rPr>
              <w:t>法律</w:t>
            </w:r>
            <w:r>
              <w:rPr>
                <w:rFonts w:hint="eastAsia" w:ascii="宋体" w:hAnsi="宋体" w:eastAsia="宋体" w:cs="宋体"/>
                <w:sz w:val="24"/>
                <w:szCs w:val="24"/>
                <w:lang w:val="en-US" w:eastAsia="zh-CN"/>
              </w:rPr>
              <w:t>顾问业绩</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提供一项得2分，</w:t>
            </w:r>
            <w:r>
              <w:rPr>
                <w:rFonts w:hint="default" w:ascii="宋体" w:hAnsi="宋体" w:eastAsia="宋体" w:cs="宋体"/>
                <w:sz w:val="24"/>
                <w:szCs w:val="24"/>
                <w:lang w:val="en-US" w:eastAsia="zh-CN"/>
              </w:rPr>
              <w:t>最高得</w:t>
            </w:r>
            <w:r>
              <w:rPr>
                <w:rFonts w:hint="eastAsia" w:ascii="宋体" w:hAnsi="宋体" w:eastAsia="宋体" w:cs="宋体"/>
                <w:sz w:val="24"/>
                <w:szCs w:val="24"/>
                <w:lang w:val="en-US" w:eastAsia="zh-CN"/>
              </w:rPr>
              <w:t>10</w:t>
            </w:r>
            <w:r>
              <w:rPr>
                <w:rFonts w:hint="default" w:ascii="宋体" w:hAnsi="宋体" w:eastAsia="宋体" w:cs="宋体"/>
                <w:sz w:val="24"/>
                <w:szCs w:val="24"/>
                <w:lang w:val="en-US" w:eastAsia="zh-CN"/>
              </w:rPr>
              <w:t>分</w:t>
            </w:r>
            <w:r>
              <w:rPr>
                <w:rFonts w:hint="eastAsia" w:ascii="宋体" w:hAnsi="宋体" w:eastAsia="宋体" w:cs="宋体"/>
                <w:sz w:val="24"/>
                <w:szCs w:val="24"/>
                <w:lang w:val="en-US" w:eastAsia="zh-CN"/>
              </w:rPr>
              <w:t>；</w:t>
            </w:r>
          </w:p>
          <w:p>
            <w:pPr>
              <w:widowControl w:val="0"/>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default" w:ascii="宋体" w:hAnsi="宋体" w:eastAsia="宋体" w:cs="宋体"/>
                <w:sz w:val="24"/>
                <w:szCs w:val="24"/>
                <w:lang w:val="en-US" w:eastAsia="zh-CN"/>
              </w:rPr>
              <w:t>供应商近三年（20</w:t>
            </w:r>
            <w:r>
              <w:rPr>
                <w:rFonts w:hint="eastAsia" w:ascii="宋体" w:hAnsi="宋体" w:eastAsia="宋体" w:cs="宋体"/>
                <w:sz w:val="24"/>
                <w:szCs w:val="24"/>
                <w:lang w:val="en-US" w:eastAsia="zh-CN"/>
              </w:rPr>
              <w:t>20</w:t>
            </w:r>
            <w:r>
              <w:rPr>
                <w:rFonts w:hint="default" w:ascii="宋体" w:hAnsi="宋体" w:eastAsia="宋体" w:cs="宋体"/>
                <w:sz w:val="24"/>
                <w:szCs w:val="24"/>
                <w:lang w:val="en-US" w:eastAsia="zh-CN"/>
              </w:rPr>
              <w:t>年1月1日-至今）</w:t>
            </w:r>
            <w:r>
              <w:rPr>
                <w:rFonts w:hint="eastAsia" w:ascii="宋体" w:hAnsi="宋体" w:eastAsia="宋体" w:cs="宋体"/>
                <w:sz w:val="24"/>
                <w:szCs w:val="24"/>
                <w:lang w:val="en-US" w:eastAsia="zh-CN"/>
              </w:rPr>
              <w:t>政府事业单位诉讼类法律顾问业绩，每提供1项得1分，最高得5分</w:t>
            </w:r>
            <w:r>
              <w:rPr>
                <w:rFonts w:hint="default" w:ascii="宋体" w:hAnsi="宋体" w:eastAsia="宋体" w:cs="宋体"/>
                <w:sz w:val="24"/>
                <w:szCs w:val="24"/>
                <w:lang w:val="en-US" w:eastAsia="zh-CN"/>
              </w:rPr>
              <w:t>（须提</w:t>
            </w:r>
          </w:p>
          <w:p>
            <w:pPr>
              <w:widowControl w:val="0"/>
              <w:numPr>
                <w:ilvl w:val="0"/>
                <w:numId w:val="0"/>
              </w:numPr>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供中标通知书或成交通知书及项目法律服务委托协议复印件，其中需能体现出协议双方、签署时间、项目内容等信息，否则不确定为有效业绩）。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962" w:type="dxa"/>
            <w:vMerge w:val="continue"/>
            <w:noWrap w:val="0"/>
            <w:vAlign w:val="center"/>
          </w:tcPr>
          <w:p>
            <w:pPr>
              <w:widowControl w:val="0"/>
              <w:numPr>
                <w:ilvl w:val="0"/>
                <w:numId w:val="0"/>
              </w:numPr>
              <w:spacing w:line="360" w:lineRule="auto"/>
              <w:jc w:val="both"/>
              <w:rPr>
                <w:rFonts w:hint="eastAsia" w:ascii="宋体" w:hAnsi="宋体" w:eastAsia="宋体" w:cs="宋体"/>
                <w:sz w:val="24"/>
                <w:szCs w:val="24"/>
                <w:lang w:val="en-US" w:eastAsia="zh-CN"/>
              </w:rPr>
            </w:pPr>
          </w:p>
        </w:tc>
        <w:tc>
          <w:tcPr>
            <w:tcW w:w="7462" w:type="dxa"/>
            <w:noWrap w:val="0"/>
            <w:vAlign w:val="top"/>
          </w:tcPr>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项目负责人业绩评审（5分）：</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项目负责人近三年（2020年1月1日-至今）担任</w:t>
            </w:r>
            <w:r>
              <w:rPr>
                <w:rFonts w:hint="default" w:ascii="宋体" w:hAnsi="宋体" w:eastAsia="宋体" w:cs="宋体"/>
                <w:sz w:val="24"/>
                <w:szCs w:val="24"/>
                <w:lang w:val="en-US" w:eastAsia="zh-CN"/>
              </w:rPr>
              <w:t>三级甲等医疗机构从事医疗诉讼</w:t>
            </w:r>
            <w:r>
              <w:rPr>
                <w:rFonts w:hint="eastAsia" w:ascii="宋体" w:hAnsi="宋体" w:eastAsia="宋体" w:cs="宋体"/>
                <w:sz w:val="24"/>
                <w:szCs w:val="24"/>
                <w:lang w:val="en-US" w:eastAsia="zh-CN"/>
              </w:rPr>
              <w:t>类</w:t>
            </w:r>
            <w:r>
              <w:rPr>
                <w:rFonts w:hint="default" w:ascii="宋体" w:hAnsi="宋体" w:eastAsia="宋体" w:cs="宋体"/>
                <w:sz w:val="24"/>
                <w:szCs w:val="24"/>
                <w:lang w:val="en-US" w:eastAsia="zh-CN"/>
              </w:rPr>
              <w:t>法律</w:t>
            </w:r>
            <w:r>
              <w:rPr>
                <w:rFonts w:hint="eastAsia" w:ascii="宋体" w:hAnsi="宋体" w:eastAsia="宋体" w:cs="宋体"/>
                <w:sz w:val="24"/>
                <w:szCs w:val="24"/>
                <w:lang w:val="en-US" w:eastAsia="zh-CN"/>
              </w:rPr>
              <w:t>顾问业绩，每提供1项得2.5分，最高得5分（须提供中标通知书或成交通知书及项目法律服务委托协议复印件，其中需能体现出协议双方、签署时间、项目内容等信息，否则不确定为有效业绩；注：业绩证明材料须反映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2" w:type="dxa"/>
            <w:vMerge w:val="continue"/>
            <w:noWrap w:val="0"/>
            <w:vAlign w:val="center"/>
          </w:tcPr>
          <w:p>
            <w:pPr>
              <w:widowControl w:val="0"/>
              <w:numPr>
                <w:ilvl w:val="0"/>
                <w:numId w:val="0"/>
              </w:numPr>
              <w:spacing w:line="360" w:lineRule="auto"/>
              <w:jc w:val="both"/>
              <w:rPr>
                <w:rFonts w:hint="eastAsia" w:ascii="宋体" w:hAnsi="宋体" w:eastAsia="宋体" w:cs="宋体"/>
                <w:sz w:val="24"/>
                <w:szCs w:val="24"/>
                <w:lang w:val="en-US" w:eastAsia="zh-CN"/>
              </w:rPr>
            </w:pPr>
          </w:p>
        </w:tc>
        <w:tc>
          <w:tcPr>
            <w:tcW w:w="7462" w:type="dxa"/>
            <w:noWrap w:val="0"/>
            <w:vAlign w:val="top"/>
          </w:tcPr>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服务团队人员配备（25分）：</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依据专业、从业经历、配备人员执业年限及人员配备合理性进行评价：（1）服务团队成员执业年限（含法官检察官年限）为10年以上的，每提供一人得2分，最高得10分（须提供执业证书复印件的）；</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（2）服务团队律师曾从事过三级甲等医疗机构医疗诉讼法律服务工作的，得5分。（须提供相应证明材料）；</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（3）投标人服务团队律师近两年在三甲医院担任伦理委员会委员的，担任委员的每一名律师得5分，最高不超过10分。</w:t>
            </w:r>
          </w:p>
          <w:p>
            <w:pPr>
              <w:widowControl w:val="0"/>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应保证团队人员的稳定性，并提供保障上述人员稳定且项目负责人具体参与项目服务的承诺。如遇特殊情况确需更换人员的，应提前向甲方告知并取得甲方同意，所更换人员资质、能力不得低于拟更换人员，不对甲方造成任何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962" w:type="dxa"/>
            <w:vMerge w:val="restart"/>
            <w:noWrap w:val="0"/>
            <w:vAlign w:val="center"/>
          </w:tcPr>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技术部分（</w:t>
            </w:r>
            <w:r>
              <w:rPr>
                <w:rFonts w:hint="eastAsia" w:ascii="宋体" w:hAnsi="宋体" w:eastAsia="宋体" w:cs="宋体"/>
                <w:sz w:val="24"/>
                <w:szCs w:val="24"/>
                <w:lang w:val="en-US" w:eastAsia="zh-CN"/>
              </w:rPr>
              <w:t>45</w:t>
            </w:r>
            <w:r>
              <w:rPr>
                <w:rFonts w:hint="eastAsia" w:ascii="宋体" w:hAnsi="宋体" w:eastAsia="宋体" w:cs="宋体"/>
                <w:sz w:val="24"/>
                <w:szCs w:val="24"/>
                <w:lang w:val="zh-CN" w:eastAsia="zh-CN"/>
              </w:rPr>
              <w:t>分）</w:t>
            </w:r>
          </w:p>
        </w:tc>
        <w:tc>
          <w:tcPr>
            <w:tcW w:w="7462" w:type="dxa"/>
            <w:noWrap w:val="0"/>
            <w:vAlign w:val="top"/>
          </w:tcPr>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服务实施方案（30分）：</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（1）对项目服务需求理解透彻，对项目重点难点的理解到位，提出的重点难点有利于项目实施，优于服务需求的得 6-10分；对服务需求理解一般透彻，对项目重点难点理解基本到位，基本符合服务需求的得1-5分；</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（2）根据投标人所提供的的服务方案（包括但不限于服务目标、服务内容、 服务承诺、项目实施方案、详细计划、服务人员等）进行评审：服务方案完整、详细、合理可行，优于采购需求的得 15-20分；服务方案比较完整、详细、合理可行，比较满足采购需求的得 9-14 分；服务方案比较完整、详细、合理可行，基本满足采购需求的得 1-8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962" w:type="dxa"/>
            <w:vMerge w:val="continue"/>
            <w:noWrap w:val="0"/>
            <w:vAlign w:val="center"/>
          </w:tcPr>
          <w:p>
            <w:pPr>
              <w:widowControl w:val="0"/>
              <w:spacing w:line="360" w:lineRule="auto"/>
              <w:jc w:val="both"/>
              <w:rPr>
                <w:rFonts w:hint="eastAsia" w:ascii="宋体" w:hAnsi="宋体"/>
                <w:color w:val="auto"/>
                <w:szCs w:val="28"/>
              </w:rPr>
            </w:pPr>
          </w:p>
        </w:tc>
        <w:tc>
          <w:tcPr>
            <w:tcW w:w="7462" w:type="dxa"/>
            <w:noWrap w:val="0"/>
            <w:vAlign w:val="top"/>
          </w:tcPr>
          <w:p>
            <w:pPr>
              <w:widowControl w:val="0"/>
              <w:numPr>
                <w:ilvl w:val="0"/>
                <w:numId w:val="0"/>
              </w:numPr>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保密制度和措施</w:t>
            </w:r>
            <w:r>
              <w:rPr>
                <w:rFonts w:hint="eastAsia" w:ascii="宋体" w:hAnsi="宋体" w:eastAsia="宋体" w:cs="宋体"/>
                <w:sz w:val="24"/>
                <w:szCs w:val="24"/>
                <w:lang w:val="en-US" w:eastAsia="zh-CN"/>
              </w:rPr>
              <w:t>（10分）</w:t>
            </w:r>
          </w:p>
          <w:p>
            <w:pPr>
              <w:widowControl w:val="0"/>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w:t>
            </w:r>
            <w:r>
              <w:rPr>
                <w:rFonts w:hint="default" w:ascii="宋体" w:hAnsi="宋体" w:eastAsia="宋体" w:cs="宋体"/>
                <w:sz w:val="24"/>
                <w:szCs w:val="24"/>
                <w:lang w:val="en-US" w:eastAsia="zh-CN"/>
              </w:rPr>
              <w:t>具有完善的国家法律法规规定的保密制度和措施，全面保证采购人信息不泄密，并提供保密承诺。</w:t>
            </w:r>
          </w:p>
          <w:p>
            <w:pPr>
              <w:widowControl w:val="0"/>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w:t>
            </w:r>
            <w:r>
              <w:rPr>
                <w:rFonts w:hint="default" w:ascii="宋体" w:hAnsi="宋体" w:eastAsia="宋体" w:cs="宋体"/>
                <w:sz w:val="24"/>
                <w:szCs w:val="24"/>
                <w:lang w:val="en-US" w:eastAsia="zh-CN"/>
              </w:rPr>
              <w:t>的保密制度全面且保密措施完善，完全合理可行得10分；</w:t>
            </w:r>
          </w:p>
          <w:p>
            <w:pPr>
              <w:widowControl w:val="0"/>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w:t>
            </w:r>
            <w:r>
              <w:rPr>
                <w:rFonts w:hint="default" w:ascii="宋体" w:hAnsi="宋体" w:eastAsia="宋体" w:cs="宋体"/>
                <w:sz w:val="24"/>
                <w:szCs w:val="24"/>
                <w:lang w:val="en-US" w:eastAsia="zh-CN"/>
              </w:rPr>
              <w:t>的保密制度较全面、保密措施合理得6分；</w:t>
            </w:r>
          </w:p>
          <w:p>
            <w:pPr>
              <w:widowControl w:val="0"/>
              <w:numPr>
                <w:ilvl w:val="0"/>
                <w:numId w:val="0"/>
              </w:numPr>
              <w:spacing w:line="360" w:lineRule="auto"/>
              <w:jc w:val="both"/>
              <w:rPr>
                <w:rFonts w:hint="default"/>
                <w:lang w:val="en-US" w:eastAsia="zh-CN"/>
              </w:rPr>
            </w:pPr>
            <w:r>
              <w:rPr>
                <w:rFonts w:hint="eastAsia" w:ascii="宋体" w:hAnsi="宋体" w:eastAsia="宋体" w:cs="宋体"/>
                <w:sz w:val="24"/>
                <w:szCs w:val="24"/>
                <w:lang w:val="en-US" w:eastAsia="zh-CN"/>
              </w:rPr>
              <w:t>投标人</w:t>
            </w:r>
            <w:r>
              <w:rPr>
                <w:rFonts w:hint="default" w:ascii="宋体" w:hAnsi="宋体" w:eastAsia="宋体" w:cs="宋体"/>
                <w:sz w:val="24"/>
                <w:szCs w:val="24"/>
                <w:lang w:val="en-US" w:eastAsia="zh-CN"/>
              </w:rPr>
              <w:t>的保密制度、保密措施不足得2分。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962" w:type="dxa"/>
            <w:vMerge w:val="continue"/>
            <w:noWrap w:val="0"/>
            <w:vAlign w:val="center"/>
          </w:tcPr>
          <w:p>
            <w:pPr>
              <w:widowControl w:val="0"/>
              <w:spacing w:line="360" w:lineRule="auto"/>
              <w:jc w:val="both"/>
              <w:rPr>
                <w:rFonts w:hint="eastAsia" w:ascii="宋体" w:hAnsi="宋体"/>
                <w:color w:val="auto"/>
                <w:szCs w:val="28"/>
              </w:rPr>
            </w:pPr>
          </w:p>
        </w:tc>
        <w:tc>
          <w:tcPr>
            <w:tcW w:w="7462" w:type="dxa"/>
            <w:noWrap w:val="0"/>
            <w:vAlign w:val="top"/>
          </w:tcPr>
          <w:p>
            <w:pPr>
              <w:widowControl w:val="0"/>
              <w:numPr>
                <w:ilvl w:val="0"/>
                <w:numId w:val="0"/>
              </w:numPr>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rPr>
              <w:t>相关案例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5分</w:t>
            </w:r>
            <w:r>
              <w:rPr>
                <w:rFonts w:hint="eastAsia" w:ascii="宋体" w:hAnsi="宋体" w:eastAsia="宋体" w:cs="宋体"/>
                <w:sz w:val="24"/>
                <w:szCs w:val="24"/>
                <w:lang w:eastAsia="zh-CN"/>
              </w:rPr>
              <w:t>）</w:t>
            </w:r>
          </w:p>
          <w:p>
            <w:pPr>
              <w:widowControl w:val="0"/>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cs="宋体"/>
                <w:sz w:val="24"/>
                <w:szCs w:val="24"/>
              </w:rPr>
              <w:t>有为高校代理案件胜诉案例的，1项案例得1分，最多</w:t>
            </w:r>
            <w:r>
              <w:rPr>
                <w:rFonts w:hint="eastAsia" w:ascii="宋体" w:hAnsi="宋体" w:eastAsia="宋体" w:cs="宋体"/>
                <w:sz w:val="24"/>
                <w:szCs w:val="24"/>
                <w:lang w:val="en-US" w:eastAsia="zh-CN"/>
              </w:rPr>
              <w:t>5</w:t>
            </w:r>
            <w:r>
              <w:rPr>
                <w:rFonts w:hint="eastAsia" w:ascii="宋体" w:hAnsi="宋体" w:cs="宋体"/>
                <w:sz w:val="24"/>
                <w:szCs w:val="24"/>
              </w:rPr>
              <w:t>分。（需提供相关证明材料）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62" w:type="dxa"/>
            <w:noWrap w:val="0"/>
            <w:vAlign w:val="center"/>
          </w:tcPr>
          <w:p>
            <w:pPr>
              <w:widowControl w:val="0"/>
              <w:spacing w:line="360" w:lineRule="auto"/>
              <w:jc w:val="both"/>
              <w:rPr>
                <w:rFonts w:ascii="宋体" w:hAnsi="宋体"/>
                <w:color w:val="auto"/>
                <w:szCs w:val="28"/>
              </w:rPr>
            </w:pPr>
            <w:r>
              <w:rPr>
                <w:rFonts w:hint="eastAsia" w:ascii="宋体" w:hAnsi="宋体" w:eastAsia="宋体" w:cs="宋体"/>
                <w:sz w:val="24"/>
                <w:szCs w:val="24"/>
                <w:lang w:val="en-US" w:eastAsia="zh-CN"/>
              </w:rPr>
              <w:t>投标报价（10分）</w:t>
            </w:r>
          </w:p>
        </w:tc>
        <w:tc>
          <w:tcPr>
            <w:tcW w:w="7462" w:type="dxa"/>
            <w:noWrap w:val="0"/>
            <w:vAlign w:val="top"/>
          </w:tcPr>
          <w:p>
            <w:pPr>
              <w:widowControl w:val="0"/>
              <w:spacing w:line="320" w:lineRule="exact"/>
              <w:jc w:val="both"/>
              <w:rPr>
                <w:rFonts w:ascii="宋体" w:hAnsi="宋体"/>
                <w:color w:val="auto"/>
                <w:sz w:val="24"/>
                <w:szCs w:val="24"/>
              </w:rPr>
            </w:pPr>
            <w:r>
              <w:rPr>
                <w:rFonts w:hint="eastAsia" w:ascii="宋体" w:hAnsi="宋体"/>
                <w:color w:val="auto"/>
                <w:sz w:val="24"/>
                <w:szCs w:val="24"/>
              </w:rPr>
              <w:t>1.有效投标价：指</w:t>
            </w:r>
            <w:r>
              <w:rPr>
                <w:rFonts w:hint="eastAsia" w:ascii="宋体" w:hAnsi="宋体"/>
                <w:color w:val="auto"/>
                <w:sz w:val="24"/>
                <w:szCs w:val="24"/>
                <w:lang w:eastAsia="zh-CN"/>
              </w:rPr>
              <w:t>响应文件</w:t>
            </w:r>
            <w:r>
              <w:rPr>
                <w:rFonts w:hint="eastAsia" w:ascii="宋体" w:hAnsi="宋体"/>
                <w:color w:val="auto"/>
                <w:sz w:val="24"/>
                <w:szCs w:val="24"/>
              </w:rPr>
              <w:t>形式、资格、响应性评审且不存在废标情形的投标报价。</w:t>
            </w:r>
          </w:p>
          <w:p>
            <w:pPr>
              <w:widowControl w:val="0"/>
              <w:spacing w:line="360" w:lineRule="auto"/>
              <w:jc w:val="both"/>
              <w:rPr>
                <w:rFonts w:ascii="宋体" w:hAnsi="宋体"/>
                <w:color w:val="auto"/>
                <w:sz w:val="24"/>
                <w:szCs w:val="24"/>
              </w:rPr>
            </w:pPr>
            <w:r>
              <w:rPr>
                <w:rFonts w:hint="eastAsia" w:ascii="宋体" w:hAnsi="宋体"/>
                <w:color w:val="auto"/>
                <w:sz w:val="24"/>
                <w:szCs w:val="24"/>
              </w:rPr>
              <w:t>2.评标基准价的确定：满足</w:t>
            </w:r>
            <w:r>
              <w:rPr>
                <w:rFonts w:hint="eastAsia" w:ascii="宋体" w:hAnsi="宋体"/>
                <w:color w:val="auto"/>
                <w:sz w:val="24"/>
                <w:szCs w:val="24"/>
                <w:lang w:eastAsia="zh-CN"/>
              </w:rPr>
              <w:t>磋商文件</w:t>
            </w:r>
            <w:r>
              <w:rPr>
                <w:rFonts w:hint="eastAsia" w:ascii="宋体" w:hAnsi="宋体"/>
                <w:color w:val="auto"/>
                <w:sz w:val="24"/>
                <w:szCs w:val="24"/>
              </w:rPr>
              <w:t>要求通过初步评审的且投标报价最低的作为评标基准价。</w:t>
            </w:r>
          </w:p>
          <w:p>
            <w:pPr>
              <w:widowControl w:val="0"/>
              <w:spacing w:line="360" w:lineRule="auto"/>
              <w:jc w:val="both"/>
              <w:rPr>
                <w:rFonts w:hint="default" w:ascii="宋体" w:hAnsi="宋体" w:eastAsia="宋体"/>
                <w:color w:val="auto"/>
                <w:sz w:val="24"/>
                <w:szCs w:val="24"/>
                <w:lang w:val="en-US" w:eastAsia="zh-CN"/>
              </w:rPr>
            </w:pPr>
            <w:r>
              <w:rPr>
                <w:rFonts w:hint="eastAsia" w:ascii="宋体" w:hAnsi="宋体"/>
                <w:color w:val="auto"/>
                <w:sz w:val="24"/>
                <w:szCs w:val="24"/>
              </w:rPr>
              <w:t>3.投标报价得分＝（评标基准价/投标报价）×</w:t>
            </w:r>
            <w:r>
              <w:rPr>
                <w:rFonts w:hint="eastAsia" w:ascii="宋体" w:hAnsi="宋体"/>
                <w:color w:val="auto"/>
                <w:sz w:val="24"/>
                <w:szCs w:val="24"/>
                <w:lang w:val="en-US" w:eastAsia="zh-CN"/>
              </w:rPr>
              <w:t>10</w:t>
            </w:r>
            <w:r>
              <w:rPr>
                <w:rFonts w:hint="eastAsia"/>
                <w:color w:val="auto"/>
                <w:sz w:val="24"/>
                <w:szCs w:val="24"/>
                <w:lang w:val="en-US" w:eastAsia="zh-CN"/>
              </w:rPr>
              <w:t>%</w:t>
            </w:r>
            <w:r>
              <w:rPr>
                <w:rFonts w:hint="eastAsia" w:ascii="宋体" w:hAnsi="宋体"/>
                <w:color w:val="auto"/>
                <w:sz w:val="24"/>
                <w:szCs w:val="24"/>
              </w:rPr>
              <w:t>×</w:t>
            </w:r>
            <w:r>
              <w:rPr>
                <w:rFonts w:hint="eastAsia"/>
                <w:color w:val="auto"/>
                <w:sz w:val="24"/>
                <w:szCs w:val="24"/>
                <w:lang w:val="en-US" w:eastAsia="zh-CN"/>
              </w:rPr>
              <w:t>100</w:t>
            </w:r>
          </w:p>
        </w:tc>
      </w:tr>
    </w:tbl>
    <w:p>
      <w:pPr>
        <w:pStyle w:val="24"/>
        <w:rPr>
          <w:rFonts w:hint="eastAsia"/>
          <w:lang w:eastAsia="zh-CN"/>
        </w:rPr>
      </w:pPr>
    </w:p>
    <w:p>
      <w:pPr>
        <w:keepNext w:val="0"/>
        <w:keepLines w:val="0"/>
        <w:pageBreakBefore w:val="0"/>
        <w:kinsoku/>
        <w:wordWrap/>
        <w:overflowPunct/>
        <w:topLinePunct w:val="0"/>
        <w:bidi w:val="0"/>
        <w:spacing w:line="579" w:lineRule="exact"/>
        <w:ind w:firstLine="480" w:firstLineChars="200"/>
        <w:outlineLvl w:val="9"/>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说明：评标过程</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，不得去掉报价中的最高报价和最低报价，且最低报价不是中标的唯一依据。</w:t>
      </w:r>
    </w:p>
    <w:p>
      <w:pPr>
        <w:pStyle w:val="46"/>
        <w:keepNext w:val="0"/>
        <w:keepLines w:val="0"/>
        <w:pageBreakBefore w:val="0"/>
        <w:kinsoku/>
        <w:wordWrap/>
        <w:overflowPunct/>
        <w:topLinePunct w:val="0"/>
        <w:bidi w:val="0"/>
        <w:spacing w:before="0" w:line="579" w:lineRule="exact"/>
        <w:ind w:left="0" w:firstLine="458" w:firstLineChars="200"/>
        <w:rPr>
          <w:rStyle w:val="35"/>
          <w:rFonts w:hint="eastAsia" w:asciiTheme="minorEastAsia" w:hAnsiTheme="minorEastAsia" w:eastAsiaTheme="minorEastAsia" w:cstheme="minorEastAsia"/>
          <w:color w:val="000000" w:themeColor="text1"/>
          <w:highlight w:val="none"/>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14:textFill>
            <w14:solidFill>
              <w14:schemeClr w14:val="tx1"/>
            </w14:solidFill>
          </w14:textFill>
        </w:rPr>
        <w:t>30．定标原则</w:t>
      </w:r>
    </w:p>
    <w:p>
      <w:pPr>
        <w:keepNext w:val="0"/>
        <w:keepLines w:val="0"/>
        <w:pageBreakBefore w:val="0"/>
        <w:kinsoku/>
        <w:wordWrap/>
        <w:overflowPunct/>
        <w:topLinePunct w:val="0"/>
        <w:bidi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30.1评审小组应当根据综合评分情况，按照供应商综合得分由高到低的顺序排列，依次推荐3名中标候选人，并编写评审报告。供应商综合得分相同的，按照投标报价由低到高的顺序排列。供应商综合得分相同且投标报价也相同的并列，评审小组将按照技术指标优劣顺序推荐。</w:t>
      </w:r>
    </w:p>
    <w:p>
      <w:pPr>
        <w:keepNext w:val="0"/>
        <w:keepLines w:val="0"/>
        <w:pageBreakBefore w:val="0"/>
        <w:kinsoku/>
        <w:wordWrap/>
        <w:overflowPunct/>
        <w:topLinePunct w:val="0"/>
        <w:bidi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30.2采购代理机构应当在评标结束后2个工作日内将评审报告送采购人。采购人应当自收到评审报告之日起5个工作日内，在评审报告确定的中标候选人名单中按顺序确定中标人。</w:t>
      </w:r>
    </w:p>
    <w:p>
      <w:pPr>
        <w:keepNext w:val="0"/>
        <w:keepLines w:val="0"/>
        <w:pageBreakBefore w:val="0"/>
        <w:kinsoku/>
        <w:wordWrap/>
        <w:overflowPunct/>
        <w:topLinePunct w:val="0"/>
        <w:bidi w:val="0"/>
        <w:spacing w:line="579" w:lineRule="exact"/>
        <w:ind w:firstLine="48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30.3根据评审报告，应当确定排名第一的中标候选人为中标人。排名第一的中标候选人放弃中标、因不可抗力不能履行合同的、或者竞争性磋商文件规定应当提交履约保证金而在规定的期限内未能提交的（如有）、其他不符合中标条件的、或者被查实存在影响中标结果的违法行为等情形，采购人可以按照评审小组提出的中标候选人名单排序依次确定其他中标候选人为中标人，也可以重新采购。</w:t>
      </w:r>
    </w:p>
    <w:p>
      <w:pPr>
        <w:spacing w:line="579" w:lineRule="exact"/>
        <w:ind w:left="3453" w:right="3385"/>
        <w:jc w:val="both"/>
        <w:outlineLvl w:val="1"/>
        <w:rPr>
          <w:rStyle w:val="35"/>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49" w:name="_Toc6244"/>
      <w:bookmarkStart w:id="50" w:name="_Toc19739"/>
      <w:bookmarkStart w:id="51" w:name="_Toc752"/>
      <w:bookmarkStart w:id="52" w:name="_Toc15580"/>
      <w:bookmarkStart w:id="53" w:name="_Toc29795"/>
      <w:bookmarkStart w:id="54" w:name="_Toc8567"/>
      <w:r>
        <w:rPr>
          <w:rStyle w:val="35"/>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第七章 授予合同</w:t>
      </w:r>
      <w:bookmarkEnd w:id="49"/>
      <w:bookmarkEnd w:id="50"/>
      <w:bookmarkEnd w:id="51"/>
      <w:bookmarkEnd w:id="52"/>
      <w:bookmarkEnd w:id="53"/>
      <w:bookmarkEnd w:id="54"/>
    </w:p>
    <w:p>
      <w:pPr>
        <w:snapToGrid w:val="0"/>
        <w:spacing w:before="124" w:line="579" w:lineRule="exact"/>
        <w:ind w:firstLine="482"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31.合同授予标准</w:t>
      </w:r>
    </w:p>
    <w:p>
      <w:pPr>
        <w:pStyle w:val="48"/>
        <w:tabs>
          <w:tab w:val="left" w:pos="1213"/>
        </w:tabs>
        <w:snapToGrid w:val="0"/>
        <w:spacing w:before="124" w:line="579" w:lineRule="exact"/>
        <w:ind w:left="0" w:right="114" w:firstLine="468"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31.1合同将授予被确定为实质上响应竞争性磋商文件要求，评标认为具备履行合</w:t>
      </w:r>
      <w:r>
        <w:rPr>
          <w:rStyle w:val="35"/>
          <w:rFonts w:hint="eastAsia" w:asciiTheme="minorEastAsia" w:hAnsiTheme="minorEastAsia" w:eastAsiaTheme="minorEastAsia" w:cstheme="minorEastAsia"/>
          <w:color w:val="000000" w:themeColor="text1"/>
          <w:spacing w:val="-7"/>
          <w:sz w:val="24"/>
          <w:szCs w:val="24"/>
          <w:highlight w:val="none"/>
          <w:lang w:eastAsia="zh-CN"/>
          <w14:textFill>
            <w14:solidFill>
              <w14:schemeClr w14:val="tx1"/>
            </w14:solidFill>
          </w14:textFill>
        </w:rPr>
        <w:t>同义务条件、报价合理、技术和商务条件都符合条件基础上对买方最为有利的供应商。</w:t>
      </w:r>
    </w:p>
    <w:p>
      <w:pPr>
        <w:pStyle w:val="48"/>
        <w:tabs>
          <w:tab w:val="left" w:pos="1113"/>
        </w:tabs>
        <w:snapToGrid w:val="0"/>
        <w:spacing w:before="14" w:line="579" w:lineRule="exact"/>
        <w:ind w:left="0" w:firstLine="46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31.2最低投标价不一定是被授予合同的保证。</w:t>
      </w:r>
    </w:p>
    <w:p>
      <w:pPr>
        <w:pStyle w:val="48"/>
        <w:tabs>
          <w:tab w:val="left" w:pos="1173"/>
        </w:tabs>
        <w:snapToGrid w:val="0"/>
        <w:spacing w:before="124" w:line="579" w:lineRule="exact"/>
        <w:ind w:left="0" w:right="231" w:firstLine="468" w:firstLineChars="2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31.3如果确定该供应商不能无条件圆满履行合同，采购人将对下一个可能中标的</w:t>
      </w: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供应商资格做出类似的审查。</w:t>
      </w:r>
    </w:p>
    <w:p>
      <w:pPr>
        <w:pStyle w:val="46"/>
        <w:snapToGrid w:val="0"/>
        <w:spacing w:before="26" w:line="579" w:lineRule="exact"/>
        <w:ind w:left="0" w:firstLine="458"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32.接受和拒绝任何投标的权力</w:t>
      </w:r>
    </w:p>
    <w:p>
      <w:pPr>
        <w:pStyle w:val="38"/>
        <w:snapToGrid w:val="0"/>
        <w:spacing w:before="125"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32.1为维护国家利益，采购人在授予合同之前仍有选择或拒绝任何投标的权力。</w:t>
      </w:r>
    </w:p>
    <w:p>
      <w:pPr>
        <w:pStyle w:val="46"/>
        <w:snapToGrid w:val="0"/>
        <w:spacing w:before="127" w:line="579" w:lineRule="exact"/>
        <w:ind w:left="0" w:firstLine="458"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33.中标通知书</w:t>
      </w:r>
    </w:p>
    <w:p>
      <w:pPr>
        <w:pStyle w:val="48"/>
        <w:tabs>
          <w:tab w:val="left" w:pos="1173"/>
        </w:tabs>
        <w:snapToGrid w:val="0"/>
        <w:spacing w:before="124" w:line="579" w:lineRule="exact"/>
        <w:ind w:left="0" w:right="231" w:firstLine="468"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33.1中标结果公示结束后，采购人将以书面形式发出《中标通知书》，《中标通</w:t>
      </w: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知书》一经发出即发生法律效力。</w:t>
      </w:r>
    </w:p>
    <w:p>
      <w:pPr>
        <w:pStyle w:val="48"/>
        <w:tabs>
          <w:tab w:val="left" w:pos="1056"/>
        </w:tabs>
        <w:snapToGrid w:val="0"/>
        <w:spacing w:line="579" w:lineRule="exact"/>
        <w:ind w:left="0" w:firstLine="46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33.2《中标通知书》将作为签订合同的依据。</w:t>
      </w:r>
    </w:p>
    <w:p>
      <w:pPr>
        <w:pStyle w:val="46"/>
        <w:snapToGrid w:val="0"/>
        <w:spacing w:before="124" w:line="579" w:lineRule="exact"/>
        <w:ind w:left="0" w:firstLine="458"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34.履约担保</w:t>
      </w:r>
    </w:p>
    <w:p>
      <w:pPr>
        <w:pStyle w:val="48"/>
        <w:tabs>
          <w:tab w:val="left" w:pos="1113"/>
        </w:tabs>
        <w:snapToGrid w:val="0"/>
        <w:spacing w:before="124" w:line="579" w:lineRule="exact"/>
        <w:ind w:left="0" w:firstLine="46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34.1履约保证金：详见供应商须知前附表。</w:t>
      </w:r>
    </w:p>
    <w:p>
      <w:pPr>
        <w:pStyle w:val="48"/>
        <w:tabs>
          <w:tab w:val="left" w:pos="1113"/>
        </w:tabs>
        <w:snapToGrid w:val="0"/>
        <w:spacing w:before="127" w:line="579" w:lineRule="exact"/>
        <w:ind w:left="0" w:firstLine="460"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34.2履约保证金在合同执行完毕后无息退还。</w:t>
      </w:r>
    </w:p>
    <w:p>
      <w:pPr>
        <w:pStyle w:val="48"/>
        <w:tabs>
          <w:tab w:val="left" w:pos="1173"/>
        </w:tabs>
        <w:snapToGrid w:val="0"/>
        <w:spacing w:before="125" w:line="579" w:lineRule="exact"/>
        <w:ind w:left="0" w:right="231" w:firstLine="468"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34.3如中标候选人不能提供则取消其中标资格。供应商须承诺如成为中标候选人</w:t>
      </w: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能够及时提供该笔资金。</w:t>
      </w:r>
    </w:p>
    <w:p>
      <w:pPr>
        <w:pStyle w:val="46"/>
        <w:keepNext w:val="0"/>
        <w:keepLines w:val="0"/>
        <w:pageBreakBefore w:val="0"/>
        <w:widowControl/>
        <w:kinsoku/>
        <w:wordWrap/>
        <w:overflowPunct/>
        <w:topLinePunct w:val="0"/>
        <w:autoSpaceDE/>
        <w:autoSpaceDN/>
        <w:bidi w:val="0"/>
        <w:adjustRightInd/>
        <w:snapToGrid w:val="0"/>
        <w:spacing w:before="0" w:line="579" w:lineRule="exact"/>
        <w:ind w:left="0" w:right="0" w:firstLine="458" w:firstLineChars="200"/>
        <w:textAlignment w:val="baseline"/>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35．签订合同</w:t>
      </w:r>
    </w:p>
    <w:p>
      <w:pPr>
        <w:pStyle w:val="48"/>
        <w:keepNext w:val="0"/>
        <w:keepLines w:val="0"/>
        <w:pageBreakBefore w:val="0"/>
        <w:widowControl/>
        <w:tabs>
          <w:tab w:val="left" w:pos="1113"/>
        </w:tabs>
        <w:kinsoku/>
        <w:wordWrap/>
        <w:overflowPunct/>
        <w:topLinePunct w:val="0"/>
        <w:autoSpaceDE/>
        <w:autoSpaceDN/>
        <w:bidi w:val="0"/>
        <w:adjustRightInd/>
        <w:snapToGrid w:val="0"/>
        <w:spacing w:before="0" w:line="579" w:lineRule="exact"/>
        <w:ind w:left="0" w:right="0" w:firstLine="460" w:firstLineChars="200"/>
        <w:textAlignment w:val="baseline"/>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35.1中标候选人在收到招标方的《中标通知书》后，须及时按照竞争性磋商文件</w:t>
      </w:r>
      <w:r>
        <w:rPr>
          <w:rStyle w:val="35"/>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t>和其所提供的响应文件中的约定与采购单位签订书面合同，所签订的合同不得对竞争性</w:t>
      </w: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磋商文件和中标方的响应文件作实质性修改。</w:t>
      </w:r>
    </w:p>
    <w:p>
      <w:pPr>
        <w:pStyle w:val="48"/>
        <w:tabs>
          <w:tab w:val="left" w:pos="1113"/>
        </w:tabs>
        <w:snapToGrid w:val="0"/>
        <w:spacing w:before="28" w:line="579" w:lineRule="exact"/>
        <w:ind w:left="0" w:right="114" w:firstLine="436" w:firstLineChars="200"/>
        <w:rPr>
          <w:rStyle w:val="35"/>
          <w:rFonts w:hint="eastAsia" w:asciiTheme="minorEastAsia" w:hAnsiTheme="minorEastAsia" w:eastAsiaTheme="minorEastAsia" w:cstheme="minorEastAsia"/>
          <w:color w:val="000000" w:themeColor="text1"/>
          <w:spacing w:val="-1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11"/>
          <w:sz w:val="24"/>
          <w:szCs w:val="24"/>
          <w:highlight w:val="none"/>
          <w:lang w:eastAsia="zh-CN"/>
          <w14:textFill>
            <w14:solidFill>
              <w14:schemeClr w14:val="tx1"/>
            </w14:solidFill>
          </w14:textFill>
        </w:rPr>
        <w:t>35.2竞争性磋商文件、中标方的响应文件及其澄清文件等，均为签订合同的依据。</w:t>
      </w:r>
    </w:p>
    <w:p>
      <w:pPr>
        <w:pStyle w:val="48"/>
        <w:tabs>
          <w:tab w:val="left" w:pos="1113"/>
        </w:tabs>
        <w:snapToGrid w:val="0"/>
        <w:spacing w:before="28" w:line="579" w:lineRule="exact"/>
        <w:ind w:left="0" w:right="114" w:firstLine="468" w:firstLineChars="2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35.3</w:t>
      </w:r>
      <w:r>
        <w:rPr>
          <w:rStyle w:val="35"/>
          <w:rFonts w:hint="eastAsia" w:asciiTheme="minorEastAsia" w:hAnsiTheme="minorEastAsia" w:eastAsiaTheme="minorEastAsia" w:cstheme="minorEastAsia"/>
          <w:color w:val="000000" w:themeColor="text1"/>
          <w:spacing w:val="-11"/>
          <w:sz w:val="24"/>
          <w:szCs w:val="24"/>
          <w:highlight w:val="none"/>
          <w:lang w:eastAsia="zh-CN"/>
          <w14:textFill>
            <w14:solidFill>
              <w14:schemeClr w14:val="tx1"/>
            </w14:solidFill>
          </w14:textFill>
        </w:rPr>
        <w:t>如果中标人不能按本须知第</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35.1</w:t>
      </w:r>
      <w:r>
        <w:rPr>
          <w:rStyle w:val="35"/>
          <w:rFonts w:hint="eastAsia" w:asciiTheme="minorEastAsia" w:hAnsiTheme="minorEastAsia" w:eastAsiaTheme="minorEastAsia" w:cstheme="minorEastAsia"/>
          <w:color w:val="000000" w:themeColor="text1"/>
          <w:spacing w:val="-16"/>
          <w:sz w:val="24"/>
          <w:szCs w:val="24"/>
          <w:highlight w:val="none"/>
          <w:lang w:eastAsia="zh-CN"/>
          <w14:textFill>
            <w14:solidFill>
              <w14:schemeClr w14:val="tx1"/>
            </w14:solidFill>
          </w14:textFill>
        </w:rPr>
        <w:t>款的规定执行，采购人将有充分的理由废除</w:t>
      </w:r>
      <w:r>
        <w:rPr>
          <w:rStyle w:val="35"/>
          <w:rFonts w:hint="eastAsia" w:asciiTheme="minorEastAsia" w:hAnsiTheme="minorEastAsia" w:eastAsiaTheme="minorEastAsia" w:cstheme="minorEastAsia"/>
          <w:color w:val="000000" w:themeColor="text1"/>
          <w:spacing w:val="-12"/>
          <w:sz w:val="24"/>
          <w:szCs w:val="24"/>
          <w:highlight w:val="none"/>
          <w:lang w:eastAsia="zh-CN"/>
          <w14:textFill>
            <w14:solidFill>
              <w14:schemeClr w14:val="tx1"/>
            </w14:solidFill>
          </w14:textFill>
        </w:rPr>
        <w:t>其中标资格，并没收其磋商保证金，给采购人造成的损失超过磋商保证金数额的，还应</w:t>
      </w:r>
      <w:r>
        <w:rPr>
          <w:rStyle w:val="35"/>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当对超过部分予以赔偿，同时依法承担相应法律责任；同时，采购人有权将标授予另一</w:t>
      </w:r>
      <w:r>
        <w:rPr>
          <w:rStyle w:val="35"/>
          <w:rFonts w:hint="eastAsia" w:asciiTheme="minorEastAsia" w:hAnsiTheme="minorEastAsia" w:eastAsiaTheme="minorEastAsia" w:cstheme="minorEastAsia"/>
          <w:color w:val="000000" w:themeColor="text1"/>
          <w:spacing w:val="-5"/>
          <w:sz w:val="24"/>
          <w:szCs w:val="24"/>
          <w:highlight w:val="none"/>
          <w:lang w:eastAsia="zh-CN"/>
          <w14:textFill>
            <w14:solidFill>
              <w14:schemeClr w14:val="tx1"/>
            </w14:solidFill>
          </w14:textFill>
        </w:rPr>
        <w:t>个候选中标人或重新招标。</w:t>
      </w:r>
    </w:p>
    <w:p>
      <w:pPr>
        <w:pStyle w:val="38"/>
        <w:snapToGrid w:val="0"/>
        <w:spacing w:before="31" w:line="579" w:lineRule="exact"/>
        <w:ind w:left="0" w:right="232" w:firstLine="468" w:firstLineChars="200"/>
        <w:jc w:val="both"/>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3"/>
          <w:highlight w:val="none"/>
          <w:lang w:eastAsia="zh-CN"/>
          <w14:textFill>
            <w14:solidFill>
              <w14:schemeClr w14:val="tx1"/>
            </w14:solidFill>
          </w14:textFill>
        </w:rPr>
        <w:t>35.4</w:t>
      </w:r>
      <w:r>
        <w:rPr>
          <w:rStyle w:val="35"/>
          <w:rFonts w:hint="eastAsia" w:asciiTheme="minorEastAsia" w:hAnsiTheme="minorEastAsia" w:eastAsiaTheme="minorEastAsia" w:cstheme="minorEastAsia"/>
          <w:color w:val="000000" w:themeColor="text1"/>
          <w:spacing w:val="-5"/>
          <w:highlight w:val="none"/>
          <w:lang w:eastAsia="zh-CN"/>
          <w14:textFill>
            <w14:solidFill>
              <w14:schemeClr w14:val="tx1"/>
            </w14:solidFill>
          </w14:textFill>
        </w:rPr>
        <w:t>不允许中标人将中标项目分包或转交他人承担。特殊情况下，中标人必须与</w:t>
      </w:r>
      <w:r>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t>招标方协商后共同决定将合同标的中的部分由第三方承担供货和服务责任，但中标方必</w:t>
      </w:r>
      <w:r>
        <w:rPr>
          <w:rStyle w:val="35"/>
          <w:rFonts w:hint="eastAsia" w:asciiTheme="minorEastAsia" w:hAnsiTheme="minorEastAsia" w:eastAsiaTheme="minorEastAsia" w:cstheme="minorEastAsia"/>
          <w:color w:val="000000" w:themeColor="text1"/>
          <w:spacing w:val="-9"/>
          <w:highlight w:val="none"/>
          <w:lang w:eastAsia="zh-CN"/>
          <w14:textFill>
            <w14:solidFill>
              <w14:schemeClr w14:val="tx1"/>
            </w14:solidFill>
          </w14:textFill>
        </w:rPr>
        <w:t>须对合同标的的全部内容向招标方负责，并保证第三方提供的供货和服务符合竞争性磋</w:t>
      </w:r>
      <w:r>
        <w:rPr>
          <w:rStyle w:val="35"/>
          <w:rFonts w:hint="eastAsia" w:asciiTheme="minorEastAsia" w:hAnsiTheme="minorEastAsia" w:eastAsiaTheme="minorEastAsia" w:cstheme="minorEastAsia"/>
          <w:color w:val="000000" w:themeColor="text1"/>
          <w:spacing w:val="-5"/>
          <w:highlight w:val="none"/>
          <w:lang w:eastAsia="zh-CN"/>
          <w14:textFill>
            <w14:solidFill>
              <w14:schemeClr w14:val="tx1"/>
            </w14:solidFill>
          </w14:textFill>
        </w:rPr>
        <w:t>商文件的约定和响应文件的承诺及相关约定。</w:t>
      </w:r>
    </w:p>
    <w:p>
      <w:pPr>
        <w:pStyle w:val="47"/>
        <w:spacing w:before="15" w:line="579" w:lineRule="exact"/>
        <w:ind w:left="0" w:right="34"/>
        <w:outlineLvl w:val="1"/>
        <w:rPr>
          <w:rStyle w:val="35"/>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bookmarkStart w:id="55" w:name="_Toc15794"/>
      <w:bookmarkStart w:id="56" w:name="_Toc4813"/>
      <w:bookmarkStart w:id="57" w:name="_Toc3973"/>
      <w:bookmarkStart w:id="58" w:name="_Toc20686"/>
      <w:bookmarkStart w:id="59" w:name="_Toc3106"/>
      <w:bookmarkStart w:id="60" w:name="_Toc11289"/>
      <w:r>
        <w:rPr>
          <w:rStyle w:val="35"/>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第八章 其他</w:t>
      </w:r>
      <w:bookmarkEnd w:id="55"/>
      <w:bookmarkEnd w:id="56"/>
      <w:bookmarkEnd w:id="57"/>
      <w:bookmarkEnd w:id="58"/>
      <w:bookmarkEnd w:id="59"/>
      <w:bookmarkEnd w:id="60"/>
    </w:p>
    <w:p>
      <w:pPr>
        <w:pStyle w:val="38"/>
        <w:snapToGrid w:val="0"/>
        <w:spacing w:before="31" w:line="579" w:lineRule="exact"/>
        <w:ind w:left="0" w:right="232" w:firstLine="458" w:firstLineChars="200"/>
        <w:jc w:val="both"/>
        <w:rPr>
          <w:rStyle w:val="35"/>
          <w:rFonts w:hint="eastAsia" w:asciiTheme="minorEastAsia" w:hAnsiTheme="minorEastAsia" w:eastAsiaTheme="minorEastAsia" w:cstheme="minorEastAsia"/>
          <w:b/>
          <w:color w:val="000000" w:themeColor="text1"/>
          <w:w w:val="95"/>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w w:val="95"/>
          <w:highlight w:val="none"/>
          <w:lang w:eastAsia="zh-CN"/>
          <w14:textFill>
            <w14:solidFill>
              <w14:schemeClr w14:val="tx1"/>
            </w14:solidFill>
          </w14:textFill>
        </w:rPr>
        <w:t>36.需要补充的其他内容</w:t>
      </w:r>
    </w:p>
    <w:p>
      <w:pPr>
        <w:pStyle w:val="38"/>
        <w:snapToGrid w:val="0"/>
        <w:spacing w:before="31" w:line="579" w:lineRule="exact"/>
        <w:ind w:left="0" w:right="232" w:firstLine="480" w:firstLineChars="200"/>
        <w:jc w:val="both"/>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36.1需要补充的其他内容详见供应商须知前附表。</w:t>
      </w:r>
    </w:p>
    <w:p>
      <w:pPr>
        <w:pStyle w:val="38"/>
        <w:snapToGrid w:val="0"/>
        <w:spacing w:before="31" w:line="579" w:lineRule="exact"/>
        <w:ind w:left="0" w:right="232" w:firstLine="480" w:firstLineChars="200"/>
        <w:jc w:val="both"/>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36.2本竞争性磋商文件解释权归新疆卓恒工程项目管理有限公司</w:t>
      </w:r>
    </w:p>
    <w:p>
      <w:pPr>
        <w:spacing w:before="20" w:line="579" w:lineRule="exact"/>
        <w:ind w:left="590" w:right="556"/>
        <w:jc w:val="center"/>
        <w:outlineLvl w:val="1"/>
        <w:rPr>
          <w:rStyle w:val="35"/>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bookmarkStart w:id="61" w:name="_Toc18458"/>
      <w:bookmarkStart w:id="62" w:name="_Toc29713"/>
      <w:bookmarkStart w:id="63" w:name="_Toc16294"/>
      <w:bookmarkStart w:id="64" w:name="_Toc13216"/>
      <w:bookmarkStart w:id="65" w:name="_Toc13072"/>
      <w:bookmarkStart w:id="66" w:name="_Toc15756"/>
      <w:bookmarkStart w:id="67" w:name="_Toc28108"/>
      <w:bookmarkStart w:id="68" w:name="_Toc24190"/>
      <w:bookmarkStart w:id="69" w:name="_Toc21221"/>
      <w:bookmarkStart w:id="70" w:name="_Toc25644"/>
      <w:bookmarkStart w:id="71" w:name="_Toc1688"/>
      <w:bookmarkStart w:id="72" w:name="_Toc27166"/>
      <w:r>
        <w:rPr>
          <w:rStyle w:val="35"/>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第九章 质疑的提出及处理</w:t>
      </w:r>
      <w:bookmarkEnd w:id="61"/>
      <w:bookmarkEnd w:id="62"/>
      <w:bookmarkEnd w:id="63"/>
      <w:bookmarkEnd w:id="64"/>
      <w:bookmarkEnd w:id="65"/>
      <w:bookmarkEnd w:id="66"/>
    </w:p>
    <w:p>
      <w:pPr>
        <w:pStyle w:val="38"/>
        <w:spacing w:before="116" w:line="579" w:lineRule="exact"/>
        <w:ind w:right="255" w:firstLine="479"/>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政府采购供应商（以下简称供应商）提出质疑和投诉应当坚持依法依规、诚实信用原则。</w:t>
      </w:r>
    </w:p>
    <w:p>
      <w:pPr>
        <w:pStyle w:val="46"/>
        <w:spacing w:before="29" w:line="579" w:lineRule="exact"/>
        <w:ind w:left="0" w:firstLine="482"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37.质疑的提出</w:t>
      </w:r>
    </w:p>
    <w:p>
      <w:pPr>
        <w:pStyle w:val="38"/>
        <w:spacing w:before="26"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37.1供应商认为采购文件、采购过程、中标或者成交结果使自己的权益受到损害的，可以在知道或者应知其权益受到损害之日起七个工作日内，以书面形式向采购人、采购代理机构提出质疑。</w:t>
      </w:r>
    </w:p>
    <w:p>
      <w:pPr>
        <w:pStyle w:val="38"/>
        <w:spacing w:before="26"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采购文件可以要求供应商在法定质疑期内一次性提出针对同一采购程序环节的质疑。</w:t>
      </w:r>
    </w:p>
    <w:p>
      <w:pPr>
        <w:pStyle w:val="38"/>
        <w:spacing w:before="26"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供应商应知其权益受到损害之日，是指：（1）对可以质疑的采购文件提出质疑的，为收到采购文件之日或者采购文件公告期限届满之日。（2）对采购过程提出质疑的，为各采购程序环节结束之日。（3）对中标或者成交结果提出质疑的，为中标或者成交结果公告期限届满之日。</w:t>
      </w:r>
    </w:p>
    <w:p>
      <w:pPr>
        <w:pStyle w:val="38"/>
        <w:spacing w:before="26"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37.2提出质疑的供应商（以下简称质疑供应商）应当是参与所质疑项目采购活动的供应商。</w:t>
      </w:r>
    </w:p>
    <w:p>
      <w:pPr>
        <w:pStyle w:val="38"/>
        <w:spacing w:before="26"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pPr>
        <w:pStyle w:val="38"/>
        <w:spacing w:before="26"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37.3供应商提出质疑应当提交质疑函和必要的证明材料。质疑函应当包括下列内容：</w:t>
      </w:r>
    </w:p>
    <w:p>
      <w:pPr>
        <w:pStyle w:val="38"/>
        <w:spacing w:before="26" w:line="579" w:lineRule="exact"/>
        <w:ind w:left="589"/>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（1）供应商的姓名或者名称、地址、邮编、联系人及联系电话；</w:t>
      </w:r>
    </w:p>
    <w:p>
      <w:pPr>
        <w:pStyle w:val="38"/>
        <w:spacing w:before="125" w:line="579" w:lineRule="exact"/>
        <w:ind w:left="589"/>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（2）质疑项目的名称、编号；</w:t>
      </w:r>
    </w:p>
    <w:p>
      <w:pPr>
        <w:pStyle w:val="38"/>
        <w:spacing w:before="127" w:line="579" w:lineRule="exact"/>
        <w:ind w:left="589"/>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（3）具体、明确的质疑事项和与质疑事项相关的请求；</w:t>
      </w:r>
    </w:p>
    <w:p>
      <w:pPr>
        <w:pStyle w:val="38"/>
        <w:spacing w:before="14" w:line="579" w:lineRule="exact"/>
        <w:ind w:left="589"/>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（4）事实依据；</w:t>
      </w:r>
    </w:p>
    <w:p>
      <w:pPr>
        <w:pStyle w:val="38"/>
        <w:spacing w:before="124" w:line="579" w:lineRule="exact"/>
        <w:ind w:left="589"/>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（5）必要的法律依据；</w:t>
      </w:r>
    </w:p>
    <w:p>
      <w:pPr>
        <w:pStyle w:val="38"/>
        <w:spacing w:before="127" w:line="579" w:lineRule="exact"/>
        <w:ind w:left="589"/>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（6）提出质疑的日期。</w:t>
      </w:r>
    </w:p>
    <w:p>
      <w:pPr>
        <w:pStyle w:val="46"/>
        <w:snapToGrid w:val="0"/>
        <w:spacing w:before="26" w:line="579" w:lineRule="exact"/>
        <w:ind w:left="0" w:firstLine="480" w:firstLineChars="200"/>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37.4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46"/>
        <w:snapToGrid w:val="0"/>
        <w:spacing w:before="26" w:line="579" w:lineRule="exact"/>
        <w:ind w:left="0" w:firstLine="480" w:firstLineChars="200"/>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代理人提出质疑和投诉，应当提交供应商签署的授权委托书。</w:t>
      </w:r>
    </w:p>
    <w:p>
      <w:pPr>
        <w:pStyle w:val="46"/>
        <w:snapToGrid w:val="0"/>
        <w:spacing w:before="26" w:line="579" w:lineRule="exact"/>
        <w:ind w:left="0" w:firstLine="480" w:firstLineChars="200"/>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37.5以联合体形式参加政府采购活动的，其投诉应当由组成联合体的所有供应商共同提出。</w:t>
      </w:r>
    </w:p>
    <w:p>
      <w:pPr>
        <w:pStyle w:val="46"/>
        <w:snapToGrid w:val="0"/>
        <w:spacing w:before="26" w:line="579" w:lineRule="exact"/>
        <w:ind w:left="0" w:firstLine="480" w:firstLineChars="200"/>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37.6质疑必须提供合法的信息来源或有效证据。质疑人捏造事实、提供虚假材料或者以非法手段取得证明材料进行质疑的，将不予受理。质疑人应当保证所提出的质疑内容及相关证明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pStyle w:val="46"/>
        <w:snapToGrid w:val="0"/>
        <w:spacing w:before="26" w:line="579" w:lineRule="exact"/>
        <w:ind w:left="0" w:firstLine="480" w:firstLineChars="200"/>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37.7证明材料要具备客观性、关联性、合法性，无法查实的（如宣传册、媒体报道、猜测、推理等）不能作为证明材料。</w:t>
      </w:r>
    </w:p>
    <w:p>
      <w:pPr>
        <w:pStyle w:val="46"/>
        <w:snapToGrid w:val="0"/>
        <w:spacing w:before="26" w:line="579" w:lineRule="exact"/>
        <w:ind w:left="0" w:firstLine="480" w:firstLineChars="200"/>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37.8对不能提供相关证明材料的、涉及商业秘密的、非书面形式送达的、匿名的质疑将不予受理。</w:t>
      </w:r>
    </w:p>
    <w:p>
      <w:pPr>
        <w:pStyle w:val="46"/>
        <w:snapToGrid w:val="0"/>
        <w:spacing w:before="26" w:line="579" w:lineRule="exact"/>
        <w:ind w:left="0" w:firstLine="482"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38.受理和处理</w:t>
      </w:r>
    </w:p>
    <w:p>
      <w:pPr>
        <w:snapToGrid w:val="0"/>
        <w:spacing w:line="579" w:lineRule="exact"/>
        <w:ind w:firstLine="448" w:firstLineChars="200"/>
        <w:rPr>
          <w:rStyle w:val="35"/>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t>38.1《质疑函》必须由质疑方的法定代表人或参与本次投标的被授权人以书面的形式送达招标方或采购单位。</w:t>
      </w:r>
    </w:p>
    <w:p>
      <w:pPr>
        <w:snapToGrid w:val="0"/>
        <w:spacing w:line="579" w:lineRule="exact"/>
        <w:ind w:firstLine="448" w:firstLineChars="200"/>
        <w:rPr>
          <w:rStyle w:val="35"/>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8"/>
          <w:sz w:val="24"/>
          <w:szCs w:val="24"/>
          <w:highlight w:val="none"/>
          <w:lang w:eastAsia="zh-CN"/>
          <w14:textFill>
            <w14:solidFill>
              <w14:schemeClr w14:val="tx1"/>
            </w14:solidFill>
          </w14:textFill>
        </w:rPr>
        <w:t>38.2采购人、采购代理机构不得拒收质疑供应商在法定质疑期内发出的质疑函，应当在收到质疑函后7个工作日内作出答复，并以书面形式通知质疑供应商和其他有关供应商。</w:t>
      </w:r>
    </w:p>
    <w:p>
      <w:pPr>
        <w:pStyle w:val="38"/>
        <w:snapToGrid w:val="0"/>
        <w:spacing w:before="31" w:line="579" w:lineRule="exact"/>
        <w:ind w:left="0" w:right="232" w:firstLine="448" w:firstLineChars="200"/>
        <w:jc w:val="both"/>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t>38.3质疑答复的内容不得涉及商业秘密。</w:t>
      </w:r>
    </w:p>
    <w:p>
      <w:pPr>
        <w:pStyle w:val="38"/>
        <w:snapToGrid w:val="0"/>
        <w:spacing w:before="31" w:line="579" w:lineRule="exact"/>
        <w:ind w:right="135" w:firstLine="448" w:firstLineChars="200"/>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t>38.4对于不符合上述37项所述的相关条款要求的质疑，招标方将不予受理。</w:t>
      </w:r>
    </w:p>
    <w:p>
      <w:pPr>
        <w:pStyle w:val="38"/>
        <w:snapToGrid w:val="0"/>
        <w:spacing w:before="31" w:line="579" w:lineRule="exact"/>
        <w:ind w:right="135" w:firstLine="448" w:firstLineChars="200"/>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t>38.5在处理过程中，发现需要质疑人进一步补充相关佐证材料的，要求质疑人在规定时间内提供。质疑人不能按照要求提供相关佐证材料的，视同放弃质疑。</w:t>
      </w:r>
    </w:p>
    <w:p>
      <w:pPr>
        <w:pStyle w:val="38"/>
        <w:snapToGrid w:val="0"/>
        <w:spacing w:before="31" w:line="579" w:lineRule="exact"/>
        <w:ind w:right="135" w:firstLine="448" w:firstLineChars="200"/>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t>38.6招标方或采购单位负责对质疑的回复工作，将质疑人的质疑材料提供给相关专家或评审小组，并将处理意见回复质疑人。</w:t>
      </w:r>
    </w:p>
    <w:p>
      <w:pPr>
        <w:pStyle w:val="38"/>
        <w:snapToGrid w:val="0"/>
        <w:spacing w:before="31" w:line="579" w:lineRule="exact"/>
        <w:ind w:right="135" w:firstLine="448" w:firstLineChars="200"/>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t>38.7采购人、采购代理机构认为供应商质疑不成立，或者成立但未对中标、成交结果构成影响的，继续开展采购活动；认为供应商质疑成立且影响或者可能影响中标、成交结果的，按照下列情况处理：</w:t>
      </w:r>
    </w:p>
    <w:p>
      <w:pPr>
        <w:pStyle w:val="38"/>
        <w:snapToGrid w:val="0"/>
        <w:spacing w:before="31" w:line="579" w:lineRule="exact"/>
        <w:ind w:right="135" w:firstLine="480" w:firstLineChars="200"/>
        <w:rPr>
          <w:rStyle w:val="35"/>
          <w:rFonts w:hint="eastAsia" w:asciiTheme="minorEastAsia" w:hAnsiTheme="minorEastAsia" w:eastAsiaTheme="minorEastAsia" w:cstheme="minorEastAsia"/>
          <w:color w:val="000000" w:themeColor="text1"/>
          <w:spacing w:val="-8"/>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（1）对采购文件提出的质疑，依法通过澄清或者修改可以继续开展采购活动的，澄清或者修改采购文件后继续开展采购活动；否则应当修改采购文件后重新开展采购活动。</w:t>
      </w:r>
    </w:p>
    <w:p>
      <w:pPr>
        <w:pStyle w:val="38"/>
        <w:snapToGrid w:val="0"/>
        <w:spacing w:before="31" w:line="579" w:lineRule="exact"/>
        <w:ind w:left="0" w:right="134"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2）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38"/>
        <w:snapToGrid w:val="0"/>
        <w:spacing w:before="31" w:line="579" w:lineRule="exact"/>
        <w:ind w:left="0" w:right="255"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质疑答复导致中标、成交结果改变的，采购人或者采购代理机构应当将有关情况书面报告本级财政部门。</w:t>
      </w:r>
    </w:p>
    <w:p>
      <w:pPr>
        <w:pStyle w:val="46"/>
        <w:snapToGrid w:val="0"/>
        <w:spacing w:before="29" w:line="579" w:lineRule="exact"/>
        <w:ind w:left="0" w:firstLine="482"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39.质疑无效的处理</w:t>
      </w:r>
    </w:p>
    <w:p>
      <w:pPr>
        <w:pStyle w:val="46"/>
        <w:snapToGrid w:val="0"/>
        <w:spacing w:before="28" w:line="579" w:lineRule="exact"/>
        <w:ind w:left="0" w:firstLine="460" w:firstLineChars="200"/>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t>39.1质疑人提供的相关佐证材料不能证明质疑成立的，招标方可要求质疑人补充相关佐证材料，如补充材料仍不能证明质疑成立的，将不予受理。</w:t>
      </w:r>
    </w:p>
    <w:p>
      <w:pPr>
        <w:pStyle w:val="46"/>
        <w:snapToGrid w:val="0"/>
        <w:spacing w:before="28" w:line="579" w:lineRule="exact"/>
        <w:ind w:left="0" w:firstLine="460" w:firstLineChars="200"/>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t>39.2对于质疑人在质疑期间不配合进行质疑调查处理的，视为自动放弃质疑。</w:t>
      </w:r>
    </w:p>
    <w:p>
      <w:pPr>
        <w:pStyle w:val="46"/>
        <w:snapToGrid w:val="0"/>
        <w:spacing w:before="28" w:line="579" w:lineRule="exact"/>
        <w:ind w:left="0" w:firstLine="460" w:firstLineChars="200"/>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t>39.3质疑人提出的质疑，经评标专家审定后驳回的，列为无效质疑。</w:t>
      </w:r>
    </w:p>
    <w:p>
      <w:pPr>
        <w:pStyle w:val="46"/>
        <w:snapToGrid w:val="0"/>
        <w:spacing w:before="28" w:line="579" w:lineRule="exact"/>
        <w:ind w:left="0" w:firstLine="460" w:firstLineChars="200"/>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t>39.4对于质疑中使用虚假材料或恶意方式质疑的，按无效质疑处理，并列入不良记录供应商名单。</w:t>
      </w:r>
    </w:p>
    <w:p>
      <w:pPr>
        <w:pStyle w:val="46"/>
        <w:snapToGrid w:val="0"/>
        <w:spacing w:before="28" w:line="579" w:lineRule="exact"/>
        <w:ind w:left="0" w:firstLine="460" w:firstLineChars="200"/>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t>39.5质疑人进行质疑后，招标方在法定时间内对质疑进行回复，质疑人认为回复不满意的，可向相关的采购管理部门进行投诉。</w:t>
      </w:r>
    </w:p>
    <w:p>
      <w:pPr>
        <w:pStyle w:val="46"/>
        <w:snapToGrid w:val="0"/>
        <w:spacing w:before="28" w:line="579" w:lineRule="exact"/>
        <w:ind w:firstLine="458" w:firstLineChars="200"/>
        <w:rPr>
          <w:rStyle w:val="35"/>
          <w:rFonts w:hint="eastAsia" w:asciiTheme="minorEastAsia" w:hAnsiTheme="minorEastAsia" w:eastAsiaTheme="minorEastAsia" w:cstheme="minorEastAsia"/>
          <w:b w:val="0"/>
          <w:bCs w:val="0"/>
          <w:color w:val="000000" w:themeColor="text1"/>
          <w:spacing w:val="-5"/>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40.其他</w:t>
      </w:r>
    </w:p>
    <w:p>
      <w:pPr>
        <w:pStyle w:val="46"/>
        <w:spacing w:before="14" w:line="579" w:lineRule="exact"/>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40.1质疑函和投诉书应当使用中文。质疑函和投诉书的范本，由财政部制定。</w:t>
      </w:r>
    </w:p>
    <w:p>
      <w:pPr>
        <w:pStyle w:val="46"/>
        <w:spacing w:before="14" w:line="579" w:lineRule="exact"/>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b w:val="0"/>
          <w:bCs w:val="0"/>
          <w:color w:val="000000" w:themeColor="text1"/>
          <w:highlight w:val="none"/>
          <w:lang w:eastAsia="zh-CN"/>
          <w14:textFill>
            <w14:solidFill>
              <w14:schemeClr w14:val="tx1"/>
            </w14:solidFill>
          </w14:textFill>
        </w:rPr>
        <w:t>40.2对在质疑答复和投诉处理过程中知悉的国家秘密、商业秘密、个人隐私和依法不予公开的信息，财政部门、采购人、采购代理机构等相关知情人应当保密。</w:t>
      </w:r>
    </w:p>
    <w:p>
      <w:pPr>
        <w:pStyle w:val="46"/>
        <w:spacing w:before="14" w:line="579" w:lineRule="exact"/>
        <w:ind w:left="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w w:val="95"/>
          <w:highlight w:val="none"/>
          <w:lang w:eastAsia="zh-CN"/>
          <w14:textFill>
            <w14:solidFill>
              <w14:schemeClr w14:val="tx1"/>
            </w14:solidFill>
          </w14:textFill>
        </w:rPr>
        <w:t>质疑函制作说明:</w:t>
      </w:r>
    </w:p>
    <w:p>
      <w:pPr>
        <w:pStyle w:val="38"/>
        <w:spacing w:before="124"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1.供应商提出质疑时，应提交质疑函和必要的证明材料。</w:t>
      </w:r>
    </w:p>
    <w:p>
      <w:pPr>
        <w:pStyle w:val="38"/>
        <w:spacing w:before="124"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38"/>
        <w:spacing w:before="31"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3.质疑供应商若对项目的某一分包进行质疑，质疑函中应列明具体分包号。</w:t>
      </w:r>
    </w:p>
    <w:p>
      <w:pPr>
        <w:pStyle w:val="38"/>
        <w:spacing w:before="124"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4.质疑函的质疑事项应具体、明确，并有必要的事实依据和法律依据。</w:t>
      </w:r>
    </w:p>
    <w:p>
      <w:pPr>
        <w:pStyle w:val="38"/>
        <w:spacing w:before="124" w:line="579" w:lineRule="exact"/>
        <w:ind w:left="0" w:firstLine="480" w:firstLineChars="200"/>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5.质疑函的质疑请求应与质疑事项相关。</w:t>
      </w:r>
    </w:p>
    <w:p>
      <w:pPr>
        <w:pStyle w:val="38"/>
        <w:snapToGrid w:val="0"/>
        <w:spacing w:before="31" w:line="579" w:lineRule="exact"/>
        <w:ind w:left="0" w:right="232" w:firstLine="480" w:firstLineChars="200"/>
        <w:jc w:val="both"/>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sectPr>
          <w:pgSz w:w="11910" w:h="16840"/>
          <w:pgMar w:top="1480" w:right="1180" w:bottom="1180" w:left="1480" w:header="0" w:footer="912" w:gutter="0"/>
          <w:pgNumType w:fmt="decimal"/>
          <w:cols w:space="720" w:num="1"/>
        </w:sect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spacing w:line="579" w:lineRule="exact"/>
        <w:ind w:left="702" w:right="693"/>
        <w:jc w:val="cente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w w:val="95"/>
          <w:sz w:val="24"/>
          <w:szCs w:val="24"/>
          <w:highlight w:val="none"/>
          <w:lang w:eastAsia="zh-CN"/>
          <w14:textFill>
            <w14:solidFill>
              <w14:schemeClr w14:val="tx1"/>
            </w14:solidFill>
          </w14:textFill>
        </w:rPr>
        <w:t>质疑函范本</w:t>
      </w:r>
    </w:p>
    <w:p>
      <w:pPr>
        <w:spacing w:before="62" w:line="579" w:lineRule="exact"/>
        <w:ind w:left="109" w:right="6225"/>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一、质疑供应商基本信息</w:t>
      </w:r>
    </w:p>
    <w:p>
      <w:pPr>
        <w:spacing w:before="62" w:line="579" w:lineRule="exact"/>
        <w:ind w:left="109" w:right="6225"/>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质疑供应商：</w:t>
      </w:r>
    </w:p>
    <w:p>
      <w:pPr>
        <w:pStyle w:val="38"/>
        <w:spacing w:before="9" w:line="579" w:lineRule="exact"/>
        <w:ind w:right="5874"/>
        <w:jc w:val="both"/>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地址：邮编：</w:t>
      </w:r>
    </w:p>
    <w:p>
      <w:pPr>
        <w:pStyle w:val="38"/>
        <w:spacing w:before="9" w:line="579" w:lineRule="exact"/>
        <w:ind w:right="5874"/>
        <w:jc w:val="both"/>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联系人：联系电话：授权代表：</w:t>
      </w:r>
    </w:p>
    <w:p>
      <w:pPr>
        <w:pStyle w:val="38"/>
        <w:spacing w:before="9" w:line="579" w:lineRule="exact"/>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联系电话：</w:t>
      </w:r>
    </w:p>
    <w:p>
      <w:pPr>
        <w:spacing w:before="45" w:line="579" w:lineRule="exact"/>
        <w:ind w:left="109" w:right="5874"/>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地址：邮编：</w:t>
      </w:r>
    </w:p>
    <w:p>
      <w:pPr>
        <w:spacing w:before="45" w:line="579" w:lineRule="exact"/>
        <w:ind w:left="109" w:right="5874"/>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w w:val="95"/>
          <w:sz w:val="24"/>
          <w:szCs w:val="24"/>
          <w:highlight w:val="none"/>
          <w:lang w:eastAsia="zh-CN"/>
          <w14:textFill>
            <w14:solidFill>
              <w14:schemeClr w14:val="tx1"/>
            </w14:solidFill>
          </w14:textFill>
        </w:rPr>
        <w:t>二、质疑项目基本情况</w:t>
      </w:r>
    </w:p>
    <w:p>
      <w:pPr>
        <w:pStyle w:val="38"/>
        <w:spacing w:before="9" w:line="579" w:lineRule="exact"/>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质疑项目的名称：</w:t>
      </w:r>
    </w:p>
    <w:p>
      <w:pPr>
        <w:pStyle w:val="38"/>
        <w:spacing w:before="45" w:line="579" w:lineRule="exact"/>
        <w:ind w:right="5394"/>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质疑项目的编号：包号：</w:t>
      </w:r>
    </w:p>
    <w:p>
      <w:pPr>
        <w:pStyle w:val="38"/>
        <w:spacing w:before="45" w:line="579" w:lineRule="exact"/>
        <w:ind w:right="5394"/>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采购人名称：</w:t>
      </w:r>
    </w:p>
    <w:p>
      <w:pPr>
        <w:spacing w:before="9" w:line="579" w:lineRule="exact"/>
        <w:ind w:left="109" w:right="6465"/>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采购文件获取日期：</w:t>
      </w:r>
    </w:p>
    <w:p>
      <w:pPr>
        <w:spacing w:before="9" w:line="579" w:lineRule="exact"/>
        <w:ind w:left="109" w:right="6465"/>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三、质疑事项具体内容</w:t>
      </w:r>
    </w:p>
    <w:p>
      <w:pPr>
        <w:spacing w:before="9" w:line="579" w:lineRule="exact"/>
        <w:ind w:left="109" w:right="6465"/>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pacing w:val="-13"/>
          <w:sz w:val="24"/>
          <w:szCs w:val="24"/>
          <w:highlight w:val="none"/>
          <w:lang w:eastAsia="zh-CN"/>
          <w14:textFill>
            <w14:solidFill>
              <w14:schemeClr w14:val="tx1"/>
            </w14:solidFill>
          </w14:textFill>
        </w:rPr>
        <w:t>质疑事项</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1：</w:t>
      </w:r>
    </w:p>
    <w:p>
      <w:pPr>
        <w:pStyle w:val="38"/>
        <w:spacing w:before="9" w:line="579" w:lineRule="exact"/>
        <w:ind w:right="7675"/>
        <w:jc w:val="both"/>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事实依据：法律依据：质疑事项2</w:t>
      </w:r>
    </w:p>
    <w:p>
      <w:pPr>
        <w:pStyle w:val="38"/>
        <w:spacing w:before="9" w:line="579" w:lineRule="exact"/>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p>
    <w:p>
      <w:pPr>
        <w:spacing w:before="45" w:line="579" w:lineRule="exact"/>
        <w:ind w:left="109" w:right="5500"/>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t>四、与质疑事项相关的质疑请求</w:t>
      </w:r>
    </w:p>
    <w:p>
      <w:pPr>
        <w:spacing w:before="45" w:line="579" w:lineRule="exact"/>
        <w:ind w:left="109" w:right="5500"/>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请求：</w:t>
      </w:r>
    </w:p>
    <w:p>
      <w:pPr>
        <w:pStyle w:val="38"/>
        <w:spacing w:before="9" w:line="579" w:lineRule="exact"/>
        <w:ind w:right="6354"/>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签字（盖章）：公章：</w:t>
      </w:r>
    </w:p>
    <w:p>
      <w:pPr>
        <w:pStyle w:val="38"/>
        <w:spacing w:before="9" w:line="579" w:lineRule="exact"/>
        <w:ind w:right="6354"/>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t>日期：</w:t>
      </w:r>
    </w:p>
    <w:p>
      <w:pPr>
        <w:spacing w:line="579" w:lineRule="exact"/>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sectPr>
          <w:pgSz w:w="11910" w:h="16840"/>
          <w:pgMar w:top="1480" w:right="1320" w:bottom="1180" w:left="1480" w:header="0" w:footer="912" w:gutter="0"/>
          <w:pgNumType w:fmt="decimal"/>
          <w:cols w:space="720" w:num="1"/>
        </w:sectPr>
      </w:pPr>
    </w:p>
    <w:p>
      <w:pPr>
        <w:tabs>
          <w:tab w:val="left" w:pos="1990"/>
        </w:tabs>
        <w:spacing w:line="579" w:lineRule="exact"/>
        <w:ind w:right="147"/>
        <w:jc w:val="center"/>
        <w:outlineLvl w:val="0"/>
        <w:rPr>
          <w:rStyle w:val="35"/>
          <w:rFonts w:hint="default"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Style w:val="35"/>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第三部分</w:t>
      </w:r>
      <w:bookmarkEnd w:id="67"/>
      <w:bookmarkEnd w:id="68"/>
      <w:bookmarkEnd w:id="69"/>
      <w:bookmarkEnd w:id="70"/>
      <w:bookmarkEnd w:id="71"/>
      <w:bookmarkEnd w:id="72"/>
      <w:r>
        <w:rPr>
          <w:rStyle w:val="35"/>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服务要求</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bookmarkStart w:id="73" w:name="_Toc15456"/>
      <w:bookmarkStart w:id="74" w:name="_Toc7042"/>
      <w:bookmarkStart w:id="75" w:name="_Toc20896"/>
      <w:bookmarkStart w:id="76" w:name="_Toc15289"/>
      <w:bookmarkStart w:id="77" w:name="_Toc22849"/>
      <w:bookmarkStart w:id="78" w:name="_Toc28991"/>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1.为医院经营管理提供日常法律咨询（微信、电话、邮件、函件等方式）；</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2.参与起草、审核医院重要规章制度；</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3.参加合同谈判，拟订、审核合同，拟订其他法律文书；</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4.提供与医院经营管理活动相关的法律法规信息；</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5.开展法律培训，每年2次，内容由医院决定；</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6.加强劳动管理，建立完善治理结构相关制度；</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7.加强风险防范，建立和完善法律风险防范体系；</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8.顾问律师团队人员轮流在医院办公场所每周坐班2次且每次不少于4小时；</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9.参与医患纠纷的调解处理，为医患纠纷处理提供法律意见；</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10.参加医院必要的重要会议并提供法律建议和决策。</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11.参加科研项目的伦理审查，为科研项目提供伦理审查意见；</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12.根据医院</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要求</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随时处理其他与法律相关的事务。</w:t>
      </w:r>
    </w:p>
    <w:p>
      <w:pPr>
        <w:spacing w:line="579" w:lineRule="exact"/>
        <w:ind w:firstLine="482" w:firstLineChars="200"/>
        <w:jc w:val="both"/>
        <w:outlineLvl w:val="0"/>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服务方提供上述法律服务时，不再另行收费且不得出现虚假记载、误导性陈述、重大遗漏，否则承担违约责任和损害赔偿责任。（作为委托代理人参加诉讼、仲裁案件，另行协商收费。）</w:t>
      </w:r>
    </w:p>
    <w:p>
      <w:pPr>
        <w:spacing w:line="579" w:lineRule="exact"/>
        <w:ind w:firstLine="643" w:firstLineChars="200"/>
        <w:jc w:val="center"/>
        <w:outlineLvl w:val="0"/>
        <w:rPr>
          <w:rFonts w:hint="eastAsia" w:asciiTheme="minorEastAsia" w:hAnsiTheme="minorEastAsia" w:eastAsiaTheme="minorEastAsia" w:cstheme="minorEastAsia"/>
          <w:b/>
          <w:bCs/>
          <w:color w:val="000000" w:themeColor="text1"/>
          <w:sz w:val="32"/>
          <w:szCs w:val="40"/>
          <w:highlight w:val="none"/>
          <w:lang w:eastAsia="zh-CN"/>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32"/>
          <w:szCs w:val="40"/>
          <w:highlight w:val="none"/>
          <w:lang w:eastAsia="zh-CN"/>
          <w14:textFill>
            <w14:solidFill>
              <w14:schemeClr w14:val="tx1"/>
            </w14:solidFill>
          </w14:textFill>
        </w:rPr>
      </w:pPr>
    </w:p>
    <w:p>
      <w:pPr>
        <w:rPr>
          <w:rFonts w:hint="eastAsia" w:asciiTheme="minorEastAsia" w:hAnsiTheme="minorEastAsia" w:eastAsiaTheme="minorEastAsia" w:cstheme="minorEastAsia"/>
          <w:b/>
          <w:bCs/>
          <w:color w:val="000000" w:themeColor="text1"/>
          <w:sz w:val="32"/>
          <w:szCs w:val="40"/>
          <w:highlight w:val="none"/>
          <w:lang w:eastAsia="zh-CN"/>
          <w14:textFill>
            <w14:solidFill>
              <w14:schemeClr w14:val="tx1"/>
            </w14:solidFill>
          </w14:textFill>
        </w:rPr>
      </w:pPr>
    </w:p>
    <w:p>
      <w:pPr>
        <w:pStyle w:val="2"/>
        <w:rPr>
          <w:rFonts w:hint="eastAsia" w:asciiTheme="minorEastAsia" w:hAnsiTheme="minorEastAsia" w:eastAsiaTheme="minorEastAsia" w:cstheme="minorEastAsia"/>
          <w:b/>
          <w:bCs/>
          <w:color w:val="000000" w:themeColor="text1"/>
          <w:sz w:val="32"/>
          <w:szCs w:val="40"/>
          <w:highlight w:val="none"/>
          <w:lang w:eastAsia="zh-CN"/>
          <w14:textFill>
            <w14:solidFill>
              <w14:schemeClr w14:val="tx1"/>
            </w14:solidFill>
          </w14:textFill>
        </w:rPr>
      </w:pPr>
    </w:p>
    <w:p>
      <w:pPr>
        <w:rPr>
          <w:rFonts w:hint="eastAsia"/>
          <w:lang w:eastAsia="zh-CN"/>
        </w:rPr>
      </w:pPr>
    </w:p>
    <w:p>
      <w:pPr>
        <w:spacing w:line="579" w:lineRule="exact"/>
        <w:ind w:firstLine="643" w:firstLineChars="200"/>
        <w:jc w:val="center"/>
        <w:outlineLvl w:val="0"/>
        <w:rPr>
          <w:rFonts w:hint="eastAsia" w:asciiTheme="minorEastAsia" w:hAnsiTheme="minorEastAsia" w:eastAsiaTheme="minorEastAsia" w:cstheme="minorEastAsia"/>
          <w:b/>
          <w:bCs/>
          <w:color w:val="000000" w:themeColor="text1"/>
          <w:sz w:val="32"/>
          <w:szCs w:val="40"/>
          <w:highlight w:val="none"/>
          <w:lang w:eastAsia="zh-CN"/>
          <w14:textFill>
            <w14:solidFill>
              <w14:schemeClr w14:val="tx1"/>
            </w14:solidFill>
          </w14:textFill>
        </w:rPr>
      </w:pPr>
    </w:p>
    <w:p>
      <w:pPr>
        <w:spacing w:line="579" w:lineRule="exact"/>
        <w:ind w:firstLine="643" w:firstLineChars="200"/>
        <w:jc w:val="center"/>
        <w:outlineLvl w:val="0"/>
        <w:rPr>
          <w:rFonts w:hint="eastAsia" w:asciiTheme="minorEastAsia" w:hAnsiTheme="minorEastAsia" w:eastAsiaTheme="minorEastAsia" w:cstheme="minorEastAsia"/>
          <w:b/>
          <w:bCs/>
          <w:color w:val="000000" w:themeColor="text1"/>
          <w:sz w:val="32"/>
          <w:szCs w:val="40"/>
          <w:highlight w:val="none"/>
          <w:lang w:eastAsia="zh-CN"/>
          <w14:textFill>
            <w14:solidFill>
              <w14:schemeClr w14:val="tx1"/>
            </w14:solidFill>
          </w14:textFill>
        </w:rPr>
      </w:pPr>
    </w:p>
    <w:p>
      <w:pPr>
        <w:spacing w:line="579" w:lineRule="exact"/>
        <w:ind w:firstLine="643" w:firstLineChars="200"/>
        <w:jc w:val="center"/>
        <w:outlineLvl w:val="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40"/>
          <w:highlight w:val="none"/>
          <w:lang w:eastAsia="zh-CN"/>
          <w14:textFill>
            <w14:solidFill>
              <w14:schemeClr w14:val="tx1"/>
            </w14:solidFill>
          </w14:textFill>
        </w:rPr>
        <w:t>第四部分  合同条款</w:t>
      </w:r>
      <w:bookmarkEnd w:id="73"/>
      <w:bookmarkEnd w:id="74"/>
      <w:bookmarkEnd w:id="75"/>
      <w:bookmarkEnd w:id="76"/>
      <w:bookmarkEnd w:id="77"/>
      <w:bookmarkEnd w:id="78"/>
    </w:p>
    <w:p>
      <w:pPr>
        <w:pStyle w:val="60"/>
        <w:pBdr>
          <w:top w:val="none" w:color="auto" w:sz="0" w:space="0"/>
          <w:left w:val="none" w:color="auto" w:sz="0" w:space="0"/>
          <w:bottom w:val="none" w:color="auto" w:sz="0" w:space="0"/>
          <w:right w:val="none" w:color="auto" w:sz="0" w:space="0"/>
        </w:pBdr>
        <w:tabs>
          <w:tab w:val="left" w:pos="2625"/>
        </w:tabs>
        <w:spacing w:line="579" w:lineRule="exact"/>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t>注：</w:t>
      </w:r>
    </w:p>
    <w:p>
      <w:pPr>
        <w:pStyle w:val="60"/>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本合同条款仅作为双方签订合同的参考，合同最终内容将根据中标单位的投标响应内容确定合同主要内容，阐明各方的权利和义务，必要时将增加新的条款，但不得与招标文件、磋商响应文件的实质性内容相背离。</w:t>
      </w:r>
    </w:p>
    <w:p>
      <w:pPr>
        <w:pStyle w:val="60"/>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pStyle w:val="60"/>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pStyle w:val="60"/>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pStyle w:val="60"/>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pStyle w:val="60"/>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pStyle w:val="60"/>
        <w:pBdr>
          <w:top w:val="none" w:color="auto" w:sz="0" w:space="0"/>
          <w:left w:val="none" w:color="auto" w:sz="0" w:space="0"/>
          <w:bottom w:val="none" w:color="auto" w:sz="0" w:space="0"/>
          <w:right w:val="none" w:color="auto" w:sz="0" w:space="0"/>
        </w:pBdr>
        <w:tabs>
          <w:tab w:val="left" w:pos="2625"/>
        </w:tabs>
        <w:spacing w:line="579" w:lineRule="exact"/>
        <w:ind w:firstLine="220" w:firstLineChars="1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pStyle w:val="4"/>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themeColor="text1"/>
          <w:sz w:val="48"/>
          <w:szCs w:val="48"/>
          <w:highlight w:val="none"/>
          <w:lang w:eastAsia="zh-CN"/>
          <w14:textFill>
            <w14:solidFill>
              <w14:schemeClr w14:val="tx1"/>
            </w14:solidFill>
          </w14:textFill>
        </w:rPr>
      </w:pPr>
      <w:bookmarkStart w:id="79" w:name="_Toc7400"/>
      <w:bookmarkStart w:id="80" w:name="_Toc4727"/>
      <w:bookmarkStart w:id="81" w:name="_Toc3023"/>
      <w:bookmarkStart w:id="82" w:name="_Toc17311"/>
      <w:bookmarkStart w:id="83" w:name="_Toc15427"/>
      <w:r>
        <w:rPr>
          <w:rFonts w:hint="eastAsia" w:asciiTheme="minorEastAsia" w:hAnsiTheme="minorEastAsia" w:eastAsiaTheme="minorEastAsia" w:cstheme="minorEastAsia"/>
          <w:b/>
          <w:bCs/>
          <w:color w:val="000000" w:themeColor="text1"/>
          <w:sz w:val="48"/>
          <w:szCs w:val="48"/>
          <w:highlight w:val="none"/>
          <w:lang w:val="zh-CN" w:eastAsia="zh-CN"/>
          <w14:textFill>
            <w14:solidFill>
              <w14:schemeClr w14:val="tx1"/>
            </w14:solidFill>
          </w14:textFill>
        </w:rPr>
        <w:t>政府采购项目合同书</w:t>
      </w:r>
    </w:p>
    <w:p>
      <w:pPr>
        <w:autoSpaceDE w:val="0"/>
        <w:autoSpaceDN w:val="0"/>
        <w:adjustRightInd w:val="0"/>
        <w:spacing w:line="360" w:lineRule="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30"/>
          <w:szCs w:val="30"/>
          <w:highlight w:val="none"/>
          <w:u w:val="singl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采购项目编号：</w:t>
      </w:r>
      <w:r>
        <w:rPr>
          <w:rFonts w:hint="eastAsia" w:asciiTheme="minorEastAsia" w:hAnsiTheme="minorEastAsia" w:eastAsiaTheme="minorEastAsia" w:cstheme="minorEastAsia"/>
          <w:b/>
          <w:bCs/>
          <w:color w:val="000000" w:themeColor="text1"/>
          <w:sz w:val="30"/>
          <w:szCs w:val="30"/>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highlight w:val="none"/>
          <w:u w:val="single"/>
          <w:lang w:eastAsia="zh-CN"/>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30"/>
          <w:szCs w:val="30"/>
          <w:highlight w:val="none"/>
          <w:u w:val="singl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采购项目名称：</w:t>
      </w:r>
      <w:r>
        <w:rPr>
          <w:rFonts w:hint="eastAsia" w:asciiTheme="minorEastAsia" w:hAnsiTheme="minorEastAsia" w:eastAsiaTheme="minorEastAsia" w:cstheme="minorEastAsia"/>
          <w:b/>
          <w:bCs/>
          <w:color w:val="000000" w:themeColor="text1"/>
          <w:sz w:val="30"/>
          <w:szCs w:val="30"/>
          <w:highlight w:val="none"/>
          <w:u w:val="single"/>
          <w:lang w:eastAsia="zh-CN"/>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采购合同编号：</w:t>
      </w:r>
      <w:r>
        <w:rPr>
          <w:rFonts w:hint="eastAsia" w:asciiTheme="minorEastAsia" w:hAnsiTheme="minorEastAsia" w:eastAsiaTheme="minorEastAsia" w:cstheme="minorEastAsia"/>
          <w:b/>
          <w:bCs/>
          <w:color w:val="000000" w:themeColor="text1"/>
          <w:sz w:val="30"/>
          <w:szCs w:val="30"/>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u w:val="single"/>
          <w:lang w:val="zh-CN" w:eastAsia="zh-CN"/>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合同金额（人民币）：</w:t>
      </w:r>
      <w:r>
        <w:rPr>
          <w:rFonts w:hint="eastAsia" w:asciiTheme="minorEastAsia" w:hAnsiTheme="minorEastAsia" w:eastAsiaTheme="minorEastAsia" w:cstheme="minorEastAsia"/>
          <w:b/>
          <w:bCs/>
          <w:color w:val="000000" w:themeColor="text1"/>
          <w:sz w:val="30"/>
          <w:szCs w:val="30"/>
          <w:highlight w:val="none"/>
          <w:u w:val="single"/>
          <w:lang w:eastAsia="zh-CN"/>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采</w:t>
      </w: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购</w:t>
      </w: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（甲</w:t>
      </w: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方）：</w:t>
      </w:r>
      <w:r>
        <w:rPr>
          <w:rFonts w:hint="eastAsia" w:asciiTheme="minorEastAsia" w:hAnsiTheme="minorEastAsia" w:eastAsiaTheme="minorEastAsia" w:cstheme="minorEastAsia"/>
          <w:b/>
          <w:bCs/>
          <w:color w:val="000000" w:themeColor="text1"/>
          <w:sz w:val="30"/>
          <w:szCs w:val="30"/>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u w:val="single"/>
          <w:lang w:val="zh-CN" w:eastAsia="zh-CN"/>
          <w14:textFill>
            <w14:solidFill>
              <w14:schemeClr w14:val="tx1"/>
            </w14:solidFill>
          </w14:textFill>
        </w:rPr>
        <w:t>（盖章）</w:t>
      </w: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中标服务商（乙方）：</w:t>
      </w:r>
      <w:r>
        <w:rPr>
          <w:rFonts w:hint="eastAsia" w:asciiTheme="minorEastAsia" w:hAnsiTheme="minorEastAsia" w:eastAsiaTheme="minorEastAsia" w:cstheme="minorEastAsia"/>
          <w:b/>
          <w:bCs/>
          <w:color w:val="000000" w:themeColor="text1"/>
          <w:sz w:val="30"/>
          <w:szCs w:val="30"/>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u w:val="single"/>
          <w:lang w:val="zh-CN" w:eastAsia="zh-CN"/>
          <w14:textFill>
            <w14:solidFill>
              <w14:schemeClr w14:val="tx1"/>
            </w14:solidFill>
          </w14:textFill>
        </w:rPr>
        <w:t>（盖章）</w:t>
      </w: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采购日期：</w:t>
      </w:r>
      <w:r>
        <w:rPr>
          <w:rFonts w:hint="eastAsia" w:asciiTheme="minorEastAsia" w:hAnsiTheme="minorEastAsia" w:eastAsiaTheme="minorEastAsia" w:cstheme="minorEastAsia"/>
          <w:b/>
          <w:bCs/>
          <w:color w:val="000000" w:themeColor="text1"/>
          <w:sz w:val="30"/>
          <w:szCs w:val="30"/>
          <w:highlight w:val="none"/>
          <w:u w:val="single"/>
          <w:lang w:eastAsia="zh-CN"/>
          <w14:textFill>
            <w14:solidFill>
              <w14:schemeClr w14:val="tx1"/>
            </w14:solidFill>
          </w14:textFill>
        </w:rPr>
        <w:t xml:space="preserve">                                     </w:t>
      </w:r>
    </w:p>
    <w:p>
      <w:pPr>
        <w:autoSpaceDE w:val="0"/>
        <w:autoSpaceDN w:val="0"/>
        <w:adjustRightInd w:val="0"/>
        <w:spacing w:line="360" w:lineRule="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br w:type="page"/>
      </w:r>
      <w:r>
        <w:rPr>
          <w:rFonts w:hint="eastAsia" w:asciiTheme="minorEastAsia" w:hAnsiTheme="minorEastAsia" w:eastAsiaTheme="minorEastAsia" w:cstheme="minorEastAsia"/>
          <w:b/>
          <w:bCs/>
          <w:color w:val="000000" w:themeColor="text1"/>
          <w:sz w:val="28"/>
          <w:szCs w:val="28"/>
          <w:highlight w:val="none"/>
          <w:lang w:val="zh-CN" w:eastAsia="zh-CN"/>
          <w14:textFill>
            <w14:solidFill>
              <w14:schemeClr w14:val="tx1"/>
            </w14:solidFill>
          </w14:textFill>
        </w:rPr>
        <w:t>采</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eastAsia="zh-CN"/>
          <w14:textFill>
            <w14:solidFill>
              <w14:schemeClr w14:val="tx1"/>
            </w14:solidFill>
          </w14:textFill>
        </w:rPr>
        <w:t>购</w:t>
      </w:r>
      <w:r>
        <w:rPr>
          <w:rFonts w:hint="eastAsia" w:asciiTheme="minorEastAsia" w:hAnsiTheme="minorEastAsia" w:eastAsiaTheme="minorEastAsia" w:cstheme="minorEastAsia"/>
          <w:b/>
          <w:bCs/>
          <w:color w:val="000000" w:themeColor="text1"/>
          <w:sz w:val="28"/>
          <w:szCs w:val="28"/>
          <w:highlight w:val="non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eastAsia="zh-CN"/>
          <w14:textFill>
            <w14:solidFill>
              <w14:schemeClr w14:val="tx1"/>
            </w14:solidFill>
          </w14:textFill>
        </w:rPr>
        <w:t>人（以下简称甲方）：</w:t>
      </w:r>
    </w:p>
    <w:p>
      <w:pPr>
        <w:autoSpaceDE w:val="0"/>
        <w:autoSpaceDN w:val="0"/>
        <w:adjustRightInd w:val="0"/>
        <w:spacing w:line="360" w:lineRule="auto"/>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中</w:t>
      </w: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标</w:t>
      </w:r>
      <w:r>
        <w:rPr>
          <w:rFonts w:hint="eastAsia" w:asciiTheme="minorEastAsia" w:hAnsiTheme="minorEastAsia" w:eastAsiaTheme="minorEastAsia" w:cstheme="minorEastAsia"/>
          <w:b/>
          <w:bCs/>
          <w:color w:val="000000" w:themeColor="text1"/>
          <w:sz w:val="30"/>
          <w:szCs w:val="30"/>
          <w:highlight w:val="none"/>
          <w:lang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8"/>
          <w:szCs w:val="28"/>
          <w:highlight w:val="none"/>
          <w:lang w:val="zh-CN" w:eastAsia="zh-CN"/>
          <w14:textFill>
            <w14:solidFill>
              <w14:schemeClr w14:val="tx1"/>
            </w14:solidFill>
          </w14:textFill>
        </w:rPr>
        <w:t>（以下简称乙方）：</w:t>
      </w:r>
    </w:p>
    <w:p>
      <w:pPr>
        <w:pStyle w:val="3"/>
        <w:ind w:left="440" w:firstLine="48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甲、乙双方根据20</w:t>
      </w:r>
      <w:r>
        <w:rPr>
          <w:rFonts w:hint="eastAsia" w:asciiTheme="minorEastAsia" w:hAnsiTheme="minorEastAsia" w:eastAsiaTheme="minorEastAsia" w:cstheme="minorEastAsia"/>
          <w:color w:val="000000" w:themeColor="text1"/>
          <w:sz w:val="24"/>
          <w:highlight w:val="none"/>
          <w:u w:val="single"/>
          <w:lang w:val="zh-C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月</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日（</w:t>
      </w:r>
      <w:r>
        <w:rPr>
          <w:rFonts w:hint="eastAsia" w:asciiTheme="minorEastAsia" w:hAnsiTheme="minorEastAsia" w:eastAsiaTheme="minorEastAsia" w:cstheme="minorEastAsia"/>
          <w:i w:val="0"/>
          <w:iCs w:val="0"/>
          <w:caps w:val="0"/>
          <w:color w:val="000000"/>
          <w:spacing w:val="0"/>
          <w:sz w:val="24"/>
          <w:szCs w:val="24"/>
          <w:highlight w:val="none"/>
          <w:lang w:eastAsia="zh-CN"/>
        </w:rPr>
        <w:t>新疆维吾尔自治区第三人民医院（新疆维吾尔自治区职业病防治院）法律咨询服务采购项目</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的竞争性磋商文件要求和采购人、采购代理机构出具的《中标通知书》，并经双方协商一致，签订本合同协议书。</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一、签订本政府采购合同的依据</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本政府采购合同所附下列文件是构成本政府采购合同不可分割的部分：</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1.竞争性磋商文件；</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2.竞争性磋商文件的澄清、变更公告；</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3.中标服务商提交的磋商响应文件；</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4.竞争性磋商文件中规定的政府采购合同通用条款；</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5.中标通知书；</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6.履约保证金缴费证明。</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二、合同标的及金额                                       单位：元</w:t>
      </w:r>
    </w:p>
    <w:tbl>
      <w:tblPr>
        <w:tblStyle w:val="2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序号</w:t>
            </w:r>
          </w:p>
        </w:tc>
        <w:tc>
          <w:tcPr>
            <w:tcW w:w="340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分项名称</w:t>
            </w:r>
          </w:p>
        </w:tc>
        <w:tc>
          <w:tcPr>
            <w:tcW w:w="255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340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255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340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255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340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255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340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c>
          <w:tcPr>
            <w:tcW w:w="255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总价</w:t>
            </w:r>
          </w:p>
        </w:tc>
        <w:tc>
          <w:tcPr>
            <w:tcW w:w="2552" w:type="dxa"/>
            <w:noWrap w:val="0"/>
            <w:vAlign w:val="center"/>
          </w:tcPr>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tc>
      </w:tr>
    </w:tbl>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pPr>
    </w:p>
    <w:p>
      <w:pPr>
        <w:autoSpaceDE w:val="0"/>
        <w:autoSpaceDN w:val="0"/>
        <w:spacing w:line="360" w:lineRule="auto"/>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根据上述政府采购合同文件要求，本政府采购合同的总金额为人民币</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 xml:space="preserve">           </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（大写）</w:t>
      </w:r>
      <w:r>
        <w:rPr>
          <w:rFonts w:hint="eastAsia" w:asciiTheme="minorEastAsia" w:hAnsiTheme="minorEastAsia" w:eastAsiaTheme="minorEastAsia" w:cstheme="minorEastAsia"/>
          <w:color w:val="000000" w:themeColor="text1"/>
          <w:sz w:val="24"/>
          <w:highlight w:val="none"/>
          <w:u w:val="single"/>
          <w:lang w:val="zh-C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元。</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u w:val="singl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本合同以人民币进行结算，合同总价包括：</w:t>
      </w:r>
      <w:r>
        <w:rPr>
          <w:rFonts w:hint="eastAsia" w:asciiTheme="minorEastAsia" w:hAnsiTheme="minorEastAsia" w:eastAsiaTheme="minorEastAsia" w:cstheme="minorEastAsia"/>
          <w:color w:val="000000" w:themeColor="text1"/>
          <w:sz w:val="24"/>
          <w:highlight w:val="none"/>
          <w:u w:val="single"/>
          <w:lang w:val="zh-CN" w:eastAsia="zh-CN"/>
          <w14:textFill>
            <w14:solidFill>
              <w14:schemeClr w14:val="tx1"/>
            </w14:solidFill>
          </w14:textFill>
        </w:rPr>
        <w:t>服务费、人员费用、技术支持费、保险费、差旅费、税金、及其他不可预见费等全部费用。</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三、交付时间、地点和要求</w:t>
      </w:r>
    </w:p>
    <w:p>
      <w:pPr>
        <w:spacing w:line="360" w:lineRule="auto"/>
        <w:ind w:firstLine="600" w:firstLineChars="25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服务期：</w:t>
      </w:r>
      <w:r>
        <w:rPr>
          <w:rFonts w:hint="eastAsia" w:asciiTheme="minorEastAsia" w:hAnsiTheme="minorEastAsia" w:eastAsiaTheme="minorEastAsia" w:cstheme="minorEastAsia"/>
          <w:i w:val="0"/>
          <w:iCs w:val="0"/>
          <w:caps w:val="0"/>
          <w:color w:val="000000"/>
          <w:spacing w:val="0"/>
          <w:sz w:val="24"/>
          <w:szCs w:val="24"/>
          <w:highlight w:val="none"/>
        </w:rPr>
        <w:t>自签订合同之日起</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 xml:space="preserve">    </w:t>
      </w:r>
      <w:r>
        <w:rPr>
          <w:rFonts w:hint="eastAsia" w:asciiTheme="minorEastAsia" w:hAnsiTheme="minorEastAsia" w:eastAsiaTheme="minorEastAsia" w:cstheme="minorEastAsia"/>
          <w:i w:val="0"/>
          <w:iCs w:val="0"/>
          <w:caps w:val="0"/>
          <w:color w:val="000000"/>
          <w:spacing w:val="0"/>
          <w:sz w:val="24"/>
          <w:szCs w:val="24"/>
          <w:highlight w:val="none"/>
        </w:rPr>
        <w:t>内完成</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所有工作</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autoSpaceDE w:val="0"/>
        <w:autoSpaceDN w:val="0"/>
        <w:spacing w:line="360" w:lineRule="auto"/>
        <w:ind w:firstLine="720" w:firstLineChars="300"/>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地点：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采购人指定地点</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.乙方提供不符合招响应文件和本合同规定的服务，甲方有权拒绝接受。</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.乙方应无条件接受甲方对工作进度的调查和督促并提供成果质量检查按照检查意见对调查成果进行补充调查和修改。因成果质量造成的返工、修改，经济损失由乙方承担。</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.乙方在项目实施过程中应保证安全，如造成人员伤亡或财产损失，由乙方自负法律责任。</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甲方应提供该项目验收报告交同级财政监管部门，由财政部门按规定程序抽验后办理资金拨付。</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6</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 甲方在验收过程中发现乙方有违约问题，可按招、响应文件的规定要求乙方及时予以解决。</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7</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.乙方向甲方提供设备相关完税销售发票。</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8</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.未经甲方同意，乙方不得转包分包项目。</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四、付款方式</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、付款方式</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r>
        <w:rPr>
          <w:rStyle w:val="35"/>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Style w:val="35"/>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合同的变更、终止与转让</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甲乙双方如违反本合同规定，应承担违约责任和相应的经济处罚。具体规定如下：</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1.除《中华人民共和国政府采购法》第50条规定的情形外，本合同一经签订，甲乙双方不得擅自变更、中止或终止。</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2.乙方不得擅自转让其应履行的合同义务。</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六、违约责任</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3.因甲方原因造成乙方停工、返工及合同停止，乙方不承担违约责任。</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4.经甲方组织的人员审查发现，乙方未按采购人要求完成工作内容，甲方有权要求乙方返工。</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%的违约金；延迟提供服务、交付服务成果违约金从合同总价款中支付。</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6. 乙方未经甲方同意将项目中的全部或部分工作任务分包给第三方，或将项目转包给第三方承担，甲方有权要求乙方予以纠正或解除合同。</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8.甲乙双方任何一方由于不可抗拒的原因不能履行合同时，应及时向对方通报不能履行或不能完全履行的理由，根据具体情况可部分或全部免于承担违约责任。</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、不可抗力</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1.不可抗力使合同的某些内容有变更必要的，双方应通过协商在   天内达成进一步履行合同的协议，因不可抗力致使合同不能履行的，合同终止。</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 xml:space="preserve">2.除法律、法规规定的不可抗力情形外，双方约定出现 </w:t>
      </w:r>
      <w:r>
        <w:rPr>
          <w:rFonts w:hint="eastAsia" w:asciiTheme="minorEastAsia" w:hAnsiTheme="minorEastAsia" w:eastAsiaTheme="minorEastAsia" w:cstheme="minorEastAsia"/>
          <w:color w:val="000000" w:themeColor="text1"/>
          <w:sz w:val="24"/>
          <w:highlight w:val="none"/>
          <w:u w:val="single"/>
          <w:lang w:val="zh-CN"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情况亦视为不可抗力。</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八、成果和资料的保密与归属；</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3.本保密条款具有独立法律效力，不因合同其他条款无效或解除而失效。合同终止后，甲乙双方亦应持续履行本条所述各项保密责任。</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九、其他约定：无</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十、合同争议解决</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1.因履行本合同引起的或与本合同有关的争议，甲乙双方应首先通过友好协商解决，如果协商不能解决，可向甲方所在地仲裁委员会申请仲裁或向甲方所在地人民法院提起诉讼。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3.诉讼期间，本合同继续履行。</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十</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、合同生效及其它：</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1.本合同一式八份，经双方签字，并加盖公章即为生效。</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2.本合同未尽事宜，按《中华人民国和国民法典》有关规定处理。</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3.本合同的组成包含《合同通用条款》，可自行在政府采购网下载《合同通用条款》。</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甲方（盖章）：                         乙方（盖章）：</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法定代表人或委托代理人：               法定代表人或委托代理人：</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 xml:space="preserve">                                       开户银行：     </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联系电话：                             账号：</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 xml:space="preserve">                                       联系电话：</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签约时间：  年  月  日</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负责人或经办人：</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合同备案时间：   年   月    日</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5"/>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rPr>
          <w:rFonts w:hint="eastAsia" w:asciiTheme="minorEastAsia" w:hAnsiTheme="minorEastAsia" w:eastAsiaTheme="minorEastAsia" w:cstheme="minorEastAsia"/>
          <w:highlight w:val="none"/>
          <w:lang w:eastAsia="zh-CN"/>
        </w:rPr>
      </w:pPr>
    </w:p>
    <w:p>
      <w:pP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br w:type="page"/>
      </w:r>
    </w:p>
    <w:p>
      <w:pPr>
        <w:autoSpaceDE w:val="0"/>
        <w:autoSpaceDN w:val="0"/>
        <w:spacing w:line="360" w:lineRule="auto"/>
        <w:jc w:val="cente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合同通用条款</w:t>
      </w:r>
    </w:p>
    <w:p>
      <w:pPr>
        <w:autoSpaceDE w:val="0"/>
        <w:autoSpaceDN w:val="0"/>
        <w:adjustRightInd w:val="0"/>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定义</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本合同中的下列术语应解释为：</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“合同金额”指根据合同规定，乙方在正确地完全履行合同义务后甲方应付给乙方的价款。</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“合同条款”指本合同条款。</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1.4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“服务”指根据本合同规定乙方承担与供货有关的辅助服务，如提供技术援助、培训和合同中规定乙方应承担的其它义务。</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1.5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“甲方”指购买服务的单位。</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1.6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“乙方”指提供本合同条款下服务的公司或其他实体。</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1.7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“现场”指合同规定</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地点。</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1.8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“验收”指合同双方依据强制性的国家技术质量规范和合同约定，确认合同条款下的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符合合同规定的活动。</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1.9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原产地：指提供服务的来源地。</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1.10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“工作日”指国家法定工作日，“天”指日历天数。</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合同范围</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2.1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甲方同意从乙方处购买且乙方同意向甲方提供的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及其附属</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，包括各项技术服务、技术培训及满足合同技术服务、性能测试、正常运行及维修所必需的技术文件。</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乙方应负责培训甲方的技术人员。</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2.3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按照甲方的要求，乙方应在合同规定的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服务期</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内，对软件设备进行免费升级，同时在合同规定的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期满后，以最优惠的价格，向买方提供合同所需的配件及服务。</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合同文件和资料</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3.1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乙方在提供</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技术服务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时应同时提供中文版相关的技术资料，如目录索引、操作手册、使用指南、维修指南、服务手册等。</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3.2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知识产权</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4.1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乙方应保证甲方在使用该货物或其任何一部分时不受第三方提出的侵犯专利权、著作权、商标权和工业设计权等的起诉。</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4.2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任何第三方提出侵权指控，乙方须与第三方交涉并承担由此产生的一切责任、费用和经济赔偿。</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4.3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4.4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4.5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保密</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5.1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5.2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保密信息指任何一方因履行本合同所知悉的任何以口头、书面、图表或电子形式存在的对方信息，具体包括：</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5.2.1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任何涉及对方过去、现在或将来的商业计划、规章制度、操作规程、处理手段、财务信息；</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5.2.2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任何对方的技术措施、技术方案、软件应用及开发，硬件设备的品种、质量、数量、品牌等；</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5.2.3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任何对方的技术秘密或专有知识、文件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、报告、数据、客户软件、流程图、数据库、发明、知识、贸易秘密。</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5.3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乙方应根据甲方的要求签署相应的保密协议，保密协议与本条款存在不一致的，以保密协议为准。</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 xml:space="preserve">6. </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质量保证</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6.1 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质量保证</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6.1.1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乙方必须完全符合强制性的国家技术质量规范和合同规定的质量、性能和技术规范等的要求。</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6.1.2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根据乙方按检验标准自己检验结果或委托有资质的相关质检机构的检验结果，发现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成果</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、质量、与合同不符；或者在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期内，证实</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存在缺陷，包括潜在的缺陷或使用不符合要求的，甲方应书面通知乙方。接到上述通知后，乙方应及时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解决</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。乙方在甲方发出质量异议通知后，未作答复，甲方在通知书中所提出的要求应视为已被乙方接受。</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6.1.3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6.1.4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合同条款下</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技术服务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的质量保证期自</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技术服务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通过最终验收起算，合同另行规定除外。</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6.2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辅助服务质量保证</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6.2.1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6.2.2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价格</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7.1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乙方履行合同所必须的所有费用，包括但不限于检测与试验、技术资料、培训、交通、人员、差旅、质量保证期服务费、其他管理费用、所有的检验、测试、验收、试运行费用等均已包括在合同价格中。</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7.2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本合同价格为固定价格，包括了乙方履行合同全过程产生的所有成本和费用以及乙方应承担的一切税费。</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7.3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检验费用</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7.3.1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乙方必须负担本条款下属于乙方负责的检验、测试、试运行和验收的所有费用，并负责乙方派往买方组织的检验、测试和验收人员的所有费用。</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7.3.2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甲方按合同计划参加在乙方工厂所在地检验、测试和验收的费用全部由乙方负责并已包含在合同总价中。</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7.3.3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甲方检验人员已到卖方所在地，测试无法依照合同进行，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而引起甲方人员延长逗留时间，所有由此产生的包括甲方人员在内的直接费用及成本由乙方承担。</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.检验和验收</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8.1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乙方应在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前对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的质量、等进行详细而全面的检验，并出具证明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符合合同规定的文件。该文件将作为申请付款单据的一部分，但有关质量的检验不应视为最终检验。</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8.1.2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验收中如发现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服务成果质量</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与合同约定不符，甲方有权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拒绝</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，乙方应及时按甲方要求免费对拒收采取更换或其他必要的补救措施，直至验收合格，方视为乙方完成</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8.2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检验验收</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8.2.1 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完成后，乙方应及时试运行，按照合同专用条款规定的试运行完成后，双方及时组织对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检验验收。合同双方均须派人参加合同要求双方参加的试验、检验。</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8.2.2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8.2.3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8.2.4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检验测试出现全部或部分未达到本合同所约定的技术指标，甲方有权选择下列任一处理方式：</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a.</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重新测试直至合格为止；</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b.</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要求乙方对</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处理</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，然后重新测试直至合格为止；</w:t>
      </w:r>
    </w:p>
    <w:p>
      <w:pPr>
        <w:autoSpaceDE w:val="0"/>
        <w:autoSpaceDN w:val="0"/>
        <w:spacing w:line="360" w:lineRule="auto"/>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无论选择何种方式，甲方因此而发生的因卖方原因引起的所有费用均由乙方负担。</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8.3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使用过程检验</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8.3.1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在合同规定的质量保证期内，发现</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的质量与合同规定不符，或证明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有缺陷，包括潜在的缺陷或使用不合适等，由甲方组织质检（相关检测费用由卖方承担），据质检报告及质量保证条款向卖方提出索赔，此索赔并不免除乙方应承担的合同义务。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8.3.2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如果合同双方对乙方提供的上述试验结果报告的解释有分歧，双方须于出现分歧后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天内给对方声明，以陈述己方的观点。声明须附有关证据。分歧应通过协商解决。</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付款方法和条件</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本合同条款下的付款方法和条件在“政府采购项目合同书”中具体规定。</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履约保证金</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10.1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乙方应在合同签订前，按磋商文件第</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部分“八 授予合同”中第22.2项的约定提交履约保证金。</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10.2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履约保证金用于补偿甲方因乙方不能履行其合同义务而蒙受的损失。</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10.3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履约保证金应使用本合同货币，按下述方式之一提交（磋商文件中另有约定的除外）：</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10.3.1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甲方可接受的在中华人民共和国注册和营业的银行出具的履约保函；</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10.3.2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支票或汇票。</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10.4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乙方未能按合同规定履行其义务，甲方有权从履约保证金中取得补偿。货物验收合格后，甲方将履约保证金退还乙方或转为质量保证金。</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11.</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索赔</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11.1 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的质量、性能等与合同约定不符，或在</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期内证实</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存有缺陷，包括潜在的缺陷或使用不符合要求的，甲方有权根据有资质的权威质检机构的检验结果向乙方提出索赔（但责任应由保险公司除外）。</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11.2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11.2.1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在法定的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拒绝使用</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期内，乙方应按合同规定将货款退还给甲方，并承担由此发生的一切损失和费用，包括利息、银行手续费、检验费以及所需的其它必要费用。如已超过</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拒绝使用</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期，但乙方同意，可比照上述办法办理，或由双方协商处理。</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11.2.2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根据</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低劣程度及甲方所遭受损失的数额，经甲乙双方商定降低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的价格，或由有资质的中介机构评估，以降低后的价格或评估价格为准。</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11.2.3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用符合规格、质量和性能要求的</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来更换有缺陷的部分或修补缺陷部分，乙方应承担一切费用和风险，并负担甲方所发生的一切直接费用。同时，乙方应相应延长</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维护</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或</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履约保证期。</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11.3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乙方收到甲方发出的索赔通知之日起</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5</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个工作日内未作答复的，甲方可从合同款或履约保证金中扣回索赔金额，如金额不足以补偿索赔金额，乙方应补足差额部分。</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12.</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迟延交货</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12.1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乙方应按照合同约定的时间提供服务。</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12.2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除不可抗力因素外，乙方迟延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，甲方有权提出违约损失赔偿或解除合同。</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12.3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在履行合同过程中，乙方遇到不能按时提供服务的情况，应及时以书面形式将不能按时</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的理由、预期延误时间通知甲方。甲方收到乙方通知后，认为其理由正当的，可酌情延长</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时间。</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13.</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违约赔偿</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除不可抗力因素外，乙方没有按照合同规定的时间提供服务，甲方可要求乙方支付违约金。违约金每日按合同总价款的千分之五计收。</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14.</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不可抗力</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14.1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14.2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受事故影响的一方应在不可抗力的事故发生后以书面形式通知另一方。</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14.3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不可抗力使合同的某些内容有变更必要的，双方应通过协商达成进一步履行合同的协议，因不可抗力致使合同不能履行的，合同终止。</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15.</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税费</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与本合同有关的一切税费均由乙方承担。</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16.</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合同争议的解决</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16.1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甲方和乙方由于本合同的履行而发生任何争议时，双方可先通过协商解决。</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16.2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任何一方不愿通过协商或通过协商仍不能解决争议，则双方中任何一方均应向甲方所在地人民法院起诉。</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17.</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违约解除合同</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17.1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17.1.1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乙方未能在合同规定的限期或甲方同意延长的限期内，提供全部或部分货物的；</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17.1.2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乙方未能履行合同规定的其它主要义务的；</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17.1.3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乙方在本合同履行过程中有欺诈行为的。</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17.2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甲方全部或部分解除合同之后，应当遵循诚实信用原则购买与未交付的服务，乙方应承担买方购买类似服务而产生的额外支出。部分解除合同的，乙方应继续履行合同中未解除的部分。</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18.</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破产终止合同</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19.</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转让和分包</w:t>
      </w:r>
    </w:p>
    <w:p>
      <w:pPr>
        <w:autoSpaceDE w:val="0"/>
        <w:autoSpaceDN w:val="0"/>
        <w:spacing w:line="360" w:lineRule="auto"/>
        <w:ind w:firstLine="36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19.1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政府采购合同不能转让。</w:t>
      </w:r>
    </w:p>
    <w:p>
      <w:pPr>
        <w:autoSpaceDE w:val="0"/>
        <w:autoSpaceDN w:val="0"/>
        <w:spacing w:line="360" w:lineRule="auto"/>
        <w:ind w:firstLine="36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19.2 </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20.</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合同修改</w:t>
      </w:r>
    </w:p>
    <w:p>
      <w:pPr>
        <w:autoSpaceDE w:val="0"/>
        <w:autoSpaceDN w:val="0"/>
        <w:spacing w:line="360" w:lineRule="auto"/>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政府采购合同的双方当事人不得擅自变更、中止或者终止合同</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21.</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通知</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本合同任何一方给另一方的通知，都应以书面形式发送，而另一方也应以书面形式确认并发送到对方明确的地址。</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22.</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计量单位</w:t>
      </w:r>
    </w:p>
    <w:p>
      <w:pPr>
        <w:autoSpaceDE w:val="0"/>
        <w:autoSpaceDN w:val="0"/>
        <w:spacing w:line="360" w:lineRule="auto"/>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除技术规范中另有规定外</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计量单位均使用国家法定计量单位。</w:t>
      </w:r>
    </w:p>
    <w:p>
      <w:pPr>
        <w:autoSpaceDE w:val="0"/>
        <w:autoSpaceDN w:val="0"/>
        <w:spacing w:line="360" w:lineRule="auto"/>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23.</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适用法律</w:t>
      </w:r>
    </w:p>
    <w:p>
      <w:pPr>
        <w:tabs>
          <w:tab w:val="right" w:pos="5880"/>
        </w:tabs>
        <w:spacing w:after="156" w:afterLines="50" w:line="360" w:lineRule="auto"/>
        <w:ind w:firstLine="42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themeColor="text1"/>
          <w:sz w:val="24"/>
          <w:highlight w:val="none"/>
          <w:lang w:val="zh-CN" w:eastAsia="zh-CN"/>
          <w14:textFill>
            <w14:solidFill>
              <w14:schemeClr w14:val="tx1"/>
            </w14:solidFill>
          </w14:textFill>
        </w:rPr>
        <w:t>本合同按照中华人民共和国的相关法律进行解释。</w:t>
      </w:r>
    </w:p>
    <w:p>
      <w:pPr>
        <w:tabs>
          <w:tab w:val="right" w:pos="5880"/>
        </w:tabs>
        <w:spacing w:after="156" w:afterLines="50" w:line="360" w:lineRule="auto"/>
        <w:ind w:firstLine="420"/>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签字日期：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日</w:t>
      </w:r>
    </w:p>
    <w:p>
      <w:pPr>
        <w:rPr>
          <w:rFonts w:hint="eastAsia" w:asciiTheme="minorEastAsia" w:hAnsiTheme="minorEastAsia" w:eastAsiaTheme="minorEastAsia" w:cstheme="minorEastAsia"/>
          <w:color w:val="000000"/>
          <w:highlight w:val="none"/>
        </w:rPr>
      </w:pPr>
    </w:p>
    <w:p>
      <w:pPr>
        <w:rPr>
          <w:rFonts w:hint="eastAsia" w:asciiTheme="minorEastAsia" w:hAnsiTheme="minorEastAsia" w:eastAsiaTheme="minorEastAsia" w:cstheme="minorEastAsia"/>
          <w:color w:val="000000"/>
          <w:highlight w:val="none"/>
        </w:rPr>
      </w:pPr>
    </w:p>
    <w:p>
      <w:pPr>
        <w:rPr>
          <w:rFonts w:hint="eastAsia" w:asciiTheme="minorEastAsia" w:hAnsiTheme="minorEastAsia" w:eastAsiaTheme="minorEastAsia" w:cstheme="minorEastAsia"/>
          <w:color w:val="000000"/>
          <w:highlight w:val="none"/>
        </w:rPr>
      </w:pPr>
    </w:p>
    <w:p>
      <w:pPr>
        <w:rPr>
          <w:rFonts w:hint="eastAsia" w:asciiTheme="minorEastAsia" w:hAnsiTheme="minorEastAsia" w:eastAsiaTheme="minorEastAsia" w:cstheme="minorEastAsia"/>
          <w:color w:val="000000"/>
          <w:highlight w:val="none"/>
        </w:rPr>
      </w:pPr>
    </w:p>
    <w:p>
      <w:pPr>
        <w:rPr>
          <w:rFonts w:hint="eastAsia" w:asciiTheme="minorEastAsia" w:hAnsiTheme="minorEastAsia" w:eastAsiaTheme="minorEastAsia" w:cstheme="minorEastAsia"/>
          <w:color w:val="000000"/>
          <w:highlight w:val="none"/>
        </w:rPr>
      </w:pPr>
    </w:p>
    <w:p>
      <w:pPr>
        <w:rPr>
          <w:rFonts w:hint="eastAsia" w:asciiTheme="minorEastAsia" w:hAnsiTheme="minorEastAsia" w:eastAsiaTheme="minorEastAsia" w:cstheme="minorEastAsia"/>
          <w:color w:val="000000"/>
          <w:highlight w:val="none"/>
        </w:rPr>
      </w:pPr>
    </w:p>
    <w:p>
      <w:pPr>
        <w:rPr>
          <w:rFonts w:hint="eastAsia" w:asciiTheme="minorEastAsia" w:hAnsiTheme="minorEastAsia" w:eastAsiaTheme="minorEastAsia" w:cstheme="minorEastAsia"/>
          <w:color w:val="000000"/>
          <w:highlight w:val="none"/>
        </w:rPr>
      </w:pPr>
    </w:p>
    <w:p>
      <w:pPr>
        <w:rPr>
          <w:rStyle w:val="35"/>
          <w:rFonts w:hint="eastAsia" w:asciiTheme="minorEastAsia" w:hAnsiTheme="minorEastAsia" w:eastAsiaTheme="minorEastAsia" w:cstheme="minorEastAsia"/>
          <w:b/>
          <w:color w:val="000000" w:themeColor="text1"/>
          <w:sz w:val="36"/>
          <w:highlight w:val="none"/>
          <w:lang w:eastAsia="zh-CN"/>
          <w14:textFill>
            <w14:solidFill>
              <w14:schemeClr w14:val="tx1"/>
            </w14:solidFill>
          </w14:textFill>
        </w:rPr>
      </w:pPr>
      <w:bookmarkStart w:id="84" w:name="_Toc13022"/>
      <w:r>
        <w:rPr>
          <w:rStyle w:val="35"/>
          <w:rFonts w:hint="eastAsia" w:asciiTheme="minorEastAsia" w:hAnsiTheme="minorEastAsia" w:eastAsiaTheme="minorEastAsia" w:cstheme="minorEastAsia"/>
          <w:b/>
          <w:color w:val="000000" w:themeColor="text1"/>
          <w:sz w:val="36"/>
          <w:highlight w:val="none"/>
          <w:lang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pacing w:before="95" w:line="560" w:lineRule="exact"/>
        <w:ind w:left="2166" w:right="1814"/>
        <w:jc w:val="center"/>
        <w:textAlignment w:val="baseline"/>
        <w:outlineLvl w:val="0"/>
        <w:rPr>
          <w:rStyle w:val="35"/>
          <w:rFonts w:hint="eastAsia" w:asciiTheme="minorEastAsia" w:hAnsiTheme="minorEastAsia" w:eastAsiaTheme="minorEastAsia" w:cstheme="minorEastAsia"/>
          <w:b/>
          <w:color w:val="000000" w:themeColor="text1"/>
          <w:sz w:val="36"/>
          <w:highlight w:val="none"/>
          <w:lang w:eastAsia="zh-CN"/>
          <w14:textFill>
            <w14:solidFill>
              <w14:schemeClr w14:val="tx1"/>
            </w14:solidFill>
          </w14:textFill>
        </w:rPr>
      </w:pPr>
      <w:r>
        <w:rPr>
          <w:rStyle w:val="35"/>
          <w:rFonts w:hint="eastAsia" w:asciiTheme="minorEastAsia" w:hAnsiTheme="minorEastAsia" w:eastAsiaTheme="minorEastAsia" w:cstheme="minorEastAsia"/>
          <w:b/>
          <w:color w:val="000000" w:themeColor="text1"/>
          <w:sz w:val="36"/>
          <w:highlight w:val="none"/>
          <w:lang w:eastAsia="zh-CN"/>
          <w14:textFill>
            <w14:solidFill>
              <w14:schemeClr w14:val="tx1"/>
            </w14:solidFill>
          </w14:textFill>
        </w:rPr>
        <w:t>第五部分附件</w:t>
      </w:r>
      <w:bookmarkEnd w:id="79"/>
      <w:bookmarkEnd w:id="80"/>
      <w:bookmarkEnd w:id="81"/>
      <w:bookmarkEnd w:id="82"/>
      <w:bookmarkEnd w:id="83"/>
      <w:bookmarkEnd w:id="84"/>
    </w:p>
    <w:p>
      <w:pPr>
        <w:pStyle w:val="61"/>
        <w:ind w:firstLine="643"/>
        <w:jc w:val="cente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t>封面格式</w:t>
      </w:r>
    </w:p>
    <w:p>
      <w:pPr>
        <w:spacing w:line="579" w:lineRule="exact"/>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pPr>
    </w:p>
    <w:p>
      <w:pPr>
        <w:spacing w:line="579" w:lineRule="exact"/>
        <w:jc w:val="center"/>
        <w:rPr>
          <w:rFonts w:hint="eastAsia" w:asciiTheme="minorEastAsia" w:hAnsiTheme="minorEastAsia" w:eastAsiaTheme="minorEastAsia" w:cstheme="minorEastAsia"/>
          <w:b/>
          <w:color w:val="000000" w:themeColor="text1"/>
          <w:sz w:val="48"/>
          <w:szCs w:val="36"/>
          <w:highlight w:val="none"/>
          <w:lang w:eastAsia="zh-CN" w:bidi="ar"/>
          <w14:textFill>
            <w14:solidFill>
              <w14:schemeClr w14:val="tx1"/>
            </w14:solidFill>
          </w14:textFill>
        </w:rPr>
      </w:pPr>
    </w:p>
    <w:p>
      <w:pPr>
        <w:spacing w:line="579" w:lineRule="exact"/>
        <w:jc w:val="center"/>
        <w:rPr>
          <w:rFonts w:hint="eastAsia" w:asciiTheme="minorEastAsia" w:hAnsiTheme="minorEastAsia" w:eastAsiaTheme="minorEastAsia" w:cstheme="minorEastAsia"/>
          <w:b/>
          <w:color w:val="000000" w:themeColor="text1"/>
          <w:sz w:val="52"/>
          <w:szCs w:val="40"/>
          <w:highlight w:val="none"/>
          <w:lang w:eastAsia="zh-CN" w:bidi="ar"/>
          <w14:textFill>
            <w14:solidFill>
              <w14:schemeClr w14:val="tx1"/>
            </w14:solidFill>
          </w14:textFill>
        </w:rPr>
      </w:pPr>
      <w:r>
        <w:rPr>
          <w:rFonts w:hint="eastAsia" w:asciiTheme="minorEastAsia" w:hAnsiTheme="minorEastAsia" w:eastAsiaTheme="minorEastAsia" w:cstheme="minorEastAsia"/>
          <w:b/>
          <w:color w:val="000000" w:themeColor="text1"/>
          <w:sz w:val="52"/>
          <w:szCs w:val="52"/>
          <w:highlight w:val="none"/>
          <w:lang w:eastAsia="zh-CN"/>
          <w14:textFill>
            <w14:solidFill>
              <w14:schemeClr w14:val="tx1"/>
            </w14:solidFill>
          </w14:textFill>
        </w:rPr>
        <w:t>新疆维吾尔自治区第三人民医院（新疆维吾尔自治区职业病防治院）法律咨询服务采购项目</w:t>
      </w:r>
    </w:p>
    <w:p>
      <w:pPr>
        <w:spacing w:line="579" w:lineRule="exact"/>
        <w:jc w:val="center"/>
        <w:rPr>
          <w:rFonts w:hint="eastAsia" w:asciiTheme="minorEastAsia" w:hAnsiTheme="minorEastAsia" w:eastAsiaTheme="minorEastAsia" w:cstheme="minorEastAsia"/>
          <w:b/>
          <w:color w:val="000000" w:themeColor="text1"/>
          <w:sz w:val="52"/>
          <w:szCs w:val="40"/>
          <w:highlight w:val="none"/>
          <w:lang w:eastAsia="zh-CN" w:bidi="ar"/>
          <w14:textFill>
            <w14:solidFill>
              <w14:schemeClr w14:val="tx1"/>
            </w14:solidFill>
          </w14:textFill>
        </w:rPr>
      </w:pPr>
    </w:p>
    <w:p>
      <w:pPr>
        <w:spacing w:line="579" w:lineRule="exact"/>
        <w:jc w:val="center"/>
        <w:rPr>
          <w:rFonts w:hint="eastAsia" w:asciiTheme="minorEastAsia" w:hAnsiTheme="minorEastAsia" w:eastAsiaTheme="minorEastAsia" w:cstheme="minorEastAsia"/>
          <w:b/>
          <w:color w:val="000000" w:themeColor="text1"/>
          <w:sz w:val="52"/>
          <w:szCs w:val="5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52"/>
          <w:szCs w:val="40"/>
          <w:highlight w:val="none"/>
          <w:lang w:eastAsia="zh-CN" w:bidi="ar"/>
          <w14:textFill>
            <w14:solidFill>
              <w14:schemeClr w14:val="tx1"/>
            </w14:solidFill>
          </w14:textFill>
        </w:rPr>
        <w:t>磋 商 响 应 文 件</w:t>
      </w: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项目名称：</w:t>
      </w:r>
    </w:p>
    <w:p>
      <w:pPr>
        <w:spacing w:line="579" w:lineRule="exact"/>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项目编号:</w:t>
      </w: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供应商名称：（盖章）</w:t>
      </w: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法定代表人或授权代理人：（签字或盖章）</w:t>
      </w: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供应商地址：</w:t>
      </w: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联系人姓名：</w:t>
      </w:r>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联系方式:</w:t>
      </w:r>
    </w:p>
    <w:p>
      <w:pPr>
        <w:pStyle w:val="61"/>
        <w:ind w:firstLine="643"/>
        <w:jc w:val="cente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p>
    <w:p>
      <w:pPr>
        <w:pStyle w:val="61"/>
        <w:ind w:firstLine="643"/>
        <w:jc w:val="center"/>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p>
    <w:p>
      <w:pP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pPr>
      <w:bookmarkStart w:id="85" w:name="_Toc83546621"/>
      <w:bookmarkStart w:id="86" w:name="_Toc14236"/>
      <w:bookmarkStart w:id="87" w:name="_Toc21563"/>
      <w:bookmarkStart w:id="88" w:name="_Toc22554395"/>
      <w: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br w:type="page"/>
      </w:r>
    </w:p>
    <w:p>
      <w:pPr>
        <w:spacing w:before="120" w:after="120" w:line="500" w:lineRule="exact"/>
        <w:ind w:firstLine="643"/>
        <w:jc w:val="center"/>
        <w:outlineLvl w:val="1"/>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32"/>
          <w:highlight w:val="none"/>
          <w:lang w:val="en-US" w:eastAsia="zh-CN"/>
          <w14:textFill>
            <w14:solidFill>
              <w14:schemeClr w14:val="tx1"/>
            </w14:solidFill>
          </w14:textFill>
        </w:rPr>
        <w:t>第一部分</w:t>
      </w:r>
      <w:r>
        <w:rPr>
          <w:rFonts w:hint="eastAsia" w:asciiTheme="minorEastAsia" w:hAnsiTheme="minorEastAsia" w:eastAsiaTheme="minorEastAsia" w:cstheme="minorEastAsia"/>
          <w:b/>
          <w:color w:val="000000" w:themeColor="text1"/>
          <w:sz w:val="3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32"/>
          <w:highlight w:val="none"/>
          <w14:textFill>
            <w14:solidFill>
              <w14:schemeClr w14:val="tx1"/>
            </w14:solidFill>
          </w14:textFill>
        </w:rPr>
        <w:t>资格证明文件</w:t>
      </w:r>
      <w:bookmarkEnd w:id="85"/>
      <w:bookmarkEnd w:id="86"/>
      <w:bookmarkEnd w:id="87"/>
    </w:p>
    <w:p>
      <w:pPr>
        <w:spacing w:line="44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投标人应按下列顺序排序资格审查文件：</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）投标单位营业执照（复印件）；</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）提供法定代表人身份证明或法定代表人授权委托书；（原件）</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）有良好的商业信誉和健全的财务会计制度</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的相关证明材料</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）履行合同所必需的设备和专业技术能力</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的书面声明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（原件）；</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）依法缴纳税收和社会保障资金的良好记录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的证明材料</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）政府采购活动前三年内，在经营活动中没有重大违法记录</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的书面声明</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）供应商无关联关系书面声明函</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宋体" w:hAnsi="宋体" w:eastAsia="宋体" w:cs="Times New Roman"/>
          <w:color w:val="auto"/>
          <w:sz w:val="24"/>
          <w:szCs w:val="24"/>
          <w:highlight w:val="none"/>
          <w:lang w:val="en-US" w:eastAsia="zh-CN"/>
        </w:rPr>
        <w:t>具有司法行政部门颁发的律师事务所执业证书。</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）《中小企业声明函》（服务）</w:t>
      </w:r>
    </w:p>
    <w:p>
      <w:pPr>
        <w:spacing w:line="440" w:lineRule="exact"/>
        <w:ind w:firstLine="48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jc w:val="center"/>
        <w:textAlignment w:val="baseline"/>
        <w:outlineLvl w:val="9"/>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pPr>
        <w:pStyle w:val="12"/>
        <w:ind w:firstLine="48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12"/>
        <w:ind w:firstLine="48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12"/>
        <w:ind w:firstLine="48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12"/>
        <w:ind w:firstLine="48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12"/>
        <w:ind w:firstLine="48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12"/>
        <w:ind w:firstLine="48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12"/>
        <w:ind w:firstLine="48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pStyle w:val="12"/>
        <w:ind w:firstLine="482"/>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p>
    <w:p>
      <w:pP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500" w:lineRule="exact"/>
        <w:jc w:val="center"/>
        <w:textAlignment w:val="baseline"/>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highlight w:val="none"/>
          <w14:textFill>
            <w14:solidFill>
              <w14:schemeClr w14:val="tx1"/>
            </w14:solidFill>
          </w14:textFill>
        </w:rPr>
        <w:t>提供合法有效的营业执照</w:t>
      </w:r>
      <w:bookmarkEnd w:id="88"/>
    </w:p>
    <w:p>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提供投标人的营业执照复印件并加盖投标单位公章。</w:t>
      </w:r>
    </w:p>
    <w:p>
      <w:pPr>
        <w:keepNext/>
        <w:keepLines/>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pPr>
    </w:p>
    <w:p>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法定代表人授权委托书</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本授权委托书声明：我</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（投标人名称）</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的法人代表人，现授权委托</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（投标人名称）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（姓名）</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为我公司代理人，以本公司的名义参加</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（招标人）</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项目名称  、</w:t>
      </w:r>
      <w:r>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的投标活动。代理人在参加整个项目招标活动、合同签署过程中所签署的一切文件和处理与之有关的一切事物，我单位均予以承认。</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代理人：              性别：         年龄：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单  位：              部门：         职务：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联系电话：            邮箱：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代理人无转委权。特此委托。</w:t>
      </w:r>
    </w:p>
    <w:p>
      <w:pPr>
        <w:spacing w:line="500" w:lineRule="exact"/>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授权人身份证复印件（正反面）：</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被授权人身份证复印件（正反面）：</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投标人名称（盖章）：</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法定代表人(签字或盖章)：</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日期：        年    月    日</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2"/>
        <w:rPr>
          <w:rFonts w:hint="eastAsia" w:asciiTheme="minorEastAsia" w:hAnsiTheme="minorEastAsia" w:eastAsiaTheme="minorEastAsia" w:cstheme="minorEastAsia"/>
          <w:b/>
          <w:color w:val="000000" w:themeColor="text1"/>
          <w:sz w:val="24"/>
          <w:highlight w:val="none"/>
          <w14:textFill>
            <w14:solidFill>
              <w14:schemeClr w14:val="tx1"/>
            </w14:solidFill>
          </w14:textFill>
        </w:rPr>
      </w:pP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注：1、法定代表人本人作为公司代理人前来参与投标的，不提供此项证明文件。</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2、授权书上应当附有授权人和被授权人的居民身份证复印件（正反面）。</w:t>
      </w:r>
    </w:p>
    <w:p>
      <w:pPr>
        <w:keepNext/>
        <w:keepLines/>
        <w:pageBreakBefore w:val="0"/>
        <w:widowControl/>
        <w:kinsoku/>
        <w:wordWrap/>
        <w:overflowPunct/>
        <w:topLinePunct w:val="0"/>
        <w:autoSpaceDE/>
        <w:autoSpaceDN/>
        <w:bidi w:val="0"/>
        <w:adjustRightInd/>
        <w:snapToGrid/>
        <w:spacing w:line="500" w:lineRule="exact"/>
        <w:jc w:val="center"/>
        <w:textAlignment w:val="baseline"/>
        <w:outlineLvl w:val="9"/>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法定代表人身份证明书</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企业名称：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企业类型：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地    址：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营业期限：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成立时间：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姓名：                  性别：            年龄：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职务：                </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系</w:t>
      </w:r>
      <w:r>
        <w:rPr>
          <w:rFonts w:hint="eastAsia" w:asciiTheme="minorEastAsia" w:hAnsiTheme="minorEastAsia" w:eastAsiaTheme="minorEastAsia" w:cstheme="minorEastAsia"/>
          <w:color w:val="000000" w:themeColor="text1"/>
          <w:sz w:val="24"/>
          <w:highlight w:val="none"/>
          <w:u w:val="single"/>
          <w14:textFill>
            <w14:solidFill>
              <w14:schemeClr w14:val="tx1"/>
            </w14:solidFill>
          </w14:textFill>
        </w:rPr>
        <w:t xml:space="preserve">        （投标单位名称）          </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的法定代表人。</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特此证明。</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2"/>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法定代表人身份证复印件（正反面）：</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投标人名称（盖章）：</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 (签字或盖章)：</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日  期：        年        月        日</w:t>
      </w: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spacing w:line="500" w:lineRule="exact"/>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注：本证明书为法定代表人本人作为公司代理人参与投标的，提供此项证明书。</w:t>
      </w:r>
    </w:p>
    <w:p>
      <w:pPr>
        <w:ind w:firstLine="48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pPr>
        <w:pStyle w:val="12"/>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pPr>
        <w:keepNext/>
        <w:keepLines/>
        <w:pageBreakBefore w:val="0"/>
        <w:widowControl/>
        <w:kinsoku/>
        <w:wordWrap/>
        <w:overflowPunct/>
        <w:topLinePunct w:val="0"/>
        <w:autoSpaceDE/>
        <w:autoSpaceDN/>
        <w:bidi w:val="0"/>
        <w:adjustRightInd/>
        <w:snapToGrid/>
        <w:spacing w:line="500" w:lineRule="exact"/>
        <w:ind w:left="629"/>
        <w:jc w:val="center"/>
        <w:textAlignment w:val="baseline"/>
        <w:outlineLvl w:val="9"/>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br w:type="page"/>
      </w:r>
      <w:bookmarkStart w:id="89" w:name="_Toc3891646"/>
      <w:bookmarkStart w:id="90" w:name="_Toc22554399"/>
    </w:p>
    <w:p>
      <w:pPr>
        <w:tabs>
          <w:tab w:val="center" w:pos="4153"/>
          <w:tab w:val="right" w:pos="8306"/>
        </w:tabs>
        <w:snapToGrid w:val="0"/>
        <w:spacing w:line="440" w:lineRule="exact"/>
        <w:jc w:val="cente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、有良好的商业信誉和健全的财务会计制度</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的相关证明材料</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须提供相关证明材料，财务会计制度提供参加本次政府采购活动前一个月的会计报表或</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2021（或2022)</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年财务审计报告</w:t>
      </w:r>
      <w:r>
        <w:rPr>
          <w:rFonts w:hint="eastAsia" w:asciiTheme="minorEastAsia" w:hAnsiTheme="minorEastAsia" w:eastAsiaTheme="minorEastAsia" w:cstheme="minorEastAsia"/>
          <w:b w:val="0"/>
          <w:bCs w:val="0"/>
          <w:color w:val="000000" w:themeColor="text1"/>
          <w:sz w:val="24"/>
          <w:highlight w:val="none"/>
          <w:lang w:val="en-US" w:eastAsia="zh-CN"/>
          <w14:textFill>
            <w14:solidFill>
              <w14:schemeClr w14:val="tx1"/>
            </w14:solidFill>
          </w14:textFill>
        </w:rPr>
        <w:t>或近一个月银行开具的资信证明</w:t>
      </w:r>
      <w:r>
        <w:rPr>
          <w:rFonts w:hint="eastAsia" w:asciiTheme="minorEastAsia" w:hAnsiTheme="minorEastAsia" w:eastAsiaTheme="minorEastAsia" w:cstheme="minorEastAsia"/>
          <w:b w:val="0"/>
          <w:bCs w:val="0"/>
          <w:color w:val="000000" w:themeColor="text1"/>
          <w:sz w:val="24"/>
          <w:highlight w:val="none"/>
          <w:lang w:eastAsia="zh-CN"/>
          <w14:textFill>
            <w14:solidFill>
              <w14:schemeClr w14:val="tx1"/>
            </w14:solidFill>
          </w14:textFill>
        </w:rPr>
        <w:t>,成立不满一个月不需提供；</w:t>
      </w:r>
    </w:p>
    <w:p>
      <w:pPr>
        <w:spacing w:line="440" w:lineRule="exact"/>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p>
    <w:p>
      <w:pPr>
        <w:spacing w:line="440" w:lineRule="exact"/>
        <w:jc w:val="cente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、履行合同所必需的设备和专业技术能力</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的书面声明</w:t>
      </w:r>
    </w:p>
    <w:p>
      <w:pPr>
        <w:tabs>
          <w:tab w:val="center" w:pos="4153"/>
          <w:tab w:val="right" w:pos="8306"/>
        </w:tabs>
        <w:snapToGrid w:val="0"/>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致：新疆卓恒工程项目管理有限公司</w:t>
      </w: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w:t>
      </w: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本单位作为本次采购项目的供应商，郑重承诺具备以下条件：</w:t>
      </w: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（1）具有良好的商业信誉和健全的财务会计制度；</w:t>
      </w:r>
      <w:bookmarkStart w:id="91" w:name="_Toc10522_WPSOffice_Level1"/>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（2）具有履行合同所必需的</w:t>
      </w:r>
      <w:bookmarkEnd w:id="91"/>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设备和专业技术能力；</w:t>
      </w: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本单位对上述承诺的真实性负责，如有虚假，将依法承担法律责任。</w:t>
      </w: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特此承诺。</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adjustRightInd w:val="0"/>
        <w:snapToGrid w:val="0"/>
        <w:spacing w:line="440" w:lineRule="exact"/>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供应商法定代表人（或法定代表人授权代表）签字：</w:t>
      </w:r>
    </w:p>
    <w:p>
      <w:pPr>
        <w:adjustRightInd w:val="0"/>
        <w:snapToGrid w:val="0"/>
        <w:spacing w:line="440" w:lineRule="exact"/>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供应商名称（加盖公章）：</w:t>
      </w: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日期：   年   月   日</w:t>
      </w:r>
    </w:p>
    <w:p>
      <w:pPr>
        <w:pStyle w:val="12"/>
        <w:rPr>
          <w:rFonts w:hint="eastAsia" w:asciiTheme="minorEastAsia" w:hAnsiTheme="minorEastAsia" w:eastAsiaTheme="minorEastAsia" w:cstheme="minorEastAsia"/>
          <w:highlight w:val="none"/>
          <w:lang w:eastAsia="zh-CN"/>
        </w:rPr>
      </w:pPr>
    </w:p>
    <w:p>
      <w:pPr>
        <w:tabs>
          <w:tab w:val="center" w:pos="4153"/>
          <w:tab w:val="right" w:pos="8306"/>
        </w:tabs>
        <w:snapToGrid w:val="0"/>
        <w:spacing w:line="440" w:lineRule="exact"/>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jc w:val="cente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、依法缴纳税收和社会保障资金的良好记录</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的证明材料</w:t>
      </w:r>
    </w:p>
    <w:p>
      <w:pPr>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提供参加本次政府采购活动前六个月内（至少一个月）依法缴纳税收和社会保障资金的相关材料；</w:t>
      </w:r>
    </w:p>
    <w:p>
      <w:pPr>
        <w:pStyle w:val="12"/>
        <w:rPr>
          <w:rFonts w:hint="eastAsia" w:asciiTheme="minorEastAsia" w:hAnsiTheme="minorEastAsia" w:eastAsiaTheme="minorEastAsia" w:cstheme="minorEastAsia"/>
          <w:highlight w:val="none"/>
          <w:lang w:eastAsia="zh-CN"/>
        </w:rPr>
      </w:pPr>
    </w:p>
    <w:p>
      <w:pPr>
        <w:keepNext/>
        <w:keepLines/>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eastAsia="zh-CN"/>
        </w:rPr>
      </w:pPr>
    </w:p>
    <w:p>
      <w:pPr>
        <w:keepNext/>
        <w:keepLines/>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eastAsia="zh-CN"/>
        </w:rPr>
      </w:pPr>
    </w:p>
    <w:p>
      <w:pPr>
        <w:pStyle w:val="4"/>
        <w:rPr>
          <w:rFonts w:hint="eastAsia" w:asciiTheme="minorEastAsia" w:hAnsiTheme="minorEastAsia" w:eastAsiaTheme="minorEastAsia" w:cstheme="minorEastAsia"/>
          <w:highlight w:val="none"/>
          <w:lang w:eastAsia="zh-CN"/>
        </w:rPr>
      </w:pPr>
    </w:p>
    <w:p>
      <w:pPr>
        <w:rPr>
          <w:rFonts w:hint="eastAsia" w:asciiTheme="minorEastAsia" w:hAnsiTheme="minorEastAsia" w:eastAsiaTheme="minorEastAsia" w:cstheme="minorEastAsia"/>
          <w:highlight w:val="none"/>
          <w:lang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highlight w:val="none"/>
          <w:lang w:eastAsia="zh-CN"/>
        </w:rPr>
      </w:pPr>
    </w:p>
    <w:p>
      <w:pPr>
        <w:spacing w:line="440" w:lineRule="exact"/>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7</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、政府采购活动前</w:t>
      </w:r>
      <w:bookmarkStart w:id="92" w:name="_Toc16914_WPSOffice_Level1"/>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三年内，在经</w:t>
      </w:r>
      <w:bookmarkEnd w:id="92"/>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营活动中没有重大违法记录</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的书面声明</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w:t>
      </w:r>
    </w:p>
    <w:p>
      <w:pPr>
        <w:spacing w:line="360" w:lineRule="auto"/>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 xml:space="preserve">我单位郑重声明： </w:t>
      </w:r>
    </w:p>
    <w:p>
      <w:pPr>
        <w:spacing w:line="360" w:lineRule="auto"/>
        <w:ind w:firstLine="480" w:firstLineChars="200"/>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 xml:space="preserve">我单位在参加本次政府采购活动前三年内，在经营活动中没有重大违法记录，即未因违法经营受到刑事处罚或者责令停产停业、吊销许可证或者执照、较大数额罚款等行政处罚；如果因违法经营被禁止在一定期限内参加政府采购活动，期限已经届满。 </w:t>
      </w:r>
    </w:p>
    <w:p>
      <w:pPr>
        <w:spacing w:line="360" w:lineRule="auto"/>
        <w:ind w:firstLine="480" w:firstLineChars="200"/>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 xml:space="preserve">如我公司声明与实际不符，我公司将承担因此引起的一切后果。 </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adjustRightInd w:val="0"/>
        <w:snapToGrid w:val="0"/>
        <w:spacing w:line="440" w:lineRule="exact"/>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供应商法定代表人（或法定代表人授权代表）签字：</w:t>
      </w:r>
    </w:p>
    <w:p>
      <w:pPr>
        <w:adjustRightInd w:val="0"/>
        <w:snapToGrid w:val="0"/>
        <w:spacing w:line="440" w:lineRule="exact"/>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供应商名称（加盖公章）：</w:t>
      </w: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日期：   年   月   日</w:t>
      </w: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rPr>
          <w:rFonts w:hint="eastAsia" w:asciiTheme="minorEastAsia" w:hAnsiTheme="minorEastAsia" w:eastAsiaTheme="minorEastAsia" w:cstheme="minorEastAsia"/>
          <w:highlight w:val="none"/>
          <w:lang w:eastAsia="zh-CN"/>
        </w:rPr>
      </w:pPr>
    </w:p>
    <w:p>
      <w:pPr>
        <w:pStyle w:val="2"/>
        <w:rPr>
          <w:rFonts w:hint="eastAsia" w:asciiTheme="minorEastAsia" w:hAnsiTheme="minorEastAsia" w:eastAsiaTheme="minorEastAsia" w:cstheme="minorEastAsia"/>
          <w:highlight w:val="none"/>
          <w:lang w:eastAsia="zh-CN"/>
        </w:rPr>
      </w:pP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rPr>
          <w:rFonts w:hint="eastAsia" w:asciiTheme="minorEastAsia" w:hAnsiTheme="minorEastAsia" w:eastAsiaTheme="minorEastAsia" w:cstheme="minorEastAsia"/>
          <w:highlight w:val="none"/>
          <w:lang w:eastAsia="zh-CN"/>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ind w:firstLine="482" w:firstLineChars="200"/>
        <w:jc w:val="cente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供应商无关联关系书面声明函（格式）</w:t>
      </w:r>
    </w:p>
    <w:p>
      <w:pPr>
        <w:tabs>
          <w:tab w:val="center" w:pos="4153"/>
          <w:tab w:val="right" w:pos="8306"/>
        </w:tabs>
        <w:snapToGrid w:val="0"/>
        <w:spacing w:line="440" w:lineRule="exact"/>
        <w:ind w:firstLine="643" w:firstLineChars="200"/>
        <w:jc w:val="center"/>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新疆卓恒工程项目管理有限公司：</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我单位郑重声明：与</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存在利害关系，与本单位负责人为同一人或者与本单位存在控股关系、管理关系的其他关联供应商未参与</w:t>
      </w:r>
      <w:r>
        <w:rPr>
          <w:rFonts w:hint="eastAsia" w:asciiTheme="minorEastAsia" w:hAnsiTheme="minorEastAsia" w:eastAsiaTheme="minorEastAsia" w:cstheme="minorEastAsia"/>
          <w:b/>
          <w:bCs/>
          <w:color w:val="000000" w:themeColor="text1"/>
          <w:sz w:val="24"/>
          <w:highlight w:val="none"/>
          <w:u w:val="single"/>
          <w:lang w:eastAsia="zh-CN"/>
          <w14:textFill>
            <w14:solidFill>
              <w14:schemeClr w14:val="tx1"/>
            </w14:solidFill>
          </w14:textFill>
        </w:rPr>
        <w:t xml:space="preserve">_(项目名称) </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同一合同项下的谈判。</w:t>
      </w:r>
      <w:r>
        <w:rPr>
          <w:rFonts w:hint="eastAsia" w:asciiTheme="minorEastAsia" w:hAnsiTheme="minorEastAsia" w:eastAsiaTheme="minorEastAsia" w:cstheme="minorEastAsia"/>
          <w:i w:val="0"/>
          <w:iCs w:val="0"/>
          <w:caps w:val="0"/>
          <w:color w:val="000000"/>
          <w:spacing w:val="0"/>
          <w:sz w:val="24"/>
          <w:szCs w:val="24"/>
          <w:highlight w:val="none"/>
          <w:lang w:val="en-US" w:eastAsia="zh-CN"/>
        </w:rPr>
        <w:t>我单位不是</w:t>
      </w:r>
      <w:r>
        <w:rPr>
          <w:rFonts w:hint="eastAsia" w:asciiTheme="minorEastAsia" w:hAnsiTheme="minorEastAsia" w:eastAsiaTheme="minorEastAsia" w:cstheme="minorEastAsia"/>
          <w:i w:val="0"/>
          <w:iCs w:val="0"/>
          <w:caps w:val="0"/>
          <w:color w:val="000000"/>
          <w:spacing w:val="0"/>
          <w:sz w:val="24"/>
          <w:szCs w:val="24"/>
          <w:highlight w:val="none"/>
        </w:rPr>
        <w:t>为该整体项目或其中分项目前期工作提供过设计、编制、监理、检测、管理等服务的法人及附属单位；</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我单位保证上述声明真实、有效、可查。</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特此声明。</w:t>
      </w: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adjustRightInd w:val="0"/>
        <w:snapToGrid w:val="0"/>
        <w:spacing w:line="440" w:lineRule="exact"/>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供应商法定代表人（或法定代表人授权代表）签字：</w:t>
      </w:r>
    </w:p>
    <w:p>
      <w:pPr>
        <w:adjustRightInd w:val="0"/>
        <w:snapToGrid w:val="0"/>
        <w:spacing w:line="440" w:lineRule="exact"/>
        <w:rPr>
          <w:rFonts w:hint="eastAsia" w:asciiTheme="minorEastAsia" w:hAnsiTheme="minorEastAsia" w:eastAsiaTheme="minorEastAsia" w:cstheme="minorEastAsia"/>
          <w:color w:val="000000" w:themeColor="text1"/>
          <w:sz w:val="24"/>
          <w:highlight w:val="none"/>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供应商名称（加盖公章）：</w:t>
      </w: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日期：   年   月   日</w:t>
      </w: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center" w:pos="4153"/>
          <w:tab w:val="right" w:pos="8306"/>
        </w:tabs>
        <w:snapToGrid w:val="0"/>
        <w:spacing w:line="44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ageBreakBefore w:val="0"/>
        <w:widowControl/>
        <w:kinsoku/>
        <w:wordWrap/>
        <w:overflowPunct/>
        <w:topLinePunct w:val="0"/>
        <w:autoSpaceDE/>
        <w:autoSpaceDN/>
        <w:bidi w:val="0"/>
        <w:adjustRightInd/>
        <w:spacing w:line="500" w:lineRule="exact"/>
        <w:ind w:left="630"/>
        <w:jc w:val="center"/>
        <w:textAlignment w:val="baseline"/>
        <w:outlineLvl w:val="9"/>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bookmarkStart w:id="93" w:name="_Toc21814_WPSOffice_Level1"/>
      <w:bookmarkStart w:id="94" w:name="_Toc8420_WPSOffice_Level1"/>
      <w:bookmarkStart w:id="95" w:name="_Toc7781_WPSOffice_Level1"/>
    </w:p>
    <w:p>
      <w:pPr>
        <w:pageBreakBefore w:val="0"/>
        <w:widowControl/>
        <w:kinsoku/>
        <w:wordWrap/>
        <w:overflowPunct/>
        <w:topLinePunct w:val="0"/>
        <w:autoSpaceDE/>
        <w:autoSpaceDN/>
        <w:bidi w:val="0"/>
        <w:adjustRightInd/>
        <w:spacing w:line="500" w:lineRule="exact"/>
        <w:ind w:left="630"/>
        <w:jc w:val="center"/>
        <w:textAlignment w:val="baseline"/>
        <w:outlineLvl w:val="9"/>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pageBreakBefore w:val="0"/>
        <w:widowControl/>
        <w:kinsoku/>
        <w:wordWrap/>
        <w:overflowPunct/>
        <w:topLinePunct w:val="0"/>
        <w:autoSpaceDE/>
        <w:autoSpaceDN/>
        <w:bidi w:val="0"/>
        <w:adjustRightInd/>
        <w:spacing w:line="500" w:lineRule="exact"/>
        <w:ind w:left="630"/>
        <w:jc w:val="center"/>
        <w:textAlignment w:val="baseline"/>
        <w:outlineLvl w:val="9"/>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pageBreakBefore w:val="0"/>
        <w:widowControl/>
        <w:kinsoku/>
        <w:wordWrap/>
        <w:overflowPunct/>
        <w:topLinePunct w:val="0"/>
        <w:autoSpaceDE/>
        <w:autoSpaceDN/>
        <w:bidi w:val="0"/>
        <w:adjustRightInd/>
        <w:spacing w:line="500" w:lineRule="exact"/>
        <w:ind w:left="630"/>
        <w:jc w:val="center"/>
        <w:textAlignment w:val="baseline"/>
        <w:outlineLvl w:val="9"/>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pStyle w:val="5"/>
        <w:rPr>
          <w:rFonts w:hint="eastAsia" w:asciiTheme="minorEastAsia" w:hAnsiTheme="minorEastAsia" w:eastAsiaTheme="minorEastAsia" w:cstheme="minorEastAsia"/>
          <w:highlight w:val="none"/>
          <w:lang w:val="en-US" w:eastAsia="zh-CN"/>
        </w:rPr>
      </w:pPr>
    </w:p>
    <w:p>
      <w:pP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pStyle w:val="12"/>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rPr>
          <w:rFonts w:hint="eastAsia" w:asciiTheme="minorEastAsia" w:hAnsiTheme="minorEastAsia" w:eastAsiaTheme="minorEastAsia" w:cstheme="minorEastAsia"/>
          <w:highlight w:val="none"/>
          <w:lang w:val="en-US" w:eastAsia="zh-CN"/>
        </w:rPr>
      </w:pPr>
    </w:p>
    <w:p>
      <w:pPr>
        <w:spacing w:line="579" w:lineRule="exact"/>
        <w:jc w:val="center"/>
        <w:rPr>
          <w:rFonts w:hint="eastAsia" w:asciiTheme="minorEastAsia" w:hAnsiTheme="minorEastAsia" w:eastAsiaTheme="minorEastAsia" w:cstheme="minorEastAsia"/>
          <w:b/>
          <w:bCs/>
          <w:color w:val="000000"/>
          <w:sz w:val="24"/>
          <w:szCs w:val="24"/>
          <w:highlight w:val="none"/>
          <w:lang w:val="en-US" w:eastAsia="zh-CN" w:bidi="ar"/>
        </w:rPr>
      </w:pPr>
      <w:r>
        <w:rPr>
          <w:rFonts w:hint="eastAsia" w:asciiTheme="minorEastAsia" w:hAnsiTheme="minorEastAsia" w:eastAsiaTheme="minorEastAsia" w:cstheme="minorEastAsia"/>
          <w:b/>
          <w:bCs/>
          <w:color w:val="000000"/>
          <w:sz w:val="24"/>
          <w:szCs w:val="24"/>
          <w:highlight w:val="none"/>
          <w:lang w:val="en-US" w:eastAsia="zh-CN" w:bidi="ar"/>
        </w:rPr>
        <w:t>9、具有司法行政部门颁发的律师事务所执业证书。</w:t>
      </w:r>
    </w:p>
    <w:p>
      <w:pPr>
        <w:spacing w:line="579" w:lineRule="exact"/>
        <w:ind w:firstLine="482" w:firstLineChars="200"/>
        <w:jc w:val="left"/>
        <w:rPr>
          <w:rFonts w:hint="eastAsia" w:asciiTheme="minorEastAsia" w:hAnsiTheme="minorEastAsia" w:eastAsiaTheme="minorEastAsia" w:cstheme="minorEastAsia"/>
          <w:b/>
          <w:bCs/>
          <w:color w:val="000000"/>
          <w:sz w:val="24"/>
          <w:szCs w:val="24"/>
          <w:highlight w:val="none"/>
          <w:lang w:val="en-US" w:eastAsia="zh-CN" w:bidi="ar"/>
        </w:rPr>
      </w:pPr>
    </w:p>
    <w:p>
      <w:pPr>
        <w:spacing w:line="579" w:lineRule="exact"/>
        <w:jc w:val="center"/>
        <w:rPr>
          <w:rFonts w:hint="eastAsia" w:asciiTheme="minorEastAsia" w:hAnsiTheme="minorEastAsia" w:eastAsiaTheme="minorEastAsia" w:cstheme="minorEastAsia"/>
          <w:b/>
          <w:bCs/>
          <w:color w:val="000000"/>
          <w:sz w:val="24"/>
          <w:szCs w:val="24"/>
          <w:highlight w:val="none"/>
          <w:lang w:val="en-US" w:eastAsia="zh-CN" w:bidi="ar"/>
        </w:rPr>
      </w:pPr>
    </w:p>
    <w:p>
      <w:pPr>
        <w:pStyle w:val="5"/>
        <w:rPr>
          <w:rFonts w:hint="eastAsia" w:asciiTheme="minorEastAsia" w:hAnsiTheme="minorEastAsia" w:eastAsiaTheme="minorEastAsia" w:cstheme="minorEastAsia"/>
          <w:b/>
          <w:bCs/>
          <w:color w:val="000000"/>
          <w:sz w:val="24"/>
          <w:szCs w:val="24"/>
          <w:highlight w:val="none"/>
          <w:lang w:val="en-US" w:eastAsia="zh-CN" w:bidi="ar"/>
        </w:rPr>
      </w:pPr>
    </w:p>
    <w:p>
      <w:pPr>
        <w:pStyle w:val="12"/>
        <w:rPr>
          <w:rFonts w:hint="eastAsia" w:asciiTheme="minorEastAsia" w:hAnsiTheme="minorEastAsia" w:eastAsiaTheme="minorEastAsia" w:cstheme="minorEastAsia"/>
          <w:b/>
          <w:bCs/>
          <w:color w:val="000000"/>
          <w:sz w:val="24"/>
          <w:szCs w:val="24"/>
          <w:highlight w:val="none"/>
          <w:lang w:val="en-US" w:eastAsia="zh-CN" w:bidi="ar"/>
        </w:rPr>
      </w:pPr>
    </w:p>
    <w:p>
      <w:pPr>
        <w:rPr>
          <w:rFonts w:hint="eastAsia" w:asciiTheme="minorEastAsia" w:hAnsiTheme="minorEastAsia" w:eastAsiaTheme="minorEastAsia" w:cstheme="minorEastAsia"/>
          <w:b/>
          <w:bCs/>
          <w:color w:val="000000"/>
          <w:sz w:val="24"/>
          <w:szCs w:val="24"/>
          <w:highlight w:val="none"/>
          <w:lang w:val="en-US" w:eastAsia="zh-CN" w:bidi="ar"/>
        </w:rPr>
      </w:pPr>
    </w:p>
    <w:p>
      <w:pPr>
        <w:pStyle w:val="5"/>
        <w:rPr>
          <w:rFonts w:hint="eastAsia" w:asciiTheme="minorEastAsia" w:hAnsiTheme="minorEastAsia" w:eastAsiaTheme="minorEastAsia" w:cstheme="minorEastAsia"/>
          <w:b/>
          <w:bCs/>
          <w:color w:val="000000"/>
          <w:sz w:val="24"/>
          <w:szCs w:val="24"/>
          <w:highlight w:val="none"/>
          <w:lang w:val="en-US" w:eastAsia="zh-CN" w:bidi="ar"/>
        </w:rPr>
      </w:pPr>
    </w:p>
    <w:p>
      <w:pPr>
        <w:pStyle w:val="12"/>
        <w:rPr>
          <w:rFonts w:hint="eastAsia" w:asciiTheme="minorEastAsia" w:hAnsiTheme="minorEastAsia" w:eastAsiaTheme="minorEastAsia" w:cstheme="minorEastAsia"/>
          <w:b/>
          <w:bCs/>
          <w:color w:val="000000"/>
          <w:sz w:val="24"/>
          <w:szCs w:val="24"/>
          <w:highlight w:val="none"/>
          <w:lang w:val="en-US" w:eastAsia="zh-CN" w:bidi="ar"/>
        </w:rPr>
      </w:pPr>
    </w:p>
    <w:p>
      <w:pPr>
        <w:rPr>
          <w:rFonts w:hint="eastAsia" w:asciiTheme="minorEastAsia" w:hAnsiTheme="minorEastAsia" w:eastAsiaTheme="minorEastAsia" w:cstheme="minorEastAsia"/>
          <w:b/>
          <w:bCs/>
          <w:color w:val="000000"/>
          <w:sz w:val="24"/>
          <w:szCs w:val="24"/>
          <w:highlight w:val="none"/>
          <w:lang w:val="en-US" w:eastAsia="zh-CN" w:bidi="ar"/>
        </w:rPr>
      </w:pPr>
    </w:p>
    <w:p>
      <w:pPr>
        <w:pStyle w:val="5"/>
        <w:rPr>
          <w:rFonts w:hint="eastAsia" w:asciiTheme="minorEastAsia" w:hAnsiTheme="minorEastAsia" w:eastAsiaTheme="minorEastAsia" w:cstheme="minorEastAsia"/>
          <w:b/>
          <w:bCs/>
          <w:color w:val="000000"/>
          <w:sz w:val="24"/>
          <w:szCs w:val="24"/>
          <w:highlight w:val="none"/>
          <w:lang w:val="en-US" w:eastAsia="zh-CN" w:bidi="ar"/>
        </w:rPr>
      </w:pPr>
    </w:p>
    <w:p>
      <w:pPr>
        <w:pStyle w:val="12"/>
        <w:rPr>
          <w:rFonts w:hint="eastAsia" w:asciiTheme="minorEastAsia" w:hAnsiTheme="minorEastAsia" w:eastAsiaTheme="minorEastAsia" w:cstheme="minorEastAsia"/>
          <w:b/>
          <w:bCs/>
          <w:color w:val="000000"/>
          <w:sz w:val="24"/>
          <w:szCs w:val="24"/>
          <w:highlight w:val="none"/>
          <w:lang w:val="en-US" w:eastAsia="zh-CN" w:bidi="ar"/>
        </w:rPr>
      </w:pPr>
    </w:p>
    <w:p>
      <w:pPr>
        <w:rPr>
          <w:rFonts w:hint="eastAsia" w:asciiTheme="minorEastAsia" w:hAnsiTheme="minorEastAsia" w:eastAsiaTheme="minorEastAsia" w:cstheme="minorEastAsia"/>
          <w:b/>
          <w:bCs/>
          <w:color w:val="000000"/>
          <w:sz w:val="24"/>
          <w:szCs w:val="24"/>
          <w:highlight w:val="none"/>
          <w:lang w:val="en-US" w:eastAsia="zh-CN" w:bidi="ar"/>
        </w:rPr>
      </w:pPr>
    </w:p>
    <w:p>
      <w:pPr>
        <w:pStyle w:val="5"/>
        <w:rPr>
          <w:rFonts w:hint="eastAsia" w:asciiTheme="minorEastAsia" w:hAnsiTheme="minorEastAsia" w:eastAsiaTheme="minorEastAsia" w:cstheme="minorEastAsia"/>
          <w:b/>
          <w:bCs/>
          <w:color w:val="000000"/>
          <w:sz w:val="24"/>
          <w:szCs w:val="24"/>
          <w:highlight w:val="none"/>
          <w:lang w:val="en-US" w:eastAsia="zh-CN" w:bidi="ar"/>
        </w:rPr>
      </w:pPr>
    </w:p>
    <w:p>
      <w:pPr>
        <w:pStyle w:val="12"/>
        <w:rPr>
          <w:rFonts w:hint="eastAsia" w:asciiTheme="minorEastAsia" w:hAnsiTheme="minorEastAsia" w:eastAsiaTheme="minorEastAsia" w:cstheme="minorEastAsia"/>
          <w:b/>
          <w:bCs/>
          <w:color w:val="000000"/>
          <w:sz w:val="24"/>
          <w:szCs w:val="24"/>
          <w:highlight w:val="none"/>
          <w:lang w:val="en-US" w:eastAsia="zh-CN" w:bidi="ar"/>
        </w:rPr>
      </w:pPr>
    </w:p>
    <w:p>
      <w:pPr>
        <w:rPr>
          <w:rFonts w:hint="eastAsia" w:asciiTheme="minorEastAsia" w:hAnsiTheme="minorEastAsia" w:eastAsiaTheme="minorEastAsia" w:cstheme="minorEastAsia"/>
          <w:b/>
          <w:bCs/>
          <w:color w:val="000000"/>
          <w:sz w:val="24"/>
          <w:szCs w:val="24"/>
          <w:highlight w:val="none"/>
          <w:lang w:val="en-US" w:eastAsia="zh-CN" w:bidi="ar"/>
        </w:rPr>
      </w:pPr>
    </w:p>
    <w:p>
      <w:pPr>
        <w:pStyle w:val="5"/>
        <w:rPr>
          <w:rFonts w:hint="eastAsia" w:asciiTheme="minorEastAsia" w:hAnsiTheme="minorEastAsia" w:eastAsiaTheme="minorEastAsia" w:cstheme="minorEastAsia"/>
          <w:b/>
          <w:bCs/>
          <w:color w:val="000000"/>
          <w:sz w:val="24"/>
          <w:szCs w:val="24"/>
          <w:highlight w:val="none"/>
          <w:lang w:val="en-US" w:eastAsia="zh-CN" w:bidi="ar"/>
        </w:rPr>
      </w:pPr>
    </w:p>
    <w:p>
      <w:pPr>
        <w:pStyle w:val="12"/>
        <w:rPr>
          <w:rFonts w:hint="eastAsia" w:asciiTheme="minorEastAsia" w:hAnsiTheme="minorEastAsia" w:eastAsiaTheme="minorEastAsia" w:cstheme="minorEastAsia"/>
          <w:b/>
          <w:bCs/>
          <w:color w:val="000000"/>
          <w:sz w:val="24"/>
          <w:szCs w:val="24"/>
          <w:highlight w:val="none"/>
          <w:lang w:val="en-US" w:eastAsia="zh-CN" w:bidi="ar"/>
        </w:rPr>
      </w:pPr>
    </w:p>
    <w:p>
      <w:pPr>
        <w:rPr>
          <w:rFonts w:hint="eastAsia" w:asciiTheme="minorEastAsia" w:hAnsiTheme="minorEastAsia" w:eastAsiaTheme="minorEastAsia" w:cstheme="minorEastAsia"/>
          <w:b/>
          <w:bCs/>
          <w:color w:val="000000"/>
          <w:sz w:val="24"/>
          <w:szCs w:val="24"/>
          <w:highlight w:val="none"/>
          <w:lang w:val="en-US" w:eastAsia="zh-CN" w:bidi="ar"/>
        </w:rPr>
      </w:pPr>
    </w:p>
    <w:p>
      <w:pPr>
        <w:pStyle w:val="5"/>
        <w:rPr>
          <w:rFonts w:hint="eastAsia" w:asciiTheme="minorEastAsia" w:hAnsiTheme="minorEastAsia" w:eastAsiaTheme="minorEastAsia" w:cstheme="minorEastAsia"/>
          <w:b/>
          <w:bCs/>
          <w:color w:val="000000"/>
          <w:sz w:val="24"/>
          <w:szCs w:val="24"/>
          <w:highlight w:val="none"/>
          <w:lang w:val="en-US" w:eastAsia="zh-CN" w:bidi="ar"/>
        </w:rPr>
      </w:pPr>
    </w:p>
    <w:p>
      <w:pPr>
        <w:pStyle w:val="12"/>
        <w:rPr>
          <w:rFonts w:hint="eastAsia" w:asciiTheme="minorEastAsia" w:hAnsiTheme="minorEastAsia" w:eastAsiaTheme="minorEastAsia" w:cstheme="minorEastAsia"/>
          <w:b/>
          <w:bCs/>
          <w:color w:val="000000"/>
          <w:sz w:val="24"/>
          <w:szCs w:val="24"/>
          <w:highlight w:val="none"/>
          <w:lang w:val="en-US" w:eastAsia="zh-CN" w:bidi="ar"/>
        </w:rPr>
      </w:pPr>
    </w:p>
    <w:p>
      <w:pPr>
        <w:rPr>
          <w:rFonts w:hint="eastAsia" w:asciiTheme="minorEastAsia" w:hAnsiTheme="minorEastAsia" w:eastAsiaTheme="minorEastAsia" w:cstheme="minorEastAsia"/>
          <w:b/>
          <w:bCs/>
          <w:color w:val="000000"/>
          <w:sz w:val="24"/>
          <w:szCs w:val="24"/>
          <w:highlight w:val="none"/>
          <w:lang w:val="en-US" w:eastAsia="zh-CN" w:bidi="ar"/>
        </w:rPr>
      </w:pPr>
    </w:p>
    <w:p>
      <w:pPr>
        <w:pStyle w:val="5"/>
        <w:rPr>
          <w:rFonts w:hint="eastAsia" w:asciiTheme="minorEastAsia" w:hAnsiTheme="minorEastAsia" w:eastAsiaTheme="minorEastAsia" w:cstheme="minorEastAsia"/>
          <w:b/>
          <w:bCs/>
          <w:color w:val="000000"/>
          <w:sz w:val="24"/>
          <w:szCs w:val="24"/>
          <w:highlight w:val="none"/>
          <w:lang w:val="en-US" w:eastAsia="zh-CN" w:bidi="ar"/>
        </w:rPr>
      </w:pPr>
    </w:p>
    <w:p>
      <w:pPr>
        <w:pStyle w:val="12"/>
        <w:rPr>
          <w:rFonts w:hint="eastAsia" w:asciiTheme="minorEastAsia" w:hAnsiTheme="minorEastAsia" w:eastAsiaTheme="minorEastAsia" w:cstheme="minorEastAsia"/>
          <w:b/>
          <w:bCs/>
          <w:color w:val="000000"/>
          <w:sz w:val="24"/>
          <w:szCs w:val="24"/>
          <w:highlight w:val="none"/>
          <w:lang w:val="en-US" w:eastAsia="zh-CN" w:bidi="ar"/>
        </w:rPr>
      </w:pPr>
    </w:p>
    <w:p>
      <w:pPr>
        <w:rPr>
          <w:rFonts w:hint="eastAsia" w:asciiTheme="minorEastAsia" w:hAnsiTheme="minorEastAsia" w:eastAsiaTheme="minorEastAsia" w:cstheme="minorEastAsia"/>
          <w:b/>
          <w:bCs/>
          <w:color w:val="000000"/>
          <w:sz w:val="24"/>
          <w:szCs w:val="24"/>
          <w:highlight w:val="none"/>
          <w:lang w:val="en-US" w:eastAsia="zh-CN" w:bidi="ar"/>
        </w:rPr>
      </w:pPr>
    </w:p>
    <w:p>
      <w:pPr>
        <w:pStyle w:val="5"/>
        <w:rPr>
          <w:rFonts w:hint="eastAsia" w:asciiTheme="minorEastAsia" w:hAnsiTheme="minorEastAsia" w:eastAsiaTheme="minorEastAsia" w:cstheme="minorEastAsia"/>
          <w:b/>
          <w:bCs/>
          <w:color w:val="000000"/>
          <w:sz w:val="24"/>
          <w:szCs w:val="24"/>
          <w:highlight w:val="none"/>
          <w:lang w:val="en-US" w:eastAsia="zh-CN" w:bidi="ar"/>
        </w:rPr>
      </w:pPr>
    </w:p>
    <w:p>
      <w:pPr>
        <w:pStyle w:val="12"/>
        <w:rPr>
          <w:rFonts w:hint="eastAsia" w:asciiTheme="minorEastAsia" w:hAnsiTheme="minorEastAsia" w:eastAsiaTheme="minorEastAsia" w:cstheme="minorEastAsia"/>
          <w:b/>
          <w:bCs/>
          <w:color w:val="000000"/>
          <w:sz w:val="24"/>
          <w:szCs w:val="24"/>
          <w:highlight w:val="none"/>
          <w:lang w:val="en-US" w:eastAsia="zh-CN" w:bidi="ar"/>
        </w:rPr>
      </w:pPr>
    </w:p>
    <w:p>
      <w:pPr>
        <w:rPr>
          <w:rFonts w:hint="eastAsia" w:asciiTheme="minorEastAsia" w:hAnsiTheme="minorEastAsia" w:eastAsiaTheme="minorEastAsia" w:cstheme="minorEastAsia"/>
          <w:b/>
          <w:bCs/>
          <w:color w:val="000000"/>
          <w:sz w:val="24"/>
          <w:szCs w:val="24"/>
          <w:highlight w:val="none"/>
          <w:lang w:val="en-US" w:eastAsia="zh-CN" w:bidi="ar"/>
        </w:rPr>
      </w:pPr>
      <w:r>
        <w:rPr>
          <w:rFonts w:hint="eastAsia" w:asciiTheme="minorEastAsia" w:hAnsiTheme="minorEastAsia" w:eastAsiaTheme="minorEastAsia" w:cstheme="minorEastAsia"/>
          <w:b/>
          <w:bCs/>
          <w:color w:val="000000"/>
          <w:sz w:val="24"/>
          <w:szCs w:val="24"/>
          <w:highlight w:val="none"/>
          <w:lang w:val="en-US" w:eastAsia="zh-CN" w:bidi="ar"/>
        </w:rPr>
        <w:br w:type="page"/>
      </w:r>
    </w:p>
    <w:p>
      <w:pPr>
        <w:spacing w:line="579"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val="en-US" w:eastAsia="zh-CN" w:bidi="ar"/>
        </w:rPr>
        <w:t>10、</w:t>
      </w:r>
      <w:r>
        <w:rPr>
          <w:rFonts w:hint="eastAsia" w:asciiTheme="minorEastAsia" w:hAnsiTheme="minorEastAsia" w:eastAsiaTheme="minorEastAsia" w:cstheme="minorEastAsia"/>
          <w:b/>
          <w:bCs/>
          <w:color w:val="000000"/>
          <w:sz w:val="24"/>
          <w:szCs w:val="24"/>
          <w:highlight w:val="none"/>
          <w:lang w:eastAsia="zh-CN" w:bidi="ar"/>
        </w:rPr>
        <w:t>《中小企业声明函》（服务）</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本公司（联合体）郑重声明，根据《政府采购促进中小企业发展管理办法》（财库﹝2020﹞46 号）的规定，本公司参加 </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u w:val="single"/>
          <w:lang w:eastAsia="zh-CN" w:bidi="ar"/>
        </w:rPr>
        <w:t>（单位名称）</w:t>
      </w:r>
      <w:r>
        <w:rPr>
          <w:rFonts w:hint="eastAsia" w:asciiTheme="minorEastAsia" w:hAnsiTheme="minorEastAsia" w:eastAsiaTheme="minorEastAsia" w:cstheme="minorEastAsia"/>
          <w:color w:val="000000"/>
          <w:sz w:val="24"/>
          <w:szCs w:val="24"/>
          <w:highlight w:val="none"/>
          <w:lang w:eastAsia="zh-CN" w:bidi="ar"/>
        </w:rPr>
        <w:t xml:space="preserve">的                     </w:t>
      </w:r>
      <w:r>
        <w:rPr>
          <w:rFonts w:hint="eastAsia" w:asciiTheme="minorEastAsia" w:hAnsiTheme="minorEastAsia" w:eastAsiaTheme="minorEastAsia" w:cstheme="minorEastAsia"/>
          <w:i/>
          <w:iCs/>
          <w:color w:val="000000"/>
          <w:sz w:val="24"/>
          <w:szCs w:val="24"/>
          <w:highlight w:val="none"/>
          <w:u w:val="single"/>
          <w:lang w:eastAsia="zh-CN" w:bidi="ar"/>
        </w:rPr>
        <w:t xml:space="preserve">               （项目名称）</w:t>
      </w:r>
      <w:r>
        <w:rPr>
          <w:rFonts w:hint="eastAsia" w:asciiTheme="minorEastAsia" w:hAnsiTheme="minorEastAsia" w:eastAsiaTheme="minorEastAsia" w:cstheme="minorEastAsia"/>
          <w:color w:val="000000"/>
          <w:sz w:val="24"/>
          <w:szCs w:val="24"/>
          <w:highlight w:val="none"/>
          <w:lang w:eastAsia="zh-CN" w:bidi="ar"/>
        </w:rPr>
        <w:t>采购活动，服务全部由符合政策要求的中小企业承接。相关企业的具体情况如下：</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1. </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u w:val="single"/>
          <w:lang w:eastAsia="zh-CN" w:bidi="ar"/>
        </w:rPr>
        <w:t xml:space="preserve">（标的名称） </w:t>
      </w:r>
      <w:r>
        <w:rPr>
          <w:rFonts w:hint="eastAsia" w:asciiTheme="minorEastAsia" w:hAnsiTheme="minorEastAsia" w:eastAsiaTheme="minorEastAsia" w:cstheme="minorEastAsia"/>
          <w:color w:val="000000"/>
          <w:sz w:val="24"/>
          <w:szCs w:val="24"/>
          <w:highlight w:val="none"/>
          <w:lang w:eastAsia="zh-CN" w:bidi="ar"/>
        </w:rPr>
        <w:t>，属于</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（采购文件中明确的所属行业）</w:t>
      </w:r>
      <w:r>
        <w:rPr>
          <w:rFonts w:hint="eastAsia" w:asciiTheme="minorEastAsia" w:hAnsiTheme="minorEastAsia" w:eastAsiaTheme="minorEastAsia" w:cstheme="minorEastAsia"/>
          <w:color w:val="000000"/>
          <w:sz w:val="24"/>
          <w:szCs w:val="24"/>
          <w:highlight w:val="none"/>
          <w:lang w:eastAsia="zh-CN" w:bidi="ar"/>
        </w:rPr>
        <w:t>；承接企业为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（企业名称）</w:t>
      </w:r>
      <w:r>
        <w:rPr>
          <w:rFonts w:hint="eastAsia" w:asciiTheme="minorEastAsia" w:hAnsiTheme="minorEastAsia" w:eastAsiaTheme="minorEastAsia" w:cstheme="minorEastAsia"/>
          <w:color w:val="000000"/>
          <w:sz w:val="24"/>
          <w:szCs w:val="24"/>
          <w:highlight w:val="none"/>
          <w:lang w:eastAsia="zh-CN" w:bidi="ar"/>
        </w:rPr>
        <w:t>，从业人员</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人，营业收入为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万元，资产总额为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万元</w:t>
      </w:r>
      <w:r>
        <w:rPr>
          <w:rFonts w:hint="eastAsia" w:asciiTheme="minorEastAsia" w:hAnsiTheme="minorEastAsia" w:eastAsiaTheme="minorEastAsia" w:cstheme="minorEastAsia"/>
          <w:color w:val="000000"/>
          <w:sz w:val="24"/>
          <w:szCs w:val="24"/>
          <w:highlight w:val="none"/>
          <w:vertAlign w:val="superscript"/>
          <w:lang w:eastAsia="zh-CN" w:bidi="ar"/>
        </w:rPr>
        <w:t>1</w:t>
      </w:r>
      <w:r>
        <w:rPr>
          <w:rFonts w:hint="eastAsia" w:asciiTheme="minorEastAsia" w:hAnsiTheme="minorEastAsia" w:eastAsiaTheme="minorEastAsia" w:cstheme="minorEastAsia"/>
          <w:color w:val="000000"/>
          <w:sz w:val="24"/>
          <w:szCs w:val="24"/>
          <w:highlight w:val="none"/>
          <w:lang w:eastAsia="zh-CN" w:bidi="ar"/>
        </w:rPr>
        <w:t>，属于</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（中型企业、小型企业、微型企业）</w:t>
      </w:r>
      <w:r>
        <w:rPr>
          <w:rFonts w:hint="eastAsia" w:asciiTheme="minorEastAsia" w:hAnsiTheme="minorEastAsia" w:eastAsiaTheme="minorEastAsia" w:cstheme="minorEastAsia"/>
          <w:color w:val="000000"/>
          <w:sz w:val="24"/>
          <w:szCs w:val="24"/>
          <w:highlight w:val="none"/>
          <w:lang w:eastAsia="zh-CN" w:bidi="ar"/>
        </w:rPr>
        <w:t xml:space="preserve">； </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2.</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u w:val="single"/>
          <w:lang w:eastAsia="zh-CN" w:bidi="ar"/>
        </w:rPr>
        <w:t xml:space="preserve">（标的名称） </w:t>
      </w:r>
      <w:r>
        <w:rPr>
          <w:rFonts w:hint="eastAsia" w:asciiTheme="minorEastAsia" w:hAnsiTheme="minorEastAsia" w:eastAsiaTheme="minorEastAsia" w:cstheme="minorEastAsia"/>
          <w:color w:val="000000"/>
          <w:sz w:val="24"/>
          <w:szCs w:val="24"/>
          <w:highlight w:val="none"/>
          <w:lang w:eastAsia="zh-CN" w:bidi="ar"/>
        </w:rPr>
        <w:t>，属于</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（采购文件中明确的所属行业）</w:t>
      </w:r>
      <w:r>
        <w:rPr>
          <w:rFonts w:hint="eastAsia" w:asciiTheme="minorEastAsia" w:hAnsiTheme="minorEastAsia" w:eastAsiaTheme="minorEastAsia" w:cstheme="minorEastAsia"/>
          <w:color w:val="000000"/>
          <w:sz w:val="24"/>
          <w:szCs w:val="24"/>
          <w:highlight w:val="none"/>
          <w:lang w:eastAsia="zh-CN" w:bidi="ar"/>
        </w:rPr>
        <w:t>；承接企业为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（企业名称）</w:t>
      </w:r>
      <w:r>
        <w:rPr>
          <w:rFonts w:hint="eastAsia" w:asciiTheme="minorEastAsia" w:hAnsiTheme="minorEastAsia" w:eastAsiaTheme="minorEastAsia" w:cstheme="minorEastAsia"/>
          <w:color w:val="000000"/>
          <w:sz w:val="24"/>
          <w:szCs w:val="24"/>
          <w:highlight w:val="none"/>
          <w:lang w:eastAsia="zh-CN" w:bidi="ar"/>
        </w:rPr>
        <w:t>，从业人员</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人，营业收入为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万元，资产总额为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万元</w:t>
      </w:r>
      <w:r>
        <w:rPr>
          <w:rFonts w:hint="eastAsia" w:asciiTheme="minorEastAsia" w:hAnsiTheme="minorEastAsia" w:eastAsiaTheme="minorEastAsia" w:cstheme="minorEastAsia"/>
          <w:color w:val="000000"/>
          <w:sz w:val="24"/>
          <w:szCs w:val="24"/>
          <w:highlight w:val="none"/>
          <w:vertAlign w:val="superscript"/>
          <w:lang w:eastAsia="zh-CN" w:bidi="ar"/>
        </w:rPr>
        <w:t>1</w:t>
      </w:r>
      <w:r>
        <w:rPr>
          <w:rFonts w:hint="eastAsia" w:asciiTheme="minorEastAsia" w:hAnsiTheme="minorEastAsia" w:eastAsiaTheme="minorEastAsia" w:cstheme="minorEastAsia"/>
          <w:color w:val="000000"/>
          <w:sz w:val="24"/>
          <w:szCs w:val="24"/>
          <w:highlight w:val="none"/>
          <w:lang w:eastAsia="zh-CN" w:bidi="ar"/>
        </w:rPr>
        <w:t>，属于</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（中型企业、小型企业、微型企业）</w:t>
      </w:r>
      <w:r>
        <w:rPr>
          <w:rFonts w:hint="eastAsia" w:asciiTheme="minorEastAsia" w:hAnsiTheme="minorEastAsia" w:eastAsiaTheme="minorEastAsia" w:cstheme="minorEastAsia"/>
          <w:color w:val="000000"/>
          <w:sz w:val="24"/>
          <w:szCs w:val="24"/>
          <w:highlight w:val="none"/>
          <w:lang w:eastAsia="zh-CN" w:bidi="ar"/>
        </w:rPr>
        <w:t xml:space="preserve">； </w:t>
      </w:r>
    </w:p>
    <w:p>
      <w:pPr>
        <w:spacing w:line="579" w:lineRule="exact"/>
        <w:ind w:firstLine="720" w:firstLineChars="3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以上企业，不属于大企业的分支机构，不存在控股股东为大企业的情形，也不存在与大企业的负责人为同一人的情形。</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本企业对上述声明内容的真实性负责。如有虚假，将依法承担相应责任。 </w:t>
      </w:r>
    </w:p>
    <w:p>
      <w:pPr>
        <w:spacing w:line="579"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                           企业名称（盖章）： </w:t>
      </w:r>
    </w:p>
    <w:p>
      <w:pPr>
        <w:spacing w:line="579"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               日 期： </w:t>
      </w:r>
    </w:p>
    <w:p>
      <w:pPr>
        <w:spacing w:line="579"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1 从业人员、营业收入、资产总额填报上一年度数据，无上一年度数据的新成立企业可不填报。</w:t>
      </w:r>
    </w:p>
    <w:p>
      <w:pPr>
        <w:pageBreakBefore w:val="0"/>
        <w:widowControl/>
        <w:kinsoku/>
        <w:wordWrap/>
        <w:overflowPunct/>
        <w:topLinePunct w:val="0"/>
        <w:autoSpaceDE/>
        <w:autoSpaceDN/>
        <w:bidi w:val="0"/>
        <w:adjustRightInd/>
        <w:spacing w:line="500" w:lineRule="exact"/>
        <w:ind w:left="630"/>
        <w:jc w:val="center"/>
        <w:textAlignment w:val="baseline"/>
        <w:outlineLvl w:val="9"/>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p>
    <w:p>
      <w:pPr>
        <w:pageBreakBefore w:val="0"/>
        <w:widowControl/>
        <w:tabs>
          <w:tab w:val="center" w:pos="4153"/>
          <w:tab w:val="right" w:pos="8306"/>
        </w:tabs>
        <w:kinsoku/>
        <w:wordWrap/>
        <w:overflowPunct/>
        <w:topLinePunct w:val="0"/>
        <w:autoSpaceDE/>
        <w:autoSpaceDN/>
        <w:bidi w:val="0"/>
        <w:adjustRightInd/>
        <w:snapToGrid w:val="0"/>
        <w:textAlignment w:val="baseline"/>
        <w:outlineLvl w:val="9"/>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bookmarkEnd w:id="93"/>
    <w:bookmarkEnd w:id="94"/>
    <w:bookmarkEnd w:id="95"/>
    <w:p>
      <w:pPr>
        <w:tabs>
          <w:tab w:val="center" w:pos="4153"/>
          <w:tab w:val="right" w:pos="8306"/>
        </w:tabs>
        <w:snapToGrid w:val="0"/>
        <w:spacing w:line="44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br w:type="page"/>
      </w:r>
      <w:bookmarkEnd w:id="89"/>
      <w:bookmarkEnd w:id="90"/>
    </w:p>
    <w:p>
      <w:pPr>
        <w:pStyle w:val="8"/>
        <w:spacing w:before="0" w:after="0" w:line="579" w:lineRule="exact"/>
        <w:ind w:firstLine="0" w:firstLineChars="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96" w:name="_Toc11678"/>
      <w:bookmarkStart w:id="97" w:name="_Toc3554"/>
      <w:bookmarkStart w:id="98" w:name="_Toc24213"/>
      <w:bookmarkStart w:id="99" w:name="_Toc24536"/>
      <w:bookmarkStart w:id="100" w:name="_Toc25663"/>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第二部分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）报价文件</w:t>
      </w:r>
      <w:bookmarkEnd w:id="96"/>
      <w:bookmarkEnd w:id="97"/>
      <w:bookmarkEnd w:id="98"/>
      <w:bookmarkEnd w:id="99"/>
      <w:bookmarkEnd w:id="100"/>
    </w:p>
    <w:p>
      <w:pPr>
        <w:snapToGrid w:val="0"/>
        <w:spacing w:line="360" w:lineRule="auto"/>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一、报价一览表</w:t>
      </w:r>
    </w:p>
    <w:tbl>
      <w:tblPr>
        <w:tblStyle w:val="28"/>
        <w:tblpPr w:leftFromText="180" w:rightFromText="180" w:vertAnchor="text" w:horzAnchor="margin" w:tblpXSpec="center" w:tblpY="2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475"/>
        <w:gridCol w:w="1365"/>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名称</w:t>
            </w:r>
          </w:p>
        </w:tc>
        <w:tc>
          <w:tcPr>
            <w:tcW w:w="7298" w:type="dxa"/>
            <w:gridSpan w:val="3"/>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项目编号:</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 xml:space="preserve"> </w:t>
            </w:r>
          </w:p>
        </w:tc>
        <w:tc>
          <w:tcPr>
            <w:tcW w:w="7298" w:type="dxa"/>
            <w:gridSpan w:val="3"/>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项目名称</w:t>
            </w:r>
          </w:p>
        </w:tc>
        <w:tc>
          <w:tcPr>
            <w:tcW w:w="7298" w:type="dxa"/>
            <w:gridSpan w:val="3"/>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法定代表人</w:t>
            </w:r>
          </w:p>
        </w:tc>
        <w:tc>
          <w:tcPr>
            <w:tcW w:w="2475" w:type="dxa"/>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5" w:type="dxa"/>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p>
        </w:tc>
        <w:tc>
          <w:tcPr>
            <w:tcW w:w="3458" w:type="dxa"/>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1988" w:type="dxa"/>
            <w:tcBorders>
              <w:bottom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法人授权代表</w:t>
            </w:r>
          </w:p>
        </w:tc>
        <w:tc>
          <w:tcPr>
            <w:tcW w:w="2475" w:type="dxa"/>
            <w:tcBorders>
              <w:bottom w:val="single" w:color="auto" w:sz="4" w:space="0"/>
            </w:tcBorders>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365" w:type="dxa"/>
            <w:tcBorders>
              <w:bottom w:val="single" w:color="auto" w:sz="4" w:space="0"/>
            </w:tcBorders>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联系电话</w:t>
            </w:r>
          </w:p>
        </w:tc>
        <w:tc>
          <w:tcPr>
            <w:tcW w:w="3458" w:type="dxa"/>
            <w:tcBorders>
              <w:bottom w:val="single" w:color="auto" w:sz="4" w:space="0"/>
            </w:tcBorders>
            <w:vAlign w:val="center"/>
          </w:tcPr>
          <w:p>
            <w:pPr>
              <w:snapToGrid w:val="0"/>
              <w:spacing w:line="360" w:lineRule="auto"/>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w:t>
            </w:r>
          </w:p>
          <w:p>
            <w:pPr>
              <w:snapToGrid w:val="0"/>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报价</w:t>
            </w:r>
          </w:p>
        </w:tc>
        <w:tc>
          <w:tcPr>
            <w:tcW w:w="72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￥：（元）</w:t>
            </w:r>
          </w:p>
          <w:p>
            <w:pPr>
              <w:snapToGrid w:val="0"/>
              <w:spacing w:line="360" w:lineRule="auto"/>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sz w:val="24"/>
                <w:highlight w:val="none"/>
                <w:lang w:eastAsia="zh-CN"/>
                <w14:textFill>
                  <w14:solidFill>
                    <w14:schemeClr w14:val="tx1"/>
                  </w14:solidFill>
                </w14:textFill>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9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both"/>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合同履行期限</w:t>
            </w:r>
          </w:p>
        </w:tc>
        <w:tc>
          <w:tcPr>
            <w:tcW w:w="729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110" w:rightChars="5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pPr>
        <w:snapToGrid w:val="0"/>
        <w:spacing w:line="480" w:lineRule="auto"/>
        <w:ind w:right="110" w:rightChars="5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pStyle w:val="24"/>
        <w:rPr>
          <w:rFonts w:hint="eastAsia" w:asciiTheme="minorEastAsia" w:hAnsiTheme="minorEastAsia" w:eastAsiaTheme="minorEastAsia" w:cstheme="minorEastAsia"/>
          <w:b/>
          <w:bCs/>
          <w:sz w:val="28"/>
          <w:szCs w:val="28"/>
          <w:lang w:val="en-US" w:eastAsia="zh-CN"/>
        </w:rPr>
      </w:pPr>
    </w:p>
    <w:p>
      <w:pPr>
        <w:pStyle w:val="24"/>
        <w:rPr>
          <w:rFonts w:hint="eastAsia" w:asciiTheme="minorEastAsia" w:hAnsiTheme="minorEastAsia" w:eastAsiaTheme="minorEastAsia" w:cstheme="minorEastAsia"/>
          <w:b/>
          <w:bCs/>
          <w:sz w:val="28"/>
          <w:szCs w:val="28"/>
          <w:lang w:val="en-US" w:eastAsia="zh-CN"/>
        </w:rPr>
      </w:pPr>
    </w:p>
    <w:p>
      <w:pPr>
        <w:pStyle w:val="24"/>
        <w:rPr>
          <w:rFonts w:hint="eastAsia" w:asciiTheme="minorEastAsia" w:hAnsiTheme="minorEastAsia" w:eastAsiaTheme="minorEastAsia" w:cstheme="minorEastAsia"/>
          <w:b/>
          <w:bCs/>
          <w:sz w:val="28"/>
          <w:szCs w:val="28"/>
          <w:lang w:val="en-US" w:eastAsia="zh-CN"/>
        </w:rPr>
      </w:pPr>
    </w:p>
    <w:p>
      <w:pPr>
        <w:snapToGrid w:val="0"/>
        <w:spacing w:line="480" w:lineRule="auto"/>
        <w:ind w:right="110" w:rightChars="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（盖章）：</w:t>
      </w:r>
    </w:p>
    <w:p>
      <w:pPr>
        <w:snapToGrid w:val="0"/>
        <w:spacing w:line="480" w:lineRule="auto"/>
        <w:ind w:right="110" w:rightChars="5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法定代表人（盖章）：</w:t>
      </w:r>
    </w:p>
    <w:p>
      <w:pPr>
        <w:snapToGrid w:val="0"/>
        <w:spacing w:line="480" w:lineRule="auto"/>
        <w:ind w:right="110" w:rightChars="5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法人授权代表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（签字）：</w:t>
      </w:r>
    </w:p>
    <w:p>
      <w:pPr>
        <w:tabs>
          <w:tab w:val="left" w:pos="900"/>
        </w:tabs>
        <w:adjustRightInd w:val="0"/>
        <w:snapToGrid w:val="0"/>
        <w:spacing w:line="360" w:lineRule="auto"/>
        <w:rPr>
          <w:rFonts w:hint="eastAsia" w:asciiTheme="minorEastAsia" w:hAnsiTheme="minorEastAsia" w:eastAsiaTheme="minorEastAsia" w:cstheme="minorEastAsia"/>
          <w:color w:val="000000" w:themeColor="text1"/>
          <w:szCs w:val="28"/>
          <w:highlight w:val="none"/>
          <w:lang w:eastAsia="zh-CN"/>
          <w14:textFill>
            <w14:solidFill>
              <w14:schemeClr w14:val="tx1"/>
            </w14:solidFill>
          </w14:textFill>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eastAsia="zh-CN"/>
        </w:rPr>
      </w:pPr>
    </w:p>
    <w:p>
      <w:pP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br w:type="page"/>
      </w:r>
    </w:p>
    <w:p>
      <w:pPr>
        <w:snapToGrid w:val="0"/>
        <w:spacing w:line="360" w:lineRule="auto"/>
        <w:jc w:val="cente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lang w:eastAsia="zh-CN"/>
          <w14:textFill>
            <w14:solidFill>
              <w14:schemeClr w14:val="tx1"/>
            </w14:solidFill>
          </w14:textFill>
        </w:rPr>
        <w:t>二、报价明细表</w:t>
      </w:r>
    </w:p>
    <w:p>
      <w:pPr>
        <w:snapToGrid w:val="0"/>
        <w:spacing w:line="360" w:lineRule="auto"/>
        <w:rPr>
          <w:rFonts w:hint="eastAsia" w:asciiTheme="minorEastAsia" w:hAnsiTheme="minorEastAsia" w:eastAsiaTheme="minorEastAsia" w:cstheme="minorEastAsia"/>
          <w:b/>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lang w:eastAsia="zh-CN"/>
          <w14:textFill>
            <w14:solidFill>
              <w14:schemeClr w14:val="tx1"/>
            </w14:solidFill>
          </w14:textFill>
        </w:rPr>
        <w:t>供应商名称：</w:t>
      </w:r>
    </w:p>
    <w:p>
      <w:pPr>
        <w:snapToGrid w:val="0"/>
        <w:spacing w:line="360" w:lineRule="auto"/>
        <w:rPr>
          <w:rFonts w:hint="eastAsia" w:asciiTheme="minorEastAsia" w:hAnsiTheme="minorEastAsia" w:eastAsiaTheme="minorEastAsia" w:cstheme="minorEastAsia"/>
          <w:b/>
          <w:color w:val="000000" w:themeColor="text1"/>
          <w:sz w:val="30"/>
          <w:szCs w:val="30"/>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highlight w:val="none"/>
          <w:lang w:eastAsia="zh-CN"/>
          <w14:textFill>
            <w14:solidFill>
              <w14:schemeClr w14:val="tx1"/>
            </w14:solidFill>
          </w14:textFill>
        </w:rPr>
        <w:t>单位：元</w:t>
      </w:r>
    </w:p>
    <w:tbl>
      <w:tblPr>
        <w:tblStyle w:val="29"/>
        <w:tblW w:w="92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471"/>
        <w:gridCol w:w="1513"/>
        <w:gridCol w:w="1513"/>
        <w:gridCol w:w="1514"/>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序号</w:t>
            </w:r>
          </w:p>
        </w:tc>
        <w:tc>
          <w:tcPr>
            <w:tcW w:w="2471"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内容</w:t>
            </w: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数量</w:t>
            </w: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综合单价</w:t>
            </w: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总价</w:t>
            </w: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1</w:t>
            </w:r>
          </w:p>
        </w:tc>
        <w:tc>
          <w:tcPr>
            <w:tcW w:w="2471"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2</w:t>
            </w:r>
          </w:p>
        </w:tc>
        <w:tc>
          <w:tcPr>
            <w:tcW w:w="2471"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0"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3</w:t>
            </w:r>
          </w:p>
        </w:tc>
        <w:tc>
          <w:tcPr>
            <w:tcW w:w="2471"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4</w:t>
            </w:r>
          </w:p>
        </w:tc>
        <w:tc>
          <w:tcPr>
            <w:tcW w:w="2471"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5</w:t>
            </w:r>
          </w:p>
        </w:tc>
        <w:tc>
          <w:tcPr>
            <w:tcW w:w="2471"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tc>
        <w:tc>
          <w:tcPr>
            <w:tcW w:w="2471"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tc>
        <w:tc>
          <w:tcPr>
            <w:tcW w:w="2471"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40"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2471"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投标总报价</w:t>
            </w: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3"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c>
          <w:tcPr>
            <w:tcW w:w="1514" w:type="dxa"/>
            <w:vAlign w:val="bottom"/>
          </w:tcPr>
          <w:p>
            <w:pPr>
              <w:widowControl w:val="0"/>
              <w:snapToGrid w:val="0"/>
              <w:spacing w:line="360" w:lineRule="auto"/>
              <w:jc w:val="center"/>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val="0"/>
        <w:spacing w:line="240" w:lineRule="auto"/>
        <w:textAlignment w:val="baseline"/>
        <w:rPr>
          <w:rStyle w:val="35"/>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注：</w:t>
      </w:r>
      <w:r>
        <w:rPr>
          <w:rStyle w:val="35"/>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1、此表中的投标总报价必须与“报价一览表”中的“投标总报价”一致。</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textAlignment w:val="baseline"/>
        <w:rPr>
          <w:rFonts w:hint="eastAsia" w:asciiTheme="minorEastAsia" w:hAnsiTheme="minorEastAsia" w:eastAsiaTheme="minorEastAsia" w:cstheme="minorEastAsia"/>
          <w:highlight w:val="none"/>
          <w:lang w:val="en-US" w:eastAsia="zh-CN"/>
        </w:rPr>
      </w:pPr>
      <w:r>
        <w:rPr>
          <w:rStyle w:val="35"/>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2、二次报价时，需要同时上传报价明细表。</w:t>
      </w:r>
    </w:p>
    <w:p>
      <w:pPr>
        <w:pStyle w:val="5"/>
        <w:rPr>
          <w:rFonts w:hint="eastAsia" w:asciiTheme="minorEastAsia" w:hAnsiTheme="minorEastAsia" w:eastAsiaTheme="minorEastAsia" w:cstheme="minorEastAsia"/>
          <w:highlight w:val="none"/>
          <w:lang w:eastAsia="zh-CN"/>
        </w:rPr>
      </w:pPr>
    </w:p>
    <w:p>
      <w:pPr>
        <w:snapToGrid w:val="0"/>
        <w:spacing w:line="720" w:lineRule="auto"/>
        <w:ind w:right="110" w:rightChars="5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供应商（盖章）：</w:t>
      </w:r>
    </w:p>
    <w:p>
      <w:pPr>
        <w:snapToGrid w:val="0"/>
        <w:spacing w:line="720" w:lineRule="auto"/>
        <w:ind w:right="110" w:rightChars="5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法定代表人（盖章）：</w:t>
      </w:r>
    </w:p>
    <w:p>
      <w:pPr>
        <w:pageBreakBefore w:val="0"/>
        <w:widowControl/>
        <w:kinsoku/>
        <w:wordWrap/>
        <w:overflowPunct/>
        <w:topLinePunct w:val="0"/>
        <w:autoSpaceDE/>
        <w:autoSpaceDN/>
        <w:bidi w:val="0"/>
        <w:adjustRightInd/>
        <w:snapToGrid w:val="0"/>
        <w:spacing w:line="720" w:lineRule="auto"/>
        <w:ind w:right="110" w:rightChars="50"/>
        <w:textAlignment w:val="baseline"/>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法人授权代表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（签字）：</w:t>
      </w: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p>
    <w:p>
      <w:pPr>
        <w:pStyle w:val="8"/>
        <w:spacing w:before="0" w:after="0" w:line="579" w:lineRule="exact"/>
        <w:ind w:firstLine="0" w:firstLineChars="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bookmarkStart w:id="101" w:name="_Toc7203"/>
      <w:bookmarkStart w:id="102" w:name="_Toc20694"/>
      <w:bookmarkStart w:id="103" w:name="_Toc8252"/>
      <w:bookmarkStart w:id="104" w:name="_Toc27460"/>
      <w:bookmarkStart w:id="105" w:name="_Toc15438"/>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第三部分</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）商务及技术部分</w:t>
      </w:r>
      <w:bookmarkEnd w:id="101"/>
      <w:bookmarkEnd w:id="102"/>
      <w:bookmarkEnd w:id="103"/>
      <w:bookmarkEnd w:id="104"/>
      <w:bookmarkEnd w:id="105"/>
    </w:p>
    <w:p>
      <w:pPr>
        <w:spacing w:line="579" w:lineRule="exact"/>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磋商响应文件按下列顺序排列和装订磋商响应文件：（未提供格式的内容自拟）</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（一）投标函</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（二）法定代表人诚信投标承诺书</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三</w:t>
      </w: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）磋商保证金</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四</w:t>
      </w: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企业</w:t>
      </w: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业绩一览表</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（五）项目团队成员一览表</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（六）获奖情况</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七</w:t>
      </w: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技术部分</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（八）商务条款偏离表</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九</w:t>
      </w: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技术（服务）</w:t>
      </w: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条款偏离表</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（十）</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供应商企业类型声明函</w:t>
      </w:r>
    </w:p>
    <w:p>
      <w:pPr>
        <w:keepNext w:val="0"/>
        <w:keepLines w:val="0"/>
        <w:pageBreakBefore w:val="0"/>
        <w:widowControl/>
        <w:kinsoku/>
        <w:wordWrap/>
        <w:overflowPunct/>
        <w:topLinePunct w:val="0"/>
        <w:autoSpaceDE/>
        <w:autoSpaceDN/>
        <w:bidi w:val="0"/>
        <w:adjustRightInd/>
        <w:snapToGrid/>
        <w:spacing w:line="579" w:lineRule="exact"/>
        <w:jc w:val="left"/>
        <w:textAlignment w:val="baseline"/>
        <w:outlineLvl w:val="9"/>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（十</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一</w:t>
      </w: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磋商文件所要求的其他内容及</w:t>
      </w: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供应商认为有必要提交的其他资料（</w:t>
      </w:r>
      <w:r>
        <w:rPr>
          <w:rFonts w:hint="eastAsia" w:asciiTheme="minorEastAsia" w:hAnsiTheme="minorEastAsia" w:eastAsiaTheme="minorEastAsia" w:cstheme="minorEastAsia"/>
          <w:b w:val="0"/>
          <w:bCs/>
          <w:color w:val="000000" w:themeColor="text1"/>
          <w:sz w:val="24"/>
          <w:szCs w:val="20"/>
          <w:highlight w:val="none"/>
          <w:lang w:val="en-US" w:eastAsia="zh-CN" w:bidi="ar"/>
          <w14:textFill>
            <w14:solidFill>
              <w14:schemeClr w14:val="tx1"/>
            </w14:solidFill>
          </w14:textFill>
        </w:rPr>
        <w:t>格式自拟</w:t>
      </w:r>
      <w:r>
        <w:rPr>
          <w:rFonts w:hint="eastAsia" w:asciiTheme="minorEastAsia" w:hAnsiTheme="minorEastAsia" w:eastAsiaTheme="minorEastAsia" w:cstheme="minorEastAsia"/>
          <w:b w:val="0"/>
          <w:bCs/>
          <w:color w:val="000000" w:themeColor="text1"/>
          <w:sz w:val="24"/>
          <w:szCs w:val="20"/>
          <w:highlight w:val="none"/>
          <w:lang w:eastAsia="zh-CN" w:bidi="ar"/>
          <w14:textFill>
            <w14:solidFill>
              <w14:schemeClr w14:val="tx1"/>
            </w14:solidFill>
          </w14:textFill>
        </w:rPr>
        <w:t>）</w:t>
      </w:r>
    </w:p>
    <w:p>
      <w:pPr>
        <w:spacing w:line="500" w:lineRule="exact"/>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pStyle w:val="16"/>
        <w:spacing w:line="579" w:lineRule="exact"/>
        <w:ind w:left="0" w:leftChars="0" w:firstLine="552" w:firstLineChars="250"/>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sectPr>
          <w:footerReference r:id="rId5" w:type="default"/>
          <w:pgSz w:w="11906" w:h="16838"/>
          <w:pgMar w:top="1418" w:right="1700" w:bottom="1418" w:left="1361" w:header="851" w:footer="992" w:gutter="0"/>
          <w:pgNumType w:fmt="decimal"/>
          <w:cols w:space="425" w:num="1"/>
          <w:docGrid w:type="lines" w:linePitch="332" w:charSpace="0"/>
        </w:sectPr>
      </w:pP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供应商提供的以上材料必须真实有效，需要年检的证书必须有年检记录，所有文件均须加盖单位公章，任何一项的虚假或提交的磋商响应文件资料不全，或未对磋商文件做出实质性响应，将可能导致磋商响应文件被拒绝接受。</w:t>
      </w:r>
    </w:p>
    <w:p>
      <w:pPr>
        <w:spacing w:line="579" w:lineRule="exact"/>
        <w:jc w:val="center"/>
        <w:outlineLvl w:val="2"/>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pPr>
      <w:bookmarkStart w:id="106" w:name="_Toc22554402"/>
      <w:bookmarkStart w:id="107" w:name="_Toc1719149"/>
      <w:bookmarkStart w:id="108" w:name="_Toc3891649"/>
      <w:bookmarkStart w:id="109" w:name="_Toc21594"/>
      <w:bookmarkStart w:id="110" w:name="_Toc25000"/>
      <w:bookmarkStart w:id="111" w:name="_Toc30846"/>
      <w:bookmarkStart w:id="112" w:name="_Toc4882"/>
      <w:bookmarkStart w:id="113" w:name="_Toc27883"/>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（一）</w:t>
      </w:r>
      <w:bookmarkEnd w:id="106"/>
      <w:bookmarkEnd w:id="107"/>
      <w:bookmarkEnd w:id="108"/>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投标函</w:t>
      </w:r>
      <w:bookmarkEnd w:id="109"/>
      <w:bookmarkEnd w:id="110"/>
      <w:bookmarkEnd w:id="111"/>
      <w:bookmarkEnd w:id="112"/>
      <w:bookmarkEnd w:id="113"/>
    </w:p>
    <w:p>
      <w:pPr>
        <w:spacing w:line="400" w:lineRule="exact"/>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新疆卓恒工程项目管理有限公司：</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我们收到你们</w:t>
      </w:r>
      <w:r>
        <w:rPr>
          <w:rFonts w:hint="eastAsia" w:asciiTheme="minorEastAsia" w:hAnsiTheme="minorEastAsia" w:eastAsiaTheme="minorEastAsia" w:cstheme="minorEastAsia"/>
          <w:color w:val="000000" w:themeColor="text1"/>
          <w:spacing w:val="4"/>
          <w:sz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号</w:t>
      </w:r>
      <w:r>
        <w:rPr>
          <w:rFonts w:hint="eastAsia" w:asciiTheme="minorEastAsia" w:hAnsiTheme="minorEastAsia" w:eastAsiaTheme="minorEastAsia" w:cstheme="minorEastAsia"/>
          <w:bCs/>
          <w:color w:val="000000" w:themeColor="text1"/>
          <w:spacing w:val="4"/>
          <w:sz w:val="24"/>
          <w:highlight w:val="none"/>
          <w:u w:val="single"/>
          <w:lang w:eastAsia="zh-CN"/>
          <w14:textFill>
            <w14:solidFill>
              <w14:schemeClr w14:val="tx1"/>
            </w14:solidFill>
          </w14:textFill>
        </w:rPr>
        <w:t>新疆维吾尔自治区第三人民医院（新疆维吾尔自治区职业病防治院）法律咨询服务采购项目</w:t>
      </w: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第</w:t>
      </w:r>
      <w:r>
        <w:rPr>
          <w:rFonts w:hint="eastAsia" w:asciiTheme="minorEastAsia" w:hAnsiTheme="minorEastAsia" w:eastAsiaTheme="minorEastAsia" w:cstheme="minorEastAsia"/>
          <w:color w:val="000000" w:themeColor="text1"/>
          <w:spacing w:val="4"/>
          <w:sz w:val="24"/>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包磋商文件，经仔细阅读和研究，我们决定参加投标。</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bookmarkStart w:id="114" w:name="_Toc15871_WPSOffice_Level1"/>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l、愿意按照磋商文件的一切要求，提供以上服务。</w:t>
      </w:r>
      <w:bookmarkEnd w:id="114"/>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2、如果我们的响应文件被接受，我们将严格履行磋商文件中规定的每一项要求，按期、按质、按量履行服务义务。</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3、供应商已详细阅读并理解了磋商文件的全部，包括修改文件(如有的话)。我们完全理解并同意放弃对这方面有不明及误解的权利。</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4、我们同意按磋商文件中的规定，本响应文件的有效期限为开标后</w:t>
      </w:r>
      <w:r>
        <w:rPr>
          <w:rFonts w:hint="eastAsia" w:asciiTheme="minorEastAsia" w:hAnsiTheme="minorEastAsia" w:eastAsiaTheme="minorEastAsia" w:cstheme="minorEastAsia"/>
          <w:color w:val="000000" w:themeColor="text1"/>
          <w:spacing w:val="4"/>
          <w:sz w:val="24"/>
          <w:highlight w:val="none"/>
          <w:u w:val="single"/>
          <w:lang w:eastAsia="zh-CN"/>
          <w14:textFill>
            <w14:solidFill>
              <w14:schemeClr w14:val="tx1"/>
            </w14:solidFill>
          </w14:textFill>
        </w:rPr>
        <w:t xml:space="preserve">  90  </w:t>
      </w: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天。</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5、我们愿意提供采购人在磋商文件中要求的所有资料。</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6、我们认为你们有权决定成交供应商，还认为你们有权接受或拒绝所有的供应商成交。</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7、我方愿意遵守磋商文件中所列的收费标准。</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8、在规定的磋商时间后，如果在磋商有效期内撤回投标，同意磋商保证金将被贵方没收。</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9、供应商同意提供按照贵方可能要求的与其投标有关的一切数据或资料，完全理解贵方不一定接受最低价的投标或收到的任何投标的约定。</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10、我方在响应文件中所作的承诺在开标后保持有效，不作任何更改和变动。</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11、我们愿意按磋商文件的规定交纳</w:t>
      </w:r>
      <w:r>
        <w:rPr>
          <w:rFonts w:hint="eastAsia" w:asciiTheme="minorEastAsia" w:hAnsiTheme="minorEastAsia" w:eastAsiaTheme="minorEastAsia" w:cstheme="minorEastAsia"/>
          <w:color w:val="000000" w:themeColor="text1"/>
          <w:spacing w:val="4"/>
          <w:sz w:val="24"/>
          <w:highlight w:val="none"/>
          <w:u w:val="singl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4"/>
          <w:sz w:val="24"/>
          <w:highlight w:val="none"/>
          <w:u w:val="single"/>
          <w:lang w:eastAsia="zh-CN"/>
          <w14:textFill>
            <w14:solidFill>
              <w14:schemeClr w14:val="tx1"/>
            </w14:solidFill>
          </w14:textFill>
        </w:rPr>
        <w:t>元</w:t>
      </w: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的磋商保证金。</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12、若我方获得成交，我方保证按有关规定向贵方支付招标服务费。我方承诺接受磋商文件及澄清修改部分（如有）的全部条款（包括响应文件递交截止时间、保证金、资格评审条件、成交标准以及采购需求等其他所有条款）且无任何异议，现向贵公司提出承诺报价。</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所有有关标书的函电，请按下列地址联系：</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 xml:space="preserve">    单  位：                 邮编：             传真：</w:t>
      </w:r>
    </w:p>
    <w:p>
      <w:pPr>
        <w:spacing w:line="40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 xml:space="preserve">    联系人：                 地址：             电话：</w:t>
      </w:r>
    </w:p>
    <w:p>
      <w:pPr>
        <w:spacing w:line="400" w:lineRule="exact"/>
        <w:ind w:firstLine="44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400"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供应商名称（盖章）：</w:t>
      </w:r>
    </w:p>
    <w:p>
      <w:pPr>
        <w:spacing w:line="400"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法定代表人或授权代理人(签字或盖章)：</w:t>
      </w:r>
    </w:p>
    <w:p>
      <w:pPr>
        <w:spacing w:line="400"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日期：        年    月    日</w:t>
      </w:r>
    </w:p>
    <w:p>
      <w:pPr>
        <w:keepNext w:val="0"/>
        <w:keepLines w:val="0"/>
        <w:pageBreakBefore w:val="0"/>
        <w:widowControl/>
        <w:kinsoku/>
        <w:wordWrap/>
        <w:overflowPunct/>
        <w:topLinePunct w:val="0"/>
        <w:autoSpaceDE/>
        <w:autoSpaceDN/>
        <w:bidi w:val="0"/>
        <w:adjustRightInd/>
        <w:snapToGrid/>
        <w:spacing w:line="579" w:lineRule="exact"/>
        <w:jc w:val="center"/>
        <w:textAlignment w:val="baseline"/>
        <w:outlineLvl w:val="9"/>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pPr>
      <w:bookmarkStart w:id="115" w:name="_Toc1719152"/>
      <w:bookmarkStart w:id="116" w:name="_Toc3891652"/>
      <w:bookmarkStart w:id="117" w:name="_Toc22554406"/>
    </w:p>
    <w:p>
      <w:pPr>
        <w:pStyle w:val="5"/>
        <w:rPr>
          <w:rFonts w:hint="eastAsia" w:asciiTheme="minorEastAsia" w:hAnsiTheme="minorEastAsia" w:eastAsiaTheme="minorEastAsia" w:cstheme="minorEastAsia"/>
          <w:highlight w:val="none"/>
          <w:lang w:eastAsia="zh-CN"/>
        </w:rPr>
      </w:pPr>
    </w:p>
    <w:p>
      <w:pPr>
        <w:spacing w:line="579" w:lineRule="exact"/>
        <w:jc w:val="center"/>
        <w:outlineLvl w:val="2"/>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pPr>
      <w:bookmarkStart w:id="118" w:name="_Toc32192"/>
      <w:bookmarkStart w:id="119" w:name="_Toc24884"/>
      <w:bookmarkStart w:id="120" w:name="_Toc22987"/>
      <w:bookmarkStart w:id="121" w:name="_Toc23045"/>
      <w:bookmarkStart w:id="122" w:name="_Toc27095"/>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（二）法定代表人诚信投标承诺书</w:t>
      </w:r>
      <w:bookmarkEnd w:id="118"/>
      <w:bookmarkEnd w:id="119"/>
      <w:bookmarkEnd w:id="120"/>
      <w:bookmarkEnd w:id="121"/>
      <w:bookmarkEnd w:id="122"/>
    </w:p>
    <w:p>
      <w:pPr>
        <w:pStyle w:val="61"/>
        <w:ind w:firstLine="0" w:firstLineChars="0"/>
        <w:rPr>
          <w:rFonts w:hint="eastAsia" w:asciiTheme="minorEastAsia" w:hAnsiTheme="minorEastAsia" w:eastAsiaTheme="minorEastAsia" w:cstheme="minorEastAsia"/>
          <w:b/>
          <w:color w:val="000000" w:themeColor="text1"/>
          <w:szCs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lang w:eastAsia="zh-CN"/>
          <w14:textFill>
            <w14:solidFill>
              <w14:schemeClr w14:val="tx1"/>
            </w14:solidFill>
          </w14:textFill>
        </w:rPr>
        <w:t>本人以企业法定代表人的身份郑重承诺：</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将遵循公开、公平、公正和诚信信用的原则参加（</w:t>
      </w:r>
      <w:r>
        <w:rPr>
          <w:rFonts w:hint="eastAsia" w:asciiTheme="minorEastAsia" w:hAnsiTheme="minorEastAsia" w:eastAsiaTheme="minorEastAsia" w:cstheme="minorEastAsia"/>
          <w:color w:val="000000" w:themeColor="text1"/>
          <w:spacing w:val="4"/>
          <w:sz w:val="24"/>
          <w:highlight w:val="none"/>
          <w:u w:val="single"/>
          <w:lang w:eastAsia="zh-CN"/>
          <w14:textFill>
            <w14:solidFill>
              <w14:schemeClr w14:val="tx1"/>
            </w14:solidFill>
          </w14:textFill>
        </w:rPr>
        <w:t xml:space="preserve">  项目、招标编号  </w:t>
      </w: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）的投标；</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一、杜绝以收取管理费等形式的一切挂靠、违法转包、分包行为；并选派有丰富经验、无不良行为记录的在项目管理人员、技术人员，严格按磋商文件及合同等要求保证拟派人员的到岗率。</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二、磋商文件所提供的一切材料都是真实、有效、合法的。</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三、不与其他供应商相互串通磋商响应报价，不排挤其他供应商的公平竞争，不损害采购人或其他供应商的合法权益。</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四、不与采购人或采购机构串通投标，不损害国家利益，社会公共利益或其他人的合法权益。</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五、不向采购人或者评标委员会成员行贿以牟取中标。</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六、不以其他人名义投标或者以其他方式弄虚作假，骗取中标。</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七、不在开标后进行虚假恶意投诉。</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八、我单位没有被政府机关列入失信被执行人名单、重大税收违法案件当事人名单、政府采购严重违法失信行为记录名单及其他不符合《中华人民共和国政府采购法》第二十二条规定条件的情形。</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 xml:space="preserve">九、没有被财政部门限制参加政府采购活动或曾被财政部门限制参加政府采购活动但已不在限制期内。    </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十、参与本项目政府采购活动3年内没有重大违法记录情况。</w:t>
      </w:r>
    </w:p>
    <w:p>
      <w:pPr>
        <w:spacing w:line="470" w:lineRule="exact"/>
        <w:ind w:firstLine="496" w:firstLineChars="200"/>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highlight w:val="none"/>
          <w:lang w:eastAsia="zh-CN"/>
          <w14:textFill>
            <w14:solidFill>
              <w14:schemeClr w14:val="tx1"/>
            </w14:solidFill>
          </w14:textFill>
        </w:rPr>
        <w:t>本公司若有违反本承诺内容的行为，愿意承担法律责任，包括不限于：愿意接受相关行政主管部门作出的处罚；给采购人造成损失的，依法承担相应的赔偿责任。</w:t>
      </w:r>
    </w:p>
    <w:p>
      <w:pPr>
        <w:snapToGrid w:val="0"/>
        <w:spacing w:line="470" w:lineRule="exact"/>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供应商名称（盖章）：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法定代表人或授权代理人(签字或盖章)：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日期：        年    月    日</w:t>
      </w:r>
    </w:p>
    <w:p>
      <w:pPr>
        <w:spacing w:line="579" w:lineRule="exact"/>
        <w:outlineLvl w:val="2"/>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sectPr>
          <w:pgSz w:w="11906" w:h="16838"/>
          <w:pgMar w:top="1418" w:right="1700" w:bottom="1418" w:left="1361" w:header="851" w:footer="992" w:gutter="0"/>
          <w:pgNumType w:fmt="decimal"/>
          <w:cols w:space="425" w:num="1"/>
          <w:docGrid w:type="lines" w:linePitch="332" w:charSpace="0"/>
        </w:sectPr>
      </w:pPr>
    </w:p>
    <w:bookmarkEnd w:id="115"/>
    <w:bookmarkEnd w:id="116"/>
    <w:bookmarkEnd w:id="117"/>
    <w:p>
      <w:pPr>
        <w:spacing w:line="579" w:lineRule="exact"/>
        <w:jc w:val="center"/>
        <w:outlineLvl w:val="2"/>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pPr>
      <w:bookmarkStart w:id="123" w:name="_Toc19256"/>
      <w:bookmarkStart w:id="124" w:name="_Toc3891645"/>
      <w:bookmarkStart w:id="125" w:name="_Toc27258"/>
      <w:bookmarkStart w:id="126" w:name="_Toc24967"/>
      <w:bookmarkStart w:id="127" w:name="_Toc22554398"/>
      <w:bookmarkStart w:id="128" w:name="_Toc10295"/>
      <w:bookmarkStart w:id="129" w:name="_Toc10927"/>
      <w:bookmarkStart w:id="130" w:name="_Toc259692754"/>
      <w:bookmarkStart w:id="131" w:name="_Toc266870446"/>
      <w:bookmarkStart w:id="132" w:name="_Toc3891662"/>
      <w:bookmarkStart w:id="133" w:name="_Toc254790914"/>
      <w:bookmarkStart w:id="134" w:name="_Toc259692661"/>
      <w:bookmarkStart w:id="135" w:name="_Toc266870921"/>
      <w:bookmarkStart w:id="136" w:name="_Toc267060465"/>
      <w:bookmarkStart w:id="137" w:name="_Toc267060220"/>
      <w:bookmarkStart w:id="138" w:name="_Toc259520879"/>
      <w:bookmarkStart w:id="139" w:name="_Toc267060080"/>
      <w:bookmarkStart w:id="140" w:name="_Toc255975021"/>
      <w:bookmarkStart w:id="141" w:name="_Toc258401270"/>
      <w:bookmarkStart w:id="142" w:name="_Toc1719163"/>
      <w:bookmarkStart w:id="143" w:name="_Toc266868684"/>
      <w:bookmarkStart w:id="144" w:name="_Toc22554425"/>
      <w:bookmarkStart w:id="145" w:name="_Toc251586246"/>
      <w:bookmarkStart w:id="146" w:name="_Toc211917124"/>
      <w:bookmarkStart w:id="147" w:name="_Toc203355741"/>
      <w:bookmarkStart w:id="148" w:name="_Toc169332846"/>
      <w:bookmarkStart w:id="149" w:name="_Toc169332957"/>
      <w:bookmarkStart w:id="150" w:name="_Toc180302921"/>
      <w:bookmarkStart w:id="151" w:name="_Toc192663843"/>
      <w:bookmarkStart w:id="152" w:name="_Toc192996346"/>
      <w:bookmarkStart w:id="153" w:name="_Toc182372790"/>
      <w:bookmarkStart w:id="154" w:name="_Toc251613844"/>
      <w:bookmarkStart w:id="155" w:name="_Toc253066629"/>
      <w:bookmarkStart w:id="156" w:name="_Toc192996454"/>
      <w:bookmarkStart w:id="157" w:name="_Toc181436573"/>
      <w:bookmarkStart w:id="158" w:name="_Toc170798801"/>
      <w:bookmarkStart w:id="159" w:name="_Toc191789337"/>
      <w:bookmarkStart w:id="160" w:name="_Toc236021462"/>
      <w:bookmarkStart w:id="161" w:name="_Toc193160456"/>
      <w:bookmarkStart w:id="162" w:name="_Toc192664161"/>
      <w:bookmarkStart w:id="163" w:name="_Toc182805225"/>
      <w:bookmarkStart w:id="164" w:name="_Toc193165742"/>
      <w:bookmarkStart w:id="165" w:name="_Toc235438357"/>
      <w:bookmarkStart w:id="166" w:name="_Toc160880537"/>
      <w:bookmarkStart w:id="167" w:name="_Toc235438003"/>
      <w:bookmarkStart w:id="168" w:name="_Toc235438286"/>
      <w:bookmarkStart w:id="169" w:name="_Toc181436469"/>
      <w:bookmarkStart w:id="170" w:name="_Toc192663694"/>
      <w:bookmarkStart w:id="171" w:name="_Toc191802698"/>
      <w:bookmarkStart w:id="172" w:name="_Toc249325725"/>
      <w:bookmarkStart w:id="173" w:name="_Toc191803634"/>
      <w:bookmarkStart w:id="174" w:name="_Toc160880168"/>
      <w:bookmarkStart w:id="175" w:name="_Toc232302127"/>
      <w:bookmarkStart w:id="176" w:name="_Toc177985477"/>
      <w:bookmarkStart w:id="177" w:name="_Toc191783230"/>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color w:val="000000" w:themeColor="text1"/>
          <w:sz w:val="24"/>
          <w:szCs w:val="20"/>
          <w:highlight w:val="none"/>
          <w:lang w:val="en-US" w:eastAsia="zh-CN" w:bidi="ar"/>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）磋商保证金</w:t>
      </w:r>
      <w:bookmarkEnd w:id="123"/>
      <w:bookmarkEnd w:id="124"/>
      <w:bookmarkEnd w:id="125"/>
      <w:bookmarkEnd w:id="126"/>
      <w:bookmarkEnd w:id="127"/>
      <w:bookmarkEnd w:id="128"/>
      <w:bookmarkEnd w:id="129"/>
    </w:p>
    <w:p>
      <w:pPr>
        <w:pStyle w:val="12"/>
        <w:spacing w:line="579" w:lineRule="exact"/>
        <w:ind w:firstLine="480"/>
        <w:rPr>
          <w:rFonts w:hint="eastAsia" w:asciiTheme="minorEastAsia" w:hAnsiTheme="minorEastAsia" w:eastAsiaTheme="minorEastAsia" w:cstheme="minorEastAsia"/>
          <w:color w:val="000000" w:themeColor="text1"/>
          <w:sz w:val="24"/>
          <w:szCs w:val="18"/>
          <w:highlight w:val="none"/>
          <w:lang w:eastAsia="zh-CN"/>
          <w14:textFill>
            <w14:solidFill>
              <w14:schemeClr w14:val="tx1"/>
            </w14:solidFill>
          </w14:textFill>
        </w:rPr>
        <w:sectPr>
          <w:pgSz w:w="11906" w:h="16838"/>
          <w:pgMar w:top="1418" w:right="1826" w:bottom="1418" w:left="1361" w:header="851" w:footer="992" w:gutter="0"/>
          <w:pgNumType w:fmt="decimal"/>
          <w:cols w:space="425" w:num="1"/>
          <w:docGrid w:type="linesAndChars" w:linePitch="332" w:charSpace="0"/>
        </w:sectPr>
      </w:pPr>
      <w:r>
        <w:rPr>
          <w:rFonts w:hint="eastAsia" w:asciiTheme="minorEastAsia" w:hAnsiTheme="minorEastAsia" w:eastAsiaTheme="minorEastAsia" w:cstheme="minorEastAsia"/>
          <w:color w:val="000000" w:themeColor="text1"/>
          <w:sz w:val="24"/>
          <w:szCs w:val="18"/>
          <w:highlight w:val="none"/>
          <w:lang w:eastAsia="zh-CN"/>
          <w14:textFill>
            <w14:solidFill>
              <w14:schemeClr w14:val="tx1"/>
            </w14:solidFill>
          </w14:textFill>
        </w:rPr>
        <w:t>附：磋商保证金缴纳凭证或收据</w:t>
      </w:r>
      <w:r>
        <w:rPr>
          <w:rFonts w:hint="eastAsia" w:asciiTheme="minorEastAsia" w:hAnsiTheme="minorEastAsia" w:eastAsiaTheme="minorEastAsia" w:cstheme="minorEastAsia"/>
          <w:color w:val="000000" w:themeColor="text1"/>
          <w:sz w:val="24"/>
          <w:szCs w:val="18"/>
          <w:highlight w:val="none"/>
          <w:lang w:val="en-US" w:eastAsia="zh-CN"/>
          <w14:textFill>
            <w14:solidFill>
              <w14:schemeClr w14:val="tx1"/>
            </w14:solidFill>
          </w14:textFill>
        </w:rPr>
        <w:t>或保函</w:t>
      </w:r>
      <w:r>
        <w:rPr>
          <w:rFonts w:hint="eastAsia" w:asciiTheme="minorEastAsia" w:hAnsiTheme="minorEastAsia" w:eastAsiaTheme="minorEastAsia" w:cstheme="minorEastAsia"/>
          <w:color w:val="000000" w:themeColor="text1"/>
          <w:sz w:val="24"/>
          <w:szCs w:val="18"/>
          <w:highlight w:val="none"/>
          <w:lang w:eastAsia="zh-CN"/>
          <w14:textFill>
            <w14:solidFill>
              <w14:schemeClr w14:val="tx1"/>
            </w14:solidFill>
          </w14:textFill>
        </w:rPr>
        <w:t>复印件加盖投标单位公章</w:t>
      </w:r>
    </w:p>
    <w:p>
      <w:pPr>
        <w:spacing w:line="579" w:lineRule="exact"/>
        <w:jc w:val="center"/>
        <w:outlineLvl w:val="2"/>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pPr>
      <w:bookmarkStart w:id="178" w:name="_Toc18115"/>
      <w:bookmarkStart w:id="179" w:name="_Toc8186"/>
      <w:bookmarkStart w:id="180" w:name="_Toc32384"/>
      <w:bookmarkStart w:id="181" w:name="_Toc12075"/>
      <w:bookmarkStart w:id="182" w:name="_Toc23572"/>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color w:val="000000" w:themeColor="text1"/>
          <w:sz w:val="24"/>
          <w:szCs w:val="20"/>
          <w:highlight w:val="none"/>
          <w:lang w:val="en-US" w:eastAsia="zh-CN" w:bidi="ar"/>
          <w14:textFill>
            <w14:solidFill>
              <w14:schemeClr w14:val="tx1"/>
            </w14:solidFill>
          </w14:textFill>
        </w:rPr>
        <w:t>四</w:t>
      </w:r>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color w:val="000000" w:themeColor="text1"/>
          <w:sz w:val="24"/>
          <w:szCs w:val="20"/>
          <w:highlight w:val="none"/>
          <w:lang w:val="en-US" w:eastAsia="zh-CN" w:bidi="ar"/>
          <w14:textFill>
            <w14:solidFill>
              <w14:schemeClr w14:val="tx1"/>
            </w14:solidFill>
          </w14:textFill>
        </w:rPr>
        <w:t>企业</w:t>
      </w:r>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业绩一览表</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78"/>
      <w:bookmarkEnd w:id="179"/>
      <w:bookmarkEnd w:id="180"/>
      <w:bookmarkEnd w:id="181"/>
      <w:bookmarkEnd w:id="182"/>
    </w:p>
    <w:p>
      <w:pPr>
        <w:spacing w:line="579"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 xml:space="preserve">项目名称： </w:t>
      </w:r>
    </w:p>
    <w:p>
      <w:pPr>
        <w:spacing w:line="579" w:lineRule="exact"/>
        <w:ind w:firstLine="480" w:firstLineChars="200"/>
        <w:rPr>
          <w:rFonts w:hint="eastAsia" w:asciiTheme="minorEastAsia" w:hAnsiTheme="minorEastAsia" w:eastAsiaTheme="minorEastAsia" w:cstheme="minorEastAsia"/>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0"/>
          <w:highlight w:val="none"/>
          <w:lang w:val="en-US" w:eastAsia="zh-CN" w:bidi="ar"/>
          <w14:textFill>
            <w14:solidFill>
              <w14:schemeClr w14:val="tx1"/>
            </w14:solidFill>
          </w14:textFill>
        </w:rPr>
        <w:t xml:space="preserve"> </w:t>
      </w:r>
    </w:p>
    <w:tbl>
      <w:tblPr>
        <w:tblStyle w:val="28"/>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018"/>
        <w:gridCol w:w="1401"/>
        <w:gridCol w:w="1303"/>
        <w:gridCol w:w="1374"/>
        <w:gridCol w:w="105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73" w:type="dxa"/>
            <w:vAlign w:val="center"/>
          </w:tcPr>
          <w:p>
            <w:pPr>
              <w:jc w:val="center"/>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序号</w:t>
            </w:r>
          </w:p>
        </w:tc>
        <w:tc>
          <w:tcPr>
            <w:tcW w:w="2018" w:type="dxa"/>
            <w:vAlign w:val="center"/>
          </w:tcPr>
          <w:p>
            <w:pPr>
              <w:jc w:val="center"/>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项目名称</w:t>
            </w:r>
          </w:p>
        </w:tc>
        <w:tc>
          <w:tcPr>
            <w:tcW w:w="1401" w:type="dxa"/>
            <w:vAlign w:val="center"/>
          </w:tcPr>
          <w:p>
            <w:pPr>
              <w:jc w:val="cente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主要</w:t>
            </w: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服务</w:t>
            </w:r>
            <w:r>
              <w:rPr>
                <w:rFonts w:hint="eastAsia" w:asciiTheme="minorEastAsia" w:hAnsiTheme="minorEastAsia" w:eastAsiaTheme="minorEastAsia" w:cstheme="minorEastAsia"/>
                <w:b/>
                <w:bCs/>
                <w:color w:val="000000" w:themeColor="text1"/>
                <w:highlight w:val="none"/>
                <w:lang w:eastAsia="zh-CN"/>
                <w14:textFill>
                  <w14:solidFill>
                    <w14:schemeClr w14:val="tx1"/>
                  </w14:solidFill>
                </w14:textFill>
              </w:rPr>
              <w:t>内容</w:t>
            </w:r>
          </w:p>
        </w:tc>
        <w:tc>
          <w:tcPr>
            <w:tcW w:w="1303" w:type="dxa"/>
            <w:vAlign w:val="center"/>
          </w:tcPr>
          <w:p>
            <w:pPr>
              <w:jc w:val="center"/>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签订时间</w:t>
            </w:r>
          </w:p>
        </w:tc>
        <w:tc>
          <w:tcPr>
            <w:tcW w:w="1374" w:type="dxa"/>
            <w:vAlign w:val="center"/>
          </w:tcPr>
          <w:p>
            <w:pPr>
              <w:jc w:val="center"/>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联系人及联系电话</w:t>
            </w:r>
          </w:p>
        </w:tc>
        <w:tc>
          <w:tcPr>
            <w:tcW w:w="1054" w:type="dxa"/>
            <w:vAlign w:val="center"/>
          </w:tcPr>
          <w:p>
            <w:pPr>
              <w:jc w:val="center"/>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完成</w:t>
            </w:r>
          </w:p>
          <w:p>
            <w:pPr>
              <w:jc w:val="center"/>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情况</w:t>
            </w:r>
          </w:p>
        </w:tc>
        <w:tc>
          <w:tcPr>
            <w:tcW w:w="1054" w:type="dxa"/>
            <w:vAlign w:val="center"/>
          </w:tcPr>
          <w:p>
            <w:pPr>
              <w:jc w:val="cente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018"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01"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0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7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018"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01"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0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7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018"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01"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0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7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018"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01"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0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7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018"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01"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0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7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018"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01"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0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7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018"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01"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03"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37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54" w:type="dxa"/>
          </w:tcPr>
          <w:p>
            <w:pPr>
              <w:snapToGrid w:val="0"/>
              <w:spacing w:line="48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pPr>
        <w:spacing w:before="120" w:line="360" w:lineRule="exact"/>
        <w:rPr>
          <w:rFonts w:hint="eastAsia" w:asciiTheme="minorEastAsia" w:hAnsiTheme="minorEastAsia" w:eastAsiaTheme="minorEastAsia" w:cstheme="minorEastAsia"/>
          <w:color w:val="000000" w:themeColor="text1"/>
          <w:szCs w:val="21"/>
          <w:highlight w:val="none"/>
          <w:lang w:val="zh-CN" w:eastAsia="zh-CN"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eastAsia="zh-CN" w:bidi="ar"/>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lang w:eastAsia="zh-CN" w:bidi="ar"/>
          <w14:textFill>
            <w14:solidFill>
              <w14:schemeClr w14:val="tx1"/>
            </w14:solidFill>
          </w14:textFill>
        </w:rPr>
        <w:t>1.</w:t>
      </w:r>
      <w:r>
        <w:rPr>
          <w:rFonts w:hint="eastAsia" w:asciiTheme="minorEastAsia" w:hAnsiTheme="minorEastAsia" w:eastAsiaTheme="minorEastAsia" w:cstheme="minorEastAsia"/>
          <w:color w:val="000000" w:themeColor="text1"/>
          <w:szCs w:val="21"/>
          <w:highlight w:val="none"/>
          <w:lang w:val="zh-CN" w:eastAsia="zh-CN" w:bidi="ar"/>
          <w14:textFill>
            <w14:solidFill>
              <w14:schemeClr w14:val="tx1"/>
            </w14:solidFill>
          </w14:textFill>
        </w:rPr>
        <w:t>请按照上述表格</w:t>
      </w:r>
      <w:r>
        <w:rPr>
          <w:rFonts w:hint="eastAsia" w:asciiTheme="minorEastAsia" w:hAnsiTheme="minorEastAsia" w:eastAsiaTheme="minorEastAsia" w:cstheme="minorEastAsia"/>
          <w:color w:val="000000" w:themeColor="text1"/>
          <w:szCs w:val="21"/>
          <w:highlight w:val="none"/>
          <w:lang w:eastAsia="zh-CN" w:bidi="ar"/>
          <w14:textFill>
            <w14:solidFill>
              <w14:schemeClr w14:val="tx1"/>
            </w14:solidFill>
          </w14:textFill>
        </w:rPr>
        <w:t>顺</w:t>
      </w:r>
      <w:r>
        <w:rPr>
          <w:rFonts w:hint="eastAsia" w:asciiTheme="minorEastAsia" w:hAnsiTheme="minorEastAsia" w:eastAsiaTheme="minorEastAsia" w:cstheme="minorEastAsia"/>
          <w:color w:val="000000" w:themeColor="text1"/>
          <w:szCs w:val="21"/>
          <w:highlight w:val="none"/>
          <w:lang w:val="zh-CN" w:eastAsia="zh-CN" w:bidi="ar"/>
          <w14:textFill>
            <w14:solidFill>
              <w14:schemeClr w14:val="tx1"/>
            </w14:solidFill>
          </w14:textFill>
        </w:rPr>
        <w:t>序提供相关证明材料，提供</w:t>
      </w:r>
      <w:r>
        <w:rPr>
          <w:rFonts w:hint="eastAsia" w:asciiTheme="minorEastAsia" w:hAnsiTheme="minorEastAsia" w:eastAsiaTheme="minorEastAsia" w:cstheme="minorEastAsia"/>
          <w:color w:val="000000" w:themeColor="text1"/>
          <w:szCs w:val="21"/>
          <w:highlight w:val="none"/>
          <w:lang w:val="en-US" w:eastAsia="zh-CN" w:bidi="ar"/>
          <w14:textFill>
            <w14:solidFill>
              <w14:schemeClr w14:val="tx1"/>
            </w14:solidFill>
          </w14:textFill>
        </w:rPr>
        <w:t>中标通知书或</w:t>
      </w:r>
      <w:r>
        <w:rPr>
          <w:rFonts w:hint="eastAsia" w:asciiTheme="minorEastAsia" w:hAnsiTheme="minorEastAsia" w:eastAsiaTheme="minorEastAsia" w:cstheme="minorEastAsia"/>
          <w:color w:val="000000" w:themeColor="text1"/>
          <w:szCs w:val="21"/>
          <w:highlight w:val="none"/>
          <w:lang w:eastAsia="zh-CN" w:bidi="ar"/>
          <w14:textFill>
            <w14:solidFill>
              <w14:schemeClr w14:val="tx1"/>
            </w14:solidFill>
          </w14:textFill>
        </w:rPr>
        <w:t>合同复印件（须能够体现服务内容：提供合同首页、服务内容页、双方签字盖章页、日期页等）并加盖投标单位公章</w:t>
      </w:r>
      <w:r>
        <w:rPr>
          <w:rFonts w:hint="eastAsia" w:asciiTheme="minorEastAsia" w:hAnsiTheme="minorEastAsia" w:eastAsiaTheme="minorEastAsia" w:cstheme="minorEastAsia"/>
          <w:color w:val="000000" w:themeColor="text1"/>
          <w:szCs w:val="21"/>
          <w:highlight w:val="none"/>
          <w:lang w:val="zh-CN" w:eastAsia="zh-CN" w:bidi="ar"/>
          <w14:textFill>
            <w14:solidFill>
              <w14:schemeClr w14:val="tx1"/>
            </w14:solidFill>
          </w14:textFill>
        </w:rPr>
        <w:t>）。案例具体要求详见评分表要求。按照上述表格序号按序提供相关材料。</w:t>
      </w:r>
    </w:p>
    <w:p>
      <w:pPr>
        <w:spacing w:before="120" w:line="360" w:lineRule="exact"/>
        <w:rPr>
          <w:rFonts w:hint="eastAsia" w:asciiTheme="minorEastAsia" w:hAnsiTheme="minorEastAsia" w:eastAsiaTheme="minorEastAsia" w:cstheme="minorEastAsia"/>
          <w:color w:val="000000" w:themeColor="text1"/>
          <w:sz w:val="24"/>
          <w:szCs w:val="22"/>
          <w:highlight w:val="none"/>
          <w:lang w:val="zh-CN" w:eastAsia="zh-CN" w:bidi="ar"/>
          <w14:textFill>
            <w14:solidFill>
              <w14:schemeClr w14:val="tx1"/>
            </w14:solidFill>
          </w14:textFill>
        </w:rPr>
      </w:pPr>
      <w:r>
        <w:rPr>
          <w:rFonts w:hint="eastAsia" w:asciiTheme="minorEastAsia" w:hAnsiTheme="minorEastAsia" w:eastAsiaTheme="minorEastAsia" w:cstheme="minorEastAsia"/>
          <w:b/>
          <w:bCs/>
          <w:color w:val="000000" w:themeColor="text1"/>
          <w:sz w:val="20"/>
          <w:szCs w:val="20"/>
          <w:highlight w:val="none"/>
          <w:lang w:eastAsia="zh-CN"/>
          <w14:textFill>
            <w14:solidFill>
              <w14:schemeClr w14:val="tx1"/>
            </w14:solidFill>
          </w14:textFill>
        </w:rPr>
        <w:t>合同复印件要求清晰可见，能够体现上述内容，不满足要求的视同为无效业绩。</w:t>
      </w:r>
    </w:p>
    <w:p>
      <w:pPr>
        <w:spacing w:before="120" w:line="360" w:lineRule="exact"/>
        <w:ind w:firstLine="440" w:firstLineChars="200"/>
        <w:rPr>
          <w:rFonts w:hint="eastAsia" w:asciiTheme="minorEastAsia" w:hAnsiTheme="minorEastAsia" w:eastAsiaTheme="minorEastAsia" w:cstheme="minorEastAsia"/>
          <w:color w:val="000000" w:themeColor="text1"/>
          <w:szCs w:val="21"/>
          <w:highlight w:val="none"/>
          <w:lang w:val="zh-CN" w:eastAsia="zh-CN"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bidi="ar"/>
          <w14:textFill>
            <w14:solidFill>
              <w14:schemeClr w14:val="tx1"/>
            </w14:solidFill>
          </w14:textFill>
        </w:rPr>
        <w:t>2.</w:t>
      </w:r>
      <w:r>
        <w:rPr>
          <w:rFonts w:hint="eastAsia" w:asciiTheme="minorEastAsia" w:hAnsiTheme="minorEastAsia" w:eastAsiaTheme="minorEastAsia" w:cstheme="minorEastAsia"/>
          <w:color w:val="000000" w:themeColor="text1"/>
          <w:szCs w:val="21"/>
          <w:highlight w:val="none"/>
          <w:lang w:val="zh-CN" w:eastAsia="zh-CN" w:bidi="ar"/>
          <w14:textFill>
            <w14:solidFill>
              <w14:schemeClr w14:val="tx1"/>
            </w14:solidFill>
          </w14:textFill>
        </w:rPr>
        <w:t>中标后，</w:t>
      </w:r>
      <w:r>
        <w:rPr>
          <w:rFonts w:hint="eastAsia" w:asciiTheme="minorEastAsia" w:hAnsiTheme="minorEastAsia" w:eastAsiaTheme="minorEastAsia" w:cstheme="minorEastAsia"/>
          <w:color w:val="000000" w:themeColor="text1"/>
          <w:szCs w:val="21"/>
          <w:highlight w:val="none"/>
          <w:lang w:eastAsia="zh-CN" w:bidi="ar"/>
          <w14:textFill>
            <w14:solidFill>
              <w14:schemeClr w14:val="tx1"/>
            </w14:solidFill>
          </w14:textFill>
        </w:rPr>
        <w:t>采购人</w:t>
      </w:r>
      <w:r>
        <w:rPr>
          <w:rFonts w:hint="eastAsia" w:asciiTheme="minorEastAsia" w:hAnsiTheme="minorEastAsia" w:eastAsiaTheme="minorEastAsia" w:cstheme="minorEastAsia"/>
          <w:color w:val="000000" w:themeColor="text1"/>
          <w:szCs w:val="21"/>
          <w:highlight w:val="none"/>
          <w:lang w:val="zh-CN" w:eastAsia="zh-CN" w:bidi="ar"/>
          <w14:textFill>
            <w14:solidFill>
              <w14:schemeClr w14:val="tx1"/>
            </w14:solidFill>
          </w14:textFill>
        </w:rPr>
        <w:t>将根据提供的联系人及联系方式进行尽职调查，如有需要投标单位需提供原件备查。</w:t>
      </w:r>
    </w:p>
    <w:p>
      <w:pPr>
        <w:spacing w:line="579" w:lineRule="exact"/>
        <w:ind w:firstLine="482" w:firstLineChars="200"/>
        <w:rPr>
          <w:rFonts w:hint="eastAsia" w:asciiTheme="minorEastAsia" w:hAnsiTheme="minorEastAsia" w:eastAsiaTheme="minorEastAsia" w:cstheme="minorEastAsia"/>
          <w:b/>
          <w:color w:val="000000" w:themeColor="text1"/>
          <w:highlight w:val="none"/>
          <w:lang w:val="zh-CN"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0"/>
          <w:highlight w:val="none"/>
          <w:lang w:val="zh-CN" w:eastAsia="zh-CN" w:bidi="ar"/>
          <w14:textFill>
            <w14:solidFill>
              <w14:schemeClr w14:val="tx1"/>
            </w14:solidFill>
          </w14:textFill>
        </w:rPr>
        <w:t>我公司承诺：以上业绩均真实有效。若有虚假，</w:t>
      </w:r>
      <w:r>
        <w:rPr>
          <w:rFonts w:hint="eastAsia" w:asciiTheme="minorEastAsia" w:hAnsiTheme="minorEastAsia" w:eastAsiaTheme="minorEastAsia" w:cstheme="minorEastAsia"/>
          <w:b/>
          <w:color w:val="000000" w:themeColor="text1"/>
          <w:sz w:val="24"/>
          <w:szCs w:val="20"/>
          <w:highlight w:val="none"/>
          <w:lang w:val="en-US" w:eastAsia="zh-CN" w:bidi="ar"/>
          <w14:textFill>
            <w14:solidFill>
              <w14:schemeClr w14:val="tx1"/>
            </w14:solidFill>
          </w14:textFill>
        </w:rPr>
        <w:t>统一</w:t>
      </w:r>
      <w:r>
        <w:rPr>
          <w:rFonts w:hint="eastAsia" w:asciiTheme="minorEastAsia" w:hAnsiTheme="minorEastAsia" w:eastAsiaTheme="minorEastAsia" w:cstheme="minorEastAsia"/>
          <w:b/>
          <w:color w:val="000000" w:themeColor="text1"/>
          <w:sz w:val="24"/>
          <w:szCs w:val="20"/>
          <w:highlight w:val="none"/>
          <w:lang w:val="zh-CN" w:eastAsia="zh-CN" w:bidi="ar"/>
          <w14:textFill>
            <w14:solidFill>
              <w14:schemeClr w14:val="tx1"/>
            </w14:solidFill>
          </w14:textFill>
        </w:rPr>
        <w:t>按无效标处理。</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供应商名称（盖章）：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法定代表人或授权代理人(签字或盖章)：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日期：        年    月    日</w:t>
      </w:r>
    </w:p>
    <w:p>
      <w:pPr>
        <w:spacing w:line="579" w:lineRule="exact"/>
        <w:ind w:firstLine="560"/>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合同提供内容示例（所有合同复印件须清晰、否则按无效资料处理，其风险及结果由供应商自行承担）：</w:t>
      </w:r>
    </w:p>
    <w:p>
      <w:pPr>
        <w:pStyle w:val="4"/>
        <w:spacing w:after="0" w:line="579" w:lineRule="exact"/>
        <w:ind w:firstLine="24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numPr>
          <w:ilvl w:val="0"/>
          <w:numId w:val="1"/>
        </w:numPr>
        <w:spacing w:line="579" w:lineRule="exac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1.XXXXXXX合同</w:t>
      </w:r>
    </w:p>
    <w:p>
      <w:pPr>
        <w:pStyle w:val="4"/>
        <w:spacing w:after="0" w:line="579" w:lineRule="exact"/>
        <w:ind w:firstLine="240"/>
        <w:rPr>
          <w:rFonts w:hint="eastAsia" w:asciiTheme="minorEastAsia" w:hAnsiTheme="minorEastAsia" w:eastAsiaTheme="minorEastAsia" w:cstheme="minorEastAsia"/>
          <w:color w:val="000000" w:themeColor="text1"/>
          <w:highlight w:val="none"/>
          <w14:textFill>
            <w14:solidFill>
              <w14:schemeClr w14:val="tx1"/>
            </w14:solidFill>
          </w14:textFill>
        </w:rPr>
      </w:pPr>
    </w:p>
    <w:p>
      <w:pPr>
        <w:spacing w:line="579" w:lineRule="exact"/>
        <w:ind w:left="7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2.合同首页</w:t>
      </w:r>
    </w:p>
    <w:p>
      <w:pPr>
        <w:spacing w:line="579" w:lineRule="exact"/>
        <w:rPr>
          <w:rFonts w:hint="eastAsia" w:asciiTheme="minorEastAsia" w:hAnsiTheme="minorEastAsia" w:eastAsiaTheme="minorEastAsia" w:cstheme="minorEastAsia"/>
          <w:i/>
          <w:color w:val="000000" w:themeColor="text1"/>
          <w:highlight w:val="none"/>
          <w14:textFill>
            <w14:solidFill>
              <w14:schemeClr w14:val="tx1"/>
            </w14:solidFill>
          </w14:textFill>
        </w:rPr>
      </w:pPr>
    </w:p>
    <w:p>
      <w:pPr>
        <w:spacing w:line="579" w:lineRule="exact"/>
        <w:ind w:left="72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3.</w:t>
      </w:r>
      <w:r>
        <w:rPr>
          <w:rFonts w:hint="eastAsia" w:asciiTheme="minorEastAsia" w:hAnsiTheme="minorEastAsia" w:eastAsiaTheme="minorEastAsia" w:cstheme="minorEastAsia"/>
          <w:color w:val="000000" w:themeColor="text1"/>
          <w:sz w:val="24"/>
          <w:szCs w:val="20"/>
          <w:highlight w:val="none"/>
          <w:lang w:val="en-US" w:eastAsia="zh-CN" w:bidi="ar"/>
          <w14:textFill>
            <w14:solidFill>
              <w14:schemeClr w14:val="tx1"/>
            </w14:solidFill>
          </w14:textFill>
        </w:rPr>
        <w:t>货物</w:t>
      </w: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内容页</w:t>
      </w:r>
    </w:p>
    <w:p>
      <w:pPr>
        <w:spacing w:line="579" w:lineRule="exact"/>
        <w:ind w:left="1415"/>
        <w:rPr>
          <w:rFonts w:hint="eastAsia" w:asciiTheme="minorEastAsia" w:hAnsiTheme="minorEastAsia" w:eastAsiaTheme="minorEastAsia" w:cstheme="minorEastAsia"/>
          <w:i/>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i/>
          <w:color w:val="000000" w:themeColor="text1"/>
          <w:highlight w:val="none"/>
          <w:lang w:eastAsia="zh-CN"/>
          <w14:textFill>
            <w14:solidFill>
              <w14:schemeClr w14:val="tx1"/>
            </w14:solidFill>
          </w14:textFill>
        </w:rPr>
        <w:t>建议将合同主要内容进行标记，方便专家评审。</w:t>
      </w:r>
    </w:p>
    <w:p>
      <w:pPr>
        <w:spacing w:line="579" w:lineRule="exact"/>
        <w:ind w:left="7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4.双方签字盖章页</w:t>
      </w:r>
    </w:p>
    <w:p>
      <w:pPr>
        <w:pStyle w:val="4"/>
        <w:spacing w:after="0" w:line="579" w:lineRule="exact"/>
        <w:ind w:firstLine="24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ind w:left="72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 xml:space="preserve">5.日期页等  </w:t>
      </w:r>
    </w:p>
    <w:p>
      <w:pPr>
        <w:spacing w:line="579" w:lineRule="exact"/>
        <w:ind w:left="1415"/>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ind w:left="1415"/>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ind w:left="1415"/>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ind w:left="1415"/>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ind w:left="1415"/>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79" w:lineRule="exact"/>
        <w:jc w:val="center"/>
        <w:textAlignment w:val="baseline"/>
        <w:outlineLvl w:val="9"/>
        <w:rPr>
          <w:rFonts w:hint="eastAsia" w:asciiTheme="minorEastAsia" w:hAnsiTheme="minorEastAsia" w:eastAsiaTheme="minorEastAsia" w:cstheme="minorEastAsia"/>
          <w:color w:val="000000" w:themeColor="text1"/>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highlight w:val="none"/>
          <w:lang w:eastAsia="zh-CN" w:bidi="ar"/>
          <w14:textFill>
            <w14:solidFill>
              <w14:schemeClr w14:val="tx1"/>
            </w14:solidFill>
          </w14:textFill>
        </w:rPr>
        <w:br w:type="page"/>
      </w:r>
      <w:bookmarkStart w:id="183" w:name="_Toc3891663"/>
      <w:bookmarkStart w:id="184" w:name="_Toc22554427"/>
    </w:p>
    <w:bookmarkEnd w:id="183"/>
    <w:bookmarkEnd w:id="184"/>
    <w:p>
      <w:pPr>
        <w:spacing w:line="579" w:lineRule="exact"/>
        <w:jc w:val="center"/>
        <w:outlineLvl w:val="2"/>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pPr>
      <w:bookmarkStart w:id="185" w:name="_Toc19056"/>
      <w:bookmarkStart w:id="186" w:name="_Toc9850"/>
      <w:bookmarkStart w:id="187" w:name="_Toc16265"/>
      <w:bookmarkStart w:id="188" w:name="_Toc3992"/>
      <w:bookmarkStart w:id="189" w:name="_Toc15416"/>
      <w:bookmarkStart w:id="190" w:name="_Toc11993"/>
      <w:bookmarkStart w:id="191" w:name="_Toc267060466"/>
      <w:bookmarkStart w:id="192" w:name="_Toc255975023"/>
      <w:bookmarkStart w:id="193" w:name="_Toc258401272"/>
      <w:bookmarkStart w:id="194" w:name="_Toc267060221"/>
      <w:bookmarkStart w:id="195" w:name="_Toc267060081"/>
      <w:bookmarkStart w:id="196" w:name="_Toc266868686"/>
      <w:bookmarkStart w:id="197" w:name="_Toc259692663"/>
      <w:bookmarkStart w:id="198" w:name="_Toc1719164"/>
      <w:bookmarkStart w:id="199" w:name="_Toc254790916"/>
      <w:bookmarkStart w:id="200" w:name="_Toc266870447"/>
      <w:bookmarkStart w:id="201" w:name="_Toc259692756"/>
      <w:bookmarkStart w:id="202" w:name="_Toc3891664"/>
      <w:bookmarkStart w:id="203" w:name="_Toc259520881"/>
      <w:bookmarkStart w:id="204" w:name="_Toc266870922"/>
      <w:bookmarkStart w:id="205" w:name="_Toc22554428"/>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w:t>
      </w:r>
      <w:r>
        <w:rPr>
          <w:rFonts w:hint="eastAsia" w:asciiTheme="minorEastAsia" w:hAnsiTheme="minorEastAsia" w:eastAsiaTheme="minorEastAsia" w:cstheme="minorEastAsia"/>
          <w:b/>
          <w:color w:val="000000" w:themeColor="text1"/>
          <w:sz w:val="24"/>
          <w:szCs w:val="20"/>
          <w:highlight w:val="none"/>
          <w:lang w:val="en-US" w:eastAsia="zh-CN" w:bidi="ar"/>
          <w14:textFill>
            <w14:solidFill>
              <w14:schemeClr w14:val="tx1"/>
            </w14:solidFill>
          </w14:textFill>
        </w:rPr>
        <w:t>五</w:t>
      </w:r>
      <w:r>
        <w:rPr>
          <w:rFonts w:hint="eastAsia" w:asciiTheme="minorEastAsia" w:hAnsiTheme="minorEastAsia" w:eastAsiaTheme="minorEastAsia" w:cstheme="minorEastAsia"/>
          <w:b/>
          <w:color w:val="000000" w:themeColor="text1"/>
          <w:sz w:val="24"/>
          <w:szCs w:val="20"/>
          <w:highlight w:val="none"/>
          <w:lang w:eastAsia="zh-CN" w:bidi="ar"/>
          <w14:textFill>
            <w14:solidFill>
              <w14:schemeClr w14:val="tx1"/>
            </w14:solidFill>
          </w14:textFill>
        </w:rPr>
        <w:t>）项目团队成员一览表</w:t>
      </w:r>
      <w:bookmarkEnd w:id="185"/>
      <w:bookmarkEnd w:id="186"/>
      <w:bookmarkEnd w:id="187"/>
      <w:bookmarkEnd w:id="188"/>
      <w:bookmarkEnd w:id="189"/>
      <w:bookmarkEnd w:id="190"/>
    </w:p>
    <w:p>
      <w:pPr>
        <w:spacing w:line="579"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 xml:space="preserve">项目名称： </w:t>
      </w:r>
    </w:p>
    <w:p>
      <w:pPr>
        <w:spacing w:line="579" w:lineRule="exact"/>
        <w:ind w:firstLine="480" w:firstLineChars="200"/>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项目编号：</w:t>
      </w:r>
    </w:p>
    <w:tbl>
      <w:tblPr>
        <w:tblStyle w:val="28"/>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810"/>
        <w:gridCol w:w="990"/>
        <w:gridCol w:w="735"/>
        <w:gridCol w:w="960"/>
        <w:gridCol w:w="1230"/>
        <w:gridCol w:w="743"/>
        <w:gridCol w:w="99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379" w:type="dxa"/>
            <w:tcBorders>
              <w:bottom w:val="nil"/>
            </w:tcBorders>
            <w:shd w:val="clear" w:color="auto" w:fill="F3F3F3"/>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职责分工</w:t>
            </w:r>
          </w:p>
        </w:tc>
        <w:tc>
          <w:tcPr>
            <w:tcW w:w="810" w:type="dxa"/>
            <w:tcBorders>
              <w:bottom w:val="nil"/>
            </w:tcBorders>
            <w:shd w:val="clear" w:color="auto" w:fill="F3F3F3"/>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姓名</w:t>
            </w:r>
          </w:p>
        </w:tc>
        <w:tc>
          <w:tcPr>
            <w:tcW w:w="990" w:type="dxa"/>
            <w:tcBorders>
              <w:bottom w:val="nil"/>
            </w:tcBorders>
            <w:shd w:val="clear" w:color="auto" w:fill="F3F3F3"/>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现职务</w:t>
            </w:r>
          </w:p>
        </w:tc>
        <w:tc>
          <w:tcPr>
            <w:tcW w:w="735" w:type="dxa"/>
            <w:tcBorders>
              <w:bottom w:val="nil"/>
            </w:tcBorders>
            <w:shd w:val="clear" w:color="auto" w:fill="F3F3F3"/>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年龄</w:t>
            </w:r>
          </w:p>
        </w:tc>
        <w:tc>
          <w:tcPr>
            <w:tcW w:w="960" w:type="dxa"/>
            <w:tcBorders>
              <w:bottom w:val="nil"/>
            </w:tcBorders>
            <w:shd w:val="clear" w:color="auto" w:fill="F3F3F3"/>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 xml:space="preserve">学历 </w:t>
            </w:r>
          </w:p>
        </w:tc>
        <w:tc>
          <w:tcPr>
            <w:tcW w:w="1230" w:type="dxa"/>
            <w:tcBorders>
              <w:bottom w:val="nil"/>
            </w:tcBorders>
            <w:shd w:val="clear" w:color="auto" w:fill="F3F3F3"/>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取得证书</w:t>
            </w:r>
          </w:p>
        </w:tc>
        <w:tc>
          <w:tcPr>
            <w:tcW w:w="743" w:type="dxa"/>
            <w:tcBorders>
              <w:bottom w:val="nil"/>
            </w:tcBorders>
            <w:shd w:val="clear" w:color="auto" w:fill="F3F3F3"/>
            <w:vAlign w:val="center"/>
          </w:tcPr>
          <w:p>
            <w:pPr>
              <w:jc w:val="cente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val="en-US" w:eastAsia="zh-CN" w:bidi="ar"/>
                <w14:textFill>
                  <w14:solidFill>
                    <w14:schemeClr w14:val="tx1"/>
                  </w14:solidFill>
                </w14:textFill>
              </w:rPr>
              <w:t>职称</w:t>
            </w:r>
          </w:p>
        </w:tc>
        <w:tc>
          <w:tcPr>
            <w:tcW w:w="999" w:type="dxa"/>
            <w:tcBorders>
              <w:bottom w:val="nil"/>
            </w:tcBorders>
            <w:shd w:val="clear" w:color="auto" w:fill="F3F3F3"/>
            <w:vAlign w:val="center"/>
          </w:tcPr>
          <w:p>
            <w:pPr>
              <w:ind w:firstLine="12"/>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拟担任职位</w:t>
            </w:r>
          </w:p>
        </w:tc>
        <w:tc>
          <w:tcPr>
            <w:tcW w:w="898" w:type="dxa"/>
            <w:tcBorders>
              <w:bottom w:val="nil"/>
            </w:tcBorders>
            <w:shd w:val="clear" w:color="auto" w:fill="F3F3F3"/>
            <w:vAlign w:val="center"/>
          </w:tcPr>
          <w:p>
            <w:pPr>
              <w:ind w:firstLine="12"/>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1379" w:type="dxa"/>
            <w:tcBorders>
              <w:bottom w:val="nil"/>
            </w:tcBorders>
            <w:vAlign w:val="center"/>
          </w:tcPr>
          <w:p>
            <w:pP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负责人</w:t>
            </w:r>
          </w:p>
        </w:tc>
        <w:tc>
          <w:tcPr>
            <w:tcW w:w="810" w:type="dxa"/>
            <w:tcBorders>
              <w:bottom w:val="nil"/>
            </w:tcBorders>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0" w:type="dxa"/>
            <w:tcBorders>
              <w:bottom w:val="nil"/>
            </w:tcBorders>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35" w:type="dxa"/>
            <w:tcBorders>
              <w:bottom w:val="nil"/>
            </w:tcBorders>
            <w:vAlign w:val="center"/>
          </w:tcPr>
          <w:p>
            <w:pPr>
              <w:pStyle w:val="62"/>
              <w:keepNext w:val="0"/>
              <w:adjustRightInd/>
              <w:spacing w:before="0" w:after="0" w:line="240" w:lineRule="auto"/>
              <w:textAlignment w:val="auto"/>
              <w:rPr>
                <w:rFonts w:hint="eastAsia" w:asciiTheme="minorEastAsia" w:hAnsiTheme="minorEastAsia" w:eastAsiaTheme="minorEastAsia" w:cstheme="minorEastAsia"/>
                <w:color w:val="000000" w:themeColor="text1"/>
                <w:spacing w:val="0"/>
                <w:szCs w:val="20"/>
                <w:highlight w:val="none"/>
                <w:lang w:bidi="ar"/>
                <w14:textFill>
                  <w14:solidFill>
                    <w14:schemeClr w14:val="tx1"/>
                  </w14:solidFill>
                </w14:textFill>
              </w:rPr>
            </w:pPr>
          </w:p>
        </w:tc>
        <w:tc>
          <w:tcPr>
            <w:tcW w:w="960" w:type="dxa"/>
            <w:tcBorders>
              <w:bottom w:val="nil"/>
            </w:tcBorders>
            <w:vAlign w:val="center"/>
          </w:tcPr>
          <w:p>
            <w:pPr>
              <w:pStyle w:val="62"/>
              <w:keepNext w:val="0"/>
              <w:adjustRightInd/>
              <w:spacing w:before="0" w:after="0" w:line="240" w:lineRule="auto"/>
              <w:textAlignment w:val="auto"/>
              <w:rPr>
                <w:rFonts w:hint="eastAsia" w:asciiTheme="minorEastAsia" w:hAnsiTheme="minorEastAsia" w:eastAsiaTheme="minorEastAsia" w:cstheme="minorEastAsia"/>
                <w:color w:val="000000" w:themeColor="text1"/>
                <w:spacing w:val="0"/>
                <w:szCs w:val="20"/>
                <w:highlight w:val="none"/>
                <w:lang w:bidi="ar"/>
                <w14:textFill>
                  <w14:solidFill>
                    <w14:schemeClr w14:val="tx1"/>
                  </w14:solidFill>
                </w14:textFill>
              </w:rPr>
            </w:pPr>
          </w:p>
        </w:tc>
        <w:tc>
          <w:tcPr>
            <w:tcW w:w="1230" w:type="dxa"/>
            <w:tcBorders>
              <w:bottom w:val="nil"/>
            </w:tcBorders>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43" w:type="dxa"/>
            <w:tcBorders>
              <w:bottom w:val="nil"/>
            </w:tcBorders>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9" w:type="dxa"/>
            <w:tcBorders>
              <w:bottom w:val="nil"/>
            </w:tcBorders>
            <w:vAlign w:val="center"/>
          </w:tcPr>
          <w:p>
            <w:pPr>
              <w:ind w:firstLine="12"/>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98" w:type="dxa"/>
            <w:tcBorders>
              <w:bottom w:val="nil"/>
            </w:tcBorders>
            <w:vAlign w:val="center"/>
          </w:tcPr>
          <w:p>
            <w:pPr>
              <w:ind w:firstLine="12"/>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79" w:type="dxa"/>
            <w:vMerge w:val="restart"/>
            <w:vAlign w:val="center"/>
          </w:tcPr>
          <w:p>
            <w:pP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其他成员</w:t>
            </w:r>
          </w:p>
        </w:tc>
        <w:tc>
          <w:tcPr>
            <w:tcW w:w="81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35"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6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1230" w:type="dxa"/>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43"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9"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98"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79" w:type="dxa"/>
            <w:vMerge w:val="continue"/>
            <w:vAlign w:val="center"/>
          </w:tcPr>
          <w:p>
            <w:pP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1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35"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6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1230" w:type="dxa"/>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43"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9"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98"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79" w:type="dxa"/>
            <w:vMerge w:val="continue"/>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1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35"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6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1230" w:type="dxa"/>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43"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9"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98"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79" w:type="dxa"/>
            <w:vMerge w:val="continue"/>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1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35"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6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1230" w:type="dxa"/>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43"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9"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98"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79" w:type="dxa"/>
            <w:vMerge w:val="continue"/>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1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w:t>
            </w:r>
          </w:p>
        </w:tc>
        <w:tc>
          <w:tcPr>
            <w:tcW w:w="99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35"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60"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1230" w:type="dxa"/>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743"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999"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898" w:type="dxa"/>
            <w:vAlign w:val="center"/>
          </w:tcPr>
          <w:p>
            <w:pPr>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bl>
    <w:p>
      <w:pPr>
        <w:spacing w:before="120" w:line="480" w:lineRule="exact"/>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p>
      <w:pPr>
        <w:pStyle w:val="12"/>
        <w:ind w:firstLine="560"/>
        <w:rPr>
          <w:rFonts w:hint="eastAsia" w:asciiTheme="minorEastAsia" w:hAnsiTheme="minorEastAsia" w:eastAsiaTheme="minorEastAsia" w:cstheme="minorEastAsia"/>
          <w:color w:val="000000" w:themeColor="text1"/>
          <w:highlight w:val="none"/>
          <w:lang w:bidi="ar"/>
          <w14:textFill>
            <w14:solidFill>
              <w14:schemeClr w14:val="tx1"/>
            </w14:solidFill>
          </w14:textFill>
        </w:rPr>
      </w:pPr>
    </w:p>
    <w:p>
      <w:pPr>
        <w:spacing w:line="579" w:lineRule="exact"/>
        <w:ind w:firstLine="241" w:firstLineChars="100"/>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0"/>
          <w:highlight w:val="none"/>
          <w:lang w:val="zh-CN" w:eastAsia="zh-CN" w:bidi="ar"/>
          <w14:textFill>
            <w14:solidFill>
              <w14:schemeClr w14:val="tx1"/>
            </w14:solidFill>
          </w14:textFill>
        </w:rPr>
        <w:t>我公司承诺：以上人员均为现场实际团队成员，项目团队人员的所有材料均为真实有效的，贵单位有权对人员服务经验情况进行尽职调查，如发现存在虚假或内容不实情况的，贵单位有权将取消我单位中标资格。</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供应商名称（盖章）：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法定代表人或授权代理人(签字或盖章)：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日期：        年    月    日</w:t>
      </w:r>
    </w:p>
    <w:p>
      <w:pPr>
        <w:keepNext/>
        <w:keepLines/>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eastAsia="zh-CN"/>
        </w:rPr>
      </w:pPr>
    </w:p>
    <w:p>
      <w:pPr>
        <w:jc w:val="cente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pPr>
        <w:pStyle w:val="5"/>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pPr>
        <w:pStyle w:val="12"/>
        <w:rPr>
          <w:rFonts w:hint="eastAsia" w:asciiTheme="minorEastAsia" w:hAnsiTheme="minorEastAsia" w:eastAsiaTheme="minorEastAsia" w:cstheme="minorEastAsia"/>
          <w:highlight w:val="none"/>
          <w:lang w:eastAsia="zh-CN"/>
        </w:rPr>
      </w:pPr>
    </w:p>
    <w:p>
      <w:pPr>
        <w:jc w:val="cente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pPr>
        <w:jc w:val="cente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项目负责人简历表</w:t>
      </w:r>
    </w:p>
    <w:p>
      <w:pPr>
        <w:spacing w:line="480" w:lineRule="exact"/>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 xml:space="preserve">项目负责人介绍应包括：姓名、性别、年龄、职称、学历、参加工作时间、从事项目年限和能反映该负责人情况的其他内容。 </w:t>
      </w:r>
    </w:p>
    <w:tbl>
      <w:tblPr>
        <w:tblStyle w:val="2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2853"/>
        <w:gridCol w:w="230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676"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姓名</w:t>
            </w:r>
          </w:p>
        </w:tc>
        <w:tc>
          <w:tcPr>
            <w:tcW w:w="2853" w:type="dxa"/>
            <w:vAlign w:val="center"/>
          </w:tcPr>
          <w:p>
            <w:pPr>
              <w:snapToGrid w:val="0"/>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04"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性别</w:t>
            </w:r>
          </w:p>
        </w:tc>
        <w:tc>
          <w:tcPr>
            <w:tcW w:w="1845" w:type="dxa"/>
            <w:vAlign w:val="center"/>
          </w:tcPr>
          <w:p>
            <w:pPr>
              <w:snapToGrid w:val="0"/>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676"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职称</w:t>
            </w:r>
          </w:p>
        </w:tc>
        <w:tc>
          <w:tcPr>
            <w:tcW w:w="2853" w:type="dxa"/>
            <w:vAlign w:val="center"/>
          </w:tcPr>
          <w:p>
            <w:pPr>
              <w:snapToGrid w:val="0"/>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04"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学历</w:t>
            </w:r>
          </w:p>
        </w:tc>
        <w:tc>
          <w:tcPr>
            <w:tcW w:w="1845" w:type="dxa"/>
            <w:vAlign w:val="center"/>
          </w:tcPr>
          <w:p>
            <w:pPr>
              <w:snapToGrid w:val="0"/>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76"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参加工作时间</w:t>
            </w:r>
          </w:p>
        </w:tc>
        <w:tc>
          <w:tcPr>
            <w:tcW w:w="2853"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04"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从事相关工作年限</w:t>
            </w:r>
          </w:p>
        </w:tc>
        <w:tc>
          <w:tcPr>
            <w:tcW w:w="1845"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676"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专业</w:t>
            </w:r>
          </w:p>
        </w:tc>
        <w:tc>
          <w:tcPr>
            <w:tcW w:w="2853"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04"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毕业学校</w:t>
            </w:r>
          </w:p>
        </w:tc>
        <w:tc>
          <w:tcPr>
            <w:tcW w:w="1845"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76"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身份证号码</w:t>
            </w:r>
          </w:p>
        </w:tc>
        <w:tc>
          <w:tcPr>
            <w:tcW w:w="2853"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04"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在公司担任职务</w:t>
            </w:r>
          </w:p>
        </w:tc>
        <w:tc>
          <w:tcPr>
            <w:tcW w:w="1845"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76"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联系电话</w:t>
            </w:r>
          </w:p>
        </w:tc>
        <w:tc>
          <w:tcPr>
            <w:tcW w:w="2853"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04"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取得证书</w:t>
            </w:r>
          </w:p>
        </w:tc>
        <w:tc>
          <w:tcPr>
            <w:tcW w:w="1845" w:type="dxa"/>
            <w:vAlign w:val="center"/>
          </w:tcPr>
          <w:p>
            <w:pPr>
              <w:spacing w:line="48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678" w:type="dxa"/>
            <w:gridSpan w:val="4"/>
            <w:vAlign w:val="center"/>
          </w:tcPr>
          <w:p>
            <w:pPr>
              <w:spacing w:line="48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项目负责人等从业经历概述：</w:t>
            </w:r>
          </w:p>
          <w:p>
            <w:pPr>
              <w:pStyle w:val="4"/>
              <w:ind w:firstLine="0" w:firstLineChars="0"/>
              <w:rPr>
                <w:rFonts w:hint="eastAsia" w:asciiTheme="minorEastAsia" w:hAnsiTheme="minorEastAsia" w:eastAsiaTheme="minorEastAsia" w:cstheme="minorEastAsia"/>
                <w:highlight w:val="none"/>
                <w:lang w:eastAsia="zh-CN"/>
              </w:rPr>
            </w:pPr>
          </w:p>
        </w:tc>
      </w:tr>
    </w:tbl>
    <w:p>
      <w:pPr>
        <w:spacing w:line="300" w:lineRule="exact"/>
        <w:rPr>
          <w:rFonts w:hint="eastAsia" w:asciiTheme="minorEastAsia" w:hAnsiTheme="minorEastAsia" w:eastAsiaTheme="minorEastAsia" w:cstheme="minorEastAsia"/>
          <w:bCs/>
          <w:color w:val="000000" w:themeColor="text1"/>
          <w:szCs w:val="21"/>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bidi="ar"/>
          <w14:textFill>
            <w14:solidFill>
              <w14:schemeClr w14:val="tx1"/>
            </w14:solidFill>
          </w14:textFill>
        </w:rPr>
        <w:t>附：</w:t>
      </w:r>
      <w:r>
        <w:rPr>
          <w:rFonts w:hint="eastAsia" w:asciiTheme="minorEastAsia" w:hAnsiTheme="minorEastAsia" w:eastAsiaTheme="minorEastAsia" w:cstheme="minorEastAsia"/>
          <w:kern w:val="0"/>
          <w:sz w:val="21"/>
          <w:szCs w:val="21"/>
          <w:highlight w:val="none"/>
          <w:lang w:val="en-US" w:eastAsia="zh-CN" w:bidi="ar-SA"/>
        </w:rPr>
        <w:t>身份证复印件、职称证书复印件、学历证书复印件等相关证明文件并加盖供应商公章</w:t>
      </w:r>
      <w:r>
        <w:rPr>
          <w:rFonts w:hint="eastAsia" w:asciiTheme="minorEastAsia" w:hAnsiTheme="minorEastAsia" w:eastAsiaTheme="minorEastAsia" w:cstheme="minorEastAsia"/>
          <w:bCs/>
          <w:color w:val="000000" w:themeColor="text1"/>
          <w:szCs w:val="21"/>
          <w:highlight w:val="none"/>
          <w:lang w:eastAsia="zh-CN" w:bidi="ar"/>
          <w14:textFill>
            <w14:solidFill>
              <w14:schemeClr w14:val="tx1"/>
            </w14:solidFill>
          </w14:textFill>
        </w:rPr>
        <w:t>；</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供应商名称（盖章）：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法定代表人或授权代理人(签字或盖章)：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日期：        年    月    日</w:t>
      </w:r>
    </w:p>
    <w:p>
      <w:pPr>
        <w:ind w:firstLine="3132" w:firstLineChars="1300"/>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pPr>
        <w:ind w:firstLine="3132" w:firstLineChars="1300"/>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pPr>
        <w:pStyle w:val="5"/>
        <w:rPr>
          <w:rFonts w:hint="eastAsia" w:asciiTheme="minorEastAsia" w:hAnsiTheme="minorEastAsia" w:eastAsiaTheme="minorEastAsia" w:cstheme="minorEastAsia"/>
          <w:highlight w:val="none"/>
          <w:lang w:eastAsia="zh-CN"/>
        </w:rPr>
      </w:pPr>
    </w:p>
    <w:p>
      <w:pPr>
        <w:pStyle w:val="4"/>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pPr>
        <w:rPr>
          <w:rFonts w:hint="eastAsia" w:asciiTheme="minorEastAsia" w:hAnsiTheme="minorEastAsia" w:eastAsiaTheme="minorEastAsia" w:cstheme="minorEastAsia"/>
          <w:highlight w:val="none"/>
          <w:lang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ind w:firstLine="3132" w:firstLineChars="1300"/>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项目成员简历表</w:t>
      </w:r>
    </w:p>
    <w:tbl>
      <w:tblPr>
        <w:tblStyle w:val="2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4"/>
        <w:gridCol w:w="2854"/>
        <w:gridCol w:w="2327"/>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68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姓名</w:t>
            </w:r>
          </w:p>
        </w:tc>
        <w:tc>
          <w:tcPr>
            <w:tcW w:w="2854" w:type="dxa"/>
            <w:vAlign w:val="center"/>
          </w:tcPr>
          <w:p>
            <w:pPr>
              <w:snapToGrid w:val="0"/>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27"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性别</w:t>
            </w:r>
          </w:p>
        </w:tc>
        <w:tc>
          <w:tcPr>
            <w:tcW w:w="1854" w:type="dxa"/>
            <w:vAlign w:val="center"/>
          </w:tcPr>
          <w:p>
            <w:pPr>
              <w:snapToGrid w:val="0"/>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8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职称</w:t>
            </w:r>
          </w:p>
        </w:tc>
        <w:tc>
          <w:tcPr>
            <w:tcW w:w="2854" w:type="dxa"/>
            <w:vAlign w:val="center"/>
          </w:tcPr>
          <w:p>
            <w:pPr>
              <w:snapToGrid w:val="0"/>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27"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学历</w:t>
            </w:r>
          </w:p>
        </w:tc>
        <w:tc>
          <w:tcPr>
            <w:tcW w:w="1854" w:type="dxa"/>
            <w:vAlign w:val="center"/>
          </w:tcPr>
          <w:p>
            <w:pPr>
              <w:snapToGrid w:val="0"/>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68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参加工作时间</w:t>
            </w:r>
          </w:p>
        </w:tc>
        <w:tc>
          <w:tcPr>
            <w:tcW w:w="285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27"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从事相关工作年限</w:t>
            </w:r>
          </w:p>
        </w:tc>
        <w:tc>
          <w:tcPr>
            <w:tcW w:w="185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8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专业</w:t>
            </w:r>
          </w:p>
        </w:tc>
        <w:tc>
          <w:tcPr>
            <w:tcW w:w="285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27"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毕业学校</w:t>
            </w:r>
          </w:p>
        </w:tc>
        <w:tc>
          <w:tcPr>
            <w:tcW w:w="185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68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身份证号码</w:t>
            </w:r>
          </w:p>
        </w:tc>
        <w:tc>
          <w:tcPr>
            <w:tcW w:w="285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c>
          <w:tcPr>
            <w:tcW w:w="2327"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在公司担任职务</w:t>
            </w:r>
          </w:p>
        </w:tc>
        <w:tc>
          <w:tcPr>
            <w:tcW w:w="1854" w:type="dxa"/>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538" w:type="dxa"/>
            <w:gridSpan w:val="2"/>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联系电话</w:t>
            </w:r>
          </w:p>
        </w:tc>
        <w:tc>
          <w:tcPr>
            <w:tcW w:w="4181" w:type="dxa"/>
            <w:gridSpan w:val="2"/>
            <w:vAlign w:val="center"/>
          </w:tcPr>
          <w:p>
            <w:pPr>
              <w:spacing w:line="500" w:lineRule="exact"/>
              <w:jc w:val="cente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719" w:type="dxa"/>
            <w:gridSpan w:val="4"/>
            <w:vAlign w:val="center"/>
          </w:tcPr>
          <w:p>
            <w:pPr>
              <w:spacing w:line="500" w:lineRule="exac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lang w:eastAsia="zh-CN"/>
              </w:rPr>
              <w:t>本人从业经历概述：</w:t>
            </w:r>
          </w:p>
          <w:p>
            <w:pPr>
              <w:pStyle w:val="4"/>
              <w:ind w:firstLine="0" w:firstLineChars="0"/>
              <w:rPr>
                <w:rFonts w:hint="eastAsia" w:asciiTheme="minorEastAsia" w:hAnsiTheme="minorEastAsia" w:eastAsiaTheme="minorEastAsia" w:cstheme="minorEastAsia"/>
                <w:highlight w:val="none"/>
                <w:lang w:val="en-US" w:eastAsia="zh-CN"/>
              </w:rPr>
            </w:pPr>
          </w:p>
        </w:tc>
      </w:tr>
    </w:tbl>
    <w:p>
      <w:pPr>
        <w:spacing w:line="300" w:lineRule="exact"/>
        <w:rPr>
          <w:rFonts w:hint="eastAsia" w:asciiTheme="minorEastAsia" w:hAnsiTheme="minorEastAsia" w:eastAsiaTheme="minorEastAsia" w:cstheme="minorEastAsia"/>
          <w:bCs/>
          <w:color w:val="000000" w:themeColor="text1"/>
          <w:szCs w:val="21"/>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eastAsia="zh-CN" w:bidi="ar"/>
          <w14:textFill>
            <w14:solidFill>
              <w14:schemeClr w14:val="tx1"/>
            </w14:solidFill>
          </w14:textFill>
        </w:rPr>
        <w:t>附：</w:t>
      </w:r>
      <w:r>
        <w:rPr>
          <w:rFonts w:hint="eastAsia" w:asciiTheme="minorEastAsia" w:hAnsiTheme="minorEastAsia" w:eastAsiaTheme="minorEastAsia" w:cstheme="minorEastAsia"/>
          <w:kern w:val="0"/>
          <w:sz w:val="21"/>
          <w:szCs w:val="21"/>
          <w:highlight w:val="none"/>
          <w:lang w:val="en-US" w:eastAsia="zh-CN" w:bidi="ar-SA"/>
        </w:rPr>
        <w:t>身份证复印件、职称证书复印件、学历证书复印件等相关证明文件并加盖供应商公章</w:t>
      </w:r>
      <w:r>
        <w:rPr>
          <w:rFonts w:hint="eastAsia" w:asciiTheme="minorEastAsia" w:hAnsiTheme="minorEastAsia" w:eastAsiaTheme="minorEastAsia" w:cstheme="minorEastAsia"/>
          <w:bCs/>
          <w:color w:val="000000" w:themeColor="text1"/>
          <w:szCs w:val="21"/>
          <w:highlight w:val="none"/>
          <w:lang w:eastAsia="zh-CN" w:bidi="ar"/>
          <w14:textFill>
            <w14:solidFill>
              <w14:schemeClr w14:val="tx1"/>
            </w14:solidFill>
          </w14:textFill>
        </w:rPr>
        <w:t>；</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供应商名称（盖章）：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法定代表人或授权代理人(签字或盖章)：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日期：        年    月    日</w:t>
      </w: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keepNext/>
        <w:keepLines/>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eastAsia="zh-CN"/>
        </w:rPr>
      </w:pPr>
    </w:p>
    <w:p>
      <w:pPr>
        <w:keepNext/>
        <w:keepLines/>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keepNext/>
        <w:keepLines/>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eastAsia="zh-CN"/>
        </w:rPr>
      </w:pPr>
    </w:p>
    <w:p>
      <w:pPr>
        <w:pStyle w:val="5"/>
        <w:rPr>
          <w:rFonts w:hint="eastAsia" w:asciiTheme="minorEastAsia" w:hAnsiTheme="minorEastAsia" w:eastAsiaTheme="minorEastAsia" w:cstheme="minorEastAsia"/>
          <w:highlight w:val="none"/>
          <w:lang w:eastAsia="zh-CN"/>
        </w:rPr>
      </w:pPr>
    </w:p>
    <w:p>
      <w:pPr>
        <w:pStyle w:val="12"/>
        <w:rPr>
          <w:rFonts w:hint="eastAsia" w:asciiTheme="minorEastAsia" w:hAnsiTheme="minorEastAsia" w:eastAsiaTheme="minorEastAsia" w:cstheme="minorEastAsia"/>
          <w:highlight w:val="none"/>
          <w:lang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spacing w:line="579" w:lineRule="exact"/>
        <w:jc w:val="center"/>
        <w:outlineLvl w:val="2"/>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bookmarkStart w:id="206" w:name="_Toc27820"/>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（七）技术部分</w:t>
      </w:r>
      <w:bookmarkEnd w:id="206"/>
    </w:p>
    <w:p>
      <w:pPr>
        <w:pStyle w:val="12"/>
        <w:ind w:firstLine="480"/>
        <w:rPr>
          <w:rFonts w:hint="eastAsia" w:asciiTheme="minorEastAsia" w:hAnsiTheme="minorEastAsia" w:eastAsiaTheme="minorEastAsia" w:cstheme="minorEastAsia"/>
          <w:color w:val="000000" w:themeColor="text1"/>
          <w:sz w:val="24"/>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bidi="ar"/>
          <w14:textFill>
            <w14:solidFill>
              <w14:schemeClr w14:val="tx1"/>
            </w14:solidFill>
          </w14:textFill>
        </w:rPr>
        <w:t>供应商根据本项目要求</w:t>
      </w:r>
      <w:r>
        <w:rPr>
          <w:rFonts w:hint="eastAsia" w:asciiTheme="minorEastAsia" w:hAnsiTheme="minorEastAsia" w:eastAsiaTheme="minorEastAsia" w:cstheme="minorEastAsia"/>
          <w:color w:val="000000" w:themeColor="text1"/>
          <w:sz w:val="24"/>
          <w:highlight w:val="none"/>
          <w:lang w:val="en-US" w:eastAsia="zh-CN" w:bidi="ar"/>
          <w14:textFill>
            <w14:solidFill>
              <w14:schemeClr w14:val="tx1"/>
            </w14:solidFill>
          </w14:textFill>
        </w:rPr>
        <w:t>提供拟定技术部分资料</w:t>
      </w:r>
      <w:r>
        <w:rPr>
          <w:rFonts w:hint="eastAsia" w:asciiTheme="minorEastAsia" w:hAnsiTheme="minorEastAsia" w:eastAsiaTheme="minorEastAsia" w:cstheme="minorEastAsia"/>
          <w:color w:val="000000" w:themeColor="text1"/>
          <w:sz w:val="24"/>
          <w:highlight w:val="none"/>
          <w:lang w:eastAsia="zh-CN" w:bidi="ar"/>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bidi="ar"/>
          <w14:textFill>
            <w14:solidFill>
              <w14:schemeClr w14:val="tx1"/>
            </w14:solidFill>
          </w14:textFill>
        </w:rPr>
        <w:t>包括但不限于</w:t>
      </w:r>
      <w:r>
        <w:rPr>
          <w:rFonts w:hint="eastAsia" w:asciiTheme="minorEastAsia" w:hAnsiTheme="minorEastAsia" w:eastAsiaTheme="minorEastAsia" w:cstheme="minorEastAsia"/>
          <w:sz w:val="24"/>
          <w:szCs w:val="24"/>
          <w:highlight w:val="none"/>
          <w:lang w:eastAsia="zh-CN"/>
        </w:rPr>
        <w:t>对项目需求理解程度</w:t>
      </w:r>
      <w:r>
        <w:rPr>
          <w:rFonts w:hint="eastAsia" w:asciiTheme="minorEastAsia" w:hAnsiTheme="minorEastAsia" w:eastAsiaTheme="minorEastAsia" w:cstheme="minorEastAsia"/>
          <w:color w:val="000000" w:themeColor="text1"/>
          <w:sz w:val="24"/>
          <w:highlight w:val="none"/>
          <w:lang w:val="en-US" w:eastAsia="zh-CN" w:bidi="ar"/>
          <w14:textFill>
            <w14:solidFill>
              <w14:schemeClr w14:val="tx1"/>
            </w14:solidFill>
          </w14:textFill>
        </w:rPr>
        <w:t>、售后服务保障、安全保障措施、</w:t>
      </w:r>
      <w:r>
        <w:rPr>
          <w:rFonts w:hint="eastAsia" w:asciiTheme="minorEastAsia" w:hAnsiTheme="minorEastAsia" w:eastAsiaTheme="minorEastAsia" w:cstheme="minorEastAsia"/>
          <w:color w:val="auto"/>
          <w:sz w:val="24"/>
          <w:szCs w:val="24"/>
          <w:highlight w:val="none"/>
          <w:lang w:val="en-US"/>
        </w:rPr>
        <w:t>突发事件的应急响应方案</w:t>
      </w:r>
      <w:r>
        <w:rPr>
          <w:rFonts w:hint="eastAsia" w:asciiTheme="minorEastAsia" w:hAnsiTheme="minorEastAsia" w:eastAsiaTheme="minorEastAsia" w:cstheme="minorEastAsia"/>
          <w:color w:val="000000" w:themeColor="text1"/>
          <w:sz w:val="24"/>
          <w:highlight w:val="none"/>
          <w:lang w:val="en-US" w:eastAsia="zh-CN" w:bidi="ar"/>
          <w14:textFill>
            <w14:solidFill>
              <w14:schemeClr w14:val="tx1"/>
            </w14:solidFill>
          </w14:textFill>
        </w:rPr>
        <w:t>、</w:t>
      </w:r>
      <w:r>
        <w:rPr>
          <w:rFonts w:hint="eastAsia" w:asciiTheme="minorEastAsia" w:hAnsiTheme="minorEastAsia" w:eastAsiaTheme="minorEastAsia" w:cstheme="minorEastAsia"/>
          <w:color w:val="auto"/>
          <w:sz w:val="24"/>
          <w:szCs w:val="24"/>
          <w:highlight w:val="none"/>
          <w:lang w:val="en-US" w:eastAsia="zh-CN"/>
        </w:rPr>
        <w:t>服务体系服务承诺</w:t>
      </w:r>
      <w:r>
        <w:rPr>
          <w:rFonts w:hint="eastAsia" w:asciiTheme="minorEastAsia" w:hAnsiTheme="minorEastAsia" w:eastAsiaTheme="minorEastAsia" w:cstheme="minorEastAsia"/>
          <w:color w:val="000000" w:themeColor="text1"/>
          <w:sz w:val="24"/>
          <w:highlight w:val="none"/>
          <w:lang w:val="en-US" w:eastAsia="zh-CN" w:bidi="ar"/>
          <w14:textFill>
            <w14:solidFill>
              <w14:schemeClr w14:val="tx1"/>
            </w14:solidFill>
          </w14:textFill>
        </w:rPr>
        <w:t>等</w:t>
      </w:r>
      <w:r>
        <w:rPr>
          <w:rFonts w:hint="eastAsia" w:asciiTheme="minorEastAsia" w:hAnsiTheme="minorEastAsia" w:eastAsiaTheme="minorEastAsia" w:cstheme="minorEastAsia"/>
          <w:color w:val="000000" w:themeColor="text1"/>
          <w:sz w:val="24"/>
          <w:highlight w:val="none"/>
          <w:lang w:eastAsia="zh-CN" w:bidi="ar"/>
          <w14:textFill>
            <w14:solidFill>
              <w14:schemeClr w14:val="tx1"/>
            </w14:solidFill>
          </w14:textFill>
        </w:rPr>
        <w:t>。</w:t>
      </w:r>
    </w:p>
    <w:p>
      <w:pPr>
        <w:rPr>
          <w:rFonts w:hint="eastAsia" w:asciiTheme="minorEastAsia" w:hAnsiTheme="minorEastAsia" w:eastAsiaTheme="minorEastAsia" w:cstheme="minorEastAsia"/>
          <w:b w:val="0"/>
          <w:bCs w:val="0"/>
          <w:color w:val="auto"/>
          <w:sz w:val="24"/>
          <w:szCs w:val="24"/>
          <w:highlight w:val="none"/>
          <w:lang w:val="en-US" w:eastAsia="zh-CN"/>
        </w:rPr>
      </w:pPr>
    </w:p>
    <w:p>
      <w:pPr>
        <w:pStyle w:val="12"/>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b w:val="0"/>
          <w:bCs w:val="0"/>
          <w:color w:val="auto"/>
          <w:sz w:val="24"/>
          <w:szCs w:val="24"/>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b w:val="0"/>
          <w:bCs w:val="0"/>
          <w:color w:val="auto"/>
          <w:sz w:val="24"/>
          <w:szCs w:val="24"/>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b w:val="0"/>
          <w:bCs w:val="0"/>
          <w:color w:val="auto"/>
          <w:sz w:val="24"/>
          <w:szCs w:val="24"/>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b w:val="0"/>
          <w:bCs w:val="0"/>
          <w:color w:val="auto"/>
          <w:sz w:val="24"/>
          <w:szCs w:val="24"/>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b w:val="0"/>
          <w:bCs w:val="0"/>
          <w:color w:val="auto"/>
          <w:sz w:val="24"/>
          <w:szCs w:val="24"/>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Style w:val="5"/>
        <w:rPr>
          <w:rFonts w:hint="eastAsia" w:asciiTheme="minorEastAsia" w:hAnsiTheme="minorEastAsia" w:eastAsiaTheme="minorEastAsia" w:cstheme="minorEastAsia"/>
          <w:highlight w:val="none"/>
          <w:lang w:val="en-US" w:eastAsia="zh-CN"/>
        </w:rPr>
      </w:pPr>
    </w:p>
    <w:p>
      <w:pPr>
        <w:pStyle w:val="12"/>
        <w:rPr>
          <w:rFonts w:hint="eastAsia" w:asciiTheme="minorEastAsia" w:hAnsiTheme="minorEastAsia" w:eastAsiaTheme="minorEastAsia" w:cstheme="minorEastAsia"/>
          <w:highlight w:val="none"/>
          <w:lang w:val="en-US" w:eastAsia="zh-CN"/>
        </w:rPr>
      </w:pPr>
    </w:p>
    <w:p>
      <w:pPr>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Style w:val="5"/>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pageBreakBefore w:val="0"/>
        <w:widowControl/>
        <w:kinsoku/>
        <w:wordWrap/>
        <w:overflowPunct/>
        <w:topLinePunct w:val="0"/>
        <w:autoSpaceDE/>
        <w:autoSpaceDN/>
        <w:bidi w:val="0"/>
        <w:adjustRightInd/>
        <w:snapToGrid/>
        <w:textAlignment w:val="baseline"/>
        <w:outlineLvl w:val="9"/>
        <w:rPr>
          <w:rFonts w:hint="eastAsia" w:asciiTheme="minorEastAsia" w:hAnsiTheme="minorEastAsia" w:eastAsiaTheme="minorEastAsia" w:cstheme="minorEastAsia"/>
          <w:highlight w:val="none"/>
          <w:lang w:val="en-US" w:eastAsia="zh-CN"/>
        </w:rPr>
      </w:pPr>
    </w:p>
    <w:p>
      <w:pP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bookmarkStart w:id="207" w:name="_Toc24900"/>
      <w:bookmarkStart w:id="208" w:name="_Toc4701"/>
      <w:bookmarkStart w:id="209" w:name="_Toc6047"/>
      <w:bookmarkStart w:id="210" w:name="_Toc15069"/>
      <w:bookmarkStart w:id="211" w:name="_Toc22758"/>
      <w:bookmarkStart w:id="212" w:name="_Toc22554422"/>
      <w:bookmarkStart w:id="213" w:name="_Toc3891661"/>
      <w:bookmarkStart w:id="214" w:name="_Toc2340579"/>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br w:type="page"/>
      </w:r>
    </w:p>
    <w:p>
      <w:pPr>
        <w:spacing w:line="579" w:lineRule="exact"/>
        <w:jc w:val="center"/>
        <w:outlineLvl w:val="2"/>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商务</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条款偏离表</w:t>
      </w:r>
      <w:bookmarkEnd w:id="207"/>
      <w:bookmarkEnd w:id="208"/>
      <w:bookmarkEnd w:id="209"/>
      <w:bookmarkEnd w:id="210"/>
      <w:bookmarkEnd w:id="211"/>
    </w:p>
    <w:p>
      <w:pPr>
        <w:spacing w:line="579"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项目名称：</w:t>
      </w:r>
    </w:p>
    <w:p>
      <w:pPr>
        <w:spacing w:line="579" w:lineRule="exact"/>
        <w:ind w:firstLine="480" w:firstLineChars="200"/>
        <w:rPr>
          <w:rFonts w:hint="eastAsia" w:asciiTheme="minorEastAsia" w:hAnsiTheme="minorEastAsia" w:eastAsiaTheme="minorEastAsia" w:cstheme="minorEastAsia"/>
          <w:color w:val="000000" w:themeColor="text1"/>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0"/>
          <w:highlight w:val="none"/>
          <w:lang w:val="en-US" w:eastAsia="zh-CN" w:bidi="ar"/>
          <w14:textFill>
            <w14:solidFill>
              <w14:schemeClr w14:val="tx1"/>
            </w14:solidFill>
          </w14:textFill>
        </w:rPr>
        <w:t xml:space="preserve"> </w:t>
      </w:r>
    </w:p>
    <w:tbl>
      <w:tblPr>
        <w:tblStyle w:val="28"/>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477"/>
        <w:gridCol w:w="1509"/>
        <w:gridCol w:w="1048"/>
        <w:gridCol w:w="196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序号</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磋商文件要求</w:t>
            </w:r>
          </w:p>
        </w:tc>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磋商响应</w:t>
            </w:r>
          </w:p>
        </w:tc>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偏离</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说明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43"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509"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04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96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960"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pPr>
        <w:spacing w:line="579"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 xml:space="preserve">注： </w:t>
      </w:r>
    </w:p>
    <w:p>
      <w:pPr>
        <w:spacing w:line="579"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1. 供应商应仔细研读、对照磋商文件规定的要求，偏离部分必须在上表中填写，并说明偏离情况。如不填写视同全部满足</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文件要求。</w:t>
      </w:r>
    </w:p>
    <w:p>
      <w:pPr>
        <w:spacing w:line="579"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 xml:space="preserve"> 2. 供应商承诺：除本表响应的偏离项目及内容外，其他所有项目及内容均完全与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文件的</w:t>
      </w:r>
      <w:r>
        <w:rPr>
          <w:rFonts w:hint="eastAsia" w:asciiTheme="minorEastAsia" w:hAnsiTheme="minorEastAsia" w:eastAsiaTheme="minorEastAsia" w:cstheme="minorEastAsia"/>
          <w:color w:val="000000" w:themeColor="text1"/>
          <w:sz w:val="24"/>
          <w:szCs w:val="20"/>
          <w:highlight w:val="none"/>
          <w:lang w:val="en-US" w:eastAsia="zh-CN" w:bidi="ar"/>
          <w14:textFill>
            <w14:solidFill>
              <w14:schemeClr w14:val="tx1"/>
            </w14:solidFill>
          </w14:textFill>
        </w:rPr>
        <w:t>商务</w:t>
      </w: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服务要求相同。</w:t>
      </w:r>
    </w:p>
    <w:p>
      <w:pPr>
        <w:spacing w:line="579"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3. 如供应商与要求完全一致，须在上表中注明“完全响应，无偏离”。</w:t>
      </w:r>
    </w:p>
    <w:p>
      <w:pPr>
        <w:spacing w:line="579" w:lineRule="exact"/>
        <w:ind w:firstLine="480" w:firstLineChars="200"/>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4. 如有偏离，应注明“正偏离”或“负偏离”，并针对偏离项进行详细说明。</w:t>
      </w:r>
    </w:p>
    <w:p>
      <w:pPr>
        <w:keepNext w:val="0"/>
        <w:keepLines w:val="0"/>
        <w:pageBreakBefore w:val="0"/>
        <w:widowControl/>
        <w:kinsoku/>
        <w:wordWrap/>
        <w:overflowPunct/>
        <w:topLinePunct w:val="0"/>
        <w:autoSpaceDE/>
        <w:autoSpaceDN/>
        <w:bidi w:val="0"/>
        <w:adjustRightInd/>
        <w:snapToGrid/>
        <w:outlineLvl w:val="9"/>
        <w:rPr>
          <w:rFonts w:hint="eastAsia" w:asciiTheme="minorEastAsia" w:hAnsiTheme="minorEastAsia" w:eastAsiaTheme="minorEastAsia" w:cstheme="minorEastAsia"/>
          <w:highlight w:val="none"/>
          <w:lang w:eastAsia="zh-CN"/>
        </w:rPr>
      </w:pPr>
    </w:p>
    <w:p>
      <w:pPr>
        <w:pStyle w:val="4"/>
        <w:keepNext w:val="0"/>
        <w:keepLines w:val="0"/>
        <w:pageBreakBefore w:val="0"/>
        <w:widowControl/>
        <w:kinsoku/>
        <w:wordWrap/>
        <w:overflowPunct/>
        <w:topLinePunct w:val="0"/>
        <w:autoSpaceDE/>
        <w:autoSpaceDN/>
        <w:bidi w:val="0"/>
        <w:adjustRightInd/>
        <w:snapToGrid/>
        <w:spacing w:after="0" w:line="579" w:lineRule="exact"/>
        <w:ind w:firstLine="240"/>
        <w:outlineLvl w:val="9"/>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after="0" w:line="579" w:lineRule="exact"/>
        <w:ind w:firstLine="240"/>
        <w:outlineLvl w:val="9"/>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highlight w:val="none"/>
          <w:lang w:eastAsia="zh-CN"/>
        </w:rPr>
      </w:pP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供应商名称（盖章）：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法定代表人或授权代理人(签字或盖章)：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日期：        年    月    日</w:t>
      </w:r>
    </w:p>
    <w:p>
      <w:pPr>
        <w:keepNext w:val="0"/>
        <w:keepLines w:val="0"/>
        <w:pageBreakBefore w:val="0"/>
        <w:widowControl/>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highlight w:val="none"/>
          <w:lang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highlight w:val="none"/>
          <w:lang w:eastAsia="zh-CN"/>
        </w:rPr>
      </w:pPr>
    </w:p>
    <w:p>
      <w:pPr>
        <w:spacing w:line="579" w:lineRule="exact"/>
        <w:jc w:val="center"/>
        <w:outlineLvl w:val="2"/>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bookmarkStart w:id="215" w:name="_Toc27794"/>
      <w:bookmarkStart w:id="216" w:name="_Toc30849"/>
      <w:bookmarkStart w:id="217" w:name="_Toc4026"/>
      <w:bookmarkStart w:id="218" w:name="_Toc9472"/>
      <w:bookmarkStart w:id="219" w:name="_Toc14808"/>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w:t>
      </w:r>
      <w:bookmarkEnd w:id="212"/>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技术（服务）</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条款偏离表</w:t>
      </w:r>
      <w:bookmarkEnd w:id="215"/>
      <w:bookmarkEnd w:id="216"/>
      <w:bookmarkEnd w:id="217"/>
      <w:bookmarkEnd w:id="218"/>
      <w:bookmarkEnd w:id="219"/>
    </w:p>
    <w:p>
      <w:pPr>
        <w:spacing w:line="579"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项目名称：</w:t>
      </w:r>
    </w:p>
    <w:p>
      <w:pPr>
        <w:spacing w:line="579"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项目编号:</w:t>
      </w:r>
      <w:r>
        <w:rPr>
          <w:rFonts w:hint="eastAsia" w:asciiTheme="minorEastAsia" w:hAnsiTheme="minorEastAsia" w:eastAsiaTheme="minorEastAsia" w:cstheme="minorEastAsia"/>
          <w:color w:val="000000" w:themeColor="text1"/>
          <w:sz w:val="24"/>
          <w:szCs w:val="20"/>
          <w:highlight w:val="none"/>
          <w:lang w:val="en-US" w:eastAsia="zh-CN" w:bidi="ar"/>
          <w14:textFill>
            <w14:solidFill>
              <w14:schemeClr w14:val="tx1"/>
            </w14:solidFill>
          </w14:textFill>
        </w:rPr>
        <w:t xml:space="preserve"> </w:t>
      </w:r>
    </w:p>
    <w:tbl>
      <w:tblPr>
        <w:tblStyle w:val="28"/>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86"/>
        <w:gridCol w:w="1825"/>
        <w:gridCol w:w="1268"/>
        <w:gridCol w:w="238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序号</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招标</w:t>
            </w:r>
            <w:r>
              <w:rPr>
                <w:rFonts w:hint="eastAsia" w:asciiTheme="minorEastAsia" w:hAnsiTheme="minorEastAsia" w:eastAsiaTheme="minorEastAsia" w:cstheme="minorEastAsia"/>
                <w:color w:val="000000" w:themeColor="text1"/>
                <w:highlight w:val="none"/>
                <w14:textFill>
                  <w14:solidFill>
                    <w14:schemeClr w14:val="tx1"/>
                  </w14:solidFill>
                </w14:textFill>
              </w:rPr>
              <w:t>文件要求</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highlight w:val="none"/>
                <w14:textFill>
                  <w14:solidFill>
                    <w14:schemeClr w14:val="tx1"/>
                  </w14:solidFill>
                </w14:textFill>
              </w:rPr>
              <w:t>响应</w:t>
            </w:r>
          </w:p>
        </w:tc>
        <w:tc>
          <w:tcPr>
            <w:tcW w:w="1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偏离</w:t>
            </w:r>
          </w:p>
        </w:tc>
        <w:tc>
          <w:tcPr>
            <w:tcW w:w="238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说明</w:t>
            </w:r>
          </w:p>
        </w:tc>
        <w:tc>
          <w:tcPr>
            <w:tcW w:w="12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9" w:lineRule="exact"/>
              <w:jc w:val="center"/>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1</w:t>
            </w:r>
          </w:p>
        </w:tc>
        <w:tc>
          <w:tcPr>
            <w:tcW w:w="1786"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2</w:t>
            </w:r>
          </w:p>
        </w:tc>
        <w:tc>
          <w:tcPr>
            <w:tcW w:w="1786"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3</w:t>
            </w:r>
          </w:p>
        </w:tc>
        <w:tc>
          <w:tcPr>
            <w:tcW w:w="1786"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w:t>
            </w:r>
          </w:p>
        </w:tc>
        <w:tc>
          <w:tcPr>
            <w:tcW w:w="1786"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jc w:val="both"/>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5</w:t>
            </w:r>
          </w:p>
        </w:tc>
        <w:tc>
          <w:tcPr>
            <w:tcW w:w="1786"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825"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68"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2380"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c>
          <w:tcPr>
            <w:tcW w:w="1241" w:type="dxa"/>
            <w:tcBorders>
              <w:top w:val="single" w:color="auto" w:sz="4" w:space="0"/>
              <w:left w:val="single" w:color="auto" w:sz="4" w:space="0"/>
              <w:bottom w:val="single" w:color="auto" w:sz="4" w:space="0"/>
              <w:right w:val="single" w:color="auto" w:sz="4" w:space="0"/>
            </w:tcBorders>
            <w:shd w:val="clear" w:color="auto" w:fill="auto"/>
          </w:tcPr>
          <w:p>
            <w:pPr>
              <w:spacing w:line="579" w:lineRule="exact"/>
              <w:ind w:firstLine="44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tc>
      </w:tr>
    </w:tbl>
    <w:p>
      <w:pPr>
        <w:spacing w:line="579"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bidi="ar"/>
          <w14:textFill>
            <w14:solidFill>
              <w14:schemeClr w14:val="tx1"/>
            </w14:solidFill>
          </w14:textFill>
        </w:rPr>
        <w:t xml:space="preserve">注： </w:t>
      </w:r>
    </w:p>
    <w:p>
      <w:pPr>
        <w:spacing w:line="579"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1. 供应商应仔细研读、对照磋商文件第三部分的要求，偏离部分必须在上表中填写，并说明偏离情况。如不填写视同全部满足</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文件要求。</w:t>
      </w:r>
    </w:p>
    <w:p>
      <w:pPr>
        <w:spacing w:line="579"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 xml:space="preserve"> 2. 供应商承诺：除本表响应的偏离项目及内容外，其他所有项目及内容均完全与</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文件的技术及服务要求相同。</w:t>
      </w:r>
    </w:p>
    <w:p>
      <w:pPr>
        <w:spacing w:line="579"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3. 如供应商与要求完全一致，须在上表中注明“完全响应，无偏离”。</w:t>
      </w:r>
    </w:p>
    <w:p>
      <w:pPr>
        <w:spacing w:line="579" w:lineRule="exact"/>
        <w:ind w:firstLine="480" w:firstLineChars="20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4. 如有偏离，应注明“正偏离”或“负偏离”，并针对偏离项进行详细说明。</w:t>
      </w:r>
    </w:p>
    <w:p>
      <w:pPr>
        <w:pStyle w:val="4"/>
        <w:spacing w:after="0" w:line="579" w:lineRule="exact"/>
        <w:ind w:left="0" w:leftChars="0" w:firstLine="0" w:firstLineChars="0"/>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供应商名称（盖章）：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法定代表人或授权代理人(签字或盖章)：</w:t>
      </w:r>
    </w:p>
    <w:p>
      <w:pPr>
        <w:spacing w:line="579" w:lineRule="exact"/>
        <w:ind w:firstLine="480" w:firstLineChars="20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t>日期：        年    月    日</w:t>
      </w:r>
    </w:p>
    <w:p>
      <w:pPr>
        <w:pStyle w:val="5"/>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pStyle w:val="20"/>
        <w:rPr>
          <w:rFonts w:hint="eastAsia" w:asciiTheme="minorEastAsia" w:hAnsiTheme="minorEastAsia" w:eastAsiaTheme="minorEastAsia" w:cstheme="minorEastAsia"/>
          <w:color w:val="000000" w:themeColor="text1"/>
          <w:sz w:val="24"/>
          <w:szCs w:val="32"/>
          <w:highlight w:val="none"/>
          <w:lang w:eastAsia="zh-CN"/>
          <w14:textFill>
            <w14:solidFill>
              <w14:schemeClr w14:val="tx1"/>
            </w14:solidFill>
          </w14:textFill>
        </w:rPr>
      </w:pPr>
    </w:p>
    <w:p>
      <w:pPr>
        <w:pStyle w:val="13"/>
        <w:rPr>
          <w:rFonts w:hint="eastAsia" w:asciiTheme="minorEastAsia" w:hAnsiTheme="minorEastAsia" w:eastAsiaTheme="minorEastAsia" w:cstheme="minorEastAsia"/>
          <w:highlight w:val="none"/>
          <w:lang w:eastAsia="zh-CN"/>
        </w:rPr>
      </w:pPr>
    </w:p>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13"/>
    <w:bookmarkEnd w:id="214"/>
    <w:p>
      <w:pPr>
        <w:spacing w:line="579" w:lineRule="exact"/>
        <w:jc w:val="center"/>
        <w:outlineLvl w:val="2"/>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bookmarkStart w:id="220" w:name="_Toc15968"/>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（十）供应商企业类型声明函</w:t>
      </w:r>
      <w:bookmarkEnd w:id="220"/>
    </w:p>
    <w:p>
      <w:pPr>
        <w:tabs>
          <w:tab w:val="left" w:pos="3975"/>
        </w:tabs>
        <w:spacing w:line="440" w:lineRule="exact"/>
        <w:ind w:firstLine="482"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-1、中小微企业声明函</w:t>
      </w:r>
    </w:p>
    <w:p>
      <w:pPr>
        <w:spacing w:line="579"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bidi="ar"/>
        </w:rPr>
        <w:t>《中小企业声明函》（服务）</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本公司（联合体）郑重声明，根据《政府采购促进中小企业发展管理办法》（财库﹝2020﹞46 号）的规定，本公司参加 </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u w:val="single"/>
          <w:lang w:eastAsia="zh-CN" w:bidi="ar"/>
        </w:rPr>
        <w:t>（单位名称）</w:t>
      </w:r>
      <w:r>
        <w:rPr>
          <w:rFonts w:hint="eastAsia" w:asciiTheme="minorEastAsia" w:hAnsiTheme="minorEastAsia" w:eastAsiaTheme="minorEastAsia" w:cstheme="minorEastAsia"/>
          <w:color w:val="000000"/>
          <w:sz w:val="24"/>
          <w:szCs w:val="24"/>
          <w:highlight w:val="none"/>
          <w:lang w:eastAsia="zh-CN" w:bidi="ar"/>
        </w:rPr>
        <w:t xml:space="preserve">的                     </w:t>
      </w:r>
      <w:r>
        <w:rPr>
          <w:rFonts w:hint="eastAsia" w:asciiTheme="minorEastAsia" w:hAnsiTheme="minorEastAsia" w:eastAsiaTheme="minorEastAsia" w:cstheme="minorEastAsia"/>
          <w:i/>
          <w:iCs/>
          <w:color w:val="000000"/>
          <w:sz w:val="24"/>
          <w:szCs w:val="24"/>
          <w:highlight w:val="none"/>
          <w:u w:val="single"/>
          <w:lang w:eastAsia="zh-CN" w:bidi="ar"/>
        </w:rPr>
        <w:t xml:space="preserve">               （项目名称）</w:t>
      </w:r>
      <w:r>
        <w:rPr>
          <w:rFonts w:hint="eastAsia" w:asciiTheme="minorEastAsia" w:hAnsiTheme="minorEastAsia" w:eastAsiaTheme="minorEastAsia" w:cstheme="minorEastAsia"/>
          <w:color w:val="000000"/>
          <w:sz w:val="24"/>
          <w:szCs w:val="24"/>
          <w:highlight w:val="none"/>
          <w:lang w:eastAsia="zh-CN" w:bidi="ar"/>
        </w:rPr>
        <w:t>采购活动，服务全部由符合政策要求的中小企业承接。相关企业的具体情况如下：</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1. </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u w:val="single"/>
          <w:lang w:eastAsia="zh-CN" w:bidi="ar"/>
        </w:rPr>
        <w:t xml:space="preserve">（标的名称） </w:t>
      </w:r>
      <w:r>
        <w:rPr>
          <w:rFonts w:hint="eastAsia" w:asciiTheme="minorEastAsia" w:hAnsiTheme="minorEastAsia" w:eastAsiaTheme="minorEastAsia" w:cstheme="minorEastAsia"/>
          <w:color w:val="000000"/>
          <w:sz w:val="24"/>
          <w:szCs w:val="24"/>
          <w:highlight w:val="none"/>
          <w:lang w:eastAsia="zh-CN" w:bidi="ar"/>
        </w:rPr>
        <w:t>，属于</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（采购文件中明确的所属行业）</w:t>
      </w:r>
      <w:r>
        <w:rPr>
          <w:rFonts w:hint="eastAsia" w:asciiTheme="minorEastAsia" w:hAnsiTheme="minorEastAsia" w:eastAsiaTheme="minorEastAsia" w:cstheme="minorEastAsia"/>
          <w:color w:val="000000"/>
          <w:sz w:val="24"/>
          <w:szCs w:val="24"/>
          <w:highlight w:val="none"/>
          <w:lang w:eastAsia="zh-CN" w:bidi="ar"/>
        </w:rPr>
        <w:t>；承接企业为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（企业名称）</w:t>
      </w:r>
      <w:r>
        <w:rPr>
          <w:rFonts w:hint="eastAsia" w:asciiTheme="minorEastAsia" w:hAnsiTheme="minorEastAsia" w:eastAsiaTheme="minorEastAsia" w:cstheme="minorEastAsia"/>
          <w:color w:val="000000"/>
          <w:sz w:val="24"/>
          <w:szCs w:val="24"/>
          <w:highlight w:val="none"/>
          <w:lang w:eastAsia="zh-CN" w:bidi="ar"/>
        </w:rPr>
        <w:t>，从业人员</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人，营业收入为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万元，资产总额为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万元</w:t>
      </w:r>
      <w:r>
        <w:rPr>
          <w:rFonts w:hint="eastAsia" w:asciiTheme="minorEastAsia" w:hAnsiTheme="minorEastAsia" w:eastAsiaTheme="minorEastAsia" w:cstheme="minorEastAsia"/>
          <w:color w:val="000000"/>
          <w:sz w:val="24"/>
          <w:szCs w:val="24"/>
          <w:highlight w:val="none"/>
          <w:vertAlign w:val="superscript"/>
          <w:lang w:eastAsia="zh-CN" w:bidi="ar"/>
        </w:rPr>
        <w:t>1</w:t>
      </w:r>
      <w:r>
        <w:rPr>
          <w:rFonts w:hint="eastAsia" w:asciiTheme="minorEastAsia" w:hAnsiTheme="minorEastAsia" w:eastAsiaTheme="minorEastAsia" w:cstheme="minorEastAsia"/>
          <w:color w:val="000000"/>
          <w:sz w:val="24"/>
          <w:szCs w:val="24"/>
          <w:highlight w:val="none"/>
          <w:lang w:eastAsia="zh-CN" w:bidi="ar"/>
        </w:rPr>
        <w:t>，属于</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（中型企业、小型企业、微型企业）</w:t>
      </w:r>
      <w:r>
        <w:rPr>
          <w:rFonts w:hint="eastAsia" w:asciiTheme="minorEastAsia" w:hAnsiTheme="minorEastAsia" w:eastAsiaTheme="minorEastAsia" w:cstheme="minorEastAsia"/>
          <w:color w:val="000000"/>
          <w:sz w:val="24"/>
          <w:szCs w:val="24"/>
          <w:highlight w:val="none"/>
          <w:lang w:eastAsia="zh-CN" w:bidi="ar"/>
        </w:rPr>
        <w:t xml:space="preserve">； </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2.</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u w:val="single"/>
          <w:lang w:eastAsia="zh-CN" w:bidi="ar"/>
        </w:rPr>
        <w:t xml:space="preserve">（标的名称） </w:t>
      </w:r>
      <w:r>
        <w:rPr>
          <w:rFonts w:hint="eastAsia" w:asciiTheme="minorEastAsia" w:hAnsiTheme="minorEastAsia" w:eastAsiaTheme="minorEastAsia" w:cstheme="minorEastAsia"/>
          <w:color w:val="000000"/>
          <w:sz w:val="24"/>
          <w:szCs w:val="24"/>
          <w:highlight w:val="none"/>
          <w:lang w:eastAsia="zh-CN" w:bidi="ar"/>
        </w:rPr>
        <w:t>，属于</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（采购文件中明确的所属行业）</w:t>
      </w:r>
      <w:r>
        <w:rPr>
          <w:rFonts w:hint="eastAsia" w:asciiTheme="minorEastAsia" w:hAnsiTheme="minorEastAsia" w:eastAsiaTheme="minorEastAsia" w:cstheme="minorEastAsia"/>
          <w:color w:val="000000"/>
          <w:sz w:val="24"/>
          <w:szCs w:val="24"/>
          <w:highlight w:val="none"/>
          <w:lang w:eastAsia="zh-CN" w:bidi="ar"/>
        </w:rPr>
        <w:t>；承接企业为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（企业名称）</w:t>
      </w:r>
      <w:r>
        <w:rPr>
          <w:rFonts w:hint="eastAsia" w:asciiTheme="minorEastAsia" w:hAnsiTheme="minorEastAsia" w:eastAsiaTheme="minorEastAsia" w:cstheme="minorEastAsia"/>
          <w:color w:val="000000"/>
          <w:sz w:val="24"/>
          <w:szCs w:val="24"/>
          <w:highlight w:val="none"/>
          <w:lang w:eastAsia="zh-CN" w:bidi="ar"/>
        </w:rPr>
        <w:t>，从业人员</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人，营业收入为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万元，资产总额为</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color w:val="000000"/>
          <w:sz w:val="24"/>
          <w:szCs w:val="24"/>
          <w:highlight w:val="none"/>
          <w:lang w:eastAsia="zh-CN" w:bidi="ar"/>
        </w:rPr>
        <w:t>万元</w:t>
      </w:r>
      <w:r>
        <w:rPr>
          <w:rFonts w:hint="eastAsia" w:asciiTheme="minorEastAsia" w:hAnsiTheme="minorEastAsia" w:eastAsiaTheme="minorEastAsia" w:cstheme="minorEastAsia"/>
          <w:color w:val="000000"/>
          <w:sz w:val="24"/>
          <w:szCs w:val="24"/>
          <w:highlight w:val="none"/>
          <w:vertAlign w:val="superscript"/>
          <w:lang w:eastAsia="zh-CN" w:bidi="ar"/>
        </w:rPr>
        <w:t>1</w:t>
      </w:r>
      <w:r>
        <w:rPr>
          <w:rFonts w:hint="eastAsia" w:asciiTheme="minorEastAsia" w:hAnsiTheme="minorEastAsia" w:eastAsiaTheme="minorEastAsia" w:cstheme="minorEastAsia"/>
          <w:color w:val="000000"/>
          <w:sz w:val="24"/>
          <w:szCs w:val="24"/>
          <w:highlight w:val="none"/>
          <w:lang w:eastAsia="zh-CN" w:bidi="ar"/>
        </w:rPr>
        <w:t>，属于</w:t>
      </w:r>
      <w:r>
        <w:rPr>
          <w:rFonts w:hint="eastAsia" w:asciiTheme="minorEastAsia" w:hAnsiTheme="minorEastAsia" w:eastAsiaTheme="minorEastAsia" w:cstheme="minorEastAsia"/>
          <w:color w:val="000000"/>
          <w:sz w:val="24"/>
          <w:szCs w:val="24"/>
          <w:highlight w:val="none"/>
          <w:u w:val="single"/>
          <w:lang w:eastAsia="zh-CN" w:bidi="ar"/>
        </w:rPr>
        <w:t xml:space="preserve">          </w:t>
      </w:r>
      <w:r>
        <w:rPr>
          <w:rFonts w:hint="eastAsia" w:asciiTheme="minorEastAsia" w:hAnsiTheme="minorEastAsia" w:eastAsiaTheme="minorEastAsia" w:cstheme="minorEastAsia"/>
          <w:i/>
          <w:iCs/>
          <w:color w:val="000000"/>
          <w:sz w:val="24"/>
          <w:szCs w:val="24"/>
          <w:highlight w:val="none"/>
          <w:lang w:eastAsia="zh-CN" w:bidi="ar"/>
        </w:rPr>
        <w:t>（中型企业、小型企业、微型企业）</w:t>
      </w:r>
      <w:r>
        <w:rPr>
          <w:rFonts w:hint="eastAsia" w:asciiTheme="minorEastAsia" w:hAnsiTheme="minorEastAsia" w:eastAsiaTheme="minorEastAsia" w:cstheme="minorEastAsia"/>
          <w:color w:val="000000"/>
          <w:sz w:val="24"/>
          <w:szCs w:val="24"/>
          <w:highlight w:val="none"/>
          <w:lang w:eastAsia="zh-CN" w:bidi="ar"/>
        </w:rPr>
        <w:t xml:space="preserve">； </w:t>
      </w:r>
    </w:p>
    <w:p>
      <w:pPr>
        <w:spacing w:line="579" w:lineRule="exact"/>
        <w:ind w:firstLine="720" w:firstLineChars="3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以上企业，不属于大企业的分支机构，不存在控股股东为大企业的情形，也不存在与大企业的负责人为同一人的情形。</w:t>
      </w:r>
    </w:p>
    <w:p>
      <w:pPr>
        <w:spacing w:line="579"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本企业对上述声明内容的真实性负责。如有虚假，将依法承担相应责任。 </w:t>
      </w:r>
    </w:p>
    <w:p>
      <w:pPr>
        <w:spacing w:line="579"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                           企业名称（盖章）： </w:t>
      </w:r>
    </w:p>
    <w:p>
      <w:pPr>
        <w:spacing w:line="579" w:lineRule="exact"/>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 xml:space="preserve">               日 期： </w:t>
      </w:r>
    </w:p>
    <w:p>
      <w:pPr>
        <w:spacing w:line="579" w:lineRule="exac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lang w:eastAsia="zh-CN" w:bidi="ar"/>
        </w:rPr>
        <w:t>1 从业人员、营业收入、资产总额填报上一年度数据，无上一年度数据的新成立企业可不填报。</w:t>
      </w:r>
    </w:p>
    <w:p>
      <w:pPr>
        <w:widowControl w:val="0"/>
        <w:tabs>
          <w:tab w:val="left" w:pos="3777"/>
          <w:tab w:val="center" w:pos="4819"/>
        </w:tabs>
        <w:spacing w:line="360" w:lineRule="auto"/>
        <w:textAlignment w:val="auto"/>
        <w:rPr>
          <w:rFonts w:hint="eastAsia" w:asciiTheme="minorEastAsia" w:hAnsiTheme="minorEastAsia" w:eastAsiaTheme="minorEastAsia" w:cstheme="minorEastAsia"/>
          <w:b/>
          <w:color w:val="000000" w:themeColor="text1"/>
          <w:sz w:val="32"/>
          <w:szCs w:val="32"/>
          <w:highlight w:val="none"/>
          <w:lang w:eastAsia="zh-CN"/>
          <w14:textFill>
            <w14:solidFill>
              <w14:schemeClr w14:val="tx1"/>
            </w14:solidFill>
          </w14:textFill>
        </w:rPr>
      </w:pP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left" w:pos="3975"/>
        </w:tabs>
        <w:spacing w:line="440" w:lineRule="exact"/>
        <w:ind w:firstLine="482" w:firstLineChars="200"/>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ab/>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监狱企业声明函</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（监狱企业适用）</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本公司郑重声明，根据《关于政府采购支持监狱企业发展有关问题的通知》（财库[2014]68号）的规定，本公司为监狱企业。</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本公司参加______单位的______项目采购活动，采购活动提供本企业（填写制造的货物，由本企业承担工程、提供服务）。</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本条所称货物不包括使用大型企业注册商标的货物和服务。</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本公司对上述声明的真实性负责。如有虚假，将依法承担相应责任。</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企业名称（盖公章）：</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法定代表人（负责人）或其授权代表(签字)：</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日期：</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left" w:pos="3975"/>
        </w:tabs>
        <w:spacing w:line="440" w:lineRule="exact"/>
        <w:ind w:firstLine="482" w:firstLineChars="200"/>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-3残疾人福利性单位声明函</w:t>
      </w:r>
    </w:p>
    <w:p>
      <w:pPr>
        <w:tabs>
          <w:tab w:val="left" w:pos="3975"/>
        </w:tabs>
        <w:spacing w:line="440" w:lineRule="exact"/>
        <w:ind w:firstLine="482" w:firstLineChars="200"/>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pP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本单位对上述声明的真实性负责。如有虚假，将依法承担相应责任。                               </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单位名称（盖章）：</w:t>
      </w:r>
    </w:p>
    <w:p>
      <w:pPr>
        <w:tabs>
          <w:tab w:val="left" w:pos="3975"/>
        </w:tabs>
        <w:spacing w:line="440" w:lineRule="exact"/>
        <w:ind w:firstLine="480" w:firstLineChars="20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 xml:space="preserve">                                      日  期：</w:t>
      </w:r>
    </w:p>
    <w:p>
      <w:pPr>
        <w:keepNext w:val="0"/>
        <w:keepLines w:val="0"/>
        <w:pageBreakBefore w:val="0"/>
        <w:widowControl/>
        <w:kinsoku/>
        <w:wordWrap/>
        <w:overflowPunct/>
        <w:topLinePunct w:val="0"/>
        <w:autoSpaceDE/>
        <w:autoSpaceDN/>
        <w:bidi w:val="0"/>
        <w:adjustRightInd/>
        <w:snapToGrid/>
        <w:spacing w:line="579" w:lineRule="exact"/>
        <w:jc w:val="center"/>
        <w:textAlignment w:val="baseline"/>
        <w:outlineLvl w:val="9"/>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p>
    <w:p>
      <w:pPr>
        <w:pStyle w:val="4"/>
        <w:ind w:firstLine="241"/>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pPr>
    </w:p>
    <w:p>
      <w:pPr>
        <w:pStyle w:val="4"/>
        <w:ind w:firstLine="241"/>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pPr>
    </w:p>
    <w:p>
      <w:pPr>
        <w:pStyle w:val="4"/>
        <w:ind w:firstLine="241"/>
        <w:rPr>
          <w:rFonts w:hint="eastAsia" w:asciiTheme="minorEastAsia" w:hAnsiTheme="minorEastAsia" w:eastAsiaTheme="minorEastAsia" w:cstheme="minorEastAsia"/>
          <w:b/>
          <w:color w:val="000000" w:themeColor="text1"/>
          <w:highlight w:val="none"/>
          <w:lang w:eastAsia="zh-CN"/>
          <w14:textFill>
            <w14:solidFill>
              <w14:schemeClr w14:val="tx1"/>
            </w14:solidFill>
          </w14:textFill>
        </w:rPr>
      </w:pPr>
    </w:p>
    <w:p>
      <w:pPr>
        <w:numPr>
          <w:ilvl w:val="0"/>
          <w:numId w:val="2"/>
        </w:numPr>
        <w:spacing w:line="579" w:lineRule="exact"/>
        <w:jc w:val="center"/>
        <w:outlineLvl w:val="2"/>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bookmarkStart w:id="221" w:name="_Toc12596"/>
      <w:bookmarkStart w:id="222" w:name="_Toc18963"/>
      <w:bookmarkStart w:id="223" w:name="_Toc29252"/>
      <w:bookmarkStart w:id="224" w:name="_Toc7885"/>
      <w:bookmarkStart w:id="225" w:name="_Toc1692"/>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磋商文件所要求的其他内容及</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供应商认为有必要提交的其他资料</w:t>
      </w:r>
      <w:bookmarkEnd w:id="205"/>
      <w:bookmarkEnd w:id="221"/>
      <w:bookmarkEnd w:id="222"/>
      <w:bookmarkEnd w:id="223"/>
      <w:bookmarkEnd w:id="224"/>
      <w:bookmarkEnd w:id="225"/>
    </w:p>
    <w:p>
      <w:pPr>
        <w:numPr>
          <w:ilvl w:val="0"/>
          <w:numId w:val="0"/>
        </w:numPr>
        <w:spacing w:line="579" w:lineRule="exact"/>
        <w:ind w:left="3360" w:leftChars="0" w:firstLine="420" w:firstLineChars="0"/>
        <w:jc w:val="both"/>
        <w:outlineLvl w:val="2"/>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4"/>
          <w:highlight w:val="none"/>
          <w:lang w:val="en-US" w:eastAsia="zh-CN"/>
          <w14:textFill>
            <w14:solidFill>
              <w14:schemeClr w14:val="tx1"/>
            </w14:solidFill>
          </w14:textFill>
        </w:rPr>
        <w:t>格式自拟</w:t>
      </w:r>
      <w:r>
        <w:rPr>
          <w:rFonts w:hint="eastAsia" w:asciiTheme="minorEastAsia" w:hAnsiTheme="minorEastAsia" w:eastAsiaTheme="minorEastAsia" w:cstheme="minorEastAsia"/>
          <w:b/>
          <w:color w:val="000000" w:themeColor="text1"/>
          <w:sz w:val="24"/>
          <w:highlight w:val="none"/>
          <w:lang w:eastAsia="zh-CN"/>
          <w14:textFill>
            <w14:solidFill>
              <w14:schemeClr w14:val="tx1"/>
            </w14:solidFill>
          </w14:textFill>
        </w:rPr>
        <w:t>）</w:t>
      </w:r>
    </w:p>
    <w:p>
      <w:pPr>
        <w:spacing w:line="500" w:lineRule="exact"/>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供应商应提交的其它资料应包括：</w:t>
      </w:r>
    </w:p>
    <w:p>
      <w:pPr>
        <w:spacing w:line="500" w:lineRule="exact"/>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）其他增值优惠承诺；</w:t>
      </w:r>
    </w:p>
    <w:p>
      <w:pPr>
        <w:spacing w:line="500" w:lineRule="exact"/>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）评分细则提及或供应商认为需要提供的其他说明和资料。</w:t>
      </w:r>
    </w:p>
    <w:p>
      <w:pPr>
        <w:spacing w:line="500" w:lineRule="exact"/>
        <w:ind w:firstLine="480"/>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0"/>
          <w:highlight w:val="none"/>
          <w:lang w:eastAsia="zh-CN" w:bidi="ar"/>
          <w14:textFill>
            <w14:solidFill>
              <w14:schemeClr w14:val="tx1"/>
            </w14:solidFill>
          </w14:textFill>
        </w:rPr>
        <w:t>磋商</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文件要求提供的其它资料等；</w:t>
      </w:r>
    </w:p>
    <w:p>
      <w:pPr>
        <w:spacing w:line="500" w:lineRule="exact"/>
        <w:ind w:firstLine="480"/>
        <w:rPr>
          <w:rFonts w:hint="eastAsia" w:asciiTheme="minorEastAsia" w:hAnsiTheme="minorEastAsia" w:eastAsiaTheme="minorEastAsia" w:cstheme="minorEastAsia"/>
          <w:color w:val="000000" w:themeColor="text1"/>
          <w:highlight w:val="none"/>
          <w:lang w:eastAsia="zh-CN" w:bidi="ar"/>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highlight w:val="none"/>
          <w:lang w:eastAsia="zh-CN"/>
          <w14:textFill>
            <w14:solidFill>
              <w14:schemeClr w14:val="tx1"/>
            </w14:solidFill>
          </w14:textFill>
        </w:rPr>
        <w:t>）...</w:t>
      </w:r>
    </w:p>
    <w:p>
      <w:pPr>
        <w:snapToGrid w:val="0"/>
        <w:spacing w:line="360" w:lineRule="auto"/>
        <w:rPr>
          <w:rFonts w:hint="eastAsia" w:asciiTheme="minorEastAsia" w:hAnsiTheme="minorEastAsia" w:eastAsiaTheme="minorEastAsia" w:cstheme="minorEastAsia"/>
          <w:b/>
          <w:bCs/>
          <w:color w:val="000000" w:themeColor="text1"/>
          <w:sz w:val="32"/>
          <w:szCs w:val="32"/>
          <w:highlight w:val="none"/>
          <w:lang w:eastAsia="zh-CN"/>
          <w14:textFill>
            <w14:solidFill>
              <w14:schemeClr w14:val="tx1"/>
            </w14:solidFill>
          </w14:textFill>
        </w:rPr>
      </w:pPr>
    </w:p>
    <w:p>
      <w:pPr>
        <w:spacing w:line="455" w:lineRule="exact"/>
        <w:jc w:val="center"/>
        <w:rPr>
          <w:rStyle w:val="35"/>
          <w:rFonts w:hint="eastAsia" w:asciiTheme="minorEastAsia" w:hAnsiTheme="minorEastAsia" w:eastAsiaTheme="minorEastAsia" w:cstheme="minorEastAsia"/>
          <w:color w:val="000000" w:themeColor="text1"/>
          <w:highlight w:val="none"/>
          <w:lang w:eastAsia="zh-CN"/>
          <w14:textFill>
            <w14:solidFill>
              <w14:schemeClr w14:val="tx1"/>
            </w14:solidFill>
          </w14:textFill>
        </w:rPr>
      </w:pPr>
    </w:p>
    <w:sectPr>
      <w:headerReference r:id="rId7" w:type="first"/>
      <w:headerReference r:id="rId6" w:type="default"/>
      <w:pgSz w:w="11906" w:h="16838"/>
      <w:pgMar w:top="1440" w:right="1701"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line="14" w:lineRule="auto"/>
      <w:ind w:left="0"/>
      <w:rPr>
        <w:rStyle w:val="35"/>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3813175</wp:posOffset>
              </wp:positionH>
              <wp:positionV relativeFrom="page">
                <wp:posOffset>10047605</wp:posOffset>
              </wp:positionV>
              <wp:extent cx="107950" cy="152400"/>
              <wp:effectExtent l="0" t="0" r="0" b="0"/>
              <wp:wrapNone/>
              <wp:docPr id="3" name="4097"/>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4097" o:spid="_x0000_s1026" o:spt="202" type="#_x0000_t202" style="position:absolute;left:0pt;margin-left:300.25pt;margin-top:791.15pt;height:12pt;width:8.5pt;mso-position-horizontal-relative:page;mso-position-vertical-relative:page;z-index:-251657216;mso-width-relative:page;mso-height-relative:page;" filled="f" stroked="f" coordsize="21600,21600" o:gfxdata="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mXTwtoAAAANAQAADwAAAAAAAAABACAAAAAiAAAAZHJzL2Rv&#10;d25yZXYueG1sUEsBAhQAFAAAAAgAh07iQJD269X/AQAACwQAAA4AAAAAAAAAAQAgAAAAKQEAAGRy&#10;cy9lMm9Eb2MueG1sUEsFBgAAAAAGAAYAWQEAAJoFAAAAAA==&#10;">
              <v:fill on="f" focussize="0,0"/>
              <v:stroke on="f"/>
              <v:imagedata o:title=""/>
              <o:lock v:ext="edit" aspectratio="f"/>
              <v:textbox inset="0mm,0mm,0mm,0mm">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line="14" w:lineRule="auto"/>
      <w:ind w:left="0"/>
      <w:rPr>
        <w:rStyle w:val="35"/>
        <w:sz w:val="12"/>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1765"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51765" cy="1828800"/>
                      </a:xfrm>
                      <a:prstGeom prst="rect">
                        <a:avLst/>
                      </a:prstGeom>
                      <a:noFill/>
                      <a:ln>
                        <a:noFill/>
                      </a:ln>
                    </wps:spPr>
                    <wps:txbx>
                      <w:txbxContent>
                        <w:p>
                          <w:pPr>
                            <w:pStyle w:val="20"/>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文本框 5" o:spid="_x0000_s1026" o:spt="202" type="#_x0000_t202" style="position:absolute;left:0pt;margin-top:0pt;height:144pt;width:11.95pt;mso-position-horizontal:center;mso-position-horizontal-relative:margin;z-index:251661312;mso-width-relative:page;mso-height-relative:page;" filled="f" stroked="f" coordsize="21600,21600" o:gfxdata="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4o8rdIAAAAEAQAADwAAAAAAAAABACAAAAAiAAAAZHJz&#10;L2Rvd25yZXYueG1sUEsBAhQAFAAAAAgAh07iQJPYxY/RAQAAmgMAAA4AAAAAAAAAAQAgAAAAIQEA&#10;AGRycy9lMm9Eb2MueG1sUEsFBgAAAAAGAAYAWQEAAGQFAAAAAA==&#10;">
              <v:fill on="f" focussize="0,0"/>
              <v:stroke on="f"/>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5"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6192;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3IKpI2gAAAA0BAAAPAAAAAAAAAAEAIAAAACIAAABkcnMvZG93&#10;bnJldi54bWxQSwECFAAUAAAACACHTuJAaXWh/f4BAAALBAAADgAAAAAAAAABACAAAAApAQAAZHJz&#10;L2Uyb0RvYy54bWxQSwUGAAAAAAYABgBZAQAAmQUAAAAA&#10;">
              <v:fill on="f" focussize="0,0"/>
              <v:stroke on="f"/>
              <v:imagedata o:title=""/>
              <o:lock v:ext="edit" aspectratio="f"/>
              <v:textbox inset="0mm,0mm,0mm,0mm">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spacing w:line="14" w:lineRule="auto"/>
      <w:ind w:left="0"/>
      <w:rPr>
        <w:rStyle w:val="35"/>
        <w:sz w:val="12"/>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36</w:t>
                    </w:r>
                    <w:r>
                      <w:fldChar w:fldCharType="end"/>
                    </w:r>
                  </w:p>
                </w:txbxContent>
              </v:textbox>
            </v:shape>
          </w:pict>
        </mc:Fallback>
      </mc:AlternateContent>
    </w:r>
    <w:r>
      <w:rPr>
        <w:lang w:eastAsia="zh-CN"/>
      </w:rPr>
      <mc:AlternateContent>
        <mc:Choice Requires="wps">
          <w:drawing>
            <wp:anchor distT="0" distB="0" distL="114300" distR="114300" simplePos="0" relativeHeight="251662336" behindDoc="1" locked="0" layoutInCell="1" allowOverlap="1">
              <wp:simplePos x="0" y="0"/>
              <wp:positionH relativeFrom="page">
                <wp:posOffset>3751580</wp:posOffset>
              </wp:positionH>
              <wp:positionV relativeFrom="page">
                <wp:posOffset>9922510</wp:posOffset>
              </wp:positionV>
              <wp:extent cx="167005" cy="152400"/>
              <wp:effectExtent l="0" t="0" r="0" b="0"/>
              <wp:wrapNone/>
              <wp:docPr id="10" name="4099"/>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ffectLst/>
                    </wps:spPr>
                    <wps:txbx>
                      <w:txbxContent>
                        <w:p/>
                      </w:txbxContent>
                    </wps:txbx>
                    <wps:bodyPr rot="0" vert="horz" wrap="square" lIns="0" tIns="0" rIns="0" bIns="0" anchor="t" anchorCtr="0" upright="1">
                      <a:noAutofit/>
                    </wps:bodyPr>
                  </wps:wsp>
                </a:graphicData>
              </a:graphic>
            </wp:anchor>
          </w:drawing>
        </mc:Choice>
        <mc:Fallback>
          <w:pict>
            <v:shape id="4099" o:spid="_x0000_s1026" o:spt="202" type="#_x0000_t202" style="position:absolute;left:0pt;margin-left:295.4pt;margin-top:781.3pt;height:12pt;width:13.15pt;mso-position-horizontal-relative:page;mso-position-vertical-relative:page;z-index:-251654144;mso-width-relative:page;mso-height-relative:page;" filled="f" stroked="f" coordsize="21600,21600" o:gfxdata="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yCqSNoAAAANAQAADwAAAAAAAAABACAAAAAiAAAAZHJzL2Rv&#10;d25yZXYueG1sUEsBAhQAFAAAAAgAh07iQDQsoHf/AQAADAQAAA4AAAAAAAAAAQAgAAAAKQEAAGRy&#10;cy9lMm9Eb2MueG1sUEsFBgAAAAAGAAYAWQEAAJoFAAAAAA==&#10;">
              <v:fill on="f" focussize="0,0"/>
              <v:stroke on="f"/>
              <v:imagedata o:title=""/>
              <o:lock v:ext="edit" aspectratio="f"/>
              <v:textbox inset="0mm,0mm,0mm,0mm">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9B9145"/>
    <w:multiLevelType w:val="singleLevel"/>
    <w:tmpl w:val="C19B9145"/>
    <w:lvl w:ilvl="0" w:tentative="0">
      <w:start w:val="11"/>
      <w:numFmt w:val="chineseCounting"/>
      <w:suff w:val="nothing"/>
      <w:lvlText w:val="（%1）"/>
      <w:lvlJc w:val="left"/>
      <w:rPr>
        <w:rFonts w:hint="eastAsia"/>
      </w:rPr>
    </w:lvl>
  </w:abstractNum>
  <w:abstractNum w:abstractNumId="1">
    <w:nsid w:val="1EDBE9D3"/>
    <w:multiLevelType w:val="multilevel"/>
    <w:tmpl w:val="1EDBE9D3"/>
    <w:lvl w:ilvl="0" w:tentative="0">
      <w:start w:val="1"/>
      <w:numFmt w:val="japaneseCounting"/>
      <w:lvlText w:val="%1、"/>
      <w:lvlJc w:val="left"/>
      <w:pPr>
        <w:ind w:left="1280" w:hanging="720"/>
      </w:pPr>
      <w:rPr>
        <w:rFonts w:hint="eastAsia"/>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suff w:val="nothing"/>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2MjI1ZGEyZGNjYTBmNzk1ZDM5ODMzNWQ4OTQ4MjUifQ=="/>
  </w:docVars>
  <w:rsids>
    <w:rsidRoot w:val="000E3846"/>
    <w:rsid w:val="00012818"/>
    <w:rsid w:val="00014D19"/>
    <w:rsid w:val="000241B1"/>
    <w:rsid w:val="00027679"/>
    <w:rsid w:val="00053383"/>
    <w:rsid w:val="00062972"/>
    <w:rsid w:val="00064117"/>
    <w:rsid w:val="00073A40"/>
    <w:rsid w:val="000B0876"/>
    <w:rsid w:val="000E3846"/>
    <w:rsid w:val="000F33A7"/>
    <w:rsid w:val="00117BC0"/>
    <w:rsid w:val="0012602B"/>
    <w:rsid w:val="00171147"/>
    <w:rsid w:val="001817DE"/>
    <w:rsid w:val="00182DC9"/>
    <w:rsid w:val="0018562F"/>
    <w:rsid w:val="001C564C"/>
    <w:rsid w:val="001D56E1"/>
    <w:rsid w:val="0020336E"/>
    <w:rsid w:val="002410E6"/>
    <w:rsid w:val="00247FC2"/>
    <w:rsid w:val="002910EE"/>
    <w:rsid w:val="002A3C07"/>
    <w:rsid w:val="002D313E"/>
    <w:rsid w:val="002F5AC5"/>
    <w:rsid w:val="00302197"/>
    <w:rsid w:val="003076B0"/>
    <w:rsid w:val="00310982"/>
    <w:rsid w:val="00335A35"/>
    <w:rsid w:val="00341A3C"/>
    <w:rsid w:val="00345F74"/>
    <w:rsid w:val="00352940"/>
    <w:rsid w:val="00365579"/>
    <w:rsid w:val="003832E3"/>
    <w:rsid w:val="00392F10"/>
    <w:rsid w:val="003E139F"/>
    <w:rsid w:val="003F18B4"/>
    <w:rsid w:val="00404B4C"/>
    <w:rsid w:val="004062DD"/>
    <w:rsid w:val="00414887"/>
    <w:rsid w:val="004427A9"/>
    <w:rsid w:val="00447ADB"/>
    <w:rsid w:val="00451735"/>
    <w:rsid w:val="00466B4C"/>
    <w:rsid w:val="00467A42"/>
    <w:rsid w:val="00484A73"/>
    <w:rsid w:val="00486D7D"/>
    <w:rsid w:val="004872EF"/>
    <w:rsid w:val="004C0FF4"/>
    <w:rsid w:val="004D7A73"/>
    <w:rsid w:val="004E0FF0"/>
    <w:rsid w:val="004F3C83"/>
    <w:rsid w:val="004F7D3E"/>
    <w:rsid w:val="00526B9B"/>
    <w:rsid w:val="005748DC"/>
    <w:rsid w:val="00581ADD"/>
    <w:rsid w:val="005945D8"/>
    <w:rsid w:val="005A517A"/>
    <w:rsid w:val="005E12B5"/>
    <w:rsid w:val="005F7F48"/>
    <w:rsid w:val="00612349"/>
    <w:rsid w:val="00665433"/>
    <w:rsid w:val="00681C19"/>
    <w:rsid w:val="006841C7"/>
    <w:rsid w:val="006B247C"/>
    <w:rsid w:val="006C4F7F"/>
    <w:rsid w:val="00702DD4"/>
    <w:rsid w:val="007116B0"/>
    <w:rsid w:val="00715C07"/>
    <w:rsid w:val="00726149"/>
    <w:rsid w:val="0075539D"/>
    <w:rsid w:val="00770A06"/>
    <w:rsid w:val="00792C2D"/>
    <w:rsid w:val="00797303"/>
    <w:rsid w:val="007A5603"/>
    <w:rsid w:val="007B4DCC"/>
    <w:rsid w:val="007D0342"/>
    <w:rsid w:val="007E3BBC"/>
    <w:rsid w:val="007E47DD"/>
    <w:rsid w:val="007F3DDE"/>
    <w:rsid w:val="007F4845"/>
    <w:rsid w:val="00802F4E"/>
    <w:rsid w:val="00814DAA"/>
    <w:rsid w:val="00821CBA"/>
    <w:rsid w:val="008433C2"/>
    <w:rsid w:val="00863BFB"/>
    <w:rsid w:val="00880ADE"/>
    <w:rsid w:val="00892716"/>
    <w:rsid w:val="00897799"/>
    <w:rsid w:val="008C4CBC"/>
    <w:rsid w:val="008E1F45"/>
    <w:rsid w:val="008F2038"/>
    <w:rsid w:val="008F5180"/>
    <w:rsid w:val="009045D2"/>
    <w:rsid w:val="00922922"/>
    <w:rsid w:val="00941EC0"/>
    <w:rsid w:val="00952036"/>
    <w:rsid w:val="00955023"/>
    <w:rsid w:val="00963CC2"/>
    <w:rsid w:val="00965C49"/>
    <w:rsid w:val="00996FCF"/>
    <w:rsid w:val="009A0C0F"/>
    <w:rsid w:val="009A22F1"/>
    <w:rsid w:val="009A4B2F"/>
    <w:rsid w:val="009B08D8"/>
    <w:rsid w:val="009B1509"/>
    <w:rsid w:val="009F3822"/>
    <w:rsid w:val="00A03B40"/>
    <w:rsid w:val="00A21077"/>
    <w:rsid w:val="00A239B4"/>
    <w:rsid w:val="00A60236"/>
    <w:rsid w:val="00A60743"/>
    <w:rsid w:val="00A709D3"/>
    <w:rsid w:val="00A741B9"/>
    <w:rsid w:val="00A87C7B"/>
    <w:rsid w:val="00AA29C6"/>
    <w:rsid w:val="00AA3D9B"/>
    <w:rsid w:val="00AA4F90"/>
    <w:rsid w:val="00AC1F81"/>
    <w:rsid w:val="00AC4F4E"/>
    <w:rsid w:val="00AF0086"/>
    <w:rsid w:val="00AF6A4A"/>
    <w:rsid w:val="00B06909"/>
    <w:rsid w:val="00B06D56"/>
    <w:rsid w:val="00B222CE"/>
    <w:rsid w:val="00B50279"/>
    <w:rsid w:val="00B65DB7"/>
    <w:rsid w:val="00B700CC"/>
    <w:rsid w:val="00B72464"/>
    <w:rsid w:val="00BA7AD4"/>
    <w:rsid w:val="00BC6A43"/>
    <w:rsid w:val="00C26747"/>
    <w:rsid w:val="00C2691C"/>
    <w:rsid w:val="00C32925"/>
    <w:rsid w:val="00C36F95"/>
    <w:rsid w:val="00C37738"/>
    <w:rsid w:val="00C407CE"/>
    <w:rsid w:val="00C47FE9"/>
    <w:rsid w:val="00C52D35"/>
    <w:rsid w:val="00C5799A"/>
    <w:rsid w:val="00C81403"/>
    <w:rsid w:val="00CA03EC"/>
    <w:rsid w:val="00CB12E0"/>
    <w:rsid w:val="00CC0E0B"/>
    <w:rsid w:val="00CC63B4"/>
    <w:rsid w:val="00CE2CCE"/>
    <w:rsid w:val="00CE72B4"/>
    <w:rsid w:val="00D26C9B"/>
    <w:rsid w:val="00D33561"/>
    <w:rsid w:val="00D53E73"/>
    <w:rsid w:val="00D640AF"/>
    <w:rsid w:val="00D7010C"/>
    <w:rsid w:val="00DA5E90"/>
    <w:rsid w:val="00DD22D3"/>
    <w:rsid w:val="00E14646"/>
    <w:rsid w:val="00E376F8"/>
    <w:rsid w:val="00E37C90"/>
    <w:rsid w:val="00E40ED8"/>
    <w:rsid w:val="00E47BA7"/>
    <w:rsid w:val="00E5392D"/>
    <w:rsid w:val="00E57B45"/>
    <w:rsid w:val="00E67E28"/>
    <w:rsid w:val="00E74C2A"/>
    <w:rsid w:val="00EA23F6"/>
    <w:rsid w:val="00EE2055"/>
    <w:rsid w:val="00EF1584"/>
    <w:rsid w:val="00EF57B2"/>
    <w:rsid w:val="00F02510"/>
    <w:rsid w:val="00F1224B"/>
    <w:rsid w:val="00F53B5F"/>
    <w:rsid w:val="00F544B4"/>
    <w:rsid w:val="00F61498"/>
    <w:rsid w:val="00F64DEA"/>
    <w:rsid w:val="00F77128"/>
    <w:rsid w:val="00F80261"/>
    <w:rsid w:val="00F85A8D"/>
    <w:rsid w:val="00FA2E9E"/>
    <w:rsid w:val="00FB2295"/>
    <w:rsid w:val="00FD1C7D"/>
    <w:rsid w:val="00FE1C54"/>
    <w:rsid w:val="0129324E"/>
    <w:rsid w:val="01567841"/>
    <w:rsid w:val="015D59E8"/>
    <w:rsid w:val="01B47468"/>
    <w:rsid w:val="027B6439"/>
    <w:rsid w:val="037078AA"/>
    <w:rsid w:val="0495145E"/>
    <w:rsid w:val="05675ECF"/>
    <w:rsid w:val="094B3F58"/>
    <w:rsid w:val="09531958"/>
    <w:rsid w:val="09990BA5"/>
    <w:rsid w:val="09D80212"/>
    <w:rsid w:val="0BA9426E"/>
    <w:rsid w:val="0BB46493"/>
    <w:rsid w:val="0E86717B"/>
    <w:rsid w:val="0EB32594"/>
    <w:rsid w:val="11396690"/>
    <w:rsid w:val="12294638"/>
    <w:rsid w:val="127867A6"/>
    <w:rsid w:val="14F17494"/>
    <w:rsid w:val="15DC6C15"/>
    <w:rsid w:val="16BC2111"/>
    <w:rsid w:val="17DD7839"/>
    <w:rsid w:val="18064177"/>
    <w:rsid w:val="184E71FB"/>
    <w:rsid w:val="185A1AA5"/>
    <w:rsid w:val="18BA4947"/>
    <w:rsid w:val="18BC4EA1"/>
    <w:rsid w:val="197C6776"/>
    <w:rsid w:val="199A737C"/>
    <w:rsid w:val="19F824A4"/>
    <w:rsid w:val="1A174513"/>
    <w:rsid w:val="1A52042A"/>
    <w:rsid w:val="1B6C336F"/>
    <w:rsid w:val="1E0C3B6A"/>
    <w:rsid w:val="1EE06ED7"/>
    <w:rsid w:val="1F514488"/>
    <w:rsid w:val="1F817EB6"/>
    <w:rsid w:val="2005267E"/>
    <w:rsid w:val="20473C4C"/>
    <w:rsid w:val="218203C8"/>
    <w:rsid w:val="221E1A8A"/>
    <w:rsid w:val="22D80503"/>
    <w:rsid w:val="247C6E9E"/>
    <w:rsid w:val="24AF703C"/>
    <w:rsid w:val="26FE42F5"/>
    <w:rsid w:val="27FF3B12"/>
    <w:rsid w:val="289536A8"/>
    <w:rsid w:val="28E83D31"/>
    <w:rsid w:val="29170A26"/>
    <w:rsid w:val="293E3E40"/>
    <w:rsid w:val="2B393102"/>
    <w:rsid w:val="2B6836B5"/>
    <w:rsid w:val="2D941D0F"/>
    <w:rsid w:val="2FDE1B0D"/>
    <w:rsid w:val="305B5EDD"/>
    <w:rsid w:val="30BE6D9A"/>
    <w:rsid w:val="3105336C"/>
    <w:rsid w:val="31A37E74"/>
    <w:rsid w:val="350727B3"/>
    <w:rsid w:val="36FF1B6F"/>
    <w:rsid w:val="37BA3643"/>
    <w:rsid w:val="390C7E91"/>
    <w:rsid w:val="39767B13"/>
    <w:rsid w:val="3A126EC3"/>
    <w:rsid w:val="3AA52863"/>
    <w:rsid w:val="3BD37B92"/>
    <w:rsid w:val="3C6329B0"/>
    <w:rsid w:val="3CC8229C"/>
    <w:rsid w:val="3CD13C23"/>
    <w:rsid w:val="3D475B6E"/>
    <w:rsid w:val="3DAD5802"/>
    <w:rsid w:val="3E43534C"/>
    <w:rsid w:val="3E7266F9"/>
    <w:rsid w:val="3E931CEA"/>
    <w:rsid w:val="3ED51E49"/>
    <w:rsid w:val="3F253C47"/>
    <w:rsid w:val="3FAC4174"/>
    <w:rsid w:val="405F56E2"/>
    <w:rsid w:val="40832F74"/>
    <w:rsid w:val="41C1381D"/>
    <w:rsid w:val="41EE068E"/>
    <w:rsid w:val="42DB1C9F"/>
    <w:rsid w:val="43235FF4"/>
    <w:rsid w:val="436E5BE5"/>
    <w:rsid w:val="4482351C"/>
    <w:rsid w:val="45EB11A8"/>
    <w:rsid w:val="469E17E5"/>
    <w:rsid w:val="47532C9A"/>
    <w:rsid w:val="47B70A16"/>
    <w:rsid w:val="47C4574E"/>
    <w:rsid w:val="47EA7940"/>
    <w:rsid w:val="47ED307D"/>
    <w:rsid w:val="4A6D288F"/>
    <w:rsid w:val="4B036A00"/>
    <w:rsid w:val="4C3E0CA3"/>
    <w:rsid w:val="4DCD3F16"/>
    <w:rsid w:val="4F117CA0"/>
    <w:rsid w:val="4FEE0B5A"/>
    <w:rsid w:val="520C5748"/>
    <w:rsid w:val="539A0E2A"/>
    <w:rsid w:val="53A25146"/>
    <w:rsid w:val="5473011D"/>
    <w:rsid w:val="54BD45AE"/>
    <w:rsid w:val="55495648"/>
    <w:rsid w:val="57C3211F"/>
    <w:rsid w:val="582D4969"/>
    <w:rsid w:val="585767E0"/>
    <w:rsid w:val="594617B5"/>
    <w:rsid w:val="596C5D33"/>
    <w:rsid w:val="59CC77BF"/>
    <w:rsid w:val="5AE8181F"/>
    <w:rsid w:val="5B3D70C5"/>
    <w:rsid w:val="5B733DF5"/>
    <w:rsid w:val="5B992327"/>
    <w:rsid w:val="5BD36105"/>
    <w:rsid w:val="5C2D0D2B"/>
    <w:rsid w:val="5C3172D2"/>
    <w:rsid w:val="5D2C25D3"/>
    <w:rsid w:val="5E6A32E8"/>
    <w:rsid w:val="5E7269DF"/>
    <w:rsid w:val="5EFD5B80"/>
    <w:rsid w:val="5F291A96"/>
    <w:rsid w:val="5F467786"/>
    <w:rsid w:val="5FC07AF8"/>
    <w:rsid w:val="605B54B5"/>
    <w:rsid w:val="606D05C4"/>
    <w:rsid w:val="6075653D"/>
    <w:rsid w:val="630A1DE1"/>
    <w:rsid w:val="64002D28"/>
    <w:rsid w:val="64247748"/>
    <w:rsid w:val="65E36874"/>
    <w:rsid w:val="661D4897"/>
    <w:rsid w:val="68321382"/>
    <w:rsid w:val="683C1DE5"/>
    <w:rsid w:val="68F072E5"/>
    <w:rsid w:val="69653E01"/>
    <w:rsid w:val="6B7A2760"/>
    <w:rsid w:val="6D7D5938"/>
    <w:rsid w:val="6EDD7D36"/>
    <w:rsid w:val="6FF37E5C"/>
    <w:rsid w:val="715E4FAB"/>
    <w:rsid w:val="73AE628E"/>
    <w:rsid w:val="77132317"/>
    <w:rsid w:val="78633ED9"/>
    <w:rsid w:val="78A72549"/>
    <w:rsid w:val="796E7C36"/>
    <w:rsid w:val="7AB20D85"/>
    <w:rsid w:val="7C6C13BE"/>
    <w:rsid w:val="7C6C3C5E"/>
    <w:rsid w:val="7D026909"/>
    <w:rsid w:val="7D730285"/>
    <w:rsid w:val="7E5D350D"/>
    <w:rsid w:val="7E697975"/>
    <w:rsid w:val="7EF57DE7"/>
    <w:rsid w:val="7F8909CB"/>
    <w:rsid w:val="7F9E0ADD"/>
    <w:rsid w:val="7FF14240"/>
    <w:rsid w:val="7FF562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宋体" w:hAnsi="宋体" w:eastAsia="宋体" w:cs="Times New Roman"/>
      <w:sz w:val="22"/>
      <w:szCs w:val="22"/>
      <w:lang w:val="en-US" w:eastAsia="en-US" w:bidi="ar-SA"/>
    </w:rPr>
  </w:style>
  <w:style w:type="paragraph" w:styleId="7">
    <w:name w:val="heading 1"/>
    <w:basedOn w:val="1"/>
    <w:next w:val="1"/>
    <w:link w:val="53"/>
    <w:qFormat/>
    <w:uiPriority w:val="9"/>
    <w:pPr>
      <w:spacing w:before="100" w:beforeAutospacing="1" w:after="100" w:afterAutospacing="1"/>
      <w:textAlignment w:val="auto"/>
      <w:outlineLvl w:val="0"/>
    </w:pPr>
    <w:rPr>
      <w:rFonts w:cs="宋体"/>
      <w:b/>
      <w:bCs/>
      <w:kern w:val="36"/>
      <w:sz w:val="48"/>
      <w:szCs w:val="48"/>
      <w:lang w:eastAsia="zh-CN"/>
    </w:rPr>
  </w:style>
  <w:style w:type="paragraph" w:styleId="8">
    <w:name w:val="heading 2"/>
    <w:basedOn w:val="1"/>
    <w:next w:val="1"/>
    <w:unhideWhenUsed/>
    <w:qFormat/>
    <w:uiPriority w:val="0"/>
    <w:pPr>
      <w:keepNext/>
      <w:keepLines/>
      <w:spacing w:before="120" w:after="120" w:line="360" w:lineRule="auto"/>
      <w:ind w:firstLine="562" w:firstLineChars="200"/>
      <w:jc w:val="center"/>
      <w:outlineLvl w:val="1"/>
    </w:pPr>
    <w:rPr>
      <w:rFonts w:hint="eastAsia" w:hAnsi="Times New Roman"/>
      <w:b/>
      <w:sz w:val="32"/>
      <w:szCs w:val="20"/>
    </w:rPr>
  </w:style>
  <w:style w:type="paragraph" w:styleId="9">
    <w:name w:val="heading 3"/>
    <w:basedOn w:val="1"/>
    <w:next w:val="1"/>
    <w:unhideWhenUsed/>
    <w:qFormat/>
    <w:uiPriority w:val="0"/>
    <w:pPr>
      <w:keepNext/>
      <w:keepLines/>
      <w:spacing w:before="120" w:after="120" w:line="360" w:lineRule="auto"/>
      <w:outlineLvl w:val="2"/>
    </w:pPr>
    <w:rPr>
      <w:rFonts w:hint="eastAsia" w:hAnsi="Times New Roman"/>
      <w:b/>
      <w:sz w:val="24"/>
      <w:szCs w:val="20"/>
    </w:rPr>
  </w:style>
  <w:style w:type="paragraph" w:styleId="10">
    <w:name w:val="heading 4"/>
    <w:basedOn w:val="1"/>
    <w:next w:val="1"/>
    <w:qFormat/>
    <w:uiPriority w:val="0"/>
    <w:pPr>
      <w:keepNext/>
      <w:keepLines/>
      <w:spacing w:before="280" w:after="290" w:line="376" w:lineRule="auto"/>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sz w:val="20"/>
      <w:szCs w:val="24"/>
    </w:rPr>
  </w:style>
  <w:style w:type="paragraph" w:styleId="4">
    <w:name w:val="Body Text First Indent"/>
    <w:basedOn w:val="5"/>
    <w:next w:val="1"/>
    <w:qFormat/>
    <w:uiPriority w:val="0"/>
    <w:pPr>
      <w:spacing w:line="360" w:lineRule="auto"/>
      <w:ind w:firstLine="420" w:firstLineChars="100"/>
    </w:pPr>
    <w:rPr>
      <w:rFonts w:hint="eastAsia"/>
      <w:sz w:val="24"/>
    </w:rPr>
  </w:style>
  <w:style w:type="paragraph" w:styleId="5">
    <w:name w:val="Body Text"/>
    <w:basedOn w:val="1"/>
    <w:next w:val="6"/>
    <w:qFormat/>
    <w:uiPriority w:val="0"/>
    <w:pPr>
      <w:spacing w:after="120"/>
    </w:pPr>
  </w:style>
  <w:style w:type="paragraph" w:customStyle="1" w:styleId="6">
    <w:name w:val="_Style 2"/>
    <w:basedOn w:val="1"/>
    <w:qFormat/>
    <w:uiPriority w:val="0"/>
    <w:pPr>
      <w:ind w:firstLine="420" w:firstLineChars="200"/>
    </w:pPr>
  </w:style>
  <w:style w:type="paragraph" w:styleId="11">
    <w:name w:val="table of authorities"/>
    <w:basedOn w:val="1"/>
    <w:next w:val="1"/>
    <w:semiHidden/>
    <w:qFormat/>
    <w:uiPriority w:val="0"/>
    <w:pPr>
      <w:ind w:left="420" w:leftChars="200"/>
    </w:pPr>
  </w:style>
  <w:style w:type="paragraph" w:styleId="12">
    <w:name w:val="Normal Indent"/>
    <w:basedOn w:val="1"/>
    <w:next w:val="1"/>
    <w:qFormat/>
    <w:uiPriority w:val="0"/>
    <w:pPr>
      <w:spacing w:line="360" w:lineRule="auto"/>
      <w:ind w:firstLine="200" w:firstLineChars="200"/>
    </w:pPr>
    <w:rPr>
      <w:rFonts w:ascii="Times New Roman" w:hAnsi="Times New Roman"/>
      <w:sz w:val="28"/>
      <w:szCs w:val="20"/>
    </w:rPr>
  </w:style>
  <w:style w:type="paragraph" w:styleId="13">
    <w:name w:val="index 5"/>
    <w:basedOn w:val="1"/>
    <w:next w:val="1"/>
    <w:qFormat/>
    <w:uiPriority w:val="0"/>
    <w:pPr>
      <w:ind w:left="1680"/>
    </w:pPr>
  </w:style>
  <w:style w:type="paragraph" w:styleId="14">
    <w:name w:val="toa heading"/>
    <w:basedOn w:val="1"/>
    <w:next w:val="1"/>
    <w:qFormat/>
    <w:uiPriority w:val="0"/>
    <w:pPr>
      <w:spacing w:before="120"/>
    </w:pPr>
    <w:rPr>
      <w:rFonts w:ascii="Cambria" w:hAnsi="Cambria"/>
      <w:sz w:val="24"/>
    </w:rPr>
  </w:style>
  <w:style w:type="paragraph" w:styleId="15">
    <w:name w:val="annotation text"/>
    <w:basedOn w:val="1"/>
    <w:semiHidden/>
    <w:unhideWhenUsed/>
    <w:qFormat/>
    <w:uiPriority w:val="99"/>
  </w:style>
  <w:style w:type="paragraph" w:styleId="16">
    <w:name w:val="toc 3"/>
    <w:basedOn w:val="1"/>
    <w:next w:val="1"/>
    <w:semiHidden/>
    <w:unhideWhenUsed/>
    <w:qFormat/>
    <w:uiPriority w:val="39"/>
    <w:pPr>
      <w:ind w:left="840" w:leftChars="400"/>
    </w:pPr>
  </w:style>
  <w:style w:type="paragraph" w:styleId="17">
    <w:name w:val="Plain Text"/>
    <w:basedOn w:val="1"/>
    <w:qFormat/>
    <w:uiPriority w:val="0"/>
    <w:rPr>
      <w:rFonts w:ascii="宋体" w:hAnsi="Times New Roman"/>
      <w:szCs w:val="24"/>
    </w:rPr>
  </w:style>
  <w:style w:type="paragraph" w:styleId="18">
    <w:name w:val="Date"/>
    <w:basedOn w:val="1"/>
    <w:next w:val="1"/>
    <w:qFormat/>
    <w:uiPriority w:val="0"/>
    <w:rPr>
      <w:rFonts w:ascii="Arial" w:hAnsi="Arial" w:cs="Arial"/>
      <w:b/>
      <w:sz w:val="28"/>
    </w:rPr>
  </w:style>
  <w:style w:type="paragraph" w:styleId="19">
    <w:name w:val="Balloon Text"/>
    <w:basedOn w:val="1"/>
    <w:link w:val="66"/>
    <w:semiHidden/>
    <w:unhideWhenUsed/>
    <w:qFormat/>
    <w:uiPriority w:val="99"/>
    <w:rPr>
      <w:sz w:val="18"/>
      <w:szCs w:val="18"/>
    </w:rPr>
  </w:style>
  <w:style w:type="paragraph" w:styleId="20">
    <w:name w:val="footer"/>
    <w:basedOn w:val="1"/>
    <w:next w:val="13"/>
    <w:link w:val="52"/>
    <w:qFormat/>
    <w:uiPriority w:val="0"/>
    <w:pPr>
      <w:tabs>
        <w:tab w:val="center" w:pos="4153"/>
        <w:tab w:val="right" w:pos="8306"/>
      </w:tabs>
      <w:snapToGrid w:val="0"/>
    </w:pPr>
    <w:rPr>
      <w:sz w:val="18"/>
      <w:szCs w:val="18"/>
    </w:rPr>
  </w:style>
  <w:style w:type="paragraph" w:styleId="21">
    <w:name w:val="header"/>
    <w:basedOn w:val="1"/>
    <w:link w:val="5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Subtitle"/>
    <w:basedOn w:val="1"/>
    <w:next w:val="1"/>
    <w:qFormat/>
    <w:uiPriority w:val="11"/>
    <w:pPr>
      <w:widowControl w:val="0"/>
      <w:autoSpaceDE w:val="0"/>
      <w:autoSpaceDN w:val="0"/>
      <w:spacing w:before="240" w:after="60" w:line="240" w:lineRule="exact"/>
      <w:ind w:firstLine="0" w:firstLineChars="0"/>
      <w:jc w:val="center"/>
      <w:outlineLvl w:val="1"/>
    </w:pPr>
    <w:rPr>
      <w:rFonts w:asciiTheme="majorHAnsi" w:hAnsiTheme="majorHAnsi" w:eastAsiaTheme="majorEastAsia" w:cstheme="majorBidi"/>
      <w:bCs/>
      <w:kern w:val="28"/>
      <w:sz w:val="24"/>
      <w:szCs w:val="32"/>
    </w:rPr>
  </w:style>
  <w:style w:type="paragraph" w:styleId="24">
    <w:name w:val="footnote text"/>
    <w:basedOn w:val="1"/>
    <w:semiHidden/>
    <w:qFormat/>
    <w:uiPriority w:val="0"/>
    <w:pPr>
      <w:snapToGrid w:val="0"/>
      <w:jc w:val="left"/>
    </w:pPr>
    <w:rPr>
      <w:rFonts w:ascii="Times New Roman" w:hAnsi="Times New Roman" w:eastAsia="宋体" w:cs="Times New Roman"/>
      <w:sz w:val="18"/>
      <w:szCs w:val="18"/>
    </w:rPr>
  </w:style>
  <w:style w:type="paragraph" w:styleId="25">
    <w:name w:val="toc 2"/>
    <w:basedOn w:val="1"/>
    <w:next w:val="1"/>
    <w:semiHidden/>
    <w:unhideWhenUsed/>
    <w:qFormat/>
    <w:uiPriority w:val="39"/>
    <w:pPr>
      <w:ind w:left="420" w:leftChars="200"/>
    </w:pPr>
  </w:style>
  <w:style w:type="paragraph" w:styleId="26">
    <w:name w:val="Normal (Web)"/>
    <w:basedOn w:val="1"/>
    <w:qFormat/>
    <w:uiPriority w:val="99"/>
    <w:pPr>
      <w:spacing w:before="100" w:beforeAutospacing="1" w:after="100" w:afterAutospacing="1"/>
      <w:textAlignment w:val="auto"/>
    </w:pPr>
    <w:rPr>
      <w:rFonts w:cs="宋体"/>
      <w:sz w:val="24"/>
      <w:szCs w:val="24"/>
      <w:lang w:eastAsia="zh-CN"/>
    </w:rPr>
  </w:style>
  <w:style w:type="paragraph" w:styleId="27">
    <w:name w:val="Title"/>
    <w:basedOn w:val="1"/>
    <w:next w:val="1"/>
    <w:qFormat/>
    <w:uiPriority w:val="0"/>
    <w:pPr>
      <w:adjustRightInd w:val="0"/>
      <w:snapToGrid w:val="0"/>
      <w:spacing w:before="120" w:after="120"/>
      <w:outlineLvl w:val="0"/>
    </w:pPr>
    <w:rPr>
      <w:rFonts w:ascii="黑体" w:hAnsi="Times New Roman" w:cs="Times New Roman"/>
      <w:b/>
      <w:snapToGrid w:val="0"/>
      <w:kern w:val="0"/>
      <w:szCs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Hyperlink"/>
    <w:basedOn w:val="30"/>
    <w:qFormat/>
    <w:uiPriority w:val="99"/>
    <w:rPr>
      <w:color w:val="0657AB"/>
      <w:u w:val="none"/>
    </w:rPr>
  </w:style>
  <w:style w:type="character" w:styleId="33">
    <w:name w:val="annotation reference"/>
    <w:basedOn w:val="30"/>
    <w:semiHidden/>
    <w:unhideWhenUsed/>
    <w:qFormat/>
    <w:uiPriority w:val="99"/>
    <w:rPr>
      <w:sz w:val="21"/>
      <w:szCs w:val="21"/>
    </w:rPr>
  </w:style>
  <w:style w:type="character" w:styleId="34">
    <w:name w:val="HTML Sample"/>
    <w:basedOn w:val="30"/>
    <w:qFormat/>
    <w:uiPriority w:val="0"/>
    <w:rPr>
      <w:rFonts w:ascii="Courier New" w:hAnsi="Courier New"/>
    </w:rPr>
  </w:style>
  <w:style w:type="character" w:customStyle="1" w:styleId="35">
    <w:name w:val="NormalCharacter"/>
    <w:qFormat/>
    <w:uiPriority w:val="0"/>
  </w:style>
  <w:style w:type="table" w:customStyle="1" w:styleId="36">
    <w:name w:val="TableNormal"/>
    <w:qFormat/>
    <w:uiPriority w:val="0"/>
    <w:tblPr>
      <w:tblCellMar>
        <w:top w:w="0" w:type="dxa"/>
        <w:left w:w="0" w:type="dxa"/>
        <w:bottom w:w="0" w:type="dxa"/>
        <w:right w:w="0" w:type="dxa"/>
      </w:tblCellMar>
    </w:tblPr>
  </w:style>
  <w:style w:type="paragraph" w:customStyle="1" w:styleId="37">
    <w:name w:val="UserStyle_0"/>
    <w:basedOn w:val="1"/>
    <w:qFormat/>
    <w:uiPriority w:val="0"/>
    <w:pPr>
      <w:ind w:firstLine="560"/>
    </w:pPr>
  </w:style>
  <w:style w:type="paragraph" w:customStyle="1" w:styleId="38">
    <w:name w:val="BodyText"/>
    <w:basedOn w:val="1"/>
    <w:next w:val="39"/>
    <w:qFormat/>
    <w:uiPriority w:val="0"/>
    <w:pPr>
      <w:ind w:left="109"/>
    </w:pPr>
    <w:rPr>
      <w:sz w:val="24"/>
      <w:szCs w:val="24"/>
    </w:rPr>
  </w:style>
  <w:style w:type="paragraph" w:customStyle="1" w:styleId="39">
    <w:name w:val="180"/>
    <w:basedOn w:val="1"/>
    <w:next w:val="1"/>
    <w:qFormat/>
    <w:uiPriority w:val="0"/>
    <w:pPr>
      <w:spacing w:after="160" w:line="259" w:lineRule="auto"/>
      <w:jc w:val="both"/>
      <w:textAlignment w:val="baseline"/>
    </w:pPr>
    <w:rPr>
      <w:rFonts w:ascii="Calibri" w:hAnsi="Calibri" w:eastAsia="宋体"/>
      <w:i/>
      <w:iCs/>
      <w:color w:val="000000"/>
      <w:kern w:val="2"/>
      <w:sz w:val="21"/>
      <w:szCs w:val="24"/>
      <w:lang w:val="en-US" w:eastAsia="zh-CN" w:bidi="ar-SA"/>
    </w:rPr>
  </w:style>
  <w:style w:type="paragraph" w:customStyle="1" w:styleId="40">
    <w:name w:val="BodyText1I"/>
    <w:basedOn w:val="38"/>
    <w:qFormat/>
    <w:uiPriority w:val="0"/>
    <w:pPr>
      <w:ind w:firstLine="420" w:firstLineChars="100"/>
      <w:jc w:val="center"/>
    </w:pPr>
    <w:rPr>
      <w:rFonts w:cs="宋体"/>
      <w:b/>
      <w:bCs/>
      <w:kern w:val="2"/>
      <w:sz w:val="36"/>
    </w:rPr>
  </w:style>
  <w:style w:type="paragraph" w:customStyle="1" w:styleId="41">
    <w:name w:val="UserStyle_1"/>
    <w:basedOn w:val="1"/>
    <w:qFormat/>
    <w:uiPriority w:val="0"/>
    <w:pPr>
      <w:ind w:left="54"/>
      <w:jc w:val="center"/>
    </w:pPr>
    <w:rPr>
      <w:rFonts w:cs="宋体"/>
      <w:b/>
      <w:bCs/>
      <w:sz w:val="40"/>
      <w:szCs w:val="40"/>
    </w:rPr>
  </w:style>
  <w:style w:type="paragraph" w:customStyle="1" w:styleId="42">
    <w:name w:val="UserStyle_2"/>
    <w:basedOn w:val="1"/>
    <w:qFormat/>
    <w:uiPriority w:val="0"/>
    <w:pPr>
      <w:jc w:val="center"/>
    </w:pPr>
    <w:rPr>
      <w:rFonts w:cs="宋体"/>
      <w:b/>
      <w:bCs/>
      <w:sz w:val="36"/>
      <w:szCs w:val="36"/>
    </w:rPr>
  </w:style>
  <w:style w:type="paragraph" w:customStyle="1" w:styleId="43">
    <w:name w:val="UserStyle_3"/>
    <w:basedOn w:val="1"/>
    <w:qFormat/>
    <w:uiPriority w:val="0"/>
    <w:pPr>
      <w:ind w:left="23"/>
      <w:jc w:val="center"/>
    </w:pPr>
    <w:rPr>
      <w:rFonts w:cs="宋体"/>
      <w:b/>
      <w:bCs/>
      <w:sz w:val="30"/>
      <w:szCs w:val="30"/>
    </w:rPr>
  </w:style>
  <w:style w:type="paragraph" w:customStyle="1" w:styleId="44">
    <w:name w:val="UserStyle_4"/>
    <w:basedOn w:val="1"/>
    <w:qFormat/>
    <w:uiPriority w:val="0"/>
  </w:style>
  <w:style w:type="table" w:customStyle="1" w:styleId="45">
    <w:name w:val="UserStyle_5"/>
    <w:qFormat/>
    <w:uiPriority w:val="0"/>
    <w:tblPr>
      <w:tblCellMar>
        <w:top w:w="0" w:type="dxa"/>
        <w:left w:w="0" w:type="dxa"/>
        <w:bottom w:w="0" w:type="dxa"/>
        <w:right w:w="0" w:type="dxa"/>
      </w:tblCellMar>
    </w:tblPr>
  </w:style>
  <w:style w:type="paragraph" w:customStyle="1" w:styleId="46">
    <w:name w:val="UserStyle_6"/>
    <w:basedOn w:val="1"/>
    <w:qFormat/>
    <w:uiPriority w:val="0"/>
    <w:pPr>
      <w:spacing w:before="31"/>
      <w:ind w:left="591"/>
    </w:pPr>
    <w:rPr>
      <w:rFonts w:cs="宋体"/>
      <w:b/>
      <w:bCs/>
      <w:sz w:val="24"/>
      <w:szCs w:val="24"/>
    </w:rPr>
  </w:style>
  <w:style w:type="paragraph" w:customStyle="1" w:styleId="47">
    <w:name w:val="UserStyle_7"/>
    <w:basedOn w:val="1"/>
    <w:qFormat/>
    <w:uiPriority w:val="0"/>
    <w:pPr>
      <w:ind w:left="152"/>
      <w:jc w:val="center"/>
    </w:pPr>
    <w:rPr>
      <w:rFonts w:cs="宋体"/>
      <w:b/>
      <w:bCs/>
      <w:sz w:val="32"/>
      <w:szCs w:val="32"/>
    </w:rPr>
  </w:style>
  <w:style w:type="paragraph" w:customStyle="1" w:styleId="48">
    <w:name w:val="179"/>
    <w:basedOn w:val="1"/>
    <w:qFormat/>
    <w:uiPriority w:val="0"/>
    <w:pPr>
      <w:spacing w:before="31"/>
      <w:ind w:left="109" w:firstLine="480"/>
    </w:pPr>
  </w:style>
  <w:style w:type="paragraph" w:customStyle="1" w:styleId="49">
    <w:name w:val="UserStyle_8"/>
    <w:basedOn w:val="1"/>
    <w:qFormat/>
    <w:uiPriority w:val="0"/>
    <w:pPr>
      <w:ind w:left="109"/>
    </w:pPr>
    <w:rPr>
      <w:rFonts w:cs="宋体"/>
      <w:b/>
      <w:bCs/>
      <w:sz w:val="28"/>
      <w:szCs w:val="28"/>
    </w:rPr>
  </w:style>
  <w:style w:type="paragraph" w:customStyle="1" w:styleId="50">
    <w:name w:val="UserStyle_9"/>
    <w:basedOn w:val="1"/>
    <w:qFormat/>
    <w:uiPriority w:val="0"/>
    <w:pPr>
      <w:ind w:firstLine="420" w:firstLineChars="200"/>
    </w:pPr>
  </w:style>
  <w:style w:type="character" w:customStyle="1" w:styleId="51">
    <w:name w:val="页眉 字符"/>
    <w:basedOn w:val="30"/>
    <w:link w:val="21"/>
    <w:qFormat/>
    <w:uiPriority w:val="99"/>
    <w:rPr>
      <w:rFonts w:ascii="宋体" w:hAnsi="宋体"/>
      <w:sz w:val="18"/>
      <w:szCs w:val="18"/>
      <w:lang w:eastAsia="en-US"/>
    </w:rPr>
  </w:style>
  <w:style w:type="character" w:customStyle="1" w:styleId="52">
    <w:name w:val="页脚 字符"/>
    <w:basedOn w:val="30"/>
    <w:link w:val="20"/>
    <w:qFormat/>
    <w:uiPriority w:val="0"/>
    <w:rPr>
      <w:rFonts w:ascii="宋体" w:hAnsi="宋体"/>
      <w:sz w:val="18"/>
      <w:szCs w:val="18"/>
      <w:lang w:eastAsia="en-US"/>
    </w:rPr>
  </w:style>
  <w:style w:type="character" w:customStyle="1" w:styleId="53">
    <w:name w:val="标题 1 字符"/>
    <w:basedOn w:val="30"/>
    <w:link w:val="7"/>
    <w:qFormat/>
    <w:uiPriority w:val="9"/>
    <w:rPr>
      <w:rFonts w:ascii="宋体" w:hAnsi="宋体" w:cs="宋体"/>
      <w:b/>
      <w:bCs/>
      <w:kern w:val="36"/>
      <w:sz w:val="48"/>
      <w:szCs w:val="48"/>
    </w:rPr>
  </w:style>
  <w:style w:type="paragraph" w:customStyle="1" w:styleId="54">
    <w:name w:val="detail-info"/>
    <w:basedOn w:val="1"/>
    <w:qFormat/>
    <w:uiPriority w:val="0"/>
    <w:pPr>
      <w:spacing w:before="100" w:beforeAutospacing="1" w:after="100" w:afterAutospacing="1"/>
      <w:textAlignment w:val="auto"/>
    </w:pPr>
    <w:rPr>
      <w:rFonts w:cs="宋体"/>
      <w:sz w:val="24"/>
      <w:szCs w:val="24"/>
      <w:lang w:eastAsia="zh-CN"/>
    </w:rPr>
  </w:style>
  <w:style w:type="character" w:customStyle="1" w:styleId="55">
    <w:name w:val="bookmark-item"/>
    <w:basedOn w:val="30"/>
    <w:qFormat/>
    <w:uiPriority w:val="0"/>
  </w:style>
  <w:style w:type="paragraph" w:styleId="56">
    <w:name w:val="List Paragraph"/>
    <w:basedOn w:val="1"/>
    <w:qFormat/>
    <w:uiPriority w:val="34"/>
    <w:pPr>
      <w:ind w:firstLine="420" w:firstLineChars="200"/>
    </w:pPr>
  </w:style>
  <w:style w:type="paragraph" w:customStyle="1" w:styleId="57">
    <w:name w:val="标书正文"/>
    <w:basedOn w:val="1"/>
    <w:qFormat/>
    <w:uiPriority w:val="0"/>
    <w:pPr>
      <w:spacing w:line="560" w:lineRule="exact"/>
      <w:ind w:firstLine="723" w:firstLineChars="200"/>
      <w:jc w:val="center"/>
    </w:pPr>
    <w:rPr>
      <w:rFonts w:ascii="仿宋_GB2312" w:hAnsi="Calibri" w:eastAsia="仿宋_GB2312"/>
      <w:b/>
      <w:sz w:val="36"/>
      <w:szCs w:val="24"/>
    </w:rPr>
  </w:style>
  <w:style w:type="paragraph" w:customStyle="1" w:styleId="58">
    <w:name w:val="Default"/>
    <w:next w:val="1"/>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9">
    <w:name w:val="Table Paragraph"/>
    <w:basedOn w:val="1"/>
    <w:qFormat/>
    <w:uiPriority w:val="1"/>
    <w:pPr>
      <w:widowControl w:val="0"/>
      <w:autoSpaceDE w:val="0"/>
      <w:autoSpaceDN w:val="0"/>
      <w:textAlignment w:val="auto"/>
    </w:pPr>
    <w:rPr>
      <w:rFonts w:cs="宋体"/>
      <w:lang w:eastAsia="zh-CN"/>
    </w:rPr>
  </w:style>
  <w:style w:type="paragraph" w:customStyle="1" w:styleId="60">
    <w:name w:val="正文 A"/>
    <w:basedOn w:val="1"/>
    <w:qFormat/>
    <w:uiPriority w:val="0"/>
    <w:pPr>
      <w:pBdr>
        <w:top w:val="none" w:color="FFFFFF" w:sz="0" w:space="0"/>
        <w:left w:val="none" w:color="FFFFFF" w:sz="0" w:space="0"/>
        <w:bottom w:val="none" w:color="FFFFFF" w:sz="0" w:space="0"/>
        <w:right w:val="none" w:color="FFFFFF" w:sz="0" w:space="0"/>
      </w:pBdr>
    </w:pPr>
    <w:rPr>
      <w:rFonts w:ascii="Times New Roman" w:hAnsi="Times New Roman"/>
      <w:color w:val="000000"/>
      <w:szCs w:val="21"/>
    </w:rPr>
  </w:style>
  <w:style w:type="paragraph" w:customStyle="1" w:styleId="61">
    <w:name w:val="11正文"/>
    <w:basedOn w:val="1"/>
    <w:qFormat/>
    <w:uiPriority w:val="0"/>
    <w:pPr>
      <w:tabs>
        <w:tab w:val="center" w:pos="4153"/>
        <w:tab w:val="right" w:pos="8306"/>
      </w:tabs>
      <w:spacing w:line="360" w:lineRule="auto"/>
      <w:ind w:firstLine="560" w:firstLineChars="200"/>
    </w:pPr>
    <w:rPr>
      <w:rFonts w:hint="eastAsia"/>
      <w:color w:val="000000"/>
      <w:sz w:val="24"/>
      <w:szCs w:val="28"/>
    </w:rPr>
  </w:style>
  <w:style w:type="paragraph" w:customStyle="1" w:styleId="62">
    <w:name w:val="图"/>
    <w:basedOn w:val="1"/>
    <w:qFormat/>
    <w:uiPriority w:val="99"/>
    <w:pPr>
      <w:keepNext/>
      <w:adjustRightInd w:val="0"/>
      <w:spacing w:before="60" w:after="60" w:line="300" w:lineRule="auto"/>
      <w:jc w:val="center"/>
      <w:textAlignment w:val="center"/>
    </w:pPr>
    <w:rPr>
      <w:rFonts w:ascii="Times New Roman" w:hAnsi="Times New Roman"/>
      <w:spacing w:val="20"/>
      <w:sz w:val="24"/>
    </w:rPr>
  </w:style>
  <w:style w:type="character" w:customStyle="1" w:styleId="63">
    <w:name w:val="font11"/>
    <w:basedOn w:val="30"/>
    <w:qFormat/>
    <w:uiPriority w:val="0"/>
    <w:rPr>
      <w:rFonts w:hint="eastAsia" w:ascii="宋体" w:hAnsi="宋体" w:eastAsia="宋体" w:cs="宋体"/>
      <w:color w:val="000000"/>
      <w:sz w:val="24"/>
      <w:szCs w:val="24"/>
      <w:u w:val="none"/>
    </w:rPr>
  </w:style>
  <w:style w:type="character" w:customStyle="1" w:styleId="64">
    <w:name w:val="font01"/>
    <w:basedOn w:val="30"/>
    <w:qFormat/>
    <w:uiPriority w:val="0"/>
    <w:rPr>
      <w:rFonts w:hint="eastAsia" w:ascii="宋体" w:hAnsi="宋体" w:eastAsia="宋体" w:cs="宋体"/>
      <w:color w:val="000000"/>
      <w:sz w:val="24"/>
      <w:szCs w:val="24"/>
      <w:u w:val="none"/>
    </w:rPr>
  </w:style>
  <w:style w:type="paragraph" w:customStyle="1" w:styleId="65">
    <w:name w:val="招标方案正文"/>
    <w:basedOn w:val="1"/>
    <w:qFormat/>
    <w:uiPriority w:val="0"/>
    <w:pPr>
      <w:spacing w:line="360" w:lineRule="auto"/>
      <w:ind w:firstLine="200" w:firstLineChars="200"/>
    </w:pPr>
    <w:rPr>
      <w:rFonts w:ascii="Times New Roman" w:hAnsi="Times New Roman"/>
      <w:sz w:val="24"/>
    </w:rPr>
  </w:style>
  <w:style w:type="character" w:customStyle="1" w:styleId="66">
    <w:name w:val="批注框文本 字符"/>
    <w:basedOn w:val="30"/>
    <w:link w:val="19"/>
    <w:semiHidden/>
    <w:qFormat/>
    <w:uiPriority w:val="99"/>
    <w:rPr>
      <w:rFonts w:ascii="宋体" w:hAnsi="宋体"/>
      <w:sz w:val="18"/>
      <w:szCs w:val="18"/>
      <w:lang w:eastAsia="en-US"/>
    </w:rPr>
  </w:style>
  <w:style w:type="table" w:customStyle="1" w:styleId="67">
    <w:name w:val="Table Normal"/>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68">
    <w:name w:val="标题3"/>
    <w:qFormat/>
    <w:uiPriority w:val="0"/>
    <w:rPr>
      <w:rFonts w:ascii="仿宋" w:hAnsi="仿宋" w:eastAsia="楷体"/>
      <w:b/>
      <w:kern w:val="1"/>
      <w:sz w:val="32"/>
    </w:rPr>
  </w:style>
  <w:style w:type="table" w:customStyle="1" w:styleId="69">
    <w:name w:val="网格型11"/>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网格型3"/>
    <w:basedOn w:val="2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font51"/>
    <w:basedOn w:val="30"/>
    <w:qFormat/>
    <w:uiPriority w:val="0"/>
    <w:rPr>
      <w:rFonts w:hint="default" w:ascii="方正仿宋_GBK" w:hAnsi="方正仿宋_GBK" w:eastAsia="方正仿宋_GBK" w:cs="方正仿宋_GBK"/>
      <w:color w:val="000000"/>
      <w:sz w:val="24"/>
      <w:szCs w:val="24"/>
      <w:u w:val="none"/>
    </w:rPr>
  </w:style>
  <w:style w:type="paragraph" w:customStyle="1" w:styleId="72">
    <w:name w:val="正文缩进1"/>
    <w:basedOn w:val="1"/>
    <w:qFormat/>
    <w:uiPriority w:val="0"/>
    <w:pPr>
      <w:ind w:firstLine="420" w:firstLineChars="200"/>
    </w:pPr>
  </w:style>
  <w:style w:type="paragraph" w:customStyle="1" w:styleId="73">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74">
    <w:name w:val="缺省文本"/>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75">
    <w:name w:val="列表段落1"/>
    <w:basedOn w:val="1"/>
    <w:qFormat/>
    <w:uiPriority w:val="34"/>
    <w:pPr>
      <w:ind w:firstLine="420" w:firstLineChars="200"/>
    </w:pPr>
  </w:style>
  <w:style w:type="paragraph" w:customStyle="1" w:styleId="76">
    <w:name w:val="Body text|1"/>
    <w:basedOn w:val="1"/>
    <w:qFormat/>
    <w:uiPriority w:val="0"/>
    <w:pPr>
      <w:widowControl w:val="0"/>
      <w:shd w:val="clear" w:color="auto" w:fill="auto"/>
      <w:spacing w:line="334" w:lineRule="auto"/>
      <w:ind w:firstLine="400"/>
    </w:pPr>
    <w:rPr>
      <w:rFonts w:ascii="宋体" w:hAnsi="宋体" w:eastAsia="宋体" w:cs="宋体"/>
      <w:u w:val="none"/>
      <w:shd w:val="clear" w:color="auto" w:fill="auto"/>
      <w:lang w:val="zh-TW" w:eastAsia="zh-TW" w:bidi="zh-TW"/>
    </w:rPr>
  </w:style>
  <w:style w:type="paragraph" w:customStyle="1" w:styleId="77">
    <w:name w:val="样式1"/>
    <w:basedOn w:val="10"/>
    <w:qFormat/>
    <w:uiPriority w:val="99"/>
    <w:rPr>
      <w:rFonts w:ascii="宋体" w:hAnsi="宋体"/>
      <w:sz w:val="24"/>
      <w:szCs w:val="24"/>
    </w:rPr>
  </w:style>
  <w:style w:type="paragraph" w:customStyle="1" w:styleId="78">
    <w:name w:val="准备书正文"/>
    <w:qFormat/>
    <w:uiPriority w:val="0"/>
    <w:pPr>
      <w:spacing w:beforeLines="5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9">
    <w:name w:val="一级标题"/>
    <w:basedOn w:val="7"/>
    <w:qFormat/>
    <w:uiPriority w:val="0"/>
    <w:pPr>
      <w:spacing w:before="0" w:after="0" w:line="240" w:lineRule="auto"/>
      <w:jc w:val="center"/>
    </w:pPr>
    <w:rPr>
      <w:rFonts w:ascii="方正小标宋_GBK" w:eastAsia="方正小标宋_GBK"/>
      <w:b w:val="0"/>
      <w:shd w:val="clear" w:color="auto" w:fill="FFFFFF"/>
    </w:rPr>
  </w:style>
  <w:style w:type="paragraph" w:customStyle="1" w:styleId="80">
    <w:name w:val="Other|1"/>
    <w:basedOn w:val="1"/>
    <w:qFormat/>
    <w:uiPriority w:val="0"/>
    <w:pPr>
      <w:shd w:val="clear" w:color="000000" w:fill="auto"/>
    </w:pPr>
    <w:rPr>
      <w:shd w:val="clear" w:color="000000" w:fill="auto"/>
    </w:rPr>
  </w:style>
  <w:style w:type="paragraph" w:customStyle="1" w:styleId="81">
    <w:name w:val="纯文本1"/>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81</Pages>
  <Words>34312</Words>
  <Characters>36309</Characters>
  <Lines>348</Lines>
  <Paragraphs>98</Paragraphs>
  <TotalTime>30</TotalTime>
  <ScaleCrop>false</ScaleCrop>
  <LinksUpToDate>false</LinksUpToDate>
  <CharactersWithSpaces>38632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2021-08-14T12:18:00Z</dcterms:created>
  <dc:creator>Administrator</dc:creator>
  <cp:lastModifiedBy>王嘉鹏。</cp:lastModifiedBy>
  <cp:lastPrinted>2023-04-16T12:19:00Z</cp:lastPrinted>
  <dcterms:modified xsi:type="dcterms:W3CDTF">2023-10-20T07:12:15Z</dcterms:modified>
  <dc:title>新疆维吾尔自治区公安厅特警总队智能枪弹柜采购项目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C575C1E64C4D46768B84B8CDC8522822_13</vt:lpwstr>
  </property>
</Properties>
</file>