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349C4">
      <w:pPr>
        <w:ind w:firstLine="0" w:firstLineChars="0"/>
        <w:jc w:val="center"/>
        <w:rPr>
          <w:rFonts w:ascii="黑体" w:hAnsi="黑体" w:eastAsia="黑体"/>
          <w:sz w:val="48"/>
          <w:szCs w:val="48"/>
        </w:rPr>
      </w:pPr>
    </w:p>
    <w:p w14:paraId="54894BDB">
      <w:pPr>
        <w:ind w:firstLine="0" w:firstLineChars="0"/>
        <w:jc w:val="center"/>
        <w:rPr>
          <w:rFonts w:ascii="黑体" w:hAnsi="黑体" w:eastAsia="黑体"/>
          <w:sz w:val="48"/>
          <w:szCs w:val="48"/>
        </w:rPr>
      </w:pPr>
    </w:p>
    <w:p w14:paraId="04C9F4A3">
      <w:pPr>
        <w:ind w:firstLine="0" w:firstLineChars="0"/>
        <w:jc w:val="center"/>
        <w:rPr>
          <w:rFonts w:ascii="黑体" w:hAnsi="黑体" w:eastAsia="黑体"/>
          <w:sz w:val="52"/>
          <w:szCs w:val="52"/>
        </w:rPr>
      </w:pPr>
      <w:r>
        <w:rPr>
          <w:rFonts w:hint="eastAsia" w:ascii="黑体" w:hAnsi="黑体" w:eastAsia="黑体"/>
          <w:sz w:val="52"/>
          <w:szCs w:val="52"/>
        </w:rPr>
        <w:t>监狱综合保障管理平台建设项目(2026年升级改造)</w:t>
      </w:r>
    </w:p>
    <w:p w14:paraId="4DF5870C">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667F3FC8">
      <w:pPr>
        <w:ind w:firstLine="0" w:firstLineChars="0"/>
        <w:jc w:val="center"/>
        <w:rPr>
          <w:rFonts w:ascii="黑体" w:hAnsi="黑体" w:eastAsia="黑体"/>
          <w:sz w:val="72"/>
          <w:szCs w:val="72"/>
        </w:rPr>
      </w:pPr>
    </w:p>
    <w:p w14:paraId="33B3A287">
      <w:pPr>
        <w:ind w:firstLine="0" w:firstLineChars="0"/>
        <w:jc w:val="center"/>
        <w:rPr>
          <w:rFonts w:ascii="黑体" w:hAnsi="黑体" w:eastAsia="黑体"/>
          <w:sz w:val="48"/>
          <w:szCs w:val="48"/>
        </w:rPr>
      </w:pPr>
    </w:p>
    <w:p w14:paraId="4456A995">
      <w:pPr>
        <w:ind w:firstLine="0" w:firstLineChars="0"/>
        <w:jc w:val="center"/>
        <w:rPr>
          <w:rFonts w:ascii="黑体" w:hAnsi="黑体" w:eastAsia="黑体"/>
          <w:sz w:val="52"/>
          <w:szCs w:val="52"/>
        </w:rPr>
      </w:pPr>
    </w:p>
    <w:p w14:paraId="5B94AA88">
      <w:pPr>
        <w:ind w:firstLine="1040"/>
        <w:rPr>
          <w:rFonts w:ascii="黑体" w:hAnsi="黑体" w:eastAsia="黑体"/>
          <w:sz w:val="52"/>
          <w:szCs w:val="52"/>
        </w:rPr>
      </w:pPr>
    </w:p>
    <w:p w14:paraId="7509F5C4"/>
    <w:p w14:paraId="357A7097"/>
    <w:p w14:paraId="547C6419"/>
    <w:p w14:paraId="0CDCE73E"/>
    <w:p w14:paraId="64131EF4"/>
    <w:p w14:paraId="2B3322D5">
      <w:pPr>
        <w:ind w:firstLine="1040"/>
        <w:rPr>
          <w:rFonts w:ascii="黑体" w:hAnsi="黑体" w:eastAsia="黑体"/>
          <w:sz w:val="52"/>
          <w:szCs w:val="52"/>
        </w:rPr>
      </w:pPr>
    </w:p>
    <w:p w14:paraId="71FCEB19">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64604FC8">
      <w:pPr>
        <w:pStyle w:val="2"/>
      </w:pPr>
      <w:bookmarkStart w:id="0" w:name="_Toc63785461"/>
      <w:r>
        <w:rPr>
          <w:rFonts w:hint="eastAsia"/>
        </w:rPr>
        <w:t>项目概况</w:t>
      </w:r>
      <w:bookmarkEnd w:id="0"/>
    </w:p>
    <w:p w14:paraId="03829583">
      <w:pPr>
        <w:pStyle w:val="135"/>
        <w:widowControl/>
        <w:adjustRightInd w:val="0"/>
        <w:rPr>
          <w:rFonts w:cs="宋体"/>
          <w:lang w:eastAsia="zh-CN"/>
        </w:rPr>
      </w:pPr>
      <w:r>
        <w:rPr>
          <w:rFonts w:hint="eastAsia" w:cs="宋体"/>
          <w:lang w:eastAsia="zh-CN"/>
        </w:rPr>
        <w:t>项目背景</w:t>
      </w:r>
      <w:r>
        <w:rPr>
          <w:rFonts w:hint="eastAsia"/>
          <w:lang w:eastAsia="zh-CN"/>
        </w:rPr>
        <w:t>&amp;现状</w:t>
      </w:r>
      <w:r>
        <w:rPr>
          <w:rFonts w:hint="eastAsia" w:cs="宋体"/>
          <w:lang w:eastAsia="zh-CN"/>
        </w:rPr>
        <w:t>：</w:t>
      </w:r>
    </w:p>
    <w:p w14:paraId="2D91A7AC">
      <w:pPr>
        <w:widowControl/>
        <w:adjustRightInd w:val="0"/>
        <w:rPr>
          <w:rFonts w:cs="宋体"/>
        </w:rPr>
      </w:pPr>
      <w:r>
        <w:rPr>
          <w:rFonts w:hint="eastAsia" w:cs="宋体"/>
        </w:rPr>
        <w:t>随着司法体制改革深化和智慧监狱建设要求的提高，原有系统存在业务模块分散、数据共享不畅、流程协同效率低、智能化水平不足等问题，难以满足司法部关于“数字法治、智慧司法”的战略部署，以及监狱管理现代化对实时监管、资源优化、应急响应和廉政风险防控的迫切需求。市监狱管理局将通过综合保障管理平台的升级改造，打破信息孤岛，重构业务流程，提升监狱内部管理的系统性、规范性和前瞻性，为新时代监狱安全稳定和高效运行提供技术支撑。</w:t>
      </w:r>
    </w:p>
    <w:p w14:paraId="7D19285B">
      <w:pPr>
        <w:rPr>
          <w:rFonts w:cs="宋体"/>
          <w:color w:val="0000FF"/>
        </w:rPr>
      </w:pPr>
      <w:r>
        <w:rPr>
          <w:rFonts w:hint="eastAsia" w:cs="宋体"/>
        </w:rPr>
        <w:t>关于上海市监狱管理局数字档案室，党政机关和企事业单位建设数字档案室，是推进数字政府建设、履行政府职能和信息化改革的导向，是规范电子公文归档与电子档案管理的重要举措。2024年，中共中央国务院颁布的《中华人民共和国档案法实施条例》、国家档案局办公室印发的《推进机关数字档案室建设实施办法（试行）》（档办发〔2024〕7号），指出开展办公自动化及业务电子化运行的机关应当建设数字档案室。2023年，上海市档案局发布《上海市电子公文归档和电子档案管理实施细则》，明确党政机关内电子档案管理要求。原档案管理系统归属于上海市监狱管理局行政办公系统，为2008年开发的老系统，功能极其落后，较多模块无法正常使用，无法对接监狱下属单位，考虑到监狱独特的业务专业性需求和极高的数据安全保密要求，市里统建的系统无法满足监狱的特殊业务需求，市监狱管理局将新建上海市监狱管理局数字档案室，从而全面提升电子公文档案管理效能。</w:t>
      </w:r>
    </w:p>
    <w:p w14:paraId="637CCDA1">
      <w:pPr>
        <w:rPr>
          <w:rFonts w:cs="宋体"/>
        </w:rPr>
      </w:pPr>
      <w:r>
        <w:rPr>
          <w:rFonts w:hint="eastAsia" w:cs="宋体"/>
        </w:rPr>
        <w:t>关于上海监狱（公众网）网站，为贯彻落实《2025年上海市政务公开工作要点》（沪府办字〔2025〕5号）第25条及2025年上海市政务公开工作暨政府网站业务培训班会议精神，全面推进政务公开数字化转型，上海市监狱管理局拟对门户网站进行全面升级改造。本次升级旨在以“公开促落实、优服务、强监督”为核心功能，构建全国领先的监狱系统政务公开平台，充分展现上海监狱工作高质量发展成果，打造法治化、智能化、便民化的“阳光狱务”新标杆。</w:t>
      </w:r>
    </w:p>
    <w:p w14:paraId="639CA9E8">
      <w:pPr>
        <w:pStyle w:val="12"/>
        <w:widowControl/>
        <w:adjustRightInd w:val="0"/>
        <w:spacing w:line="360" w:lineRule="auto"/>
        <w:ind w:firstLine="480"/>
        <w:rPr>
          <w:rFonts w:ascii="宋体" w:hAnsi="宋体" w:cs="宋体"/>
          <w:sz w:val="24"/>
        </w:rPr>
      </w:pPr>
      <w:r>
        <w:rPr>
          <w:rFonts w:hint="eastAsia" w:ascii="宋体" w:hAnsi="宋体" w:cs="宋体"/>
          <w:sz w:val="24"/>
        </w:rPr>
        <w:t>关于内部控制管理平台，局本级内控管理平台自2019年6月完成招标并启动建设，至2020年7月各项主体建设任务基本完成并开始上线试运行，并于2021年11月完成项目验收，2022年本项目完成XC改造及服务器迁移。然而，目前监狱局无统一的预算项目库管理系统，预算项目属于多头、零散管理状态，计财处对预算项目的总量难以精准掌握，更无法有效地对预算项目实施动态调整与监管。其次，除局机关外，各基层单位的内控管理还没有实现信息系统管理，业务流转及申请单据采用纸质流转的形式，无法实现实时的监督监管，资金使用不合规的现象时有发生。根据中共中央办公厅、国务院办公厅印发的《关于进一步加强财会监督工作的意见》、《中共上海市监狱管理局委员会关于印发&lt;关于建立上海市监狱管理局会计集中核算工作机制的方案&gt;的通知》（沪司狱委发〔2025〕27号）等文件要求，结合上海市监狱管理局的实际需求，亟需基于预算项目管理，实施全局一体化的内控管理平台升级改造，促进局机关通过内控信息化的实施，结合日常管理进一步强化内控业务的监督工作，为健全和完善相关的管理制度奠定基础，提高相关业务效率，相关业务处理也更加规范。</w:t>
      </w:r>
    </w:p>
    <w:p w14:paraId="1B120C30">
      <w:pPr>
        <w:rPr>
          <w:rFonts w:cs="宋体"/>
          <w:highlight w:val="none"/>
        </w:rPr>
      </w:pPr>
      <w:r>
        <w:rPr>
          <w:rFonts w:hint="eastAsia" w:cs="宋体"/>
          <w:highlight w:val="none"/>
        </w:rPr>
        <w:t>建设期限：自合同签订起</w:t>
      </w:r>
      <w:r>
        <w:rPr>
          <w:rFonts w:cs="宋体"/>
          <w:highlight w:val="none"/>
        </w:rPr>
        <w:t>9个月内完成</w:t>
      </w:r>
      <w:r>
        <w:rPr>
          <w:rFonts w:hint="eastAsia" w:cs="宋体"/>
        </w:rPr>
        <w:t>项目建设并通过验收（含不少于30天试运行期）</w:t>
      </w:r>
    </w:p>
    <w:p w14:paraId="38A97442">
      <w:pPr>
        <w:rPr>
          <w:rFonts w:cs="宋体"/>
        </w:rPr>
      </w:pPr>
      <w:r>
        <w:rPr>
          <w:rFonts w:hint="eastAsia" w:cs="宋体"/>
        </w:rPr>
        <w:t>建设地点：上海市</w:t>
      </w:r>
    </w:p>
    <w:p w14:paraId="7C9695CD">
      <w:pPr>
        <w:rPr>
          <w:rFonts w:cs="宋体"/>
        </w:rPr>
      </w:pPr>
      <w:r>
        <w:rPr>
          <w:rFonts w:hint="eastAsia" w:cs="宋体"/>
        </w:rPr>
        <w:t>预算金额：1490000元</w:t>
      </w:r>
    </w:p>
    <w:p w14:paraId="6DA2947A">
      <w:pPr>
        <w:rPr>
          <w:rFonts w:cs="宋体"/>
        </w:rPr>
      </w:pPr>
      <w:r>
        <w:rPr>
          <w:rFonts w:hint="eastAsia" w:cs="宋体"/>
        </w:rPr>
        <w:t>采购金额（最高限价）：1490000元</w:t>
      </w:r>
    </w:p>
    <w:p w14:paraId="3E5D9440">
      <w:pPr>
        <w:rPr>
          <w:rFonts w:cs="宋体"/>
        </w:rPr>
      </w:pPr>
      <w:r>
        <w:rPr>
          <w:rFonts w:hint="eastAsia" w:cs="宋体"/>
        </w:rPr>
        <w:t>组织形式：集中采购</w:t>
      </w:r>
    </w:p>
    <w:p w14:paraId="4F34BA62">
      <w:pPr>
        <w:rPr>
          <w:rFonts w:cs="宋体"/>
        </w:rPr>
      </w:pPr>
      <w:r>
        <w:rPr>
          <w:rFonts w:hint="eastAsia" w:cs="宋体"/>
        </w:rPr>
        <w:t>采购方式：竞争性磋商</w:t>
      </w:r>
    </w:p>
    <w:p w14:paraId="07AF0A90">
      <w:pPr>
        <w:rPr>
          <w:rFonts w:cs="宋体"/>
        </w:rPr>
      </w:pPr>
      <w:r>
        <w:rPr>
          <w:rFonts w:hint="eastAsia" w:cs="宋体"/>
        </w:rPr>
        <w:t>是否接受联合体投标：否</w:t>
      </w:r>
    </w:p>
    <w:p w14:paraId="4A9A6B8D">
      <w:pPr>
        <w:rPr>
          <w:rFonts w:cs="宋体"/>
        </w:rPr>
      </w:pPr>
      <w:r>
        <w:rPr>
          <w:rFonts w:hint="eastAsia" w:cs="宋体"/>
        </w:rPr>
        <w:t>是否按XC要求建设：是</w:t>
      </w:r>
    </w:p>
    <w:p w14:paraId="47927EBC">
      <w:pPr>
        <w:rPr>
          <w:rFonts w:cs="宋体"/>
        </w:rPr>
      </w:pPr>
      <w:r>
        <w:rPr>
          <w:rFonts w:hint="eastAsia" w:cs="宋体"/>
        </w:rPr>
        <w:t>运维后所属大系统：监狱综合保障管理平台</w:t>
      </w:r>
    </w:p>
    <w:p w14:paraId="1BF1E8DC">
      <w:pPr>
        <w:pStyle w:val="2"/>
      </w:pPr>
      <w:bookmarkStart w:id="1" w:name="_Toc47531634"/>
      <w:bookmarkEnd w:id="1"/>
      <w:bookmarkStart w:id="2" w:name="_Toc47536644"/>
      <w:bookmarkEnd w:id="2"/>
      <w:bookmarkStart w:id="3" w:name="_Toc47532891"/>
      <w:bookmarkEnd w:id="3"/>
      <w:bookmarkStart w:id="4" w:name="_Toc47533256"/>
      <w:bookmarkEnd w:id="4"/>
      <w:bookmarkStart w:id="5" w:name="_Toc47537134"/>
      <w:bookmarkEnd w:id="5"/>
      <w:bookmarkStart w:id="6" w:name="_Toc47539070"/>
      <w:bookmarkEnd w:id="6"/>
      <w:bookmarkStart w:id="7" w:name="_Toc47536272"/>
      <w:bookmarkEnd w:id="7"/>
      <w:bookmarkStart w:id="8" w:name="_Toc47532255"/>
      <w:bookmarkEnd w:id="8"/>
      <w:bookmarkStart w:id="9" w:name="_Toc63785463"/>
      <w:bookmarkStart w:id="10" w:name="_Toc48223882"/>
      <w:r>
        <w:rPr>
          <w:rFonts w:hint="eastAsia"/>
        </w:rPr>
        <w:t>建设目标</w:t>
      </w:r>
      <w:bookmarkEnd w:id="9"/>
      <w:bookmarkEnd w:id="10"/>
    </w:p>
    <w:p w14:paraId="3F5C4AC5">
      <w:pPr>
        <w:pStyle w:val="3"/>
        <w:ind w:left="567"/>
      </w:pPr>
      <w:r>
        <w:rPr>
          <w:rFonts w:hint="eastAsia"/>
        </w:rPr>
        <w:t>总体建设目标</w:t>
      </w:r>
    </w:p>
    <w:p w14:paraId="03DB7E70">
      <w:pPr>
        <w:widowControl/>
        <w:adjustRightInd w:val="0"/>
        <w:rPr>
          <w:rFonts w:cs="宋体"/>
        </w:rPr>
      </w:pPr>
      <w:r>
        <w:rPr>
          <w:rFonts w:hint="eastAsia" w:cs="宋体"/>
        </w:rPr>
        <w:t>本次项目建设目标旨在以数字化、协同化为核心，通过整合数据资源、优化业务流程、引入新技术，优化升级行政办公、门户网站等场景的智能管理平台，实现跨系统数据互通、业务流程自动化、风险预警实时化、资源调度精细化，全面提升监狱内部管理的运行效率、风险防控能力和决策支持水平，打造安全可靠、高效集约、规范透明的现代化监狱治理体系。</w:t>
      </w:r>
    </w:p>
    <w:p w14:paraId="06D0FCD6">
      <w:pPr>
        <w:pStyle w:val="3"/>
        <w:ind w:left="567"/>
      </w:pPr>
      <w:r>
        <w:rPr>
          <w:rFonts w:hint="eastAsia"/>
        </w:rPr>
        <w:t>应用指标</w:t>
      </w:r>
    </w:p>
    <w:p w14:paraId="516175B1">
      <w:pPr>
        <w:widowControl/>
        <w:adjustRightInd w:val="0"/>
        <w:ind w:firstLine="482"/>
        <w:rPr>
          <w:rFonts w:cs="宋体"/>
          <w:b/>
          <w:bCs/>
        </w:rPr>
      </w:pPr>
      <w:r>
        <w:rPr>
          <w:rFonts w:hint="eastAsia" w:cs="宋体"/>
          <w:b/>
          <w:bCs/>
        </w:rPr>
        <w:t>（1）上海市监狱管理局数字档案室（新建）：</w:t>
      </w:r>
    </w:p>
    <w:p w14:paraId="65946D1E">
      <w:pPr>
        <w:widowControl/>
        <w:adjustRightInd w:val="0"/>
        <w:rPr>
          <w:rFonts w:cs="宋体"/>
        </w:rPr>
      </w:pPr>
      <w:r>
        <w:rPr>
          <w:rFonts w:hint="eastAsia" w:cs="宋体"/>
        </w:rPr>
        <w:t>结合档案工作发展新形势及上海市监狱管理局档案管理工作的相关要求，为进一步提升档案数据资源管理能力，满足监狱独特的业务专业性需求，满足监狱档案数据极高的安全要求，本项目旨在构建一个从档案收集、管理、保存、利用、鉴定、统计为一体的全生命周期数字化管理平台，以提升档案管理部门对电子文件的综合管理能力。并通过建立标准化的数据交换接口，以数据流打通业务流，实现跨单位、跨部门的信息共享及业务协作。</w:t>
      </w:r>
    </w:p>
    <w:p w14:paraId="6A519C9B">
      <w:pPr>
        <w:widowControl/>
        <w:adjustRightInd w:val="0"/>
        <w:ind w:firstLine="482"/>
        <w:rPr>
          <w:rFonts w:cs="宋体"/>
          <w:b/>
          <w:bCs/>
        </w:rPr>
      </w:pPr>
      <w:r>
        <w:rPr>
          <w:rFonts w:hint="eastAsia" w:cs="宋体"/>
          <w:b/>
          <w:bCs/>
        </w:rPr>
        <w:t>（2）上海监狱（公众网）网站系统（功能升级）：</w:t>
      </w:r>
    </w:p>
    <w:p w14:paraId="1B612B3F">
      <w:pPr>
        <w:widowControl/>
        <w:adjustRightInd w:val="0"/>
        <w:rPr>
          <w:rFonts w:cs="宋体"/>
        </w:rPr>
      </w:pPr>
      <w:r>
        <w:rPr>
          <w:rFonts w:hint="eastAsia" w:cs="宋体"/>
        </w:rPr>
        <w:t>深化政策集成服务，强化“一网通办”政务协同，实现政策发布、解读、应用、反馈全链条闭环管理，突出上海监狱执法规范化、教育改造创新化、狱务公开透明化的核心优势，形成领先的全国监狱系统省局门户网站。</w:t>
      </w:r>
    </w:p>
    <w:p w14:paraId="2B6A8100">
      <w:pPr>
        <w:widowControl/>
        <w:adjustRightInd w:val="0"/>
        <w:ind w:firstLine="482"/>
        <w:rPr>
          <w:rFonts w:cs="宋体"/>
          <w:b/>
          <w:bCs/>
        </w:rPr>
      </w:pPr>
      <w:r>
        <w:rPr>
          <w:rFonts w:hint="eastAsia" w:cs="宋体"/>
          <w:b/>
          <w:bCs/>
        </w:rPr>
        <w:t>（3）上海市监狱管理局内部控制管理平台（功能升级）：</w:t>
      </w:r>
    </w:p>
    <w:p w14:paraId="733E8370">
      <w:pPr>
        <w:pStyle w:val="63"/>
        <w:widowControl/>
        <w:adjustRightInd w:val="0"/>
        <w:ind w:firstLine="480"/>
        <w:rPr>
          <w:rFonts w:ascii="宋体" w:hAnsi="宋体" w:cs="宋体"/>
          <w:sz w:val="24"/>
        </w:rPr>
      </w:pPr>
      <w:r>
        <w:rPr>
          <w:rFonts w:hint="eastAsia" w:ascii="宋体" w:hAnsi="宋体" w:cs="宋体"/>
          <w:kern w:val="0"/>
          <w:sz w:val="24"/>
        </w:rPr>
        <w:t>1）完成预算一体化平台的建设，实现项目管理的以下目标：</w:t>
      </w:r>
      <w:r>
        <w:rPr>
          <w:rFonts w:hint="eastAsia" w:ascii="宋体" w:hAnsi="宋体" w:cs="宋体"/>
          <w:sz w:val="24"/>
        </w:rPr>
        <w:t>政策导向、分级管理；科学论证、规范管理；动态调整、强化约束；有效实施、追踪问效；</w:t>
      </w:r>
    </w:p>
    <w:p w14:paraId="07EF1100">
      <w:pPr>
        <w:pStyle w:val="63"/>
        <w:widowControl/>
        <w:adjustRightInd w:val="0"/>
        <w:ind w:firstLine="480"/>
        <w:rPr>
          <w:rFonts w:ascii="宋体" w:hAnsi="宋体" w:cs="宋体"/>
          <w:kern w:val="0"/>
          <w:sz w:val="24"/>
        </w:rPr>
      </w:pPr>
      <w:r>
        <w:rPr>
          <w:rFonts w:hint="eastAsia" w:ascii="宋体" w:hAnsi="宋体" w:cs="宋体"/>
          <w:kern w:val="0"/>
          <w:sz w:val="24"/>
        </w:rPr>
        <w:t>2）实现全局各预算单位的财</w:t>
      </w:r>
      <w:r>
        <w:rPr>
          <w:rFonts w:hint="eastAsia" w:ascii="宋体" w:hAnsi="宋体" w:cs="宋体"/>
          <w:sz w:val="24"/>
        </w:rPr>
        <w:t>务内控业务均纳入本平台管理，</w:t>
      </w:r>
      <w:r>
        <w:rPr>
          <w:rFonts w:hint="eastAsia" w:ascii="宋体" w:hAnsi="宋体" w:cs="宋体"/>
          <w:kern w:val="0"/>
          <w:sz w:val="24"/>
        </w:rPr>
        <w:t>实现监督关口前移，能够实现实时监督、事前监督、事后跟踪的目标；</w:t>
      </w:r>
    </w:p>
    <w:p w14:paraId="4D898E87">
      <w:pPr>
        <w:pStyle w:val="63"/>
        <w:widowControl/>
        <w:adjustRightInd w:val="0"/>
        <w:ind w:firstLine="480"/>
        <w:rPr>
          <w:rFonts w:ascii="宋体" w:hAnsi="宋体" w:cs="宋体"/>
          <w:kern w:val="0"/>
          <w:sz w:val="24"/>
        </w:rPr>
      </w:pPr>
      <w:r>
        <w:rPr>
          <w:rFonts w:hint="eastAsia" w:ascii="宋体" w:hAnsi="宋体" w:cs="宋体"/>
          <w:kern w:val="0"/>
          <w:sz w:val="24"/>
        </w:rPr>
        <w:t>3）各单位监管人员、局级权限监管人员可以随时监督、事后追踪本单位的内控业务；</w:t>
      </w:r>
    </w:p>
    <w:p w14:paraId="14646732">
      <w:pPr>
        <w:rPr>
          <w:rFonts w:cs="宋体"/>
        </w:rPr>
      </w:pPr>
      <w:r>
        <w:rPr>
          <w:rFonts w:hint="eastAsia" w:cs="宋体"/>
        </w:rPr>
        <w:t>4）实现全流程自动化辅助。</w:t>
      </w:r>
    </w:p>
    <w:p w14:paraId="1F91FAC7">
      <w:pPr>
        <w:pStyle w:val="3"/>
        <w:ind w:left="567"/>
      </w:pPr>
      <w:r>
        <w:rPr>
          <w:rFonts w:hint="eastAsia"/>
        </w:rPr>
        <w:t>技术指标</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74"/>
        <w:gridCol w:w="1192"/>
        <w:gridCol w:w="1267"/>
        <w:gridCol w:w="2637"/>
        <w:gridCol w:w="1415"/>
      </w:tblGrid>
      <w:tr w14:paraId="0035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2B27DC27">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747" w:type="pct"/>
            <w:shd w:val="clear" w:color="auto" w:fill="auto"/>
            <w:vAlign w:val="center"/>
          </w:tcPr>
          <w:p w14:paraId="2D22EDEE">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一级指标</w:t>
            </w:r>
          </w:p>
        </w:tc>
        <w:tc>
          <w:tcPr>
            <w:tcW w:w="699" w:type="pct"/>
            <w:shd w:val="clear" w:color="auto" w:fill="auto"/>
            <w:vAlign w:val="center"/>
          </w:tcPr>
          <w:p w14:paraId="7B38CD33">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二级指标</w:t>
            </w:r>
          </w:p>
        </w:tc>
        <w:tc>
          <w:tcPr>
            <w:tcW w:w="743" w:type="pct"/>
            <w:shd w:val="clear" w:color="auto" w:fill="auto"/>
            <w:vAlign w:val="center"/>
          </w:tcPr>
          <w:p w14:paraId="6DE7084E">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三级指标</w:t>
            </w:r>
          </w:p>
        </w:tc>
        <w:tc>
          <w:tcPr>
            <w:tcW w:w="1546" w:type="pct"/>
            <w:shd w:val="clear" w:color="auto" w:fill="auto"/>
            <w:vAlign w:val="center"/>
          </w:tcPr>
          <w:p w14:paraId="6B2D3F35">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四级指标</w:t>
            </w:r>
          </w:p>
        </w:tc>
        <w:tc>
          <w:tcPr>
            <w:tcW w:w="829" w:type="pct"/>
            <w:shd w:val="clear" w:color="auto" w:fill="auto"/>
            <w:vAlign w:val="center"/>
          </w:tcPr>
          <w:p w14:paraId="57DE29E9">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指标值</w:t>
            </w:r>
          </w:p>
        </w:tc>
      </w:tr>
      <w:tr w14:paraId="0A75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5708F56F">
            <w:pPr>
              <w:widowControl/>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747" w:type="pct"/>
            <w:shd w:val="clear" w:color="auto" w:fill="auto"/>
            <w:vAlign w:val="center"/>
          </w:tcPr>
          <w:p w14:paraId="065865C2">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4649C68B">
            <w:pPr>
              <w:widowControl/>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43" w:type="pct"/>
            <w:shd w:val="clear" w:color="auto" w:fill="auto"/>
            <w:vAlign w:val="center"/>
          </w:tcPr>
          <w:p w14:paraId="0D6AA594">
            <w:pPr>
              <w:widowControl/>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46" w:type="pct"/>
            <w:shd w:val="clear" w:color="auto" w:fill="auto"/>
            <w:vAlign w:val="center"/>
          </w:tcPr>
          <w:p w14:paraId="0B00BBAE">
            <w:pPr>
              <w:widowControl/>
              <w:ind w:firstLine="0" w:firstLineChars="0"/>
              <w:jc w:val="center"/>
              <w:textAlignment w:val="center"/>
              <w:rPr>
                <w:rFonts w:cs="宋体"/>
                <w:color w:val="000000"/>
                <w:sz w:val="22"/>
                <w:szCs w:val="22"/>
              </w:rPr>
            </w:pPr>
            <w:r>
              <w:rPr>
                <w:rFonts w:hint="eastAsia" w:cs="宋体"/>
                <w:color w:val="000000"/>
                <w:kern w:val="0"/>
                <w:sz w:val="22"/>
                <w:szCs w:val="22"/>
              </w:rPr>
              <w:t>系统稳定性</w:t>
            </w:r>
          </w:p>
        </w:tc>
        <w:tc>
          <w:tcPr>
            <w:tcW w:w="829" w:type="pct"/>
            <w:shd w:val="clear" w:color="auto" w:fill="auto"/>
            <w:vAlign w:val="center"/>
          </w:tcPr>
          <w:p w14:paraId="6DF024FC">
            <w:pPr>
              <w:widowControl/>
              <w:ind w:firstLine="0" w:firstLineChars="0"/>
              <w:jc w:val="center"/>
              <w:textAlignment w:val="center"/>
              <w:rPr>
                <w:rFonts w:cs="宋体"/>
                <w:color w:val="000000"/>
                <w:sz w:val="22"/>
                <w:szCs w:val="22"/>
              </w:rPr>
            </w:pPr>
            <w:r>
              <w:rPr>
                <w:rFonts w:hint="eastAsia" w:cs="宋体"/>
                <w:color w:val="000000"/>
                <w:kern w:val="0"/>
                <w:sz w:val="22"/>
                <w:szCs w:val="22"/>
              </w:rPr>
              <w:t>≥99%</w:t>
            </w:r>
          </w:p>
        </w:tc>
      </w:tr>
      <w:tr w14:paraId="72FB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348EF53A">
            <w:pPr>
              <w:widowControl/>
              <w:ind w:firstLine="0" w:firstLineChars="0"/>
              <w:jc w:val="center"/>
              <w:textAlignment w:val="center"/>
              <w:rPr>
                <w:rFonts w:cs="宋体"/>
                <w:color w:val="000000"/>
                <w:sz w:val="22"/>
                <w:szCs w:val="22"/>
              </w:rPr>
            </w:pPr>
            <w:r>
              <w:rPr>
                <w:rFonts w:hint="eastAsia" w:cs="宋体"/>
                <w:color w:val="000000"/>
                <w:kern w:val="0"/>
                <w:sz w:val="22"/>
                <w:szCs w:val="22"/>
              </w:rPr>
              <w:t>2</w:t>
            </w:r>
          </w:p>
        </w:tc>
        <w:tc>
          <w:tcPr>
            <w:tcW w:w="747" w:type="pct"/>
            <w:shd w:val="clear" w:color="auto" w:fill="auto"/>
            <w:vAlign w:val="center"/>
          </w:tcPr>
          <w:p w14:paraId="22479988">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026C3EFE">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5E3F9523">
            <w:pPr>
              <w:widowControl/>
              <w:ind w:firstLine="0" w:firstLineChars="0"/>
              <w:jc w:val="center"/>
              <w:textAlignment w:val="center"/>
              <w:rPr>
                <w:rFonts w:cs="宋体"/>
                <w:color w:val="000000"/>
                <w:sz w:val="22"/>
                <w:szCs w:val="22"/>
              </w:rPr>
            </w:pPr>
            <w:r>
              <w:rPr>
                <w:rFonts w:hint="eastAsia" w:cs="宋体"/>
                <w:color w:val="000000"/>
                <w:kern w:val="0"/>
                <w:sz w:val="22"/>
                <w:szCs w:val="22"/>
              </w:rPr>
              <w:t>共性平台</w:t>
            </w:r>
          </w:p>
        </w:tc>
        <w:tc>
          <w:tcPr>
            <w:tcW w:w="1546" w:type="pct"/>
            <w:shd w:val="clear" w:color="auto" w:fill="auto"/>
            <w:vAlign w:val="center"/>
          </w:tcPr>
          <w:p w14:paraId="653FA2D3">
            <w:pPr>
              <w:widowControl/>
              <w:ind w:firstLine="0" w:firstLineChars="0"/>
              <w:jc w:val="center"/>
              <w:textAlignment w:val="center"/>
              <w:rPr>
                <w:rFonts w:cs="宋体"/>
                <w:color w:val="000000"/>
                <w:sz w:val="22"/>
                <w:szCs w:val="22"/>
              </w:rPr>
            </w:pPr>
            <w:r>
              <w:rPr>
                <w:rFonts w:hint="eastAsia" w:cs="宋体"/>
                <w:color w:val="000000"/>
                <w:kern w:val="0"/>
                <w:sz w:val="22"/>
                <w:szCs w:val="22"/>
              </w:rPr>
              <w:t>系统共享水平</w:t>
            </w:r>
          </w:p>
        </w:tc>
        <w:tc>
          <w:tcPr>
            <w:tcW w:w="829" w:type="pct"/>
            <w:shd w:val="clear" w:color="auto" w:fill="auto"/>
            <w:vAlign w:val="center"/>
          </w:tcPr>
          <w:p w14:paraId="05B5B724">
            <w:pPr>
              <w:widowControl/>
              <w:ind w:firstLine="0" w:firstLineChars="0"/>
              <w:jc w:val="center"/>
              <w:textAlignment w:val="center"/>
              <w:rPr>
                <w:rFonts w:cs="宋体"/>
                <w:color w:val="000000"/>
                <w:sz w:val="22"/>
                <w:szCs w:val="22"/>
              </w:rPr>
            </w:pPr>
            <w:r>
              <w:rPr>
                <w:rFonts w:hint="eastAsia" w:cs="宋体"/>
                <w:color w:val="000000"/>
                <w:kern w:val="0"/>
                <w:sz w:val="22"/>
                <w:szCs w:val="22"/>
              </w:rPr>
              <w:t>全局使用</w:t>
            </w:r>
          </w:p>
        </w:tc>
      </w:tr>
      <w:tr w14:paraId="04EE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2EA7C4D0">
            <w:pPr>
              <w:widowControl/>
              <w:ind w:firstLine="0" w:firstLineChars="0"/>
              <w:jc w:val="center"/>
              <w:textAlignment w:val="center"/>
              <w:rPr>
                <w:rFonts w:cs="宋体"/>
                <w:color w:val="000000"/>
                <w:sz w:val="22"/>
                <w:szCs w:val="22"/>
              </w:rPr>
            </w:pPr>
            <w:r>
              <w:rPr>
                <w:rFonts w:hint="eastAsia" w:cs="宋体"/>
                <w:color w:val="000000"/>
                <w:kern w:val="0"/>
                <w:sz w:val="22"/>
                <w:szCs w:val="22"/>
              </w:rPr>
              <w:t>3</w:t>
            </w:r>
          </w:p>
        </w:tc>
        <w:tc>
          <w:tcPr>
            <w:tcW w:w="747" w:type="pct"/>
            <w:shd w:val="clear" w:color="auto" w:fill="auto"/>
            <w:vAlign w:val="center"/>
          </w:tcPr>
          <w:p w14:paraId="7E591A6F">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47DCD533">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46B349DF">
            <w:pPr>
              <w:widowControl/>
              <w:ind w:firstLine="0" w:firstLineChars="0"/>
              <w:jc w:val="center"/>
              <w:textAlignment w:val="center"/>
              <w:rPr>
                <w:rFonts w:cs="宋体"/>
                <w:color w:val="000000"/>
                <w:sz w:val="22"/>
                <w:szCs w:val="22"/>
              </w:rPr>
            </w:pPr>
            <w:r>
              <w:rPr>
                <w:rFonts w:hint="eastAsia" w:cs="宋体"/>
                <w:color w:val="000000"/>
                <w:kern w:val="0"/>
                <w:sz w:val="22"/>
                <w:szCs w:val="22"/>
              </w:rPr>
              <w:t>共性平台</w:t>
            </w:r>
          </w:p>
        </w:tc>
        <w:tc>
          <w:tcPr>
            <w:tcW w:w="1546" w:type="pct"/>
            <w:shd w:val="clear" w:color="auto" w:fill="auto"/>
            <w:vAlign w:val="center"/>
          </w:tcPr>
          <w:p w14:paraId="47767877">
            <w:pPr>
              <w:widowControl/>
              <w:ind w:firstLine="0" w:firstLineChars="0"/>
              <w:jc w:val="center"/>
              <w:textAlignment w:val="center"/>
              <w:rPr>
                <w:rFonts w:cs="宋体"/>
                <w:color w:val="000000"/>
                <w:sz w:val="22"/>
                <w:szCs w:val="22"/>
              </w:rPr>
            </w:pPr>
            <w:r>
              <w:rPr>
                <w:rFonts w:hint="eastAsia" w:cs="宋体"/>
                <w:color w:val="000000"/>
                <w:kern w:val="0"/>
                <w:sz w:val="22"/>
                <w:szCs w:val="22"/>
              </w:rPr>
              <w:t>数据质量水平-核心数据缺失率</w:t>
            </w:r>
          </w:p>
        </w:tc>
        <w:tc>
          <w:tcPr>
            <w:tcW w:w="829" w:type="pct"/>
            <w:shd w:val="clear" w:color="auto" w:fill="auto"/>
            <w:vAlign w:val="center"/>
          </w:tcPr>
          <w:p w14:paraId="34937566">
            <w:pPr>
              <w:widowControl/>
              <w:ind w:firstLine="0" w:firstLineChars="0"/>
              <w:jc w:val="center"/>
              <w:textAlignment w:val="center"/>
              <w:rPr>
                <w:rFonts w:cs="宋体"/>
                <w:color w:val="000000"/>
                <w:sz w:val="22"/>
                <w:szCs w:val="22"/>
              </w:rPr>
            </w:pPr>
            <w:r>
              <w:rPr>
                <w:rFonts w:hint="eastAsia" w:cs="宋体"/>
                <w:color w:val="000000"/>
                <w:kern w:val="0"/>
                <w:sz w:val="22"/>
                <w:szCs w:val="22"/>
              </w:rPr>
              <w:t>0%</w:t>
            </w:r>
          </w:p>
        </w:tc>
      </w:tr>
      <w:tr w14:paraId="756F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5CFCC003">
            <w:pPr>
              <w:widowControl/>
              <w:ind w:firstLine="0" w:firstLineChars="0"/>
              <w:jc w:val="center"/>
              <w:textAlignment w:val="center"/>
              <w:rPr>
                <w:rFonts w:cs="宋体"/>
                <w:color w:val="000000"/>
                <w:sz w:val="22"/>
                <w:szCs w:val="22"/>
              </w:rPr>
            </w:pPr>
            <w:r>
              <w:rPr>
                <w:rFonts w:hint="eastAsia" w:cs="宋体"/>
                <w:color w:val="000000"/>
                <w:kern w:val="0"/>
                <w:sz w:val="22"/>
                <w:szCs w:val="22"/>
              </w:rPr>
              <w:t>4</w:t>
            </w:r>
          </w:p>
        </w:tc>
        <w:tc>
          <w:tcPr>
            <w:tcW w:w="747" w:type="pct"/>
            <w:shd w:val="clear" w:color="auto" w:fill="auto"/>
            <w:vAlign w:val="center"/>
          </w:tcPr>
          <w:p w14:paraId="45B70E88">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340AD486">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41AEF48C">
            <w:pPr>
              <w:widowControl/>
              <w:ind w:firstLine="0" w:firstLineChars="0"/>
              <w:jc w:val="center"/>
              <w:textAlignment w:val="center"/>
              <w:rPr>
                <w:rFonts w:cs="宋体"/>
                <w:color w:val="000000"/>
                <w:sz w:val="22"/>
                <w:szCs w:val="22"/>
              </w:rPr>
            </w:pPr>
            <w:r>
              <w:rPr>
                <w:rFonts w:hint="eastAsia" w:cs="宋体"/>
                <w:color w:val="000000"/>
                <w:kern w:val="0"/>
                <w:sz w:val="22"/>
                <w:szCs w:val="22"/>
              </w:rPr>
              <w:t>应用系统</w:t>
            </w:r>
          </w:p>
        </w:tc>
        <w:tc>
          <w:tcPr>
            <w:tcW w:w="1546" w:type="pct"/>
            <w:shd w:val="clear" w:color="auto" w:fill="auto"/>
            <w:vAlign w:val="center"/>
          </w:tcPr>
          <w:p w14:paraId="11DE1BB7">
            <w:pPr>
              <w:widowControl/>
              <w:ind w:firstLine="0" w:firstLineChars="0"/>
              <w:jc w:val="center"/>
              <w:textAlignment w:val="center"/>
              <w:rPr>
                <w:rFonts w:cs="宋体"/>
                <w:color w:val="000000"/>
                <w:sz w:val="22"/>
                <w:szCs w:val="22"/>
              </w:rPr>
            </w:pPr>
            <w:r>
              <w:rPr>
                <w:rFonts w:hint="eastAsia" w:cs="宋体"/>
                <w:color w:val="000000"/>
                <w:kern w:val="0"/>
                <w:sz w:val="22"/>
                <w:szCs w:val="22"/>
              </w:rPr>
              <w:t>系统与业务融合能力</w:t>
            </w:r>
          </w:p>
        </w:tc>
        <w:tc>
          <w:tcPr>
            <w:tcW w:w="829" w:type="pct"/>
            <w:shd w:val="clear" w:color="auto" w:fill="auto"/>
            <w:vAlign w:val="center"/>
          </w:tcPr>
          <w:p w14:paraId="0506C2F1">
            <w:pPr>
              <w:widowControl/>
              <w:ind w:firstLine="0" w:firstLineChars="0"/>
              <w:jc w:val="center"/>
              <w:textAlignment w:val="center"/>
              <w:rPr>
                <w:rFonts w:cs="宋体"/>
                <w:color w:val="000000"/>
                <w:sz w:val="22"/>
                <w:szCs w:val="22"/>
              </w:rPr>
            </w:pPr>
            <w:r>
              <w:rPr>
                <w:rFonts w:hint="eastAsia" w:cs="宋体"/>
                <w:color w:val="000000"/>
                <w:kern w:val="0"/>
                <w:sz w:val="22"/>
                <w:szCs w:val="22"/>
              </w:rPr>
              <w:t>全面融合</w:t>
            </w:r>
          </w:p>
        </w:tc>
      </w:tr>
      <w:tr w14:paraId="1D29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434" w:type="pct"/>
            <w:shd w:val="clear" w:color="auto" w:fill="auto"/>
            <w:vAlign w:val="center"/>
          </w:tcPr>
          <w:p w14:paraId="6A747E9A">
            <w:pPr>
              <w:widowControl/>
              <w:ind w:firstLine="0" w:firstLineChars="0"/>
              <w:jc w:val="center"/>
              <w:textAlignment w:val="center"/>
              <w:rPr>
                <w:rFonts w:cs="宋体"/>
                <w:color w:val="000000"/>
                <w:sz w:val="22"/>
                <w:szCs w:val="22"/>
              </w:rPr>
            </w:pPr>
            <w:r>
              <w:rPr>
                <w:rFonts w:hint="eastAsia" w:cs="宋体"/>
                <w:color w:val="000000"/>
                <w:kern w:val="0"/>
                <w:sz w:val="22"/>
                <w:szCs w:val="22"/>
              </w:rPr>
              <w:t>5</w:t>
            </w:r>
          </w:p>
        </w:tc>
        <w:tc>
          <w:tcPr>
            <w:tcW w:w="747" w:type="pct"/>
            <w:shd w:val="clear" w:color="auto" w:fill="auto"/>
            <w:vAlign w:val="center"/>
          </w:tcPr>
          <w:p w14:paraId="0246EE0A">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3E5CA8C7">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2EA50D00">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4322286C">
            <w:pPr>
              <w:widowControl/>
              <w:ind w:firstLine="0" w:firstLineChars="0"/>
              <w:jc w:val="center"/>
              <w:textAlignment w:val="center"/>
              <w:rPr>
                <w:rFonts w:cs="宋体"/>
                <w:color w:val="000000"/>
                <w:sz w:val="22"/>
                <w:szCs w:val="22"/>
              </w:rPr>
            </w:pPr>
            <w:r>
              <w:rPr>
                <w:rFonts w:hint="eastAsia" w:cs="宋体"/>
                <w:color w:val="000000"/>
                <w:kern w:val="0"/>
                <w:sz w:val="22"/>
                <w:szCs w:val="22"/>
              </w:rPr>
              <w:t>安全建设水平</w:t>
            </w:r>
          </w:p>
        </w:tc>
        <w:tc>
          <w:tcPr>
            <w:tcW w:w="829" w:type="pct"/>
            <w:shd w:val="clear" w:color="auto" w:fill="auto"/>
            <w:vAlign w:val="center"/>
          </w:tcPr>
          <w:p w14:paraId="77D34803">
            <w:pPr>
              <w:widowControl/>
              <w:ind w:firstLine="0" w:firstLineChars="0"/>
              <w:jc w:val="center"/>
              <w:textAlignment w:val="center"/>
              <w:rPr>
                <w:rFonts w:cs="宋体"/>
                <w:color w:val="000000"/>
                <w:sz w:val="22"/>
                <w:szCs w:val="22"/>
              </w:rPr>
            </w:pPr>
            <w:r>
              <w:rPr>
                <w:rFonts w:hint="eastAsia" w:cs="宋体"/>
                <w:color w:val="000000"/>
                <w:kern w:val="0"/>
                <w:sz w:val="22"/>
                <w:szCs w:val="22"/>
              </w:rPr>
              <w:t>数据、网络、系统安全措施到位</w:t>
            </w:r>
          </w:p>
        </w:tc>
      </w:tr>
      <w:tr w14:paraId="5C19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0CB5FB37">
            <w:pPr>
              <w:widowControl/>
              <w:ind w:firstLine="0" w:firstLineChars="0"/>
              <w:jc w:val="center"/>
              <w:textAlignment w:val="center"/>
              <w:rPr>
                <w:rFonts w:cs="宋体"/>
                <w:color w:val="000000"/>
                <w:sz w:val="22"/>
                <w:szCs w:val="22"/>
              </w:rPr>
            </w:pPr>
            <w:r>
              <w:rPr>
                <w:rFonts w:hint="eastAsia" w:cs="宋体"/>
                <w:color w:val="000000"/>
                <w:kern w:val="0"/>
                <w:sz w:val="22"/>
                <w:szCs w:val="22"/>
              </w:rPr>
              <w:t>6</w:t>
            </w:r>
          </w:p>
        </w:tc>
        <w:tc>
          <w:tcPr>
            <w:tcW w:w="747" w:type="pct"/>
            <w:shd w:val="clear" w:color="auto" w:fill="auto"/>
            <w:vAlign w:val="center"/>
          </w:tcPr>
          <w:p w14:paraId="398D5A2E">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7EE5796C">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47F3922D">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026A5481">
            <w:pPr>
              <w:widowControl/>
              <w:ind w:firstLine="0" w:firstLineChars="0"/>
              <w:jc w:val="center"/>
              <w:textAlignment w:val="center"/>
              <w:rPr>
                <w:rFonts w:cs="宋体"/>
                <w:color w:val="000000"/>
                <w:sz w:val="22"/>
                <w:szCs w:val="22"/>
              </w:rPr>
            </w:pPr>
            <w:r>
              <w:rPr>
                <w:rFonts w:hint="eastAsia" w:cs="宋体"/>
                <w:color w:val="000000"/>
                <w:kern w:val="0"/>
                <w:sz w:val="22"/>
                <w:szCs w:val="22"/>
              </w:rPr>
              <w:t>信息系统安全监管覆盖率</w:t>
            </w:r>
          </w:p>
        </w:tc>
        <w:tc>
          <w:tcPr>
            <w:tcW w:w="829" w:type="pct"/>
            <w:shd w:val="clear" w:color="auto" w:fill="auto"/>
            <w:vAlign w:val="center"/>
          </w:tcPr>
          <w:p w14:paraId="46976A97">
            <w:pPr>
              <w:widowControl/>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0E0A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76BA196D">
            <w:pPr>
              <w:widowControl/>
              <w:ind w:firstLine="0" w:firstLineChars="0"/>
              <w:jc w:val="center"/>
              <w:textAlignment w:val="center"/>
              <w:rPr>
                <w:rFonts w:cs="宋体"/>
                <w:color w:val="000000"/>
                <w:sz w:val="22"/>
                <w:szCs w:val="22"/>
              </w:rPr>
            </w:pPr>
            <w:r>
              <w:rPr>
                <w:rFonts w:hint="eastAsia" w:cs="宋体"/>
                <w:color w:val="000000"/>
                <w:kern w:val="0"/>
                <w:sz w:val="22"/>
                <w:szCs w:val="22"/>
              </w:rPr>
              <w:t>7</w:t>
            </w:r>
          </w:p>
        </w:tc>
        <w:tc>
          <w:tcPr>
            <w:tcW w:w="747" w:type="pct"/>
            <w:shd w:val="clear" w:color="auto" w:fill="auto"/>
            <w:vAlign w:val="center"/>
          </w:tcPr>
          <w:p w14:paraId="056F233F">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37453311">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0628C1AE">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1A03C101">
            <w:pPr>
              <w:widowControl/>
              <w:ind w:firstLine="0" w:firstLineChars="0"/>
              <w:jc w:val="center"/>
              <w:textAlignment w:val="center"/>
              <w:rPr>
                <w:rFonts w:cs="宋体"/>
                <w:color w:val="000000"/>
                <w:sz w:val="22"/>
                <w:szCs w:val="22"/>
              </w:rPr>
            </w:pPr>
            <w:r>
              <w:rPr>
                <w:rFonts w:hint="eastAsia" w:cs="宋体"/>
                <w:color w:val="000000"/>
                <w:kern w:val="0"/>
                <w:sz w:val="22"/>
                <w:szCs w:val="22"/>
              </w:rPr>
              <w:t>数据风险监测覆盖率</w:t>
            </w:r>
          </w:p>
        </w:tc>
        <w:tc>
          <w:tcPr>
            <w:tcW w:w="829" w:type="pct"/>
            <w:shd w:val="clear" w:color="auto" w:fill="auto"/>
            <w:vAlign w:val="center"/>
          </w:tcPr>
          <w:p w14:paraId="7E8AACA7">
            <w:pPr>
              <w:widowControl/>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6472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096BA4DC">
            <w:pPr>
              <w:widowControl/>
              <w:ind w:firstLine="0" w:firstLineChars="0"/>
              <w:jc w:val="center"/>
              <w:textAlignment w:val="center"/>
              <w:rPr>
                <w:rFonts w:cs="宋体"/>
                <w:color w:val="000000"/>
                <w:sz w:val="22"/>
                <w:szCs w:val="22"/>
              </w:rPr>
            </w:pPr>
            <w:r>
              <w:rPr>
                <w:rFonts w:hint="eastAsia" w:cs="宋体"/>
                <w:color w:val="000000"/>
                <w:kern w:val="0"/>
                <w:sz w:val="22"/>
                <w:szCs w:val="22"/>
              </w:rPr>
              <w:t>8</w:t>
            </w:r>
          </w:p>
        </w:tc>
        <w:tc>
          <w:tcPr>
            <w:tcW w:w="747" w:type="pct"/>
            <w:shd w:val="clear" w:color="auto" w:fill="auto"/>
            <w:vAlign w:val="center"/>
          </w:tcPr>
          <w:p w14:paraId="618A5520">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4E77613E">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1FC53BAE">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6D3E2151">
            <w:pPr>
              <w:widowControl/>
              <w:ind w:firstLine="0" w:firstLineChars="0"/>
              <w:jc w:val="center"/>
              <w:textAlignment w:val="center"/>
              <w:rPr>
                <w:rFonts w:cs="宋体"/>
                <w:color w:val="000000"/>
                <w:sz w:val="22"/>
                <w:szCs w:val="22"/>
              </w:rPr>
            </w:pPr>
            <w:r>
              <w:rPr>
                <w:rFonts w:hint="eastAsia" w:cs="宋体"/>
                <w:color w:val="000000"/>
                <w:kern w:val="0"/>
                <w:sz w:val="22"/>
                <w:szCs w:val="22"/>
              </w:rPr>
              <w:t>终端设备安全管理覆盖率</w:t>
            </w:r>
          </w:p>
        </w:tc>
        <w:tc>
          <w:tcPr>
            <w:tcW w:w="829" w:type="pct"/>
            <w:shd w:val="clear" w:color="auto" w:fill="auto"/>
            <w:vAlign w:val="center"/>
          </w:tcPr>
          <w:p w14:paraId="1D67D04E">
            <w:pPr>
              <w:widowControl/>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4C8E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1A5C8EA1">
            <w:pPr>
              <w:widowControl/>
              <w:ind w:firstLine="0" w:firstLineChars="0"/>
              <w:jc w:val="center"/>
              <w:textAlignment w:val="center"/>
              <w:rPr>
                <w:rFonts w:cs="宋体"/>
                <w:color w:val="000000"/>
                <w:sz w:val="22"/>
                <w:szCs w:val="22"/>
              </w:rPr>
            </w:pPr>
            <w:r>
              <w:rPr>
                <w:rFonts w:hint="eastAsia" w:cs="宋体"/>
                <w:color w:val="000000"/>
                <w:kern w:val="0"/>
                <w:sz w:val="22"/>
                <w:szCs w:val="22"/>
              </w:rPr>
              <w:t>9</w:t>
            </w:r>
          </w:p>
        </w:tc>
        <w:tc>
          <w:tcPr>
            <w:tcW w:w="747" w:type="pct"/>
            <w:shd w:val="clear" w:color="auto" w:fill="auto"/>
            <w:vAlign w:val="center"/>
          </w:tcPr>
          <w:p w14:paraId="45F3AC90">
            <w:pPr>
              <w:widowControl/>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699" w:type="pct"/>
            <w:shd w:val="clear" w:color="auto" w:fill="auto"/>
            <w:vAlign w:val="center"/>
          </w:tcPr>
          <w:p w14:paraId="2E9E0EC1">
            <w:pPr>
              <w:widowControl/>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43" w:type="pct"/>
            <w:shd w:val="clear" w:color="auto" w:fill="auto"/>
            <w:vAlign w:val="center"/>
          </w:tcPr>
          <w:p w14:paraId="3988CF92">
            <w:pPr>
              <w:widowControl/>
              <w:ind w:firstLine="0" w:firstLineChars="0"/>
              <w:jc w:val="center"/>
              <w:textAlignment w:val="center"/>
              <w:rPr>
                <w:rFonts w:cs="宋体"/>
                <w:color w:val="000000"/>
                <w:sz w:val="22"/>
                <w:szCs w:val="22"/>
              </w:rPr>
            </w:pPr>
            <w:r>
              <w:rPr>
                <w:rFonts w:hint="eastAsia" w:cs="宋体"/>
                <w:color w:val="000000"/>
                <w:kern w:val="0"/>
                <w:sz w:val="22"/>
                <w:szCs w:val="22"/>
              </w:rPr>
              <w:t>产出数量</w:t>
            </w:r>
          </w:p>
        </w:tc>
        <w:tc>
          <w:tcPr>
            <w:tcW w:w="1546" w:type="pct"/>
            <w:shd w:val="clear" w:color="auto" w:fill="auto"/>
            <w:vAlign w:val="center"/>
          </w:tcPr>
          <w:p w14:paraId="0B06EBFD">
            <w:pPr>
              <w:widowControl/>
              <w:ind w:firstLine="0" w:firstLineChars="0"/>
              <w:jc w:val="center"/>
              <w:textAlignment w:val="center"/>
              <w:rPr>
                <w:rFonts w:cs="宋体"/>
                <w:color w:val="000000"/>
                <w:sz w:val="22"/>
                <w:szCs w:val="22"/>
              </w:rPr>
            </w:pPr>
            <w:r>
              <w:rPr>
                <w:rFonts w:hint="eastAsia" w:cs="宋体"/>
                <w:color w:val="000000"/>
                <w:kern w:val="0"/>
                <w:sz w:val="22"/>
                <w:szCs w:val="22"/>
              </w:rPr>
              <w:t>应用系统市、区单位覆盖率</w:t>
            </w:r>
          </w:p>
        </w:tc>
        <w:tc>
          <w:tcPr>
            <w:tcW w:w="829" w:type="pct"/>
            <w:shd w:val="clear" w:color="auto" w:fill="auto"/>
            <w:vAlign w:val="center"/>
          </w:tcPr>
          <w:p w14:paraId="46813A76">
            <w:pPr>
              <w:widowControl/>
              <w:ind w:firstLine="0" w:firstLineChars="0"/>
              <w:jc w:val="center"/>
              <w:textAlignment w:val="center"/>
              <w:rPr>
                <w:rFonts w:cs="宋体"/>
                <w:color w:val="000000"/>
                <w:sz w:val="22"/>
                <w:szCs w:val="22"/>
              </w:rPr>
            </w:pPr>
            <w:r>
              <w:rPr>
                <w:rFonts w:hint="eastAsia" w:cs="宋体"/>
                <w:color w:val="000000"/>
                <w:kern w:val="0"/>
                <w:sz w:val="22"/>
                <w:szCs w:val="22"/>
              </w:rPr>
              <w:t>市局</w:t>
            </w:r>
          </w:p>
        </w:tc>
      </w:tr>
    </w:tbl>
    <w:p w14:paraId="4B9E5929">
      <w:pPr>
        <w:rPr>
          <w:rFonts w:cs="宋体"/>
        </w:rPr>
      </w:pPr>
    </w:p>
    <w:p w14:paraId="4D553836">
      <w:pPr>
        <w:pStyle w:val="3"/>
        <w:ind w:left="567"/>
      </w:pPr>
      <w:r>
        <w:rPr>
          <w:rFonts w:hint="eastAsia"/>
        </w:rPr>
        <w:t>绩效目标</w:t>
      </w:r>
    </w:p>
    <w:tbl>
      <w:tblPr>
        <w:tblStyle w:val="35"/>
        <w:tblW w:w="4998" w:type="pct"/>
        <w:jc w:val="center"/>
        <w:tblLayout w:type="autofit"/>
        <w:tblCellMar>
          <w:top w:w="0" w:type="dxa"/>
          <w:left w:w="108" w:type="dxa"/>
          <w:bottom w:w="0" w:type="dxa"/>
          <w:right w:w="108" w:type="dxa"/>
        </w:tblCellMar>
      </w:tblPr>
      <w:tblGrid>
        <w:gridCol w:w="739"/>
        <w:gridCol w:w="1284"/>
        <w:gridCol w:w="1206"/>
        <w:gridCol w:w="1243"/>
        <w:gridCol w:w="2651"/>
        <w:gridCol w:w="1402"/>
      </w:tblGrid>
      <w:tr w14:paraId="4E215272">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5B1EB97A">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02992805">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一级指标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63FD6A0F">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二级指标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4472EB87">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三级指标</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06B3E5A5">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四级指标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446438B9">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指标值</w:t>
            </w:r>
          </w:p>
        </w:tc>
      </w:tr>
      <w:tr w14:paraId="68659F6A">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0944BB2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1296CF8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789FBC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6987D18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产出数量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0107C45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软件开发完成率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2690A8E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02827F0C">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1D4749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64DBEFC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25A360F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5E7BFA0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295E230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一次性验收合格率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040F3D7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18B1384B">
        <w:tblPrEx>
          <w:tblCellMar>
            <w:top w:w="0" w:type="dxa"/>
            <w:left w:w="108" w:type="dxa"/>
            <w:bottom w:w="0" w:type="dxa"/>
            <w:right w:w="108" w:type="dxa"/>
          </w:tblCellMar>
        </w:tblPrEx>
        <w:trPr>
          <w:trHeight w:val="630"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3FA7B03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1439B32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683DCA0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50A1A7F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2BEE764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软件测试达标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500ECEB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6B77A831">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7D2EE31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0E0EDE9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497C348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2785F35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54E33AA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密码测试达标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1DDCD98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77A47E50">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3B700F2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361D49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0E25B12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460FC0C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39B3D74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网络安全等级达标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41DF802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5B82D177">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4BF5B2D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518D1AE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27E36F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096C48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35B87E3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安全测评达标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4BA533A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3B6E7B05">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119E8BA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7</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7BA7C6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40DE94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4FD6A22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414B267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安全事件发生次数</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11129F4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0次</w:t>
            </w:r>
          </w:p>
        </w:tc>
      </w:tr>
      <w:tr w14:paraId="3A525259">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2737DDD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8</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7EF8260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6F07362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59172B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产出时效</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1DA835F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项目实施进度</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0A68FC41">
            <w:pPr>
              <w:widowControl/>
              <w:spacing w:line="240" w:lineRule="auto"/>
              <w:ind w:firstLine="0" w:firstLineChars="0"/>
              <w:jc w:val="center"/>
              <w:textAlignment w:val="center"/>
              <w:rPr>
                <w:rFonts w:cs="宋体"/>
                <w:color w:val="000000"/>
                <w:sz w:val="22"/>
                <w:szCs w:val="22"/>
              </w:rPr>
            </w:pPr>
            <w:r>
              <w:rPr>
                <w:rFonts w:cs="宋体"/>
                <w:color w:val="000000"/>
                <w:kern w:val="0"/>
                <w:sz w:val="22"/>
                <w:szCs w:val="22"/>
                <w:highlight w:val="none"/>
              </w:rPr>
              <w:t>9</w:t>
            </w:r>
            <w:r>
              <w:rPr>
                <w:rFonts w:hint="eastAsia" w:cs="宋体"/>
                <w:color w:val="000000"/>
                <w:kern w:val="0"/>
                <w:sz w:val="22"/>
                <w:szCs w:val="22"/>
                <w:highlight w:val="none"/>
              </w:rPr>
              <w:t>个月</w:t>
            </w:r>
          </w:p>
        </w:tc>
      </w:tr>
      <w:tr w14:paraId="1BAE8790">
        <w:tblPrEx>
          <w:tblCellMar>
            <w:top w:w="0" w:type="dxa"/>
            <w:left w:w="108" w:type="dxa"/>
            <w:bottom w:w="0" w:type="dxa"/>
            <w:right w:w="108" w:type="dxa"/>
          </w:tblCellMar>
        </w:tblPrEx>
        <w:trPr>
          <w:trHeight w:val="630"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2760698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9</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08A114F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7D91A8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2D27E8D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社会效益</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128C4D1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用户体验满意度</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3FE24EC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≥95%</w:t>
            </w:r>
          </w:p>
        </w:tc>
      </w:tr>
      <w:tr w14:paraId="51F5EB72">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7B4056A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497BCCB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8934C2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7593C46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社会效益</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62416AF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工作效率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2F48D0A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提升</w:t>
            </w:r>
          </w:p>
        </w:tc>
      </w:tr>
      <w:tr w14:paraId="4D27618B">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274A30C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11</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46CDAAE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56FF508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69F8BA7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生态效益</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2BD8FCA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环保达标率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4B868C6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100%</w:t>
            </w:r>
          </w:p>
        </w:tc>
      </w:tr>
    </w:tbl>
    <w:p w14:paraId="7E4229B5">
      <w:pPr>
        <w:spacing w:line="560" w:lineRule="exact"/>
        <w:rPr>
          <w:rFonts w:cs="宋体"/>
        </w:rPr>
      </w:pPr>
    </w:p>
    <w:p w14:paraId="56B37072">
      <w:pPr>
        <w:pStyle w:val="2"/>
      </w:pPr>
      <w:bookmarkStart w:id="11" w:name="_Toc47536676"/>
      <w:bookmarkEnd w:id="11"/>
      <w:bookmarkStart w:id="12" w:name="_Toc47533288"/>
      <w:bookmarkEnd w:id="12"/>
      <w:bookmarkStart w:id="13" w:name="_Toc47536304"/>
      <w:bookmarkEnd w:id="13"/>
      <w:bookmarkStart w:id="14" w:name="_Toc47532923"/>
      <w:bookmarkEnd w:id="14"/>
      <w:bookmarkStart w:id="15" w:name="_Toc47539102"/>
      <w:bookmarkEnd w:id="15"/>
      <w:bookmarkStart w:id="16" w:name="_Toc47537166"/>
      <w:bookmarkEnd w:id="16"/>
      <w:r>
        <w:rPr>
          <w:rFonts w:hint="eastAsia"/>
        </w:rPr>
        <w:t>项目建设内容</w:t>
      </w:r>
    </w:p>
    <w:p w14:paraId="125E9106">
      <w:pPr>
        <w:pStyle w:val="3"/>
        <w:ind w:left="567"/>
      </w:pPr>
      <w:r>
        <w:rPr>
          <w:rFonts w:hint="eastAsia"/>
        </w:rPr>
        <w:t>主要建设内容</w:t>
      </w:r>
    </w:p>
    <w:p w14:paraId="1A69612F">
      <w:pPr>
        <w:widowControl/>
        <w:adjustRightInd w:val="0"/>
        <w:ind w:firstLine="482"/>
        <w:rPr>
          <w:rFonts w:cs="宋体"/>
          <w:b/>
          <w:bCs/>
        </w:rPr>
      </w:pPr>
      <w:r>
        <w:rPr>
          <w:rFonts w:hint="eastAsia" w:cs="宋体"/>
          <w:b/>
          <w:bCs/>
        </w:rPr>
        <w:t>（1）上海市监狱管理局数字档案室（新建）：</w:t>
      </w:r>
    </w:p>
    <w:p w14:paraId="68A0D8A9">
      <w:pPr>
        <w:widowControl/>
        <w:adjustRightInd w:val="0"/>
        <w:rPr>
          <w:rFonts w:cs="宋体"/>
        </w:rPr>
      </w:pPr>
      <w:r>
        <w:rPr>
          <w:rFonts w:hint="eastAsia" w:cs="宋体"/>
        </w:rPr>
        <w:t>结合市监狱管理局实际相关业务，进一步扩展数据库内容，建设集“收、管、存、用”为一体的数字档案室，实现档案收集、档案管理、档案保存、检索利用、档案鉴定、档案统计、应用配置、系统管理等系统功能。构建功能完善、流程规范的电子文件归档服务，与OA、市档案馆、局内业务系统进行对接，完成老系统的数据迁移，实现上海市监狱管理局档案的高度集成化、资源数字化、存储集成化、传递网络化、开发利用共享化，充分发挥档案资源价值，提升上海市监狱管理局工作效率。</w:t>
      </w:r>
    </w:p>
    <w:p w14:paraId="2F80EF4E">
      <w:pPr>
        <w:widowControl/>
        <w:adjustRightInd w:val="0"/>
        <w:ind w:firstLine="482"/>
        <w:rPr>
          <w:rFonts w:cs="宋体"/>
          <w:b/>
          <w:bCs/>
        </w:rPr>
      </w:pPr>
      <w:r>
        <w:rPr>
          <w:rFonts w:hint="eastAsia" w:cs="宋体"/>
          <w:b/>
          <w:bCs/>
        </w:rPr>
        <w:t>（2）上海监狱（公众网）网站系统（功能升级）：</w:t>
      </w:r>
    </w:p>
    <w:p w14:paraId="4DC75AB1">
      <w:pPr>
        <w:widowControl/>
        <w:adjustRightInd w:val="0"/>
        <w:rPr>
          <w:rFonts w:cs="宋体"/>
        </w:rPr>
      </w:pPr>
      <w:r>
        <w:rPr>
          <w:rFonts w:hint="eastAsia" w:cs="宋体"/>
        </w:rPr>
        <w:t>优化网站设计，深化政策集成服务，强化“一网通办”政务协同，构建政策服务矩阵，提升公众参与便捷度与政策落地实效性。</w:t>
      </w:r>
    </w:p>
    <w:p w14:paraId="6B35DD13">
      <w:pPr>
        <w:widowControl/>
        <w:adjustRightInd w:val="0"/>
        <w:ind w:firstLine="482"/>
        <w:rPr>
          <w:rFonts w:cs="宋体"/>
          <w:b/>
          <w:bCs/>
        </w:rPr>
      </w:pPr>
      <w:r>
        <w:rPr>
          <w:rFonts w:hint="eastAsia" w:cs="宋体"/>
          <w:b/>
          <w:bCs/>
        </w:rPr>
        <w:t>（3）上海市监狱管理局内部控制管理平台（功能升级）：</w:t>
      </w:r>
    </w:p>
    <w:p w14:paraId="315C7EEE">
      <w:pPr>
        <w:widowControl/>
        <w:adjustRightInd w:val="0"/>
        <w:ind w:firstLine="482"/>
        <w:rPr>
          <w:rFonts w:cs="宋体"/>
        </w:rPr>
      </w:pPr>
      <w:r>
        <w:rPr>
          <w:rFonts w:hint="eastAsia" w:cs="宋体"/>
          <w:b/>
          <w:bCs/>
        </w:rPr>
        <w:t>1）完成预算一体化平台的建设：</w:t>
      </w:r>
      <w:r>
        <w:rPr>
          <w:rFonts w:hint="eastAsia" w:cs="宋体"/>
        </w:rPr>
        <w:t>建设包括三年项目库、项目库分级管理等，实现项目库预算调整与内控业务实时联动功能。</w:t>
      </w:r>
    </w:p>
    <w:p w14:paraId="64297181">
      <w:pPr>
        <w:widowControl/>
        <w:adjustRightInd w:val="0"/>
        <w:ind w:firstLine="482"/>
        <w:rPr>
          <w:rFonts w:cs="宋体"/>
        </w:rPr>
      </w:pPr>
      <w:r>
        <w:rPr>
          <w:rFonts w:hint="eastAsia" w:cs="宋体"/>
          <w:b/>
          <w:bCs/>
        </w:rPr>
        <w:t>2）完成监管系统建设：</w:t>
      </w:r>
      <w:r>
        <w:rPr>
          <w:rFonts w:hint="eastAsia" w:cs="宋体"/>
        </w:rPr>
        <w:t>增加阈值预防管理、预警管理、要素分析统计、预算项目全览、要素自定义分析。</w:t>
      </w:r>
    </w:p>
    <w:p w14:paraId="13B2747F">
      <w:pPr>
        <w:widowControl/>
        <w:adjustRightInd w:val="0"/>
        <w:ind w:firstLine="482"/>
        <w:rPr>
          <w:rFonts w:cs="宋体"/>
        </w:rPr>
      </w:pPr>
      <w:r>
        <w:rPr>
          <w:rFonts w:hint="eastAsia" w:cs="宋体"/>
          <w:b/>
          <w:bCs/>
        </w:rPr>
        <w:t>3）完成现有业务系统的升级改造：</w:t>
      </w:r>
      <w:r>
        <w:rPr>
          <w:rFonts w:hint="eastAsia" w:cs="宋体"/>
          <w:kern w:val="0"/>
        </w:rPr>
        <w:t>完成核算办管理功能的建设</w:t>
      </w:r>
      <w:r>
        <w:rPr>
          <w:rFonts w:hint="eastAsia" w:cs="宋体"/>
        </w:rPr>
        <w:t>；完成平台的全局分级使用；与预算一体化平台打通；与监管系统打通，实现监管规则落地。</w:t>
      </w:r>
    </w:p>
    <w:p w14:paraId="446EF9EB">
      <w:pPr>
        <w:widowControl/>
        <w:adjustRightInd w:val="0"/>
        <w:ind w:firstLine="482"/>
        <w:rPr>
          <w:rFonts w:cs="宋体"/>
        </w:rPr>
      </w:pPr>
      <w:r>
        <w:rPr>
          <w:rFonts w:hint="eastAsia" w:cs="宋体"/>
          <w:b/>
          <w:bCs/>
        </w:rPr>
        <w:t>4）完成辅助应用建设：</w:t>
      </w:r>
      <w:r>
        <w:rPr>
          <w:rFonts w:hint="eastAsia" w:cs="宋体"/>
        </w:rPr>
        <w:t>增加系统自动管控功能。包括全流程合同对比、自动化控制、自动化填报、自动化报表等功能。</w:t>
      </w:r>
    </w:p>
    <w:p w14:paraId="27A780A4">
      <w:pPr>
        <w:pStyle w:val="3"/>
        <w:ind w:left="567"/>
      </w:pPr>
      <w:r>
        <w:rPr>
          <w:rFonts w:hint="eastAsia"/>
        </w:rPr>
        <w:t>软件开发清单</w:t>
      </w:r>
    </w:p>
    <w:tbl>
      <w:tblPr>
        <w:tblStyle w:val="35"/>
        <w:tblW w:w="4998" w:type="pct"/>
        <w:tblInd w:w="0" w:type="dxa"/>
        <w:tblLayout w:type="autofit"/>
        <w:tblCellMar>
          <w:top w:w="0" w:type="dxa"/>
          <w:left w:w="108" w:type="dxa"/>
          <w:bottom w:w="0" w:type="dxa"/>
          <w:right w:w="108" w:type="dxa"/>
        </w:tblCellMar>
      </w:tblPr>
      <w:tblGrid>
        <w:gridCol w:w="740"/>
        <w:gridCol w:w="1114"/>
        <w:gridCol w:w="1410"/>
        <w:gridCol w:w="5261"/>
      </w:tblGrid>
      <w:tr w14:paraId="54913ACB">
        <w:tblPrEx>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E5C5">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DB1A">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应用系统名称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DFD9">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模块名称</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3278">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模块描述</w:t>
            </w:r>
          </w:p>
        </w:tc>
      </w:tr>
      <w:tr w14:paraId="634EB4EC">
        <w:tblPrEx>
          <w:tblCellMar>
            <w:top w:w="0" w:type="dxa"/>
            <w:left w:w="108" w:type="dxa"/>
            <w:bottom w:w="0" w:type="dxa"/>
            <w:right w:w="108" w:type="dxa"/>
          </w:tblCellMar>
        </w:tblPrEx>
        <w:trPr>
          <w:trHeight w:val="162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29A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060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上海市监狱管理局数字档案室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785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应用系统对接-与OA系统对接</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B273">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数字档案室子系统与OA系统对接，OA系统把归档电子文件归档信息包信息及归档电子文件归档信息包推送到中间库，通过对每个批次归档的电子文件进行四性检测，检测通过的归档电子文件再推送到数字档案室子系统中，做到档案的收集无缝连接。使用数字档案室子系统与OA系统接口可以减少用户工作量，使OA系统的数据资源可以共享使用。</w:t>
            </w:r>
          </w:p>
        </w:tc>
      </w:tr>
      <w:tr w14:paraId="69C314C3">
        <w:tblPrEx>
          <w:tblCellMar>
            <w:top w:w="0" w:type="dxa"/>
            <w:left w:w="108" w:type="dxa"/>
            <w:bottom w:w="0" w:type="dxa"/>
            <w:right w:w="108" w:type="dxa"/>
          </w:tblCellMar>
        </w:tblPrEx>
        <w:trPr>
          <w:trHeight w:val="162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CF6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42F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上海市监狱管理局数字档案室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0DA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应用系统对接-与市档案馆系统对接</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17D0">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与市档案馆系统对接，系统把归档电子文件归档信息包信息及归档电子文件归档信息包推送到中间库，通过对每个批次归档的电子文件进行四性检测，检测通过的归档电子文件再推送到局数字档案室子系统中，做到档案的收集无缝连接，同时，局数字档案室子系统归档文件也通过该接口将文件传输给市档案馆系统，实现电子文件的共享。</w:t>
            </w:r>
          </w:p>
        </w:tc>
      </w:tr>
      <w:tr w14:paraId="18886AB7">
        <w:tblPrEx>
          <w:tblCellMar>
            <w:top w:w="0" w:type="dxa"/>
            <w:left w:w="108" w:type="dxa"/>
            <w:bottom w:w="0" w:type="dxa"/>
            <w:right w:w="108" w:type="dxa"/>
          </w:tblCellMar>
        </w:tblPrEx>
        <w:trPr>
          <w:trHeight w:val="37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B3A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B6D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上海市监狱管理局数字档案室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56C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应用系统对接-与局内业务系统对接</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793A">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（1）与狱政系统对接</w:t>
            </w:r>
            <w:r>
              <w:rPr>
                <w:rFonts w:hint="eastAsia" w:cs="宋体"/>
                <w:color w:val="000000"/>
                <w:kern w:val="0"/>
                <w:sz w:val="22"/>
                <w:szCs w:val="22"/>
              </w:rPr>
              <w:br w:type="textWrapping"/>
            </w:r>
            <w:r>
              <w:rPr>
                <w:rFonts w:hint="eastAsia" w:cs="宋体"/>
                <w:color w:val="000000"/>
                <w:kern w:val="0"/>
                <w:sz w:val="22"/>
                <w:szCs w:val="22"/>
              </w:rPr>
              <w:t>与狱政系统对接，系统把归档电子文件归档信息包信息及归档电子文件归档信息包推送到中间库，通过对每个批次归档的电子文件进行四性检测，检测通过的归档电子文件再推送到数字档案室子系统中，做到档案的收集无缝连接。使用数字档案室子系统与各业务系统接口可以减少用户工作量，使业务系统的数据资源可以共享使用。</w:t>
            </w:r>
            <w:r>
              <w:rPr>
                <w:rFonts w:hint="eastAsia" w:cs="宋体"/>
                <w:color w:val="000000"/>
                <w:kern w:val="0"/>
                <w:sz w:val="22"/>
                <w:szCs w:val="22"/>
              </w:rPr>
              <w:br w:type="textWrapping"/>
            </w:r>
            <w:r>
              <w:rPr>
                <w:rFonts w:hint="eastAsia" w:cs="宋体"/>
                <w:color w:val="000000"/>
                <w:kern w:val="0"/>
                <w:sz w:val="22"/>
                <w:szCs w:val="22"/>
              </w:rPr>
              <w:t>（2）与刑罚系统对接</w:t>
            </w:r>
            <w:r>
              <w:rPr>
                <w:rFonts w:hint="eastAsia" w:cs="宋体"/>
                <w:color w:val="000000"/>
                <w:kern w:val="0"/>
                <w:sz w:val="22"/>
                <w:szCs w:val="22"/>
              </w:rPr>
              <w:br w:type="textWrapping"/>
            </w:r>
            <w:r>
              <w:rPr>
                <w:rFonts w:hint="eastAsia" w:cs="宋体"/>
                <w:color w:val="000000"/>
                <w:kern w:val="0"/>
                <w:sz w:val="22"/>
                <w:szCs w:val="22"/>
              </w:rPr>
              <w:t>与刑罚系统对接，系统把归档电子文件归档信息包信息及归档电子文件归档信息包推送到中间库，通过对每个批次归档的电子文件进行四性检测，检测通过的归档电子文件再推送到数字档案室子系统中，做到档案的收集无缝连接。使用数字档案室子系统与各业务系统接口可以减少用户工作量，使业务系统的数据资源可以共享使用。</w:t>
            </w:r>
          </w:p>
        </w:tc>
      </w:tr>
      <w:tr w14:paraId="5FE69604">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483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857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上海监狱（公众网）网站系统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343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网站设计</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6197">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重新设计网站页面，重新设计网站模板。</w:t>
            </w:r>
          </w:p>
        </w:tc>
      </w:tr>
      <w:tr w14:paraId="593FC0FB">
        <w:tblPrEx>
          <w:tblCellMar>
            <w:top w:w="0" w:type="dxa"/>
            <w:left w:w="108" w:type="dxa"/>
            <w:bottom w:w="0" w:type="dxa"/>
            <w:right w:w="108" w:type="dxa"/>
          </w:tblCellMar>
        </w:tblPrEx>
        <w:trPr>
          <w:trHeight w:val="37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3E3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53B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上海监狱（公众网）网站系统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EE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政策服务集成化</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820E">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（1）政策主题库建设：优化“上海监狱政策主题库”，按“刑罚执行”“教育改造”“狱务公开”等主题分类，集成近五年政策文件及解读。</w:t>
            </w:r>
            <w:r>
              <w:rPr>
                <w:rFonts w:hint="eastAsia" w:cs="宋体"/>
                <w:color w:val="000000"/>
                <w:kern w:val="0"/>
                <w:sz w:val="22"/>
                <w:szCs w:val="22"/>
              </w:rPr>
              <w:br w:type="textWrapping"/>
            </w:r>
            <w:r>
              <w:rPr>
                <w:rFonts w:hint="eastAsia" w:cs="宋体"/>
                <w:color w:val="000000"/>
                <w:kern w:val="0"/>
                <w:sz w:val="22"/>
                <w:szCs w:val="22"/>
              </w:rPr>
              <w:t>（2）语义检索功能优化：实现“政策文件—政策解读”一键跳转，在检索结果页面可直接跳入相关解读材料页面。</w:t>
            </w:r>
            <w:r>
              <w:rPr>
                <w:rFonts w:hint="eastAsia" w:cs="宋体"/>
                <w:color w:val="000000"/>
                <w:kern w:val="0"/>
                <w:sz w:val="22"/>
                <w:szCs w:val="22"/>
              </w:rPr>
              <w:br w:type="textWrapping"/>
            </w:r>
            <w:r>
              <w:rPr>
                <w:rFonts w:hint="eastAsia" w:cs="宋体"/>
                <w:color w:val="000000"/>
                <w:kern w:val="0"/>
                <w:sz w:val="22"/>
                <w:szCs w:val="22"/>
              </w:rPr>
              <w:t>提供高级检索选项，允许用户按标题或正文、时间范围等条件进行精准筛选。</w:t>
            </w:r>
            <w:r>
              <w:rPr>
                <w:rFonts w:hint="eastAsia" w:cs="宋体"/>
                <w:color w:val="000000"/>
                <w:kern w:val="0"/>
                <w:sz w:val="22"/>
                <w:szCs w:val="22"/>
              </w:rPr>
              <w:br w:type="textWrapping"/>
            </w:r>
            <w:r>
              <w:rPr>
                <w:rFonts w:hint="eastAsia" w:cs="宋体"/>
                <w:color w:val="000000"/>
                <w:kern w:val="0"/>
                <w:sz w:val="22"/>
                <w:szCs w:val="22"/>
              </w:rPr>
              <w:t>（3）政策全生命周期管理：落实政策文件与解读材料审签、发布机制；</w:t>
            </w:r>
            <w:r>
              <w:rPr>
                <w:rFonts w:hint="eastAsia" w:cs="宋体"/>
                <w:color w:val="000000"/>
                <w:kern w:val="0"/>
                <w:sz w:val="22"/>
                <w:szCs w:val="22"/>
              </w:rPr>
              <w:br w:type="textWrapping"/>
            </w:r>
            <w:r>
              <w:rPr>
                <w:rFonts w:hint="eastAsia" w:cs="宋体"/>
                <w:color w:val="000000"/>
                <w:kern w:val="0"/>
                <w:sz w:val="22"/>
                <w:szCs w:val="22"/>
              </w:rPr>
              <w:t>优化“政策解读”专栏，支持图文、视频等多元化解读形式。</w:t>
            </w:r>
            <w:r>
              <w:rPr>
                <w:rFonts w:hint="eastAsia" w:cs="宋体"/>
                <w:color w:val="000000"/>
                <w:kern w:val="0"/>
                <w:sz w:val="22"/>
                <w:szCs w:val="22"/>
              </w:rPr>
              <w:br w:type="textWrapping"/>
            </w:r>
            <w:r>
              <w:rPr>
                <w:rFonts w:hint="eastAsia" w:cs="宋体"/>
                <w:color w:val="000000"/>
                <w:kern w:val="0"/>
                <w:sz w:val="22"/>
                <w:szCs w:val="22"/>
              </w:rPr>
              <w:t>（4）政策意见留言板：优化“政策意见留言板”，开放公众对草案的在线反馈，建立“意见征集—分析采纳—结果公示”全流程可视化模块。</w:t>
            </w:r>
          </w:p>
        </w:tc>
      </w:tr>
      <w:tr w14:paraId="63C6F001">
        <w:tblPrEx>
          <w:tblCellMar>
            <w:top w:w="0" w:type="dxa"/>
            <w:left w:w="108" w:type="dxa"/>
            <w:bottom w:w="0" w:type="dxa"/>
            <w:right w:w="108" w:type="dxa"/>
          </w:tblCellMar>
        </w:tblPrEx>
        <w:trPr>
          <w:trHeight w:val="216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F63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7D6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上海监狱（公众网）网站系统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E41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‌“一网通办”服务深化</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498C">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（1）办事指南动态管理：提供本地化配置界面，允许监狱管理人员对办事指南进行个性化调整和补充。</w:t>
            </w:r>
            <w:r>
              <w:rPr>
                <w:rFonts w:hint="eastAsia" w:cs="宋体"/>
                <w:color w:val="000000"/>
                <w:kern w:val="0"/>
                <w:sz w:val="22"/>
                <w:szCs w:val="22"/>
              </w:rPr>
              <w:br w:type="textWrapping"/>
            </w:r>
            <w:r>
              <w:rPr>
                <w:rFonts w:hint="eastAsia" w:cs="宋体"/>
                <w:color w:val="000000"/>
                <w:kern w:val="0"/>
                <w:sz w:val="22"/>
                <w:szCs w:val="22"/>
              </w:rPr>
              <w:t>（2）“阅办联动”模块：优化政策条款与办事入口的关联模块，实现政策文件与办事系统的深度整合。</w:t>
            </w:r>
            <w:r>
              <w:rPr>
                <w:rFonts w:hint="eastAsia" w:cs="宋体"/>
                <w:color w:val="000000"/>
                <w:kern w:val="0"/>
                <w:sz w:val="22"/>
                <w:szCs w:val="22"/>
              </w:rPr>
              <w:br w:type="textWrapping"/>
            </w:r>
            <w:r>
              <w:rPr>
                <w:rFonts w:hint="eastAsia" w:cs="宋体"/>
                <w:color w:val="000000"/>
                <w:kern w:val="0"/>
                <w:sz w:val="22"/>
                <w:szCs w:val="22"/>
              </w:rPr>
              <w:t>用户在阅读政策文件时，可通过点击条款直接跳转至对应的办事入口。</w:t>
            </w:r>
            <w:r>
              <w:rPr>
                <w:rFonts w:hint="eastAsia" w:cs="宋体"/>
                <w:color w:val="000000"/>
                <w:kern w:val="0"/>
                <w:sz w:val="22"/>
                <w:szCs w:val="22"/>
              </w:rPr>
              <w:br w:type="textWrapping"/>
            </w:r>
            <w:r>
              <w:rPr>
                <w:rFonts w:hint="eastAsia" w:cs="宋体"/>
                <w:color w:val="000000"/>
                <w:kern w:val="0"/>
                <w:sz w:val="22"/>
                <w:szCs w:val="22"/>
              </w:rPr>
              <w:t>（3）政务公开专区优化：集成优化“在线咨询”、“智能问答”、“预约办理”等功能模块。</w:t>
            </w:r>
          </w:p>
        </w:tc>
      </w:tr>
      <w:tr w14:paraId="1D78A394">
        <w:tblPrEx>
          <w:tblCellMar>
            <w:top w:w="0" w:type="dxa"/>
            <w:left w:w="108" w:type="dxa"/>
            <w:bottom w:w="0" w:type="dxa"/>
            <w:right w:w="108" w:type="dxa"/>
          </w:tblCellMar>
        </w:tblPrEx>
        <w:trPr>
          <w:trHeight w:val="27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F87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7</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404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上海监狱（公众网）网站系统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A5A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‌公众参与机制创新</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1069">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（1）数字化参与渠道拓展：开发“政策制定意见征集”模块、“监狱开放日预约”系统。</w:t>
            </w:r>
            <w:r>
              <w:rPr>
                <w:rFonts w:hint="eastAsia" w:cs="宋体"/>
                <w:color w:val="000000"/>
                <w:kern w:val="0"/>
                <w:sz w:val="22"/>
                <w:szCs w:val="22"/>
              </w:rPr>
              <w:br w:type="textWrapping"/>
            </w:r>
            <w:r>
              <w:rPr>
                <w:rFonts w:hint="eastAsia" w:cs="宋体"/>
                <w:color w:val="000000"/>
                <w:kern w:val="0"/>
                <w:sz w:val="22"/>
                <w:szCs w:val="22"/>
              </w:rPr>
              <w:t>（2）开通监狱服务专区：建立“减刑假释公示”专栏、“狱务公开年报”、“罪犯家属服务”等模块。</w:t>
            </w:r>
            <w:r>
              <w:rPr>
                <w:rFonts w:hint="eastAsia" w:cs="宋体"/>
                <w:color w:val="000000"/>
                <w:kern w:val="0"/>
                <w:sz w:val="22"/>
                <w:szCs w:val="22"/>
              </w:rPr>
              <w:br w:type="textWrapping"/>
            </w:r>
            <w:r>
              <w:rPr>
                <w:rFonts w:hint="eastAsia" w:cs="宋体"/>
                <w:color w:val="000000"/>
                <w:kern w:val="0"/>
                <w:sz w:val="22"/>
                <w:szCs w:val="22"/>
              </w:rPr>
              <w:t>（3）政策效能分析：整合公众留言、办事数据、yu情热点（如社交媒体关键词监测）等多源数据，优化政策效能分析。</w:t>
            </w:r>
            <w:r>
              <w:rPr>
                <w:rFonts w:hint="eastAsia" w:cs="宋体"/>
                <w:color w:val="000000"/>
                <w:kern w:val="0"/>
                <w:sz w:val="22"/>
                <w:szCs w:val="22"/>
              </w:rPr>
              <w:br w:type="textWrapping"/>
            </w:r>
            <w:r>
              <w:rPr>
                <w:rFonts w:hint="eastAsia" w:cs="宋体"/>
                <w:color w:val="000000"/>
                <w:kern w:val="0"/>
                <w:sz w:val="22"/>
                <w:szCs w:val="22"/>
              </w:rPr>
              <w:t>（4）建立监狱执法数据与公共服务数据的关联分析：构建“狱务公开透明度指数”，从信息发布时效等维度量化评估狱务公开水平。</w:t>
            </w:r>
          </w:p>
        </w:tc>
      </w:tr>
      <w:tr w14:paraId="7D16ACFB">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154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79B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730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预算一体化平台建设-额度管理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3483">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计财处向各职能部门下发三年项目库的逐年额度，并与局各职能部门确认及调整额度分配</w:t>
            </w:r>
          </w:p>
        </w:tc>
      </w:tr>
      <w:tr w14:paraId="63E8025E">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A8E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BE6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C36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预算一体化平台建设-项目填报</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0B45">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各单位的需求部门通过线上系统填写项目基本信息（如项目名称、周期、目标等）、申报依据（政策文件、业务需求等）</w:t>
            </w:r>
          </w:p>
        </w:tc>
      </w:tr>
      <w:tr w14:paraId="44C13649">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2D7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7FB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43A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预算一体化平台建设-单位审核</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88F9">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各单位根据内部流程对需求部门填报的项目信息进行完整性、合理性审核，审核通过后提交至局职能部门</w:t>
            </w:r>
          </w:p>
        </w:tc>
      </w:tr>
      <w:tr w14:paraId="2F3EC17E">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876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29F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472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预算一体化平台建设-局职能部门审核</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D715">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局职能部门对各单位提交的项目进行合规性及额度匹配审核，审核通过的项目纳入局职能部门三年项目库</w:t>
            </w:r>
          </w:p>
        </w:tc>
      </w:tr>
      <w:tr w14:paraId="7E9A1887">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B29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73B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21C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预算一体化平台建设-需求部门三年项目库</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44D2">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审核通过且在额度内的项目，由局职能部门确认后批复给各单位需求部门，形成各单位需求部门三年项目库，需求部门将本部门的三年项目库提交到财务科；并确保与批复项目信息一致</w:t>
            </w:r>
          </w:p>
        </w:tc>
      </w:tr>
      <w:tr w14:paraId="3E306AD5">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FE8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B9A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09A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预算一体化平台建设-单位三年项目库</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8AA5">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单位财务科汇总各需求部门项目库，形成单位三年项目库，再提交至局计财处；并确保与批复项目信息一致</w:t>
            </w:r>
          </w:p>
        </w:tc>
      </w:tr>
      <w:tr w14:paraId="0ED2436D">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20D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38F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0CE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预算一体化平台建设-局三年项目库</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9BE4">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局计财处汇总各单位提交的项目库，形成局三年项目库</w:t>
            </w:r>
          </w:p>
        </w:tc>
      </w:tr>
      <w:tr w14:paraId="6B5B45C0">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A1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38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A31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预算一体化平台建设-项目库调整</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CF14">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批复的项目需调整时，由需求部门提出调整申请，至局职能部门审批后方可调整；涉及资金时需报局计财处备案或联合审批</w:t>
            </w:r>
          </w:p>
        </w:tc>
      </w:tr>
      <w:tr w14:paraId="2D05BEFB">
        <w:tblPrEx>
          <w:tblCellMar>
            <w:top w:w="0" w:type="dxa"/>
            <w:left w:w="108" w:type="dxa"/>
            <w:bottom w:w="0" w:type="dxa"/>
            <w:right w:w="108" w:type="dxa"/>
          </w:tblCellMar>
        </w:tblPrEx>
        <w:trPr>
          <w:trHeight w:val="135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94F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420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453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监管系统建设-阈值管理-预算类阈值管理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4D84">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1、单位总额阈值：为各预算单位设定年度预算总额上限，超阈值时禁止新增预算申请</w:t>
            </w:r>
            <w:r>
              <w:rPr>
                <w:rFonts w:hint="eastAsia" w:cs="宋体"/>
                <w:color w:val="000000"/>
                <w:kern w:val="0"/>
                <w:sz w:val="22"/>
                <w:szCs w:val="22"/>
              </w:rPr>
              <w:br w:type="textWrapping"/>
            </w:r>
            <w:r>
              <w:rPr>
                <w:rFonts w:hint="eastAsia" w:cs="宋体"/>
                <w:color w:val="000000"/>
                <w:kern w:val="0"/>
                <w:sz w:val="22"/>
                <w:szCs w:val="22"/>
              </w:rPr>
              <w:t>2、部门总额阈值：按部门归集下属单位预算，控制部门整体资金规模，避免超支风险</w:t>
            </w:r>
            <w:r>
              <w:rPr>
                <w:rFonts w:hint="eastAsia" w:cs="宋体"/>
                <w:color w:val="000000"/>
                <w:kern w:val="0"/>
                <w:sz w:val="22"/>
                <w:szCs w:val="22"/>
              </w:rPr>
              <w:br w:type="textWrapping"/>
            </w:r>
            <w:r>
              <w:rPr>
                <w:rFonts w:hint="eastAsia" w:cs="宋体"/>
                <w:color w:val="000000"/>
                <w:kern w:val="0"/>
                <w:sz w:val="22"/>
                <w:szCs w:val="22"/>
              </w:rPr>
              <w:t>3、项目总额阈值：为单个项目设定资金上限</w:t>
            </w:r>
          </w:p>
        </w:tc>
      </w:tr>
      <w:tr w14:paraId="667BE469">
        <w:tblPrEx>
          <w:tblCellMar>
            <w:top w:w="0" w:type="dxa"/>
            <w:left w:w="108" w:type="dxa"/>
            <w:bottom w:w="0" w:type="dxa"/>
            <w:right w:w="108" w:type="dxa"/>
          </w:tblCellMar>
        </w:tblPrEx>
        <w:trPr>
          <w:trHeight w:val="135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35A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17</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E88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C1D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监管系统建设-阈值管理-采购类阈值管理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7947">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按部门业务特性设置采购金额阈值，系统自动匹配采购方式（公开招标 / 竞争性磋商 / 直购等），超阈值强制触发上级审批。</w:t>
            </w:r>
            <w:r>
              <w:rPr>
                <w:rFonts w:hint="eastAsia" w:cs="宋体"/>
                <w:color w:val="000000"/>
                <w:kern w:val="0"/>
                <w:sz w:val="22"/>
                <w:szCs w:val="22"/>
              </w:rPr>
              <w:br w:type="textWrapping"/>
            </w:r>
            <w:r>
              <w:rPr>
                <w:rFonts w:hint="eastAsia" w:cs="宋体"/>
                <w:color w:val="000000"/>
                <w:kern w:val="0"/>
                <w:sz w:val="22"/>
                <w:szCs w:val="22"/>
              </w:rPr>
              <w:t>例如：某单位申请采购 9 万元设备，系统识别金额高于3 万元阈值，自动引导走 “招标” 流程</w:t>
            </w:r>
          </w:p>
        </w:tc>
      </w:tr>
      <w:tr w14:paraId="362154FE">
        <w:tblPrEx>
          <w:tblCellMar>
            <w:top w:w="0" w:type="dxa"/>
            <w:left w:w="108" w:type="dxa"/>
            <w:bottom w:w="0" w:type="dxa"/>
            <w:right w:w="108" w:type="dxa"/>
          </w:tblCellMar>
        </w:tblPrEx>
        <w:trPr>
          <w:trHeight w:val="135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F7E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F36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30F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监管系统建设-阈值管理-合同类阈值管理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957D">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设定直签合同金额上限（如 10 万元），超阈值必须通过招标或竞争性采购；系统实时校验合同金额，违规时冻结签署权限</w:t>
            </w:r>
            <w:r>
              <w:rPr>
                <w:rFonts w:hint="eastAsia" w:cs="宋体"/>
                <w:color w:val="000000"/>
                <w:kern w:val="0"/>
                <w:sz w:val="22"/>
                <w:szCs w:val="22"/>
              </w:rPr>
              <w:br w:type="textWrapping"/>
            </w:r>
            <w:r>
              <w:rPr>
                <w:rFonts w:hint="eastAsia" w:cs="宋体"/>
                <w:color w:val="000000"/>
                <w:kern w:val="0"/>
                <w:sz w:val="22"/>
                <w:szCs w:val="22"/>
              </w:rPr>
              <w:t>应用：某部门拟签订 20 万元服务合同，系统阻断直签流程，强制进入采购合同流程</w:t>
            </w:r>
          </w:p>
        </w:tc>
      </w:tr>
      <w:tr w14:paraId="7FA923EC">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388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01E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5F7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监管系统建设-阈值管理-收支类阈值管理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77C0">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细化日常资金管控,根据支出业务类型，控制附件的类型等</w:t>
            </w:r>
          </w:p>
        </w:tc>
      </w:tr>
      <w:tr w14:paraId="580B6632">
        <w:tblPrEx>
          <w:tblCellMar>
            <w:top w:w="0" w:type="dxa"/>
            <w:left w:w="108" w:type="dxa"/>
            <w:bottom w:w="0" w:type="dxa"/>
            <w:right w:w="108" w:type="dxa"/>
          </w:tblCellMar>
        </w:tblPrEx>
        <w:trPr>
          <w:trHeight w:val="562"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15C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A5E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EB8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监管系统建设-预警管理-合同与保证金管理预警</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BC1E">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临期超期预警：合同到期前 30 天、15 天、7 天分级推送提醒，超期未执行自动标记为 “异常”；</w:t>
            </w:r>
            <w:r>
              <w:rPr>
                <w:rFonts w:hint="eastAsia" w:cs="宋体"/>
                <w:color w:val="000000"/>
                <w:kern w:val="0"/>
                <w:sz w:val="22"/>
                <w:szCs w:val="22"/>
              </w:rPr>
              <w:br w:type="textWrapping"/>
            </w:r>
            <w:r>
              <w:rPr>
                <w:rFonts w:hint="eastAsia" w:cs="宋体"/>
                <w:color w:val="000000"/>
                <w:kern w:val="0"/>
                <w:sz w:val="22"/>
                <w:szCs w:val="22"/>
              </w:rPr>
              <w:t>保证金预警：质保金到期未退还时，系统向供应商与采购部门同步发送催办通知</w:t>
            </w:r>
          </w:p>
        </w:tc>
      </w:tr>
      <w:tr w14:paraId="529D318E">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292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D46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0D6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监管系统建设-预警管理-预算执行率预警</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F9EE">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按部门 / 项目设定季度执行率下限（如季度末需完成年度预算的 30%），低于阈值时向部门负责人推送督办消息；</w:t>
            </w:r>
            <w:r>
              <w:rPr>
                <w:rFonts w:hint="eastAsia" w:cs="宋体"/>
                <w:color w:val="000000"/>
                <w:kern w:val="0"/>
                <w:sz w:val="22"/>
                <w:szCs w:val="22"/>
              </w:rPr>
              <w:br w:type="textWrapping"/>
            </w:r>
            <w:r>
              <w:rPr>
                <w:rFonts w:hint="eastAsia" w:cs="宋体"/>
                <w:color w:val="000000"/>
                <w:kern w:val="0"/>
                <w:sz w:val="22"/>
                <w:szCs w:val="22"/>
              </w:rPr>
              <w:t>示例：某项目 6 月末执行率仅 20%，系统生成 “执行缓慢” 预警报告，附整改建议</w:t>
            </w:r>
          </w:p>
        </w:tc>
      </w:tr>
      <w:tr w14:paraId="34175E41">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FC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0B7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8E7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监管系统建设-预警管理-审核流程时效预警</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13DD">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设定审核节点处理时限（如财务审核≤3 个工作日），超期未处理自动升级提示；</w:t>
            </w:r>
            <w:r>
              <w:rPr>
                <w:rFonts w:hint="eastAsia" w:cs="宋体"/>
                <w:color w:val="000000"/>
                <w:kern w:val="0"/>
                <w:sz w:val="22"/>
                <w:szCs w:val="22"/>
              </w:rPr>
              <w:br w:type="textWrapping"/>
            </w:r>
            <w:r>
              <w:rPr>
                <w:rFonts w:hint="eastAsia" w:cs="宋体"/>
                <w:color w:val="000000"/>
                <w:kern w:val="0"/>
                <w:sz w:val="22"/>
                <w:szCs w:val="22"/>
              </w:rPr>
              <w:t>场景：采购申请提交 3 日未审核，系统向审核人督办通知</w:t>
            </w:r>
          </w:p>
        </w:tc>
      </w:tr>
      <w:tr w14:paraId="51670FFC">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4B3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C6D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FFD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监管系统建设-预警管理-电子发票稽核预警</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F892">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自动识别重复报销、连号发票、超额开票等风险，标记为 “待核查” 状态</w:t>
            </w:r>
          </w:p>
        </w:tc>
      </w:tr>
      <w:tr w14:paraId="3BCC6A0B">
        <w:tblPrEx>
          <w:tblCellMar>
            <w:top w:w="0" w:type="dxa"/>
            <w:left w:w="108" w:type="dxa"/>
            <w:bottom w:w="0" w:type="dxa"/>
            <w:right w:w="108" w:type="dxa"/>
          </w:tblCellMar>
        </w:tblPrEx>
        <w:trPr>
          <w:trHeight w:val="189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207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78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234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监管系统建设-要素分析统计-核心要素分类与指标体系</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C229">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资金要素：按“金额 - 预算科目 - 经济分类”拆解，例如统计全部门“改造经费 - 生活支出 - 伙食费”的季度累计支出占比；</w:t>
            </w:r>
            <w:r>
              <w:rPr>
                <w:rFonts w:hint="eastAsia" w:cs="宋体"/>
                <w:color w:val="000000"/>
                <w:kern w:val="0"/>
                <w:sz w:val="22"/>
                <w:szCs w:val="22"/>
              </w:rPr>
              <w:br w:type="textWrapping"/>
            </w:r>
            <w:r>
              <w:rPr>
                <w:rFonts w:hint="eastAsia" w:cs="宋体"/>
                <w:color w:val="000000"/>
                <w:kern w:val="0"/>
                <w:sz w:val="22"/>
                <w:szCs w:val="22"/>
              </w:rPr>
              <w:t>时间要素：按“年度 - 季度 - 月度” 分析执行进度，生成 “预算执行率时间曲线”，对比同期数据识别执行波动；</w:t>
            </w:r>
            <w:r>
              <w:rPr>
                <w:rFonts w:hint="eastAsia" w:cs="宋体"/>
                <w:color w:val="000000"/>
                <w:kern w:val="0"/>
                <w:sz w:val="22"/>
                <w:szCs w:val="22"/>
              </w:rPr>
              <w:br w:type="textWrapping"/>
            </w:r>
            <w:r>
              <w:rPr>
                <w:rFonts w:hint="eastAsia" w:cs="宋体"/>
                <w:color w:val="000000"/>
                <w:kern w:val="0"/>
                <w:sz w:val="22"/>
                <w:szCs w:val="22"/>
              </w:rPr>
              <w:t>主体要素：按“部门 - 单位 - 职能部门”聚合数据，例如展示下属 20 家单位的“办公设备采购”凭证数量分布</w:t>
            </w:r>
          </w:p>
        </w:tc>
      </w:tr>
      <w:tr w14:paraId="7E4CFBCB">
        <w:tblPrEx>
          <w:tblCellMar>
            <w:top w:w="0" w:type="dxa"/>
            <w:left w:w="108" w:type="dxa"/>
            <w:bottom w:w="0" w:type="dxa"/>
            <w:right w:w="108" w:type="dxa"/>
          </w:tblCellMar>
        </w:tblPrEx>
        <w:trPr>
          <w:trHeight w:val="32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69F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289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1A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监管系统建设-预算项目全览</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46EF">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（1）项目卡片式管理每个预算项目生成专属 “数字档案”</w:t>
            </w:r>
            <w:r>
              <w:rPr>
                <w:rFonts w:hint="eastAsia" w:cs="宋体"/>
                <w:color w:val="000000"/>
                <w:kern w:val="0"/>
                <w:sz w:val="22"/>
                <w:szCs w:val="22"/>
              </w:rPr>
              <w:br w:type="textWrapping"/>
            </w:r>
            <w:r>
              <w:rPr>
                <w:rFonts w:hint="eastAsia" w:cs="宋体"/>
                <w:color w:val="000000"/>
                <w:kern w:val="0"/>
                <w:sz w:val="22"/>
                <w:szCs w:val="22"/>
              </w:rPr>
              <w:t>前端信息：项目申报文本、批复文件（电子档）；</w:t>
            </w:r>
            <w:r>
              <w:rPr>
                <w:rFonts w:hint="eastAsia" w:cs="宋体"/>
                <w:color w:val="000000"/>
                <w:kern w:val="0"/>
                <w:sz w:val="22"/>
                <w:szCs w:val="22"/>
              </w:rPr>
              <w:br w:type="textWrapping"/>
            </w:r>
            <w:r>
              <w:rPr>
                <w:rFonts w:hint="eastAsia" w:cs="宋体"/>
                <w:color w:val="000000"/>
                <w:kern w:val="0"/>
                <w:sz w:val="22"/>
                <w:szCs w:val="22"/>
              </w:rPr>
              <w:t>执行数据：各阶段电子凭证（如招标合同、验收单、支付凭证）；</w:t>
            </w:r>
            <w:r>
              <w:rPr>
                <w:rFonts w:hint="eastAsia" w:cs="宋体"/>
                <w:color w:val="000000"/>
                <w:kern w:val="0"/>
                <w:sz w:val="22"/>
                <w:szCs w:val="22"/>
              </w:rPr>
              <w:br w:type="textWrapping"/>
            </w:r>
            <w:r>
              <w:rPr>
                <w:rFonts w:hint="eastAsia" w:cs="宋体"/>
                <w:color w:val="000000"/>
                <w:kern w:val="0"/>
                <w:sz w:val="22"/>
                <w:szCs w:val="22"/>
              </w:rPr>
              <w:t>绩效指标：自动抓取凭证中的支出数据与绩效目标比对，例如 “设备采购项目”的实际支出与计划采购数量的匹配度分析。</w:t>
            </w:r>
            <w:r>
              <w:rPr>
                <w:rFonts w:hint="eastAsia" w:cs="宋体"/>
                <w:color w:val="000000"/>
                <w:kern w:val="0"/>
                <w:sz w:val="22"/>
                <w:szCs w:val="22"/>
              </w:rPr>
              <w:br w:type="textWrapping"/>
            </w:r>
            <w:r>
              <w:rPr>
                <w:rFonts w:hint="eastAsia" w:cs="宋体"/>
                <w:color w:val="000000"/>
                <w:kern w:val="0"/>
                <w:sz w:val="22"/>
                <w:szCs w:val="22"/>
              </w:rPr>
              <w:t>（2）进度偏差预警</w:t>
            </w:r>
            <w:r>
              <w:rPr>
                <w:rFonts w:hint="eastAsia" w:cs="宋体"/>
                <w:color w:val="000000"/>
                <w:kern w:val="0"/>
                <w:sz w:val="22"/>
                <w:szCs w:val="22"/>
              </w:rPr>
              <w:br w:type="textWrapping"/>
            </w:r>
            <w:r>
              <w:rPr>
                <w:rFonts w:hint="eastAsia" w:cs="宋体"/>
                <w:color w:val="000000"/>
                <w:kern w:val="0"/>
                <w:sz w:val="22"/>
                <w:szCs w:val="22"/>
              </w:rPr>
              <w:t>按项目计划节点（如招标、验收、付款阶段）设置时间阈值，电子凭证生成时自动匹配项目进度，滞后超 15 天则触发预警，例如某基建项目未在合同约定时间内生成验收凭证，系统向项目负责人推送督办通知。</w:t>
            </w:r>
          </w:p>
        </w:tc>
      </w:tr>
      <w:tr w14:paraId="0FFCEE87">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B43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DB9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600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监管系统建设-要素自定义分析-自定义指标配置</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8691">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部门层级可自主组合分析维度，例如新增 “伙食费” 关联分析指标，系统自动从电子凭证中提取 “伙食费” 类支出金额，并关联项目数据生成分析报表。</w:t>
            </w:r>
          </w:p>
        </w:tc>
      </w:tr>
      <w:tr w14:paraId="1DAB28E5">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7CC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27</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8CC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200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监管系统建设-要素自定义分析-模板化分析报告</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3A69">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预设 “专项审计”“绩效评价”“合规检查” 等场景模板，用户勾选分析要素后（如 “某类凭证 + 近 2 年数据”），系统自动生成含图表、结论、建议的结构化报告，减少人工统计工作量。</w:t>
            </w:r>
          </w:p>
        </w:tc>
      </w:tr>
      <w:tr w14:paraId="3AFDAA52">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E28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808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150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现有业务系统的升级改造-核算办管理-角色设置</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4E01">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核算办人员角色设置为核算办主任角色、核算办主管角色、核算办线上审核角色、核算办线下复核角色、核算办记账角色及局管理人员角色。</w:t>
            </w:r>
            <w:r>
              <w:rPr>
                <w:rFonts w:hint="eastAsia" w:cs="宋体"/>
                <w:color w:val="000000"/>
                <w:kern w:val="0"/>
                <w:sz w:val="22"/>
                <w:szCs w:val="22"/>
              </w:rPr>
              <w:br w:type="textWrapping"/>
            </w:r>
            <w:r>
              <w:rPr>
                <w:rFonts w:hint="eastAsia" w:cs="宋体"/>
                <w:color w:val="000000"/>
                <w:kern w:val="0"/>
                <w:sz w:val="22"/>
                <w:szCs w:val="22"/>
              </w:rPr>
              <w:t>各单位追加预算管理员角色、财务管理分管领导角色</w:t>
            </w:r>
          </w:p>
        </w:tc>
      </w:tr>
      <w:tr w14:paraId="72336BE4">
        <w:tblPrEx>
          <w:tblCellMar>
            <w:top w:w="0" w:type="dxa"/>
            <w:left w:w="108" w:type="dxa"/>
            <w:bottom w:w="0" w:type="dxa"/>
            <w:right w:w="108" w:type="dxa"/>
          </w:tblCellMar>
        </w:tblPrEx>
        <w:trPr>
          <w:trHeight w:val="434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AD6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0D2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6F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现有业务系统的升级改造-核算办管理-线上审核</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3546">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（1）核算办线上审核人员通过系统审批业务单据（如报销单、凭证等），可查看原始数据、填写审核意见，审核状态实时同步。</w:t>
            </w:r>
            <w:r>
              <w:rPr>
                <w:rFonts w:hint="eastAsia" w:cs="宋体"/>
                <w:color w:val="000000"/>
                <w:kern w:val="0"/>
                <w:sz w:val="22"/>
                <w:szCs w:val="22"/>
              </w:rPr>
              <w:br w:type="textWrapping"/>
            </w:r>
            <w:r>
              <w:rPr>
                <w:rFonts w:hint="eastAsia" w:cs="宋体"/>
                <w:color w:val="000000"/>
                <w:kern w:val="0"/>
                <w:sz w:val="22"/>
                <w:szCs w:val="22"/>
              </w:rPr>
              <w:t>（2）线上审核人员上线后，系统按凭证提交顺序，将单据单件推送至各审核人员；审核人员完成一件后，系统立即推送下一件。</w:t>
            </w:r>
            <w:r>
              <w:rPr>
                <w:rFonts w:hint="eastAsia" w:cs="宋体"/>
                <w:color w:val="000000"/>
                <w:kern w:val="0"/>
                <w:sz w:val="22"/>
                <w:szCs w:val="22"/>
              </w:rPr>
              <w:br w:type="textWrapping"/>
            </w:r>
            <w:r>
              <w:rPr>
                <w:rFonts w:hint="eastAsia" w:cs="宋体"/>
                <w:color w:val="000000"/>
                <w:kern w:val="0"/>
                <w:sz w:val="22"/>
                <w:szCs w:val="22"/>
              </w:rPr>
              <w:t>（3）线上审核人员可暂停或再启审核：暂停期间系统不推送新单据，且已推送的单据由系统自动撤回。</w:t>
            </w:r>
            <w:r>
              <w:rPr>
                <w:rFonts w:hint="eastAsia" w:cs="宋体"/>
                <w:color w:val="000000"/>
                <w:kern w:val="0"/>
                <w:sz w:val="22"/>
                <w:szCs w:val="22"/>
              </w:rPr>
              <w:br w:type="textWrapping"/>
            </w:r>
            <w:r>
              <w:rPr>
                <w:rFonts w:hint="eastAsia" w:cs="宋体"/>
                <w:color w:val="000000"/>
                <w:kern w:val="0"/>
                <w:sz w:val="22"/>
                <w:szCs w:val="22"/>
              </w:rPr>
              <w:t>（4）核算办主管可撤回已推送给审核人员的审核凭证。​</w:t>
            </w:r>
            <w:r>
              <w:rPr>
                <w:rFonts w:hint="eastAsia" w:cs="宋体"/>
                <w:color w:val="000000"/>
                <w:kern w:val="0"/>
                <w:sz w:val="22"/>
                <w:szCs w:val="22"/>
              </w:rPr>
              <w:br w:type="textWrapping"/>
            </w:r>
            <w:r>
              <w:rPr>
                <w:rFonts w:hint="eastAsia" w:cs="宋体"/>
                <w:color w:val="000000"/>
                <w:kern w:val="0"/>
                <w:sz w:val="22"/>
                <w:szCs w:val="22"/>
              </w:rPr>
              <w:t>（5）审核人员可将凭证设为待办：设为待办的凭证留置在该审核人员审核列表中，系统推送下一件；主管可撤回此类待办凭证。​</w:t>
            </w:r>
            <w:r>
              <w:rPr>
                <w:rFonts w:hint="eastAsia" w:cs="宋体"/>
                <w:color w:val="000000"/>
                <w:kern w:val="0"/>
                <w:sz w:val="22"/>
                <w:szCs w:val="22"/>
              </w:rPr>
              <w:br w:type="textWrapping"/>
            </w:r>
            <w:r>
              <w:rPr>
                <w:rFonts w:hint="eastAsia" w:cs="宋体"/>
                <w:color w:val="000000"/>
                <w:kern w:val="0"/>
                <w:sz w:val="22"/>
                <w:szCs w:val="22"/>
              </w:rPr>
              <w:t>（6）审核通过的凭证进入下一步审核环节。​</w:t>
            </w:r>
            <w:r>
              <w:rPr>
                <w:rFonts w:hint="eastAsia" w:cs="宋体"/>
                <w:color w:val="000000"/>
                <w:kern w:val="0"/>
                <w:sz w:val="22"/>
                <w:szCs w:val="22"/>
              </w:rPr>
              <w:br w:type="textWrapping"/>
            </w:r>
            <w:r>
              <w:rPr>
                <w:rFonts w:hint="eastAsia" w:cs="宋体"/>
                <w:color w:val="000000"/>
                <w:kern w:val="0"/>
                <w:sz w:val="22"/>
                <w:szCs w:val="22"/>
              </w:rPr>
              <w:t>（7）审核不通过的凭证退回原单位，由单位财务分管领导判断处置：若判断需修改，退回原申请人员修改；若判断无需修改，可直接再次提交给核算办</w:t>
            </w:r>
          </w:p>
        </w:tc>
      </w:tr>
      <w:tr w14:paraId="5435BE67">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33A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103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157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现有业务系统的升级改造-核算办管理-线上复审</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73E3">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针对高风险或大额业务，设置多级复审机制（初审→复审），复审人员可查阅历史审核记录，确保审核严谨性</w:t>
            </w:r>
          </w:p>
        </w:tc>
      </w:tr>
      <w:tr w14:paraId="70C30043">
        <w:tblPrEx>
          <w:tblCellMar>
            <w:top w:w="0" w:type="dxa"/>
            <w:left w:w="108" w:type="dxa"/>
            <w:bottom w:w="0" w:type="dxa"/>
            <w:right w:w="108" w:type="dxa"/>
          </w:tblCellMar>
        </w:tblPrEx>
        <w:trPr>
          <w:trHeight w:val="243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AF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8E8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89D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现有业务系统的升级改造-核算办管理-线下复核及记账支持</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0C59">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（1）满足线下交接条件的凭证等，由各单位的预算管理员通过系统做交接单，交接需保障域外4家单位优先的原则</w:t>
            </w:r>
            <w:r>
              <w:rPr>
                <w:rFonts w:hint="eastAsia" w:cs="宋体"/>
                <w:color w:val="000000"/>
                <w:kern w:val="0"/>
                <w:sz w:val="22"/>
                <w:szCs w:val="22"/>
              </w:rPr>
              <w:br w:type="textWrapping"/>
            </w:r>
            <w:r>
              <w:rPr>
                <w:rFonts w:hint="eastAsia" w:cs="宋体"/>
                <w:color w:val="000000"/>
                <w:kern w:val="0"/>
                <w:sz w:val="22"/>
                <w:szCs w:val="22"/>
              </w:rPr>
              <w:t>（2）核算办线上审核人员，可以设置每日上午、下午的交接总件数</w:t>
            </w:r>
            <w:r>
              <w:rPr>
                <w:rFonts w:hint="eastAsia" w:cs="宋体"/>
                <w:color w:val="000000"/>
                <w:kern w:val="0"/>
                <w:sz w:val="22"/>
                <w:szCs w:val="22"/>
              </w:rPr>
              <w:br w:type="textWrapping"/>
            </w:r>
            <w:r>
              <w:rPr>
                <w:rFonts w:hint="eastAsia" w:cs="宋体"/>
                <w:color w:val="000000"/>
                <w:kern w:val="0"/>
                <w:sz w:val="22"/>
                <w:szCs w:val="22"/>
              </w:rPr>
              <w:t>（3）线上审核人员通过系统审核后，系统生成最终的交接单，包括总交接件数、审核通过件数、审核退回件数</w:t>
            </w:r>
            <w:r>
              <w:rPr>
                <w:rFonts w:hint="eastAsia" w:cs="宋体"/>
                <w:color w:val="000000"/>
                <w:kern w:val="0"/>
                <w:sz w:val="22"/>
                <w:szCs w:val="22"/>
              </w:rPr>
              <w:br w:type="textWrapping"/>
            </w:r>
            <w:r>
              <w:rPr>
                <w:rFonts w:hint="eastAsia" w:cs="宋体"/>
                <w:color w:val="000000"/>
                <w:kern w:val="0"/>
                <w:sz w:val="22"/>
                <w:szCs w:val="22"/>
              </w:rPr>
              <w:t>（4）审核通过的进入记账环节、审核退回的退回各单位预算管理员补充资料后重新交接</w:t>
            </w:r>
            <w:r>
              <w:rPr>
                <w:rFonts w:hint="eastAsia" w:cs="宋体"/>
                <w:color w:val="000000"/>
                <w:kern w:val="0"/>
                <w:sz w:val="22"/>
                <w:szCs w:val="22"/>
              </w:rPr>
              <w:br w:type="textWrapping"/>
            </w:r>
            <w:r>
              <w:rPr>
                <w:rFonts w:hint="eastAsia" w:cs="宋体"/>
                <w:color w:val="000000"/>
                <w:kern w:val="0"/>
                <w:sz w:val="22"/>
                <w:szCs w:val="22"/>
              </w:rPr>
              <w:t>（5）为记账人员提供查询支持</w:t>
            </w:r>
          </w:p>
        </w:tc>
      </w:tr>
      <w:tr w14:paraId="36692A4E">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D8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BA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162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现有业务系统的升级改造-核算办业务统计分析-审核数据汇总报备</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2045">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包括审核总量、通过数、退回数、退回率的上月数（数量、金额）、本月数（数量、金额）、全年数（数量、金额）、退回率（上月件数、本月件数、全年件数、变动率）</w:t>
            </w:r>
          </w:p>
        </w:tc>
      </w:tr>
      <w:tr w14:paraId="75160926">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BCB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C1D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75D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现有业务系统的升级改造-核算办业务统计分析-交接汇总查询报表</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597C">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包括各单位的可交接数、本周下周每日上午、下午时段的已预约交接数、可预约交接数等</w:t>
            </w:r>
          </w:p>
        </w:tc>
      </w:tr>
      <w:tr w14:paraId="0DBAC17C">
        <w:tblPrEx>
          <w:tblCellMar>
            <w:top w:w="0" w:type="dxa"/>
            <w:left w:w="108" w:type="dxa"/>
            <w:bottom w:w="0" w:type="dxa"/>
            <w:right w:w="108" w:type="dxa"/>
          </w:tblCellMar>
        </w:tblPrEx>
        <w:trPr>
          <w:trHeight w:val="216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ADC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9F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D09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现有业务系统的升级改造-核算办业务智慧大屏-线上审核智慧大屏</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8BDB">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展示本年交接总量（总数（件数、金额）、通过数（件数、金额）、退回数（件数、金额）），当日审核总量（总数（件数、金额）、通过数（件数、金额）、退回数（件数、金额）），超二日未审核（件数、金额）超三日未审核（件数、金额）</w:t>
            </w:r>
            <w:r>
              <w:rPr>
                <w:rFonts w:hint="eastAsia" w:cs="宋体"/>
                <w:color w:val="000000"/>
                <w:kern w:val="0"/>
                <w:sz w:val="22"/>
                <w:szCs w:val="22"/>
              </w:rPr>
              <w:br w:type="textWrapping"/>
            </w:r>
            <w:r>
              <w:rPr>
                <w:rFonts w:hint="eastAsia" w:cs="宋体"/>
                <w:color w:val="000000"/>
                <w:kern w:val="0"/>
                <w:sz w:val="22"/>
                <w:szCs w:val="22"/>
              </w:rPr>
              <w:t>（2）审核人员的本年度审核作业量（总量、通过、退回）。图和表显示</w:t>
            </w:r>
            <w:r>
              <w:rPr>
                <w:rFonts w:hint="eastAsia" w:cs="宋体"/>
                <w:color w:val="000000"/>
                <w:kern w:val="0"/>
                <w:sz w:val="22"/>
                <w:szCs w:val="22"/>
              </w:rPr>
              <w:br w:type="textWrapping"/>
            </w:r>
            <w:r>
              <w:rPr>
                <w:rFonts w:hint="eastAsia" w:cs="宋体"/>
                <w:color w:val="000000"/>
                <w:kern w:val="0"/>
                <w:sz w:val="22"/>
                <w:szCs w:val="22"/>
              </w:rPr>
              <w:t>（3）一周审核趋势</w:t>
            </w:r>
          </w:p>
        </w:tc>
      </w:tr>
      <w:tr w14:paraId="0E28528B">
        <w:tblPrEx>
          <w:tblCellMar>
            <w:top w:w="0" w:type="dxa"/>
            <w:left w:w="108" w:type="dxa"/>
            <w:bottom w:w="0" w:type="dxa"/>
            <w:right w:w="108" w:type="dxa"/>
          </w:tblCellMar>
        </w:tblPrEx>
        <w:trPr>
          <w:trHeight w:val="216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984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9C2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8CE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现有业务系统的升级改造-核算办业务智慧大屏-线下审核智慧大屏</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ADE0">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（1）屏1：各单位的已交接（通过（数量、金额）、退回（数量、金额）），交接中（数量、金额），待交接（数量、金额）</w:t>
            </w:r>
            <w:r>
              <w:rPr>
                <w:rFonts w:hint="eastAsia" w:cs="宋体"/>
                <w:color w:val="000000"/>
                <w:kern w:val="0"/>
                <w:sz w:val="22"/>
                <w:szCs w:val="22"/>
              </w:rPr>
              <w:br w:type="textWrapping"/>
            </w:r>
            <w:r>
              <w:rPr>
                <w:rFonts w:hint="eastAsia" w:cs="宋体"/>
                <w:color w:val="000000"/>
                <w:kern w:val="0"/>
                <w:sz w:val="22"/>
                <w:szCs w:val="22"/>
              </w:rPr>
              <w:t>（2）屏2：核算办审核的已交接（通过（数量、金额）、退回（数量、金额）），交接中（数量、金额），待交接（数量、金额）；一周交接趋势、审核人员的本年度审核作业量（总量、通过、退回）。图和表显示</w:t>
            </w:r>
            <w:r>
              <w:rPr>
                <w:rFonts w:hint="eastAsia" w:cs="宋体"/>
                <w:color w:val="000000"/>
                <w:kern w:val="0"/>
                <w:sz w:val="22"/>
                <w:szCs w:val="22"/>
              </w:rPr>
              <w:br w:type="textWrapping"/>
            </w:r>
            <w:r>
              <w:rPr>
                <w:rFonts w:hint="eastAsia" w:cs="宋体"/>
                <w:color w:val="000000"/>
                <w:kern w:val="0"/>
                <w:sz w:val="22"/>
                <w:szCs w:val="22"/>
              </w:rPr>
              <w:t>（3）屏1和屏2轮播</w:t>
            </w:r>
          </w:p>
        </w:tc>
      </w:tr>
      <w:tr w14:paraId="406B4343">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933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BB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CC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现有业务系统的升级改造-管理联动-项目库调整与预算管理联动</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F9CA">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（1）预算编制模块与备选项目库系统实时对接，编制项目预算时，从备选项目库中选择已审核通过的项目，未入库项目无法直接添加至预算编制界面。</w:t>
            </w:r>
            <w:r>
              <w:rPr>
                <w:rFonts w:hint="eastAsia" w:cs="宋体"/>
                <w:color w:val="000000"/>
                <w:kern w:val="0"/>
                <w:sz w:val="22"/>
                <w:szCs w:val="22"/>
              </w:rPr>
              <w:br w:type="textWrapping"/>
            </w:r>
            <w:r>
              <w:rPr>
                <w:rFonts w:hint="eastAsia" w:cs="宋体"/>
                <w:color w:val="000000"/>
                <w:kern w:val="0"/>
                <w:sz w:val="22"/>
                <w:szCs w:val="22"/>
              </w:rPr>
              <w:t>（2）预算调整后，调整结果同步到项目库</w:t>
            </w:r>
          </w:p>
        </w:tc>
      </w:tr>
      <w:tr w14:paraId="54A59075">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EE7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37</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A07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832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现有业务系统的升级改造-管理联动-项目库调整与业务管理联动</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66DC">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预算执行途中、项目预算调整时，根据预算合同、采购、收支等模块的情况，稽核是否可以调整</w:t>
            </w:r>
          </w:p>
        </w:tc>
      </w:tr>
      <w:tr w14:paraId="243663A7">
        <w:tblPrEx>
          <w:tblCellMar>
            <w:top w:w="0" w:type="dxa"/>
            <w:left w:w="108" w:type="dxa"/>
            <w:bottom w:w="0" w:type="dxa"/>
            <w:right w:w="108" w:type="dxa"/>
          </w:tblCellMar>
        </w:tblPrEx>
        <w:trPr>
          <w:trHeight w:val="828"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218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094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6B4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现有业务系统的升级改造-管理联动-预算管理与业务管理联动</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05BB">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项目预算调整后，结果同步到合同、采购、收支等模块</w:t>
            </w:r>
          </w:p>
        </w:tc>
      </w:tr>
      <w:tr w14:paraId="0EADE56D">
        <w:tblPrEx>
          <w:tblCellMar>
            <w:top w:w="0" w:type="dxa"/>
            <w:left w:w="108" w:type="dxa"/>
            <w:bottom w:w="0" w:type="dxa"/>
            <w:right w:w="108" w:type="dxa"/>
          </w:tblCellMar>
        </w:tblPrEx>
        <w:trPr>
          <w:trHeight w:val="81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14F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3C3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D7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现有业务系统的升级改造-管理联动-业务全局使用</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1916">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平台扩大到全局预算单位的使用，权限分级管理，数据逐级汇总。</w:t>
            </w:r>
          </w:p>
        </w:tc>
      </w:tr>
      <w:tr w14:paraId="4973E1B2">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FDF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D9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F38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辅助应用-自动化辅助-项目库管理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D389">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项目库跟随辅助功能，辅助用户如何使用项目库管理功能。</w:t>
            </w:r>
          </w:p>
        </w:tc>
      </w:tr>
      <w:tr w14:paraId="22FAA8A5">
        <w:tblPrEx>
          <w:tblCellMar>
            <w:top w:w="0" w:type="dxa"/>
            <w:left w:w="108" w:type="dxa"/>
            <w:bottom w:w="0" w:type="dxa"/>
            <w:right w:w="108" w:type="dxa"/>
          </w:tblCellMar>
        </w:tblPrEx>
        <w:trPr>
          <w:trHeight w:val="243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46A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712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ABB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辅助应用-数据提取</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F09D">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（1）结构化数据智能转化：</w:t>
            </w:r>
            <w:r>
              <w:rPr>
                <w:rFonts w:hint="eastAsia" w:cs="宋体"/>
                <w:color w:val="000000"/>
                <w:kern w:val="0"/>
                <w:sz w:val="22"/>
                <w:szCs w:val="22"/>
              </w:rPr>
              <w:br w:type="textWrapping"/>
            </w:r>
            <w:r>
              <w:rPr>
                <w:rFonts w:hint="eastAsia" w:cs="宋体"/>
                <w:color w:val="000000"/>
                <w:kern w:val="0"/>
                <w:sz w:val="22"/>
                <w:szCs w:val="22"/>
              </w:rPr>
              <w:t>对电子凭证附件（电子普通发票、全电发票、收据、纸质发票扫描件、收据扫描件、政府间往来票据等）应用 OCR 技术，自动提取关键信息（如发票号码、发票金额、供应商名称），转化为结构化数据存入数据库，对凭证实施去重判断、电子凭证归档保存，使用凭证信息统计分析等</w:t>
            </w:r>
            <w:r>
              <w:rPr>
                <w:rFonts w:hint="eastAsia" w:cs="宋体"/>
                <w:color w:val="000000"/>
                <w:kern w:val="0"/>
                <w:sz w:val="22"/>
                <w:szCs w:val="22"/>
              </w:rPr>
              <w:br w:type="textWrapping"/>
            </w:r>
            <w:r>
              <w:rPr>
                <w:rFonts w:hint="eastAsia" w:cs="宋体"/>
                <w:color w:val="000000"/>
                <w:kern w:val="0"/>
                <w:sz w:val="22"/>
                <w:szCs w:val="22"/>
              </w:rPr>
              <w:t>（2）非结构化数据智能转化：</w:t>
            </w:r>
            <w:r>
              <w:rPr>
                <w:rFonts w:hint="eastAsia" w:cs="宋体"/>
                <w:color w:val="000000"/>
                <w:kern w:val="0"/>
                <w:sz w:val="22"/>
                <w:szCs w:val="22"/>
              </w:rPr>
              <w:br w:type="textWrapping"/>
            </w:r>
            <w:r>
              <w:rPr>
                <w:rFonts w:hint="eastAsia" w:cs="宋体"/>
                <w:color w:val="000000"/>
                <w:kern w:val="0"/>
                <w:sz w:val="22"/>
                <w:szCs w:val="22"/>
              </w:rPr>
              <w:t>例如自动提取中标通知书电子档，采购类电子凭证等，与填报内容稽核、进行合规性判断等。</w:t>
            </w:r>
          </w:p>
        </w:tc>
      </w:tr>
      <w:tr w14:paraId="532F42D2">
        <w:tblPrEx>
          <w:tblCellMar>
            <w:top w:w="0" w:type="dxa"/>
            <w:left w:w="108" w:type="dxa"/>
            <w:bottom w:w="0" w:type="dxa"/>
            <w:right w:w="108" w:type="dxa"/>
          </w:tblCellMar>
        </w:tblPrEx>
        <w:trPr>
          <w:trHeight w:val="405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A0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604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AC0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辅助应用-合同对比</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9D91">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在数字化办公场景下，线上审批流程与纸质合同签署环节间存在潜在风险，为防止出现线上审批通过的合同与盖章后上传的合同内容不一致的情况，平台引入图片识别技术构建起安全防护屏障。</w:t>
            </w:r>
            <w:r>
              <w:rPr>
                <w:rFonts w:hint="eastAsia" w:cs="宋体"/>
                <w:color w:val="000000"/>
                <w:kern w:val="0"/>
                <w:sz w:val="22"/>
                <w:szCs w:val="22"/>
              </w:rPr>
              <w:br w:type="textWrapping"/>
            </w:r>
            <w:r>
              <w:rPr>
                <w:rFonts w:hint="eastAsia" w:cs="宋体"/>
                <w:color w:val="000000"/>
                <w:kern w:val="0"/>
                <w:sz w:val="22"/>
                <w:szCs w:val="22"/>
              </w:rPr>
              <w:t>具体来说，当合同完成线上审批流程后，用户上传盖章版纸质合同的扫描件或图片时，系统会自动启动图片识别与比对程序。该程序运用光学字符识别（OCR）技术，将纸质合同中的文字、数字、条款等内容精准提取并转化为可编辑文本，同时对合同中的签章位置、页码、页眉页脚等关键信息进行特征标记；随后，系统会将提取的信息与线上审批通过的电子合同原文进行逐字、逐行、逐页的深度比对，无论是条款增删、数据修改，还是页码错漏等，都会被系统捕捉，向合同相关责任人和管理人员发送提醒，阻断流程继续推进，从而有效防范因合同内容篡改引发的法律纠纷与经济损失，为合同管理筑牢风险防线 。</w:t>
            </w:r>
          </w:p>
        </w:tc>
      </w:tr>
      <w:tr w14:paraId="26BE033C">
        <w:tblPrEx>
          <w:tblCellMar>
            <w:top w:w="0" w:type="dxa"/>
            <w:left w:w="108" w:type="dxa"/>
            <w:bottom w:w="0" w:type="dxa"/>
            <w:right w:w="108" w:type="dxa"/>
          </w:tblCellMar>
        </w:tblPrEx>
        <w:trPr>
          <w:trHeight w:val="10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2AD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CC4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9A0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辅助应用-自动化控制</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E8A5">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为提升业务运行效率，拟构建语音交互自动化控制系统。当用户通过语音下达:“我要报销” 指令后，系统将自动触发响应机制,依据系统提示，便捷进入报销管理模块，完成后续流程。</w:t>
            </w:r>
          </w:p>
        </w:tc>
      </w:tr>
      <w:tr w14:paraId="3711B992">
        <w:tblPrEx>
          <w:tblCellMar>
            <w:top w:w="0" w:type="dxa"/>
            <w:left w:w="108" w:type="dxa"/>
            <w:bottom w:w="0" w:type="dxa"/>
            <w:right w:w="108" w:type="dxa"/>
          </w:tblCellMar>
        </w:tblPrEx>
        <w:trPr>
          <w:trHeight w:val="135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935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9D3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FFD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辅助应用-自动化填报</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AC90">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自动化填报是指通过语音交互方式，驱动系统自动识别用户需求并填报表单的智能化解决方案。其核心在于将语音识别（ASR）、表单解析引擎与智能数据匹配技术结合，实现 “语音输入 - 语义理解 - 表单填充” 的全流程自动化，大幅简化用户手动填写表单的操作。</w:t>
            </w:r>
          </w:p>
        </w:tc>
      </w:tr>
      <w:tr w14:paraId="539846C4">
        <w:tblPrEx>
          <w:tblCellMar>
            <w:top w:w="0" w:type="dxa"/>
            <w:left w:w="108" w:type="dxa"/>
            <w:bottom w:w="0" w:type="dxa"/>
            <w:right w:w="108" w:type="dxa"/>
          </w:tblCellMar>
        </w:tblPrEx>
        <w:trPr>
          <w:trHeight w:val="216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670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956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804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辅助应用-自动化报表</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233E">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根据不同维度，实现自动化报表更新，例如：用户说 “分析差旅费”，系统弹出提示框 “请选择分析维度：①部门分布 ②季度趋势 ③人均标准”，点击选择后自动生成对应图表。</w:t>
            </w:r>
            <w:r>
              <w:rPr>
                <w:rFonts w:hint="eastAsia" w:cs="宋体"/>
                <w:color w:val="000000"/>
                <w:kern w:val="0"/>
                <w:sz w:val="22"/>
                <w:szCs w:val="22"/>
              </w:rPr>
              <w:br w:type="textWrapping"/>
            </w:r>
            <w:r>
              <w:rPr>
                <w:rFonts w:hint="eastAsia" w:cs="宋体"/>
                <w:color w:val="000000"/>
                <w:kern w:val="0"/>
                <w:sz w:val="22"/>
                <w:szCs w:val="22"/>
              </w:rPr>
              <w:t>通过监管系统与辅助应用的建设，内部控制管理平台将实现从 “事后核算” 到 “事前预防、事中控制、事后分析” 的全周期管理升级，电子凭证数据的价值也从 “合规记录” 向 “决策依据” 深度转化，最终构建 “数据驱动、智能防控、精准治理” 的现代财政管理体系。</w:t>
            </w:r>
          </w:p>
        </w:tc>
      </w:tr>
      <w:tr w14:paraId="6D1D3315">
        <w:tblPrEx>
          <w:tblCellMar>
            <w:top w:w="0" w:type="dxa"/>
            <w:left w:w="108" w:type="dxa"/>
            <w:bottom w:w="0" w:type="dxa"/>
            <w:right w:w="108" w:type="dxa"/>
          </w:tblCellMar>
        </w:tblPrEx>
        <w:trPr>
          <w:trHeight w:val="5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4C0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D77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上海市监狱管理局内部控制管理平台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E4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密码应用改造</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CC55">
            <w:pPr>
              <w:widowControl/>
              <w:spacing w:line="240" w:lineRule="auto"/>
              <w:ind w:firstLine="0" w:firstLineChars="0"/>
              <w:textAlignment w:val="center"/>
              <w:rPr>
                <w:rFonts w:cs="宋体"/>
                <w:color w:val="000000"/>
                <w:sz w:val="22"/>
                <w:szCs w:val="22"/>
              </w:rPr>
            </w:pPr>
            <w:r>
              <w:rPr>
                <w:rFonts w:hint="eastAsia" w:cs="宋体"/>
                <w:color w:val="000000"/>
                <w:kern w:val="0"/>
                <w:sz w:val="22"/>
                <w:szCs w:val="22"/>
              </w:rPr>
              <w:t>结合《国家政务信息化项目建设管理办法》、《政务信息系统政府采购管理暂行办法》，对系统进行密码应用改造</w:t>
            </w:r>
          </w:p>
        </w:tc>
      </w:tr>
    </w:tbl>
    <w:p w14:paraId="26067549">
      <w:pPr>
        <w:ind w:firstLine="0" w:firstLineChars="0"/>
        <w:rPr>
          <w:b/>
        </w:rPr>
      </w:pPr>
    </w:p>
    <w:p w14:paraId="77C398ED">
      <w:pPr>
        <w:pStyle w:val="3"/>
        <w:ind w:left="567"/>
      </w:pPr>
      <w:r>
        <w:rPr>
          <w:rFonts w:hint="eastAsia"/>
        </w:rPr>
        <w:t>产品软件购置清单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385"/>
        <w:gridCol w:w="4974"/>
        <w:gridCol w:w="721"/>
        <w:gridCol w:w="721"/>
      </w:tblGrid>
      <w:tr w14:paraId="795B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shd w:val="clear" w:color="auto" w:fill="auto"/>
            <w:vAlign w:val="center"/>
          </w:tcPr>
          <w:p w14:paraId="73262149">
            <w:pPr>
              <w:spacing w:line="240" w:lineRule="auto"/>
              <w:ind w:firstLine="0" w:firstLineChars="0"/>
              <w:jc w:val="center"/>
              <w:rPr>
                <w:rFonts w:cs="宋体"/>
                <w:b/>
                <w:bCs/>
                <w:sz w:val="22"/>
                <w:szCs w:val="22"/>
              </w:rPr>
            </w:pPr>
            <w:r>
              <w:rPr>
                <w:rFonts w:hint="eastAsia" w:cs="宋体"/>
                <w:b/>
                <w:bCs/>
                <w:sz w:val="22"/>
                <w:szCs w:val="22"/>
              </w:rPr>
              <w:t>序号</w:t>
            </w:r>
          </w:p>
        </w:tc>
        <w:tc>
          <w:tcPr>
            <w:tcW w:w="812" w:type="pct"/>
            <w:shd w:val="clear" w:color="auto" w:fill="auto"/>
            <w:vAlign w:val="center"/>
          </w:tcPr>
          <w:p w14:paraId="3A9320ED">
            <w:pPr>
              <w:spacing w:line="240" w:lineRule="auto"/>
              <w:ind w:firstLine="0" w:firstLineChars="0"/>
              <w:jc w:val="center"/>
              <w:rPr>
                <w:rFonts w:cs="宋体"/>
                <w:b/>
                <w:bCs/>
                <w:sz w:val="22"/>
                <w:szCs w:val="22"/>
              </w:rPr>
            </w:pPr>
            <w:r>
              <w:rPr>
                <w:rFonts w:hint="eastAsia" w:cs="宋体"/>
                <w:b/>
                <w:bCs/>
                <w:sz w:val="22"/>
                <w:szCs w:val="22"/>
              </w:rPr>
              <w:t>软件名称</w:t>
            </w:r>
          </w:p>
        </w:tc>
        <w:tc>
          <w:tcPr>
            <w:tcW w:w="2916" w:type="pct"/>
            <w:shd w:val="clear" w:color="auto" w:fill="auto"/>
            <w:vAlign w:val="center"/>
          </w:tcPr>
          <w:p w14:paraId="0AFB243D">
            <w:pPr>
              <w:spacing w:line="240" w:lineRule="auto"/>
              <w:ind w:firstLine="0" w:firstLineChars="0"/>
              <w:jc w:val="center"/>
              <w:rPr>
                <w:rFonts w:cs="宋体"/>
                <w:b/>
                <w:bCs/>
                <w:sz w:val="22"/>
                <w:szCs w:val="22"/>
              </w:rPr>
            </w:pPr>
            <w:r>
              <w:rPr>
                <w:rFonts w:hint="eastAsia" w:cs="宋体"/>
                <w:b/>
                <w:bCs/>
                <w:sz w:val="22"/>
                <w:szCs w:val="22"/>
              </w:rPr>
              <w:t>功能说明</w:t>
            </w:r>
            <w:r>
              <w:rPr>
                <w:rFonts w:cs="宋体"/>
                <w:b/>
                <w:bCs/>
                <w:sz w:val="22"/>
                <w:szCs w:val="22"/>
              </w:rPr>
              <w:t>/配置要求</w:t>
            </w:r>
          </w:p>
        </w:tc>
        <w:tc>
          <w:tcPr>
            <w:tcW w:w="423" w:type="pct"/>
            <w:shd w:val="clear" w:color="auto" w:fill="auto"/>
            <w:vAlign w:val="center"/>
          </w:tcPr>
          <w:p w14:paraId="4F14A4D5">
            <w:pPr>
              <w:spacing w:line="240" w:lineRule="auto"/>
              <w:ind w:firstLine="0" w:firstLineChars="0"/>
              <w:jc w:val="center"/>
              <w:rPr>
                <w:rFonts w:cs="宋体"/>
                <w:b/>
                <w:bCs/>
                <w:sz w:val="22"/>
                <w:szCs w:val="22"/>
              </w:rPr>
            </w:pPr>
            <w:r>
              <w:rPr>
                <w:rFonts w:hint="eastAsia" w:cs="宋体"/>
                <w:b/>
                <w:bCs/>
                <w:sz w:val="22"/>
                <w:szCs w:val="22"/>
              </w:rPr>
              <w:t>数量</w:t>
            </w:r>
          </w:p>
        </w:tc>
        <w:tc>
          <w:tcPr>
            <w:tcW w:w="423" w:type="pct"/>
            <w:shd w:val="clear" w:color="auto" w:fill="auto"/>
            <w:vAlign w:val="center"/>
          </w:tcPr>
          <w:p w14:paraId="7508945A">
            <w:pPr>
              <w:spacing w:line="240" w:lineRule="auto"/>
              <w:ind w:firstLine="0" w:firstLineChars="0"/>
              <w:jc w:val="center"/>
              <w:rPr>
                <w:rFonts w:cs="宋体"/>
                <w:b/>
                <w:bCs/>
                <w:sz w:val="22"/>
                <w:szCs w:val="22"/>
              </w:rPr>
            </w:pPr>
            <w:r>
              <w:rPr>
                <w:rFonts w:hint="eastAsia" w:cs="宋体"/>
                <w:b/>
                <w:bCs/>
                <w:sz w:val="22"/>
                <w:szCs w:val="22"/>
              </w:rPr>
              <w:t>单位</w:t>
            </w:r>
          </w:p>
        </w:tc>
      </w:tr>
      <w:tr w14:paraId="2EAB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shd w:val="clear" w:color="auto" w:fill="auto"/>
            <w:vAlign w:val="center"/>
          </w:tcPr>
          <w:p w14:paraId="04852C5B">
            <w:pPr>
              <w:spacing w:line="240" w:lineRule="auto"/>
              <w:ind w:firstLine="0" w:firstLineChars="0"/>
              <w:jc w:val="center"/>
              <w:rPr>
                <w:rFonts w:cs="宋体"/>
                <w:sz w:val="22"/>
                <w:szCs w:val="22"/>
              </w:rPr>
            </w:pPr>
            <w:r>
              <w:rPr>
                <w:rFonts w:cs="宋体"/>
                <w:sz w:val="22"/>
                <w:szCs w:val="22"/>
              </w:rPr>
              <w:t>1</w:t>
            </w:r>
          </w:p>
        </w:tc>
        <w:tc>
          <w:tcPr>
            <w:tcW w:w="812" w:type="pct"/>
            <w:shd w:val="clear" w:color="auto" w:fill="auto"/>
            <w:vAlign w:val="center"/>
          </w:tcPr>
          <w:p w14:paraId="5ABE2C72">
            <w:pPr>
              <w:spacing w:line="240" w:lineRule="auto"/>
              <w:ind w:firstLine="0" w:firstLineChars="0"/>
              <w:jc w:val="center"/>
              <w:rPr>
                <w:rFonts w:cs="宋体"/>
                <w:sz w:val="22"/>
                <w:szCs w:val="22"/>
              </w:rPr>
            </w:pPr>
            <w:r>
              <w:rPr>
                <w:rFonts w:hint="eastAsia" w:cs="宋体"/>
                <w:sz w:val="22"/>
                <w:szCs w:val="22"/>
              </w:rPr>
              <w:t>工具软件</w:t>
            </w:r>
          </w:p>
        </w:tc>
        <w:tc>
          <w:tcPr>
            <w:tcW w:w="2916" w:type="pct"/>
            <w:shd w:val="clear" w:color="auto" w:fill="auto"/>
            <w:vAlign w:val="center"/>
          </w:tcPr>
          <w:p w14:paraId="5C568C53">
            <w:pPr>
              <w:spacing w:line="240" w:lineRule="auto"/>
              <w:ind w:firstLine="0" w:firstLineChars="0"/>
              <w:jc w:val="center"/>
              <w:rPr>
                <w:rFonts w:cs="宋体"/>
                <w:sz w:val="22"/>
                <w:szCs w:val="22"/>
              </w:rPr>
            </w:pPr>
            <w:r>
              <w:rPr>
                <w:rFonts w:hint="eastAsia" w:cs="宋体"/>
                <w:color w:val="000000"/>
                <w:kern w:val="0"/>
                <w:sz w:val="22"/>
                <w:szCs w:val="22"/>
              </w:rPr>
              <w:t>包含档案收集、档案管理、档案保存、检索利用、档案鉴定、档案统计、应用配置、系统管理等八大模块</w:t>
            </w:r>
          </w:p>
        </w:tc>
        <w:tc>
          <w:tcPr>
            <w:tcW w:w="423" w:type="pct"/>
            <w:shd w:val="clear" w:color="auto" w:fill="auto"/>
            <w:vAlign w:val="center"/>
          </w:tcPr>
          <w:p w14:paraId="4B5D2CED">
            <w:pPr>
              <w:spacing w:line="240" w:lineRule="auto"/>
              <w:ind w:firstLine="0" w:firstLineChars="0"/>
              <w:jc w:val="center"/>
              <w:rPr>
                <w:rFonts w:cs="宋体"/>
                <w:sz w:val="22"/>
                <w:szCs w:val="22"/>
              </w:rPr>
            </w:pPr>
            <w:r>
              <w:rPr>
                <w:rFonts w:cs="宋体"/>
                <w:sz w:val="22"/>
                <w:szCs w:val="22"/>
              </w:rPr>
              <w:t>1</w:t>
            </w:r>
          </w:p>
        </w:tc>
        <w:tc>
          <w:tcPr>
            <w:tcW w:w="423" w:type="pct"/>
            <w:shd w:val="clear" w:color="auto" w:fill="auto"/>
            <w:vAlign w:val="center"/>
          </w:tcPr>
          <w:p w14:paraId="3287F002">
            <w:pPr>
              <w:spacing w:line="240" w:lineRule="auto"/>
              <w:ind w:firstLine="0" w:firstLineChars="0"/>
              <w:jc w:val="center"/>
              <w:rPr>
                <w:rFonts w:cs="宋体"/>
                <w:sz w:val="22"/>
                <w:szCs w:val="22"/>
              </w:rPr>
            </w:pPr>
            <w:r>
              <w:rPr>
                <w:rFonts w:cs="宋体"/>
                <w:sz w:val="22"/>
                <w:szCs w:val="22"/>
              </w:rPr>
              <w:t>套</w:t>
            </w:r>
          </w:p>
        </w:tc>
      </w:tr>
    </w:tbl>
    <w:p w14:paraId="0EB8ECD5">
      <w:pPr>
        <w:ind w:left="567" w:firstLine="0" w:firstLineChars="0"/>
      </w:pPr>
    </w:p>
    <w:p w14:paraId="34FB7389"/>
    <w:p w14:paraId="23181DB5">
      <w:pPr>
        <w:pStyle w:val="3"/>
        <w:ind w:left="567"/>
      </w:pPr>
      <w:r>
        <w:rPr>
          <w:rFonts w:hint="eastAsia"/>
        </w:rPr>
        <w:t>总体架构图</w:t>
      </w:r>
    </w:p>
    <w:p w14:paraId="368CB6A5">
      <w:pPr>
        <w:ind w:firstLine="0" w:firstLineChars="0"/>
        <w:rPr>
          <w:rFonts w:cs="宋体"/>
        </w:rPr>
      </w:pPr>
      <w:r>
        <w:drawing>
          <wp:inline distT="0" distB="0" distL="114300" distR="114300">
            <wp:extent cx="4707255" cy="2847975"/>
            <wp:effectExtent l="0" t="0" r="762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3"/>
                    <a:stretch>
                      <a:fillRect/>
                    </a:stretch>
                  </pic:blipFill>
                  <pic:spPr>
                    <a:xfrm>
                      <a:off x="0" y="0"/>
                      <a:ext cx="4707255" cy="2847975"/>
                    </a:xfrm>
                    <a:prstGeom prst="rect">
                      <a:avLst/>
                    </a:prstGeom>
                    <a:noFill/>
                    <a:ln>
                      <a:noFill/>
                    </a:ln>
                  </pic:spPr>
                </pic:pic>
              </a:graphicData>
            </a:graphic>
          </wp:inline>
        </w:drawing>
      </w:r>
    </w:p>
    <w:p w14:paraId="350B542A">
      <w:pPr>
        <w:pStyle w:val="3"/>
        <w:ind w:left="567"/>
      </w:pPr>
      <w:r>
        <w:rPr>
          <w:rFonts w:hint="eastAsia"/>
        </w:rPr>
        <w:t>技术路线</w:t>
      </w:r>
    </w:p>
    <w:p w14:paraId="147E5269">
      <w:pPr>
        <w:pStyle w:val="135"/>
        <w:widowControl/>
        <w:adjustRightInd w:val="0"/>
        <w:rPr>
          <w:rFonts w:cs="宋体"/>
          <w:lang w:eastAsia="zh-CN"/>
        </w:rPr>
      </w:pPr>
      <w:r>
        <w:rPr>
          <w:rFonts w:hint="eastAsia" w:cs="宋体"/>
          <w:lang w:eastAsia="zh-CN"/>
        </w:rPr>
        <w:t>本系统架构技术采用主流的MVC模式，支持跨平台、跨数据库应用，充分考虑XC环境的特殊要求，构建安全、自主、可控的应用系统，数据库采用国产达梦数据库系统作为数据库服务。本系统基于JAVA8及以上版本开发和运行，采用符合国密标准的加密算法和安全协议，构建安全的身份认证和授权体系。</w:t>
      </w:r>
    </w:p>
    <w:p w14:paraId="56AA10BD">
      <w:pPr>
        <w:pStyle w:val="3"/>
        <w:ind w:left="567"/>
      </w:pPr>
      <w:r>
        <w:rPr>
          <w:rFonts w:hint="eastAsia"/>
        </w:rPr>
        <w:t>部署环境</w:t>
      </w:r>
    </w:p>
    <w:p w14:paraId="4769FDB0">
      <w:pPr>
        <w:pStyle w:val="135"/>
        <w:widowControl/>
        <w:adjustRightInd w:val="0"/>
        <w:rPr>
          <w:rFonts w:cs="宋体"/>
          <w:lang w:eastAsia="zh-CN"/>
        </w:rPr>
      </w:pPr>
      <w:r>
        <w:rPr>
          <w:rFonts w:hint="eastAsia" w:cs="宋体"/>
          <w:lang w:eastAsia="zh-CN"/>
        </w:rPr>
        <w:t>本项目在上海市电子政务云政务外网区域和互联网区域进行部署。</w:t>
      </w:r>
    </w:p>
    <w:p w14:paraId="3DB1FCD7">
      <w:pPr>
        <w:pStyle w:val="2"/>
      </w:pPr>
      <w:bookmarkStart w:id="17" w:name="_Toc63785502"/>
      <w:r>
        <w:rPr>
          <w:rFonts w:hint="eastAsia"/>
        </w:rPr>
        <w:t>电子政务云资源需求</w:t>
      </w:r>
      <w:bookmarkEnd w:id="17"/>
      <w:r>
        <w:rPr>
          <w:rFonts w:hint="eastAsia"/>
        </w:rPr>
        <w:t>（仅针对上云项目）</w:t>
      </w:r>
    </w:p>
    <w:p w14:paraId="72489D9E">
      <w:r>
        <w:rPr>
          <w:rFonts w:hint="eastAsia"/>
        </w:rPr>
        <w:t>根据项目前期资源现状，本次建设根据估算拟向电子政务云申请安全认证网关服务1套*年、签名验签服务1套*年、可信密码服务1应用*年、数字证书服务 - SSL证书-单域名1张*年、数字证书服务 - 公务人员证书（key）1张*年、数字证书服务 - 证书介质（key）10个、文字识别服务（OCR）200QPS（每秒查询率）*年、实时语音转写200路*年。</w:t>
      </w:r>
    </w:p>
    <w:p w14:paraId="3CF97B70">
      <w:pPr>
        <w:pStyle w:val="2"/>
      </w:pPr>
      <w:bookmarkStart w:id="18" w:name="_Toc63785503"/>
      <w:r>
        <w:rPr>
          <w:rFonts w:hint="eastAsia"/>
        </w:rPr>
        <w:t>其他工作要求</w:t>
      </w:r>
      <w:bookmarkEnd w:id="18"/>
    </w:p>
    <w:p w14:paraId="060674B8">
      <w:pPr>
        <w:keepNext/>
        <w:keepLines/>
        <w:numPr>
          <w:ilvl w:val="1"/>
          <w:numId w:val="3"/>
        </w:numPr>
        <w:tabs>
          <w:tab w:val="left" w:pos="360"/>
        </w:tabs>
        <w:spacing w:before="120" w:line="240" w:lineRule="auto"/>
        <w:ind w:left="0" w:firstLine="0" w:firstLineChars="0"/>
        <w:outlineLvl w:val="1"/>
        <w:rPr>
          <w:rFonts w:ascii="仿宋" w:hAnsi="仿宋" w:eastAsia="仿宋"/>
          <w:b/>
          <w:vanish/>
          <w:color w:val="000000"/>
          <w:szCs w:val="20"/>
        </w:rPr>
      </w:pPr>
      <w:bookmarkStart w:id="19" w:name="_Toc62209488"/>
      <w:bookmarkEnd w:id="19"/>
      <w:bookmarkStart w:id="20" w:name="_Toc61968111"/>
      <w:bookmarkEnd w:id="20"/>
      <w:bookmarkStart w:id="21" w:name="_Toc63151871"/>
      <w:bookmarkEnd w:id="21"/>
      <w:bookmarkStart w:id="22" w:name="_Toc63762370"/>
      <w:bookmarkEnd w:id="22"/>
      <w:bookmarkStart w:id="23" w:name="_Toc63585480"/>
      <w:bookmarkEnd w:id="23"/>
      <w:bookmarkStart w:id="24" w:name="_Toc63785504"/>
      <w:bookmarkEnd w:id="24"/>
      <w:bookmarkStart w:id="25" w:name="_Toc62219358"/>
      <w:bookmarkEnd w:id="25"/>
      <w:bookmarkStart w:id="26" w:name="_Toc63785439"/>
      <w:bookmarkEnd w:id="26"/>
    </w:p>
    <w:p w14:paraId="08747B3F">
      <w:pPr>
        <w:pStyle w:val="3"/>
        <w:ind w:left="567"/>
      </w:pPr>
      <w:bookmarkStart w:id="27" w:name="_Toc63785505"/>
      <w:r>
        <w:rPr>
          <w:rFonts w:hint="eastAsia"/>
        </w:rPr>
        <w:t>售后服务要求</w:t>
      </w:r>
      <w:bookmarkEnd w:id="27"/>
    </w:p>
    <w:p w14:paraId="07AF8BE4">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5754BBB2">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2105B34D">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软件功能模块（本次项目建设内容）的运行保障，按照大数据中心和甲方的要求进行的系统升级（操作系统、中间件、数据库等的安全漏洞、应用漏洞的修复，支持性系统和软件的重要安全补丁升级等），按照甲方要求进行应急预案演练，根据甲方的具体要求，在重大节假日提供远程或者现场的保障服务。</w:t>
      </w:r>
    </w:p>
    <w:p w14:paraId="3E9553BC">
      <w:pPr>
        <w:pStyle w:val="3"/>
      </w:pPr>
      <w:bookmarkStart w:id="28" w:name="_Toc63785506"/>
      <w:r>
        <w:rPr>
          <w:rFonts w:hint="eastAsia"/>
        </w:rPr>
        <w:t>应急响应要求</w:t>
      </w:r>
      <w:bookmarkEnd w:id="28"/>
    </w:p>
    <w:p w14:paraId="35B52A8C">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654EFBBC">
      <w:pPr>
        <w:pStyle w:val="10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7F0B533D">
      <w:pPr>
        <w:pStyle w:val="10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4F4D7304">
      <w:pPr>
        <w:pStyle w:val="10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C14E20C">
      <w:pPr>
        <w:pStyle w:val="10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61200AB1">
      <w:pPr>
        <w:pStyle w:val="3"/>
      </w:pPr>
      <w:bookmarkStart w:id="29" w:name="_Toc63785507"/>
      <w:r>
        <w:rPr>
          <w:rFonts w:hint="eastAsia"/>
        </w:rPr>
        <w:t>培训要求</w:t>
      </w:r>
      <w:bookmarkEnd w:id="29"/>
    </w:p>
    <w:p w14:paraId="1C676A19">
      <w:r>
        <w:rPr>
          <w:rFonts w:hint="eastAsia"/>
        </w:rPr>
        <w:t>对系统使用单位提供业务操作培训，应提供详细培训方案。</w:t>
      </w:r>
    </w:p>
    <w:p w14:paraId="7AE09459">
      <w:r>
        <w:rPr>
          <w:rFonts w:hint="eastAsia"/>
        </w:rPr>
        <w:t>(1)在12个月的质量保证期内，提供2次与项目相关的必要培训。</w:t>
      </w:r>
    </w:p>
    <w:p w14:paraId="30895EF6">
      <w:r>
        <w:rPr>
          <w:rFonts w:hint="eastAsia"/>
        </w:rPr>
        <w:t>(2)供应商需要开展分层次的人员培训工作，每次培训后应对参加培训人员进行测试，评估培训成果。培训应具有培训教材、培训环境和高水平的培训讲师。</w:t>
      </w:r>
    </w:p>
    <w:p w14:paraId="2DB00A66">
      <w:r>
        <w:rPr>
          <w:rFonts w:hint="eastAsia"/>
        </w:rPr>
        <w:t>(3)供应商应提供一般用户的基础操作培训和部门信息管理员的日常应用维护的培训，确保用户对象能够掌握对应的操作技能。</w:t>
      </w:r>
    </w:p>
    <w:p w14:paraId="51BC9AD2">
      <w:pPr>
        <w:pStyle w:val="3"/>
      </w:pPr>
      <w:bookmarkStart w:id="30" w:name="_Toc63785508"/>
      <w:r>
        <w:rPr>
          <w:rFonts w:hint="eastAsia"/>
        </w:rPr>
        <w:t>验收要求</w:t>
      </w:r>
      <w:bookmarkEnd w:id="30"/>
    </w:p>
    <w:p w14:paraId="50B77673">
      <w:pPr>
        <w:rPr>
          <w:szCs w:val="21"/>
        </w:rPr>
      </w:pPr>
      <w:r>
        <w:rPr>
          <w:rFonts w:hint="eastAsia"/>
          <w:szCs w:val="21"/>
        </w:rPr>
        <w:t>本项目按下述方式开展验收。</w:t>
      </w:r>
    </w:p>
    <w:p w14:paraId="1E0F26E0">
      <w:pPr>
        <w:rPr>
          <w:szCs w:val="21"/>
        </w:rPr>
      </w:pPr>
      <w:r>
        <w:rPr>
          <w:rFonts w:hint="eastAsia"/>
          <w:szCs w:val="21"/>
        </w:rPr>
        <w:t>（</w:t>
      </w:r>
      <w:r>
        <w:rPr>
          <w:szCs w:val="21"/>
        </w:rPr>
        <w:t>1）验收分初验和终验。</w:t>
      </w:r>
    </w:p>
    <w:p w14:paraId="6E6BC43C">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rPr>
        <w:t>采购人</w:t>
      </w:r>
      <w:r>
        <w:rPr>
          <w:szCs w:val="21"/>
        </w:rPr>
        <w:t>递交初验通知书。</w:t>
      </w:r>
      <w:r>
        <w:rPr>
          <w:rFonts w:hint="eastAsia"/>
          <w:szCs w:val="21"/>
        </w:rPr>
        <w:t>采购人</w:t>
      </w:r>
      <w:r>
        <w:rPr>
          <w:szCs w:val="21"/>
        </w:rPr>
        <w:t>应当在接到通知后的5个工作日内确定初验的具体日期，由双方按照本项目的约定完成本项目的初验。</w:t>
      </w:r>
      <w:r>
        <w:rPr>
          <w:rFonts w:hint="eastAsia"/>
          <w:szCs w:val="21"/>
        </w:rPr>
        <w:t>采购人</w:t>
      </w:r>
      <w:r>
        <w:rPr>
          <w:szCs w:val="21"/>
        </w:rPr>
        <w:t>有权委托第三方检测机构进行验收，对此供应商应当配合。</w:t>
      </w:r>
    </w:p>
    <w:p w14:paraId="79432B62">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rPr>
        <w:t>采购人</w:t>
      </w:r>
      <w:r>
        <w:rPr>
          <w:szCs w:val="21"/>
        </w:rPr>
        <w:t>应向供应商出具书面报告，陈述需要改进的缺陷。供应商应立即严格依照</w:t>
      </w:r>
      <w:r>
        <w:rPr>
          <w:rFonts w:hint="eastAsia"/>
          <w:szCs w:val="21"/>
        </w:rPr>
        <w:t>采购人</w:t>
      </w:r>
      <w:r>
        <w:rPr>
          <w:szCs w:val="21"/>
        </w:rPr>
        <w:t>的书面报告中的要求改进缺陷，并再次进行初验。</w:t>
      </w:r>
    </w:p>
    <w:p w14:paraId="071262C3">
      <w:pPr>
        <w:rPr>
          <w:szCs w:val="21"/>
        </w:rPr>
      </w:pPr>
      <w:r>
        <w:rPr>
          <w:rFonts w:hint="eastAsia"/>
          <w:szCs w:val="21"/>
        </w:rPr>
        <w:t>（</w:t>
      </w:r>
      <w:r>
        <w:rPr>
          <w:szCs w:val="21"/>
        </w:rPr>
        <w:t>4）自初验通过之日起，</w:t>
      </w:r>
      <w:r>
        <w:rPr>
          <w:rFonts w:hint="eastAsia"/>
          <w:szCs w:val="21"/>
        </w:rPr>
        <w:t>采购人</w:t>
      </w:r>
      <w:r>
        <w:rPr>
          <w:szCs w:val="21"/>
        </w:rPr>
        <w:t>享有供应商免费提供的</w:t>
      </w:r>
      <w:r>
        <w:rPr>
          <w:rFonts w:hint="eastAsia"/>
          <w:szCs w:val="21"/>
          <w:highlight w:val="none"/>
          <w:lang w:val="en-US" w:eastAsia="zh-CN"/>
        </w:rPr>
        <w:t>3</w:t>
      </w:r>
      <w:r>
        <w:rPr>
          <w:rFonts w:hint="eastAsia"/>
          <w:szCs w:val="21"/>
          <w:highlight w:val="none"/>
        </w:rPr>
        <w:t>0</w:t>
      </w:r>
      <w:r>
        <w:rPr>
          <w:szCs w:val="21"/>
          <w:highlight w:val="none"/>
        </w:rPr>
        <w:t>天</w:t>
      </w:r>
      <w:r>
        <w:rPr>
          <w:szCs w:val="21"/>
        </w:rPr>
        <w:t>的信息系统试运行现场驻场服务期。该期间内，供应商应当按照</w:t>
      </w:r>
      <w:r>
        <w:rPr>
          <w:rFonts w:hint="eastAsia"/>
          <w:szCs w:val="21"/>
        </w:rPr>
        <w:t>采购人</w:t>
      </w:r>
      <w:r>
        <w:rPr>
          <w:szCs w:val="21"/>
        </w:rPr>
        <w:t>的要求提供现场技术支持服务，解决信息系统试运行期间可能出现的各类问题，或进一步提高与完善信息系统运行水平。</w:t>
      </w:r>
    </w:p>
    <w:p w14:paraId="0164ED0C">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rPr>
        <w:t>采购人</w:t>
      </w:r>
      <w:r>
        <w:rPr>
          <w:szCs w:val="21"/>
        </w:rPr>
        <w:t>信息系统已准备就绪等待终验。</w:t>
      </w:r>
      <w:r>
        <w:rPr>
          <w:rFonts w:hint="eastAsia"/>
          <w:szCs w:val="21"/>
        </w:rPr>
        <w:t>采购人</w:t>
      </w:r>
      <w:r>
        <w:rPr>
          <w:szCs w:val="21"/>
        </w:rPr>
        <w:t>在收到终验通知后的</w:t>
      </w:r>
      <w:r>
        <w:rPr>
          <w:szCs w:val="21"/>
          <w:highlight w:val="none"/>
        </w:rPr>
        <w:t>10个工作日</w:t>
      </w:r>
      <w:r>
        <w:rPr>
          <w:szCs w:val="21"/>
        </w:rPr>
        <w:t>内发起组织专家验收会。</w:t>
      </w:r>
    </w:p>
    <w:p w14:paraId="16BEFBE0">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5C932A25">
      <w:pPr>
        <w:rPr>
          <w:szCs w:val="21"/>
        </w:rPr>
      </w:pPr>
      <w:r>
        <w:rPr>
          <w:rFonts w:hint="eastAsia"/>
          <w:szCs w:val="21"/>
        </w:rPr>
        <w:t>（7</w:t>
      </w:r>
      <w:r>
        <w:rPr>
          <w:szCs w:val="21"/>
        </w:rPr>
        <w:t>）如果由于</w:t>
      </w:r>
      <w:r>
        <w:rPr>
          <w:rFonts w:hint="eastAsia"/>
          <w:szCs w:val="21"/>
        </w:rPr>
        <w:t>采购人</w:t>
      </w:r>
      <w:r>
        <w:rPr>
          <w:szCs w:val="21"/>
        </w:rPr>
        <w:t>原因导致本项目在终验通过前出现故障或问题，供应商应及时配合排除该方面的故障或问题。</w:t>
      </w:r>
    </w:p>
    <w:p w14:paraId="7080DA18">
      <w:pPr>
        <w:rPr>
          <w:szCs w:val="21"/>
        </w:rPr>
      </w:pPr>
      <w:r>
        <w:rPr>
          <w:rFonts w:hint="eastAsia"/>
          <w:szCs w:val="21"/>
        </w:rPr>
        <w:t>（8</w:t>
      </w:r>
      <w:r>
        <w:rPr>
          <w:szCs w:val="21"/>
        </w:rPr>
        <w:t>）如本项目连续3次验收未通过（含初验未通过或终验未通过），</w:t>
      </w:r>
      <w:r>
        <w:rPr>
          <w:rFonts w:hint="eastAsia"/>
          <w:szCs w:val="21"/>
        </w:rPr>
        <w:t>采购人</w:t>
      </w:r>
      <w:r>
        <w:rPr>
          <w:szCs w:val="21"/>
        </w:rPr>
        <w:t>有权解除项目，并有权依照本项目约定的违约条款追究供应商的违约责任。</w:t>
      </w:r>
    </w:p>
    <w:p w14:paraId="5EECCD7C">
      <w:pPr>
        <w:pStyle w:val="3"/>
      </w:pPr>
      <w:bookmarkStart w:id="31" w:name="_Toc63785509"/>
      <w:r>
        <w:rPr>
          <w:rFonts w:hint="eastAsia"/>
        </w:rPr>
        <w:t>进度要求</w:t>
      </w:r>
      <w:bookmarkEnd w:id="31"/>
    </w:p>
    <w:p w14:paraId="30B03110">
      <w:r>
        <w:rPr>
          <w:rFonts w:hint="eastAsia"/>
        </w:rPr>
        <w:t>投标人应根据建设内容，分阶段制定合理的时间进度，并且应根据采购人要求进行调整和细化。</w:t>
      </w:r>
    </w:p>
    <w:p w14:paraId="72F73B8D">
      <w:pPr>
        <w:rPr>
          <w:highlight w:val="none"/>
        </w:rPr>
      </w:pPr>
      <w:r>
        <w:rPr>
          <w:rFonts w:hint="eastAsia"/>
          <w:highlight w:val="none"/>
        </w:rPr>
        <w:t>总建设周期为</w:t>
      </w:r>
      <w:r>
        <w:rPr>
          <w:highlight w:val="none"/>
        </w:rPr>
        <w:t>9</w:t>
      </w:r>
      <w:r>
        <w:rPr>
          <w:rFonts w:hint="eastAsia"/>
          <w:highlight w:val="none"/>
        </w:rPr>
        <w:t>个月，分为四个阶段。</w:t>
      </w:r>
    </w:p>
    <w:p w14:paraId="107869DB">
      <w:pPr>
        <w:rPr>
          <w:highlight w:val="none"/>
        </w:rPr>
      </w:pPr>
      <w:r>
        <w:rPr>
          <w:rFonts w:hint="eastAsia"/>
          <w:highlight w:val="none"/>
        </w:rPr>
        <w:t>第一阶段为</w:t>
      </w:r>
      <w:r>
        <w:rPr>
          <w:highlight w:val="none"/>
        </w:rPr>
        <w:t>2</w:t>
      </w:r>
      <w:r>
        <w:rPr>
          <w:rFonts w:hint="eastAsia"/>
          <w:highlight w:val="none"/>
        </w:rPr>
        <w:t>个月，完成系统设计、设备选型。</w:t>
      </w:r>
    </w:p>
    <w:p w14:paraId="745961CC">
      <w:pPr>
        <w:rPr>
          <w:highlight w:val="none"/>
        </w:rPr>
      </w:pPr>
      <w:r>
        <w:rPr>
          <w:rFonts w:hint="eastAsia"/>
          <w:highlight w:val="none"/>
        </w:rPr>
        <w:t>第二阶段为</w:t>
      </w:r>
      <w:r>
        <w:rPr>
          <w:highlight w:val="none"/>
        </w:rPr>
        <w:t>5个月，完成系统开发、系统测试及系统初验。</w:t>
      </w:r>
    </w:p>
    <w:p w14:paraId="10D34821">
      <w:pPr>
        <w:rPr>
          <w:highlight w:val="none"/>
        </w:rPr>
      </w:pPr>
      <w:r>
        <w:rPr>
          <w:rFonts w:hint="eastAsia"/>
          <w:highlight w:val="none"/>
        </w:rPr>
        <w:t>第三阶段为1个月，完成系统试运行。</w:t>
      </w:r>
    </w:p>
    <w:p w14:paraId="561D14E2">
      <w:pPr>
        <w:rPr>
          <w:highlight w:val="none"/>
        </w:rPr>
      </w:pPr>
      <w:r>
        <w:rPr>
          <w:rFonts w:hint="eastAsia"/>
          <w:highlight w:val="none"/>
        </w:rPr>
        <w:t>第四阶段为</w:t>
      </w:r>
      <w:r>
        <w:rPr>
          <w:highlight w:val="none"/>
        </w:rPr>
        <w:t>1个月，完成系统验收。</w:t>
      </w:r>
    </w:p>
    <w:p w14:paraId="22B8432E">
      <w:pPr>
        <w:pStyle w:val="3"/>
      </w:pPr>
      <w:bookmarkStart w:id="32" w:name="_Toc63785510"/>
      <w:r>
        <w:rPr>
          <w:rFonts w:hint="eastAsia"/>
        </w:rPr>
        <w:t>项目团队及驻场人员要求</w:t>
      </w:r>
      <w:bookmarkEnd w:id="32"/>
    </w:p>
    <w:p w14:paraId="222EE07B">
      <w:pPr>
        <w:numPr>
          <w:ilvl w:val="0"/>
          <w:numId w:val="4"/>
        </w:numPr>
      </w:pPr>
      <w:r>
        <w:t>投标人须具有稳定的在职技术保障力量，能够提供及时的技术支援或服务，应针对本项目提供不少于</w:t>
      </w:r>
      <w:r>
        <w:rPr>
          <w:rFonts w:hint="eastAsia"/>
        </w:rPr>
        <w:t>10</w:t>
      </w:r>
      <w:r>
        <w:t>人的项目服务团队（包括项目经理、产品经理、技术负责人、研发等），投标单位的相关服务人员需具备相应的服务能力，需提供相关证明。</w:t>
      </w:r>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557"/>
        <w:gridCol w:w="1175"/>
        <w:gridCol w:w="2662"/>
        <w:gridCol w:w="958"/>
      </w:tblGrid>
      <w:tr w14:paraId="34D5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543E5F7C">
            <w:pPr>
              <w:widowControl/>
              <w:spacing w:line="240" w:lineRule="auto"/>
              <w:ind w:firstLine="0" w:firstLineChars="0"/>
              <w:jc w:val="center"/>
              <w:rPr>
                <w:rFonts w:cs="宋体"/>
                <w:b/>
                <w:sz w:val="22"/>
                <w:szCs w:val="22"/>
              </w:rPr>
            </w:pPr>
            <w:r>
              <w:rPr>
                <w:rFonts w:hint="eastAsia" w:cs="宋体"/>
                <w:b/>
                <w:sz w:val="22"/>
                <w:szCs w:val="22"/>
              </w:rPr>
              <w:t>角色</w:t>
            </w:r>
          </w:p>
        </w:tc>
        <w:tc>
          <w:tcPr>
            <w:tcW w:w="2557" w:type="dxa"/>
            <w:noWrap/>
            <w:vAlign w:val="center"/>
          </w:tcPr>
          <w:p w14:paraId="6AF1946D">
            <w:pPr>
              <w:widowControl/>
              <w:spacing w:line="240" w:lineRule="auto"/>
              <w:ind w:firstLine="0" w:firstLineChars="0"/>
              <w:jc w:val="center"/>
              <w:rPr>
                <w:rFonts w:cs="宋体"/>
                <w:b/>
                <w:sz w:val="22"/>
                <w:szCs w:val="22"/>
              </w:rPr>
            </w:pPr>
            <w:r>
              <w:rPr>
                <w:rFonts w:hint="eastAsia" w:cs="宋体"/>
                <w:b/>
                <w:sz w:val="22"/>
                <w:szCs w:val="22"/>
              </w:rPr>
              <w:t>主要职责</w:t>
            </w:r>
          </w:p>
        </w:tc>
        <w:tc>
          <w:tcPr>
            <w:tcW w:w="1175" w:type="dxa"/>
            <w:noWrap/>
            <w:vAlign w:val="center"/>
          </w:tcPr>
          <w:p w14:paraId="5F646B8C">
            <w:pPr>
              <w:widowControl/>
              <w:spacing w:line="240" w:lineRule="auto"/>
              <w:ind w:firstLine="0" w:firstLineChars="0"/>
              <w:jc w:val="center"/>
              <w:rPr>
                <w:rFonts w:cs="宋体"/>
                <w:b/>
                <w:sz w:val="22"/>
                <w:szCs w:val="22"/>
              </w:rPr>
            </w:pPr>
            <w:r>
              <w:rPr>
                <w:rFonts w:hint="eastAsia" w:cs="宋体"/>
                <w:b/>
                <w:sz w:val="22"/>
                <w:szCs w:val="22"/>
              </w:rPr>
              <w:t>人员数量</w:t>
            </w:r>
          </w:p>
        </w:tc>
        <w:tc>
          <w:tcPr>
            <w:tcW w:w="2662" w:type="dxa"/>
            <w:vAlign w:val="center"/>
          </w:tcPr>
          <w:p w14:paraId="789D54FA">
            <w:pPr>
              <w:widowControl/>
              <w:spacing w:line="240" w:lineRule="auto"/>
              <w:ind w:firstLine="0" w:firstLineChars="0"/>
              <w:jc w:val="center"/>
              <w:rPr>
                <w:rFonts w:cs="宋体"/>
                <w:b/>
                <w:sz w:val="22"/>
                <w:szCs w:val="22"/>
              </w:rPr>
            </w:pPr>
            <w:r>
              <w:rPr>
                <w:rFonts w:hint="eastAsia" w:cs="宋体"/>
                <w:b/>
                <w:sz w:val="22"/>
                <w:szCs w:val="22"/>
              </w:rPr>
              <w:t>人员要求</w:t>
            </w:r>
          </w:p>
        </w:tc>
        <w:tc>
          <w:tcPr>
            <w:tcW w:w="958" w:type="dxa"/>
            <w:noWrap/>
            <w:vAlign w:val="center"/>
          </w:tcPr>
          <w:p w14:paraId="32CA3560">
            <w:pPr>
              <w:widowControl/>
              <w:spacing w:line="240" w:lineRule="auto"/>
              <w:ind w:firstLine="0" w:firstLineChars="0"/>
              <w:jc w:val="center"/>
              <w:rPr>
                <w:rFonts w:cs="宋体"/>
                <w:b/>
                <w:sz w:val="22"/>
                <w:szCs w:val="22"/>
              </w:rPr>
            </w:pPr>
            <w:r>
              <w:rPr>
                <w:rFonts w:hint="eastAsia" w:cs="宋体"/>
                <w:b/>
                <w:sz w:val="22"/>
                <w:szCs w:val="22"/>
              </w:rPr>
              <w:t>驻场</w:t>
            </w:r>
          </w:p>
          <w:p w14:paraId="2F8484CF">
            <w:pPr>
              <w:widowControl/>
              <w:spacing w:line="240" w:lineRule="auto"/>
              <w:ind w:firstLine="0" w:firstLineChars="0"/>
              <w:jc w:val="center"/>
              <w:rPr>
                <w:rFonts w:cs="宋体"/>
                <w:b/>
                <w:sz w:val="22"/>
                <w:szCs w:val="22"/>
              </w:rPr>
            </w:pPr>
            <w:r>
              <w:rPr>
                <w:rFonts w:hint="eastAsia" w:cs="宋体"/>
                <w:b/>
                <w:sz w:val="22"/>
                <w:szCs w:val="22"/>
              </w:rPr>
              <w:t>要求</w:t>
            </w:r>
          </w:p>
        </w:tc>
      </w:tr>
      <w:tr w14:paraId="2FB3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43C2F6A8">
            <w:pPr>
              <w:widowControl/>
              <w:spacing w:line="240" w:lineRule="auto"/>
              <w:ind w:firstLine="0" w:firstLineChars="0"/>
              <w:jc w:val="center"/>
              <w:rPr>
                <w:rFonts w:cs="宋体"/>
                <w:sz w:val="22"/>
                <w:szCs w:val="22"/>
              </w:rPr>
            </w:pPr>
            <w:r>
              <w:rPr>
                <w:rFonts w:hint="eastAsia" w:cs="宋体"/>
                <w:sz w:val="22"/>
                <w:szCs w:val="22"/>
              </w:rPr>
              <w:t>项目经理</w:t>
            </w:r>
          </w:p>
        </w:tc>
        <w:tc>
          <w:tcPr>
            <w:tcW w:w="2557" w:type="dxa"/>
            <w:vAlign w:val="center"/>
          </w:tcPr>
          <w:p w14:paraId="27A85797">
            <w:pPr>
              <w:widowControl/>
              <w:spacing w:line="240" w:lineRule="auto"/>
              <w:ind w:firstLine="0" w:firstLineChars="0"/>
              <w:jc w:val="center"/>
              <w:rPr>
                <w:rFonts w:cs="宋体"/>
                <w:sz w:val="22"/>
                <w:szCs w:val="22"/>
              </w:rPr>
            </w:pPr>
            <w:r>
              <w:rPr>
                <w:rFonts w:hint="eastAsia" w:cs="宋体"/>
                <w:sz w:val="22"/>
                <w:szCs w:val="22"/>
              </w:rPr>
              <w:t>负责项目质量和进度控制</w:t>
            </w:r>
          </w:p>
        </w:tc>
        <w:tc>
          <w:tcPr>
            <w:tcW w:w="1175" w:type="dxa"/>
            <w:noWrap/>
            <w:vAlign w:val="center"/>
          </w:tcPr>
          <w:p w14:paraId="2A820ED1">
            <w:pPr>
              <w:widowControl/>
              <w:spacing w:line="240" w:lineRule="auto"/>
              <w:ind w:firstLine="0" w:firstLineChars="0"/>
              <w:jc w:val="center"/>
              <w:rPr>
                <w:rFonts w:cs="宋体"/>
                <w:sz w:val="22"/>
                <w:szCs w:val="22"/>
              </w:rPr>
            </w:pPr>
            <w:r>
              <w:rPr>
                <w:rFonts w:hint="eastAsia" w:cs="宋体"/>
                <w:sz w:val="22"/>
                <w:szCs w:val="22"/>
              </w:rPr>
              <w:t>1人</w:t>
            </w:r>
          </w:p>
        </w:tc>
        <w:tc>
          <w:tcPr>
            <w:tcW w:w="2662" w:type="dxa"/>
            <w:vAlign w:val="center"/>
          </w:tcPr>
          <w:p w14:paraId="055CE62A">
            <w:pPr>
              <w:widowControl/>
              <w:spacing w:line="240" w:lineRule="auto"/>
              <w:ind w:firstLine="0" w:firstLineChars="0"/>
              <w:jc w:val="center"/>
              <w:rPr>
                <w:rFonts w:cs="宋体"/>
                <w:sz w:val="22"/>
                <w:szCs w:val="22"/>
              </w:rPr>
            </w:pPr>
            <w:r>
              <w:rPr>
                <w:rFonts w:hint="eastAsia" w:cs="宋体"/>
                <w:sz w:val="22"/>
                <w:szCs w:val="22"/>
              </w:rPr>
              <w:t>研究生及以上学历，</w:t>
            </w:r>
            <w:r>
              <w:rPr>
                <w:rFonts w:hint="eastAsia" w:cs="宋体"/>
                <w:color w:val="000000"/>
                <w:kern w:val="0"/>
                <w:sz w:val="22"/>
                <w:szCs w:val="22"/>
              </w:rPr>
              <w:t>具有3年</w:t>
            </w:r>
            <w:r>
              <w:rPr>
                <w:rFonts w:hint="eastAsia" w:cs="宋体"/>
                <w:color w:val="000000"/>
                <w:kern w:val="0"/>
                <w:sz w:val="22"/>
                <w:szCs w:val="22"/>
                <w:lang w:eastAsia="zh-CN"/>
              </w:rPr>
              <w:t>及</w:t>
            </w:r>
            <w:r>
              <w:rPr>
                <w:rFonts w:hint="eastAsia" w:cs="宋体"/>
                <w:color w:val="000000"/>
                <w:kern w:val="0"/>
                <w:sz w:val="22"/>
                <w:szCs w:val="22"/>
              </w:rPr>
              <w:t>以上政务信息系统软件项目服务经验，</w:t>
            </w:r>
            <w:r>
              <w:rPr>
                <w:rFonts w:hint="eastAsia" w:ascii="宋体" w:hAnsi="宋体" w:eastAsia="宋体" w:cs="宋体"/>
                <w:color w:val="000000"/>
                <w:kern w:val="0"/>
                <w:sz w:val="22"/>
                <w:szCs w:val="22"/>
              </w:rPr>
              <w:t>信息系统项目管理师(高级)</w:t>
            </w:r>
            <w:r>
              <w:rPr>
                <w:rFonts w:hint="eastAsia" w:cs="宋体"/>
                <w:color w:val="000000"/>
                <w:kern w:val="0"/>
                <w:sz w:val="22"/>
                <w:szCs w:val="22"/>
              </w:rPr>
              <w:t>的优先考虑</w:t>
            </w:r>
          </w:p>
        </w:tc>
        <w:tc>
          <w:tcPr>
            <w:tcW w:w="958" w:type="dxa"/>
            <w:noWrap/>
            <w:vAlign w:val="center"/>
          </w:tcPr>
          <w:p w14:paraId="0137C423">
            <w:pPr>
              <w:widowControl/>
              <w:spacing w:line="240" w:lineRule="auto"/>
              <w:ind w:firstLine="0" w:firstLineChars="0"/>
              <w:jc w:val="center"/>
              <w:rPr>
                <w:rFonts w:cs="宋体"/>
                <w:sz w:val="22"/>
                <w:szCs w:val="22"/>
              </w:rPr>
            </w:pPr>
            <w:r>
              <w:rPr>
                <w:rFonts w:hint="eastAsia" w:cs="宋体"/>
                <w:sz w:val="22"/>
                <w:szCs w:val="22"/>
              </w:rPr>
              <w:t>不驻场</w:t>
            </w:r>
          </w:p>
        </w:tc>
      </w:tr>
      <w:tr w14:paraId="018F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784D14A8">
            <w:pPr>
              <w:widowControl/>
              <w:spacing w:line="240" w:lineRule="auto"/>
              <w:ind w:firstLine="0" w:firstLineChars="0"/>
              <w:jc w:val="center"/>
              <w:rPr>
                <w:rFonts w:cs="宋体"/>
                <w:sz w:val="22"/>
                <w:szCs w:val="22"/>
              </w:rPr>
            </w:pPr>
            <w:r>
              <w:rPr>
                <w:rFonts w:hint="eastAsia" w:cs="宋体"/>
                <w:sz w:val="22"/>
                <w:szCs w:val="22"/>
              </w:rPr>
              <w:t>产品经理</w:t>
            </w:r>
          </w:p>
        </w:tc>
        <w:tc>
          <w:tcPr>
            <w:tcW w:w="2557" w:type="dxa"/>
            <w:vAlign w:val="center"/>
          </w:tcPr>
          <w:p w14:paraId="4274D2A9">
            <w:pPr>
              <w:widowControl/>
              <w:spacing w:line="240" w:lineRule="auto"/>
              <w:ind w:firstLine="0" w:firstLineChars="0"/>
              <w:jc w:val="center"/>
              <w:rPr>
                <w:rFonts w:cs="宋体"/>
                <w:sz w:val="22"/>
                <w:szCs w:val="22"/>
              </w:rPr>
            </w:pPr>
            <w:r>
              <w:rPr>
                <w:rFonts w:hint="eastAsia" w:cs="宋体"/>
                <w:sz w:val="22"/>
                <w:szCs w:val="22"/>
              </w:rPr>
              <w:t>负责项目需求评估与产品设计</w:t>
            </w:r>
          </w:p>
        </w:tc>
        <w:tc>
          <w:tcPr>
            <w:tcW w:w="1175" w:type="dxa"/>
            <w:noWrap/>
            <w:vAlign w:val="center"/>
          </w:tcPr>
          <w:p w14:paraId="7A445EAD">
            <w:pPr>
              <w:widowControl/>
              <w:spacing w:line="240" w:lineRule="auto"/>
              <w:ind w:firstLine="0" w:firstLineChars="0"/>
              <w:jc w:val="center"/>
              <w:rPr>
                <w:rFonts w:cs="宋体"/>
                <w:sz w:val="22"/>
                <w:szCs w:val="22"/>
              </w:rPr>
            </w:pPr>
            <w:r>
              <w:rPr>
                <w:rFonts w:hint="eastAsia" w:cs="宋体"/>
                <w:sz w:val="22"/>
                <w:szCs w:val="22"/>
              </w:rPr>
              <w:t>1人</w:t>
            </w:r>
          </w:p>
        </w:tc>
        <w:tc>
          <w:tcPr>
            <w:tcW w:w="2662" w:type="dxa"/>
            <w:vAlign w:val="center"/>
          </w:tcPr>
          <w:p w14:paraId="53E5BAD0">
            <w:pPr>
              <w:pStyle w:val="70"/>
              <w:widowControl/>
              <w:jc w:val="left"/>
              <w:rPr>
                <w:rFonts w:ascii="宋体" w:hAnsi="宋体" w:cs="宋体"/>
                <w:sz w:val="22"/>
                <w:szCs w:val="22"/>
              </w:rPr>
            </w:pPr>
            <w:r>
              <w:rPr>
                <w:rFonts w:hint="eastAsia" w:ascii="宋体" w:hAnsi="宋体" w:cs="宋体"/>
                <w:sz w:val="22"/>
                <w:szCs w:val="22"/>
              </w:rPr>
              <w:t>本科及以上学历，具有3年以上政务信息系统软件需求分析经验</w:t>
            </w:r>
            <w:r>
              <w:rPr>
                <w:rFonts w:hint="eastAsia" w:cs="宋体"/>
                <w:color w:val="000000"/>
                <w:kern w:val="0"/>
                <w:sz w:val="22"/>
                <w:szCs w:val="22"/>
              </w:rPr>
              <w:t>的优先考虑</w:t>
            </w:r>
          </w:p>
        </w:tc>
        <w:tc>
          <w:tcPr>
            <w:tcW w:w="958" w:type="dxa"/>
            <w:noWrap/>
            <w:vAlign w:val="center"/>
          </w:tcPr>
          <w:p w14:paraId="2935435C">
            <w:pPr>
              <w:widowControl/>
              <w:spacing w:line="240" w:lineRule="auto"/>
              <w:ind w:firstLine="0" w:firstLineChars="0"/>
              <w:jc w:val="center"/>
              <w:rPr>
                <w:rFonts w:cs="宋体"/>
                <w:sz w:val="22"/>
                <w:szCs w:val="22"/>
              </w:rPr>
            </w:pPr>
            <w:r>
              <w:rPr>
                <w:rFonts w:hint="eastAsia" w:cs="宋体"/>
                <w:sz w:val="22"/>
                <w:szCs w:val="22"/>
              </w:rPr>
              <w:t>不驻场</w:t>
            </w:r>
          </w:p>
        </w:tc>
      </w:tr>
      <w:tr w14:paraId="0520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126804D0">
            <w:pPr>
              <w:widowControl/>
              <w:spacing w:line="240" w:lineRule="auto"/>
              <w:ind w:firstLine="0" w:firstLineChars="0"/>
              <w:jc w:val="center"/>
              <w:rPr>
                <w:rFonts w:cs="宋体"/>
                <w:sz w:val="22"/>
                <w:szCs w:val="22"/>
              </w:rPr>
            </w:pPr>
            <w:r>
              <w:rPr>
                <w:rFonts w:hint="eastAsia" w:cs="宋体"/>
                <w:sz w:val="22"/>
                <w:szCs w:val="22"/>
              </w:rPr>
              <w:t>研发</w:t>
            </w:r>
          </w:p>
        </w:tc>
        <w:tc>
          <w:tcPr>
            <w:tcW w:w="2557" w:type="dxa"/>
            <w:noWrap/>
            <w:vAlign w:val="center"/>
          </w:tcPr>
          <w:p w14:paraId="30B97392">
            <w:pPr>
              <w:widowControl/>
              <w:spacing w:line="240" w:lineRule="auto"/>
              <w:ind w:firstLine="0" w:firstLineChars="0"/>
              <w:jc w:val="center"/>
              <w:rPr>
                <w:rFonts w:cs="宋体"/>
                <w:sz w:val="22"/>
                <w:szCs w:val="22"/>
              </w:rPr>
            </w:pPr>
            <w:r>
              <w:rPr>
                <w:rFonts w:hint="eastAsia" w:cs="宋体"/>
                <w:sz w:val="22"/>
                <w:szCs w:val="22"/>
              </w:rPr>
              <w:t>负责项目具体开发与实施</w:t>
            </w:r>
          </w:p>
        </w:tc>
        <w:tc>
          <w:tcPr>
            <w:tcW w:w="1175" w:type="dxa"/>
            <w:noWrap/>
            <w:vAlign w:val="center"/>
          </w:tcPr>
          <w:p w14:paraId="4037F504">
            <w:pPr>
              <w:widowControl/>
              <w:spacing w:line="240" w:lineRule="auto"/>
              <w:ind w:firstLine="0" w:firstLineChars="0"/>
              <w:jc w:val="center"/>
              <w:rPr>
                <w:rFonts w:cs="宋体"/>
                <w:sz w:val="22"/>
                <w:szCs w:val="22"/>
              </w:rPr>
            </w:pPr>
            <w:r>
              <w:rPr>
                <w:rFonts w:hint="eastAsia" w:cs="宋体"/>
                <w:sz w:val="22"/>
                <w:szCs w:val="22"/>
              </w:rPr>
              <w:t>6人</w:t>
            </w:r>
          </w:p>
        </w:tc>
        <w:tc>
          <w:tcPr>
            <w:tcW w:w="2662" w:type="dxa"/>
            <w:vAlign w:val="center"/>
          </w:tcPr>
          <w:p w14:paraId="537B2C0A">
            <w:pPr>
              <w:widowControl/>
              <w:spacing w:line="240" w:lineRule="auto"/>
              <w:ind w:firstLine="0" w:firstLineChars="0"/>
              <w:jc w:val="center"/>
              <w:rPr>
                <w:rFonts w:cs="宋体"/>
                <w:sz w:val="22"/>
                <w:szCs w:val="22"/>
              </w:rPr>
            </w:pPr>
            <w:r>
              <w:rPr>
                <w:rFonts w:hint="eastAsia" w:cs="宋体"/>
                <w:sz w:val="22"/>
                <w:szCs w:val="22"/>
              </w:rPr>
              <w:t>本科及以上学历，具备软件开发相关工作经验</w:t>
            </w:r>
            <w:r>
              <w:rPr>
                <w:rFonts w:hint="eastAsia" w:cs="宋体"/>
                <w:color w:val="000000"/>
                <w:kern w:val="0"/>
                <w:sz w:val="22"/>
                <w:szCs w:val="22"/>
              </w:rPr>
              <w:t>的优先考虑</w:t>
            </w:r>
          </w:p>
        </w:tc>
        <w:tc>
          <w:tcPr>
            <w:tcW w:w="958" w:type="dxa"/>
            <w:noWrap/>
            <w:vAlign w:val="center"/>
          </w:tcPr>
          <w:p w14:paraId="7BC2720B">
            <w:pPr>
              <w:widowControl/>
              <w:spacing w:line="240" w:lineRule="auto"/>
              <w:ind w:firstLine="0" w:firstLineChars="0"/>
              <w:jc w:val="center"/>
              <w:rPr>
                <w:rFonts w:cs="宋体"/>
                <w:sz w:val="22"/>
                <w:szCs w:val="22"/>
              </w:rPr>
            </w:pPr>
            <w:r>
              <w:rPr>
                <w:rFonts w:hint="eastAsia" w:cs="宋体"/>
                <w:sz w:val="22"/>
                <w:szCs w:val="22"/>
              </w:rPr>
              <w:t>不驻场</w:t>
            </w:r>
          </w:p>
        </w:tc>
      </w:tr>
      <w:tr w14:paraId="481B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03F16839">
            <w:pPr>
              <w:widowControl/>
              <w:spacing w:line="240" w:lineRule="auto"/>
              <w:ind w:firstLine="0" w:firstLineChars="0"/>
              <w:jc w:val="center"/>
              <w:rPr>
                <w:rFonts w:cs="宋体"/>
                <w:sz w:val="22"/>
                <w:szCs w:val="22"/>
              </w:rPr>
            </w:pPr>
            <w:r>
              <w:rPr>
                <w:rFonts w:hint="eastAsia" w:cs="宋体"/>
                <w:sz w:val="22"/>
                <w:szCs w:val="22"/>
              </w:rPr>
              <w:t>功能测试</w:t>
            </w:r>
          </w:p>
        </w:tc>
        <w:tc>
          <w:tcPr>
            <w:tcW w:w="2557" w:type="dxa"/>
            <w:noWrap/>
            <w:vAlign w:val="center"/>
          </w:tcPr>
          <w:p w14:paraId="4A22B230">
            <w:pPr>
              <w:widowControl/>
              <w:spacing w:line="240" w:lineRule="auto"/>
              <w:ind w:firstLine="0" w:firstLineChars="0"/>
              <w:jc w:val="center"/>
              <w:rPr>
                <w:rFonts w:cs="宋体"/>
                <w:sz w:val="22"/>
                <w:szCs w:val="22"/>
              </w:rPr>
            </w:pPr>
            <w:r>
              <w:rPr>
                <w:rFonts w:hint="eastAsia" w:cs="宋体"/>
                <w:sz w:val="22"/>
                <w:szCs w:val="22"/>
              </w:rPr>
              <w:t>负责项目的功能测试</w:t>
            </w:r>
          </w:p>
        </w:tc>
        <w:tc>
          <w:tcPr>
            <w:tcW w:w="1175" w:type="dxa"/>
            <w:noWrap/>
            <w:vAlign w:val="center"/>
          </w:tcPr>
          <w:p w14:paraId="44749D14">
            <w:pPr>
              <w:widowControl/>
              <w:spacing w:line="240" w:lineRule="auto"/>
              <w:ind w:firstLine="0" w:firstLineChars="0"/>
              <w:jc w:val="center"/>
              <w:rPr>
                <w:rFonts w:cs="宋体"/>
                <w:sz w:val="22"/>
                <w:szCs w:val="22"/>
              </w:rPr>
            </w:pPr>
            <w:r>
              <w:rPr>
                <w:rFonts w:hint="eastAsia" w:cs="宋体"/>
                <w:sz w:val="22"/>
                <w:szCs w:val="22"/>
              </w:rPr>
              <w:t>1</w:t>
            </w:r>
          </w:p>
        </w:tc>
        <w:tc>
          <w:tcPr>
            <w:tcW w:w="2662" w:type="dxa"/>
            <w:vAlign w:val="center"/>
          </w:tcPr>
          <w:p w14:paraId="02E04D6A">
            <w:pPr>
              <w:widowControl/>
              <w:spacing w:line="240" w:lineRule="auto"/>
              <w:ind w:firstLine="0" w:firstLineChars="0"/>
              <w:jc w:val="center"/>
              <w:rPr>
                <w:rFonts w:cs="宋体"/>
                <w:sz w:val="22"/>
                <w:szCs w:val="22"/>
              </w:rPr>
            </w:pPr>
            <w:r>
              <w:rPr>
                <w:rFonts w:hint="eastAsia" w:cs="宋体"/>
                <w:sz w:val="22"/>
                <w:szCs w:val="22"/>
              </w:rPr>
              <w:t>本科及以上学历，具备软件开发及测试相关工作经验</w:t>
            </w:r>
            <w:r>
              <w:rPr>
                <w:rFonts w:hint="eastAsia" w:cs="宋体"/>
                <w:color w:val="000000"/>
                <w:kern w:val="0"/>
                <w:sz w:val="22"/>
                <w:szCs w:val="22"/>
              </w:rPr>
              <w:t>的优先考虑</w:t>
            </w:r>
          </w:p>
        </w:tc>
        <w:tc>
          <w:tcPr>
            <w:tcW w:w="958" w:type="dxa"/>
            <w:noWrap/>
            <w:vAlign w:val="center"/>
          </w:tcPr>
          <w:p w14:paraId="67F92AC3">
            <w:pPr>
              <w:widowControl/>
              <w:spacing w:line="240" w:lineRule="auto"/>
              <w:ind w:firstLine="0" w:firstLineChars="0"/>
              <w:jc w:val="center"/>
              <w:rPr>
                <w:rFonts w:cs="宋体"/>
                <w:sz w:val="22"/>
                <w:szCs w:val="22"/>
              </w:rPr>
            </w:pPr>
            <w:r>
              <w:rPr>
                <w:rFonts w:hint="eastAsia" w:cs="宋体"/>
                <w:sz w:val="22"/>
                <w:szCs w:val="22"/>
              </w:rPr>
              <w:t>不驻场</w:t>
            </w:r>
          </w:p>
        </w:tc>
      </w:tr>
      <w:tr w14:paraId="40C4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1CD09E96">
            <w:pPr>
              <w:widowControl/>
              <w:spacing w:line="240" w:lineRule="auto"/>
              <w:ind w:firstLine="0" w:firstLineChars="0"/>
              <w:jc w:val="center"/>
              <w:rPr>
                <w:rFonts w:cs="宋体"/>
                <w:sz w:val="22"/>
                <w:szCs w:val="22"/>
              </w:rPr>
            </w:pPr>
            <w:r>
              <w:rPr>
                <w:rFonts w:hint="eastAsia" w:cs="宋体"/>
                <w:sz w:val="22"/>
                <w:szCs w:val="22"/>
              </w:rPr>
              <w:t>安全测试</w:t>
            </w:r>
          </w:p>
        </w:tc>
        <w:tc>
          <w:tcPr>
            <w:tcW w:w="2557" w:type="dxa"/>
            <w:noWrap/>
            <w:vAlign w:val="center"/>
          </w:tcPr>
          <w:p w14:paraId="5940DD8D">
            <w:pPr>
              <w:widowControl/>
              <w:spacing w:line="240" w:lineRule="auto"/>
              <w:ind w:firstLine="0" w:firstLineChars="0"/>
              <w:jc w:val="center"/>
              <w:rPr>
                <w:rFonts w:cs="宋体"/>
                <w:sz w:val="22"/>
                <w:szCs w:val="22"/>
              </w:rPr>
            </w:pPr>
            <w:r>
              <w:rPr>
                <w:rFonts w:hint="eastAsia" w:cs="宋体"/>
                <w:sz w:val="22"/>
                <w:szCs w:val="22"/>
              </w:rPr>
              <w:t>负责项目的安全测试</w:t>
            </w:r>
          </w:p>
        </w:tc>
        <w:tc>
          <w:tcPr>
            <w:tcW w:w="1175" w:type="dxa"/>
            <w:noWrap/>
            <w:vAlign w:val="center"/>
          </w:tcPr>
          <w:p w14:paraId="6EF5B56E">
            <w:pPr>
              <w:widowControl/>
              <w:spacing w:line="240" w:lineRule="auto"/>
              <w:ind w:firstLine="0" w:firstLineChars="0"/>
              <w:jc w:val="center"/>
              <w:rPr>
                <w:rFonts w:cs="宋体"/>
                <w:sz w:val="22"/>
                <w:szCs w:val="22"/>
              </w:rPr>
            </w:pPr>
            <w:r>
              <w:rPr>
                <w:rFonts w:hint="eastAsia" w:cs="宋体"/>
                <w:sz w:val="22"/>
                <w:szCs w:val="22"/>
              </w:rPr>
              <w:t>1</w:t>
            </w:r>
          </w:p>
        </w:tc>
        <w:tc>
          <w:tcPr>
            <w:tcW w:w="2662" w:type="dxa"/>
            <w:vAlign w:val="center"/>
          </w:tcPr>
          <w:p w14:paraId="623AE916">
            <w:pPr>
              <w:widowControl/>
              <w:spacing w:line="240" w:lineRule="auto"/>
              <w:ind w:firstLine="0" w:firstLineChars="0"/>
              <w:jc w:val="center"/>
              <w:rPr>
                <w:rFonts w:cs="宋体"/>
                <w:sz w:val="22"/>
                <w:szCs w:val="22"/>
              </w:rPr>
            </w:pPr>
            <w:r>
              <w:rPr>
                <w:rFonts w:hint="eastAsia" w:cs="宋体"/>
                <w:sz w:val="22"/>
                <w:szCs w:val="22"/>
              </w:rPr>
              <w:t>本科及以上学历，具备安全测试相关工作经验</w:t>
            </w:r>
            <w:r>
              <w:rPr>
                <w:rFonts w:hint="eastAsia" w:cs="宋体"/>
                <w:color w:val="000000"/>
                <w:kern w:val="0"/>
                <w:sz w:val="22"/>
                <w:szCs w:val="22"/>
              </w:rPr>
              <w:t>的优先考虑</w:t>
            </w:r>
          </w:p>
        </w:tc>
        <w:tc>
          <w:tcPr>
            <w:tcW w:w="958" w:type="dxa"/>
            <w:noWrap/>
            <w:vAlign w:val="center"/>
          </w:tcPr>
          <w:p w14:paraId="41CE5710">
            <w:pPr>
              <w:widowControl/>
              <w:spacing w:line="240" w:lineRule="auto"/>
              <w:ind w:firstLine="0" w:firstLineChars="0"/>
              <w:jc w:val="center"/>
              <w:rPr>
                <w:rFonts w:cs="宋体"/>
                <w:sz w:val="22"/>
                <w:szCs w:val="22"/>
              </w:rPr>
            </w:pPr>
            <w:r>
              <w:rPr>
                <w:rFonts w:hint="eastAsia" w:cs="宋体"/>
                <w:sz w:val="22"/>
                <w:szCs w:val="22"/>
              </w:rPr>
              <w:t>不驻场</w:t>
            </w:r>
          </w:p>
        </w:tc>
      </w:tr>
    </w:tbl>
    <w:p w14:paraId="5607479F">
      <w:pPr>
        <w:ind w:firstLine="0" w:firstLineChars="0"/>
      </w:pPr>
    </w:p>
    <w:p w14:paraId="79EFF30E">
      <w:pPr>
        <w:numPr>
          <w:ilvl w:val="0"/>
          <w:numId w:val="4"/>
        </w:numPr>
      </w:pPr>
      <w:r>
        <w:t>投标人应针对本项目提供不少于</w:t>
      </w:r>
      <w:r>
        <w:rPr>
          <w:rFonts w:hint="eastAsia"/>
        </w:rPr>
        <w:t>3</w:t>
      </w:r>
      <w:r>
        <w:t>人的质保期间支撑团队（其中技术</w:t>
      </w:r>
      <w:r>
        <w:rPr>
          <w:rFonts w:hint="eastAsia"/>
        </w:rPr>
        <w:t>运维组长1</w:t>
      </w:r>
      <w:r>
        <w:t>人，</w:t>
      </w:r>
      <w:r>
        <w:rPr>
          <w:rFonts w:hint="eastAsia"/>
        </w:rPr>
        <w:t>运维主管1</w:t>
      </w:r>
      <w:r>
        <w:t>人，技术工程师不少于</w:t>
      </w:r>
      <w:r>
        <w:rPr>
          <w:rFonts w:hint="eastAsia"/>
        </w:rPr>
        <w:t>1</w:t>
      </w:r>
      <w:r>
        <w:t>人）；投标</w:t>
      </w:r>
      <w:r>
        <w:rPr>
          <w:rFonts w:hint="eastAsia"/>
        </w:rPr>
        <w:t>单位</w:t>
      </w:r>
      <w:r>
        <w:t>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553"/>
        <w:gridCol w:w="1189"/>
        <w:gridCol w:w="2648"/>
        <w:gridCol w:w="958"/>
      </w:tblGrid>
      <w:tr w14:paraId="213D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6278779B">
            <w:pPr>
              <w:widowControl/>
              <w:spacing w:line="240" w:lineRule="auto"/>
              <w:ind w:firstLine="0" w:firstLineChars="0"/>
              <w:jc w:val="center"/>
              <w:rPr>
                <w:rFonts w:cs="宋体"/>
                <w:b/>
                <w:sz w:val="22"/>
                <w:szCs w:val="22"/>
              </w:rPr>
            </w:pPr>
            <w:r>
              <w:rPr>
                <w:rFonts w:hint="eastAsia" w:cs="宋体"/>
                <w:b/>
                <w:sz w:val="22"/>
                <w:szCs w:val="22"/>
              </w:rPr>
              <w:t>角色</w:t>
            </w:r>
          </w:p>
        </w:tc>
        <w:tc>
          <w:tcPr>
            <w:tcW w:w="2553" w:type="dxa"/>
            <w:noWrap/>
            <w:vAlign w:val="center"/>
          </w:tcPr>
          <w:p w14:paraId="0F4EFF05">
            <w:pPr>
              <w:widowControl/>
              <w:spacing w:line="240" w:lineRule="auto"/>
              <w:ind w:firstLine="0" w:firstLineChars="0"/>
              <w:jc w:val="center"/>
              <w:rPr>
                <w:rFonts w:cs="宋体"/>
                <w:b/>
                <w:sz w:val="22"/>
                <w:szCs w:val="22"/>
              </w:rPr>
            </w:pPr>
            <w:r>
              <w:rPr>
                <w:rFonts w:hint="eastAsia" w:cs="宋体"/>
                <w:b/>
                <w:sz w:val="22"/>
                <w:szCs w:val="22"/>
              </w:rPr>
              <w:t>主要职责</w:t>
            </w:r>
          </w:p>
        </w:tc>
        <w:tc>
          <w:tcPr>
            <w:tcW w:w="1189" w:type="dxa"/>
            <w:noWrap/>
            <w:vAlign w:val="center"/>
          </w:tcPr>
          <w:p w14:paraId="5B5A076A">
            <w:pPr>
              <w:widowControl/>
              <w:spacing w:line="240" w:lineRule="auto"/>
              <w:ind w:firstLine="0" w:firstLineChars="0"/>
              <w:jc w:val="center"/>
              <w:rPr>
                <w:rFonts w:cs="宋体"/>
                <w:b/>
                <w:sz w:val="22"/>
                <w:szCs w:val="22"/>
              </w:rPr>
            </w:pPr>
            <w:r>
              <w:rPr>
                <w:rFonts w:hint="eastAsia" w:cs="宋体"/>
                <w:b/>
                <w:sz w:val="22"/>
                <w:szCs w:val="22"/>
              </w:rPr>
              <w:t>人员数量</w:t>
            </w:r>
          </w:p>
        </w:tc>
        <w:tc>
          <w:tcPr>
            <w:tcW w:w="2648" w:type="dxa"/>
            <w:vAlign w:val="center"/>
          </w:tcPr>
          <w:p w14:paraId="6CA004A8">
            <w:pPr>
              <w:widowControl/>
              <w:spacing w:line="240" w:lineRule="auto"/>
              <w:ind w:firstLine="0" w:firstLineChars="0"/>
              <w:jc w:val="center"/>
              <w:rPr>
                <w:rFonts w:cs="宋体"/>
                <w:b/>
                <w:sz w:val="22"/>
                <w:szCs w:val="22"/>
              </w:rPr>
            </w:pPr>
            <w:r>
              <w:rPr>
                <w:rFonts w:hint="eastAsia" w:cs="宋体"/>
                <w:b/>
                <w:sz w:val="22"/>
                <w:szCs w:val="22"/>
              </w:rPr>
              <w:t>人员要求</w:t>
            </w:r>
          </w:p>
        </w:tc>
        <w:tc>
          <w:tcPr>
            <w:tcW w:w="958" w:type="dxa"/>
            <w:noWrap/>
            <w:vAlign w:val="center"/>
          </w:tcPr>
          <w:p w14:paraId="71755F56">
            <w:pPr>
              <w:widowControl/>
              <w:spacing w:line="240" w:lineRule="auto"/>
              <w:ind w:firstLine="0" w:firstLineChars="0"/>
              <w:jc w:val="center"/>
              <w:rPr>
                <w:rFonts w:cs="宋体"/>
                <w:b/>
                <w:sz w:val="22"/>
                <w:szCs w:val="22"/>
              </w:rPr>
            </w:pPr>
            <w:r>
              <w:rPr>
                <w:rFonts w:hint="eastAsia" w:cs="宋体"/>
                <w:b/>
                <w:sz w:val="22"/>
                <w:szCs w:val="22"/>
              </w:rPr>
              <w:t>驻场</w:t>
            </w:r>
          </w:p>
          <w:p w14:paraId="164B7AEF">
            <w:pPr>
              <w:widowControl/>
              <w:spacing w:line="240" w:lineRule="auto"/>
              <w:ind w:firstLine="0" w:firstLineChars="0"/>
              <w:jc w:val="center"/>
              <w:rPr>
                <w:rFonts w:cs="宋体"/>
                <w:b/>
                <w:sz w:val="22"/>
                <w:szCs w:val="22"/>
              </w:rPr>
            </w:pPr>
            <w:r>
              <w:rPr>
                <w:rFonts w:hint="eastAsia" w:cs="宋体"/>
                <w:b/>
                <w:sz w:val="22"/>
                <w:szCs w:val="22"/>
              </w:rPr>
              <w:t>要求</w:t>
            </w:r>
          </w:p>
        </w:tc>
      </w:tr>
      <w:tr w14:paraId="3606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465480CE">
            <w:pPr>
              <w:widowControl/>
              <w:spacing w:line="240" w:lineRule="auto"/>
              <w:ind w:firstLine="0" w:firstLineChars="0"/>
              <w:jc w:val="center"/>
              <w:rPr>
                <w:rFonts w:cs="宋体"/>
                <w:sz w:val="22"/>
                <w:szCs w:val="22"/>
              </w:rPr>
            </w:pPr>
            <w:r>
              <w:rPr>
                <w:rFonts w:hint="eastAsia" w:cs="宋体"/>
                <w:sz w:val="22"/>
                <w:szCs w:val="22"/>
              </w:rPr>
              <w:t>运维组长</w:t>
            </w:r>
          </w:p>
        </w:tc>
        <w:tc>
          <w:tcPr>
            <w:tcW w:w="2553" w:type="dxa"/>
            <w:vAlign w:val="center"/>
          </w:tcPr>
          <w:p w14:paraId="69222F4E">
            <w:pPr>
              <w:widowControl/>
              <w:spacing w:line="240" w:lineRule="auto"/>
              <w:ind w:firstLine="0" w:firstLineChars="0"/>
              <w:jc w:val="center"/>
              <w:rPr>
                <w:rFonts w:cs="宋体"/>
                <w:sz w:val="22"/>
                <w:szCs w:val="22"/>
              </w:rPr>
            </w:pPr>
            <w:r>
              <w:rPr>
                <w:rFonts w:hint="eastAsia" w:cs="宋体"/>
                <w:sz w:val="22"/>
                <w:szCs w:val="22"/>
              </w:rPr>
              <w:t>负责项目运维质量和安全控制</w:t>
            </w:r>
          </w:p>
        </w:tc>
        <w:tc>
          <w:tcPr>
            <w:tcW w:w="1189" w:type="dxa"/>
            <w:noWrap/>
            <w:vAlign w:val="center"/>
          </w:tcPr>
          <w:p w14:paraId="1378F52D">
            <w:pPr>
              <w:widowControl/>
              <w:spacing w:line="240" w:lineRule="auto"/>
              <w:ind w:firstLine="0" w:firstLineChars="0"/>
              <w:jc w:val="center"/>
              <w:rPr>
                <w:rFonts w:cs="宋体"/>
                <w:sz w:val="22"/>
                <w:szCs w:val="22"/>
              </w:rPr>
            </w:pPr>
            <w:r>
              <w:rPr>
                <w:rFonts w:hint="eastAsia" w:cs="宋体"/>
                <w:sz w:val="22"/>
                <w:szCs w:val="22"/>
              </w:rPr>
              <w:t>1人</w:t>
            </w:r>
          </w:p>
        </w:tc>
        <w:tc>
          <w:tcPr>
            <w:tcW w:w="2648" w:type="dxa"/>
            <w:vAlign w:val="center"/>
          </w:tcPr>
          <w:p w14:paraId="158D0A99">
            <w:pPr>
              <w:widowControl/>
              <w:spacing w:line="240" w:lineRule="auto"/>
              <w:ind w:firstLine="0" w:firstLineChars="0"/>
              <w:jc w:val="center"/>
              <w:rPr>
                <w:rFonts w:cs="宋体"/>
                <w:sz w:val="22"/>
                <w:szCs w:val="22"/>
              </w:rPr>
            </w:pPr>
            <w:r>
              <w:rPr>
                <w:rFonts w:hint="eastAsia" w:cs="宋体"/>
                <w:sz w:val="22"/>
                <w:szCs w:val="22"/>
              </w:rPr>
              <w:t>本科及以上学历，</w:t>
            </w:r>
            <w:r>
              <w:rPr>
                <w:rFonts w:hint="eastAsia" w:cs="宋体"/>
                <w:color w:val="000000"/>
                <w:kern w:val="0"/>
                <w:sz w:val="22"/>
                <w:szCs w:val="22"/>
              </w:rPr>
              <w:t>具有3年以上政务信息系统软件项目管理经验，</w:t>
            </w:r>
            <w:r>
              <w:rPr>
                <w:rFonts w:hint="eastAsia" w:cs="宋体"/>
                <w:sz w:val="22"/>
                <w:szCs w:val="22"/>
              </w:rPr>
              <w:t>具备</w:t>
            </w:r>
            <w:r>
              <w:rPr>
                <w:rFonts w:hint="eastAsia" w:cs="宋体"/>
                <w:color w:val="000000"/>
                <w:kern w:val="0"/>
                <w:sz w:val="22"/>
                <w:szCs w:val="22"/>
              </w:rPr>
              <w:t>系统集成项目管理工程师的优先考虑</w:t>
            </w:r>
          </w:p>
        </w:tc>
        <w:tc>
          <w:tcPr>
            <w:tcW w:w="958" w:type="dxa"/>
            <w:noWrap/>
            <w:vAlign w:val="center"/>
          </w:tcPr>
          <w:p w14:paraId="273612AE">
            <w:pPr>
              <w:widowControl/>
              <w:spacing w:line="240" w:lineRule="auto"/>
              <w:ind w:firstLine="0" w:firstLineChars="0"/>
              <w:jc w:val="center"/>
              <w:rPr>
                <w:rFonts w:cs="宋体"/>
                <w:sz w:val="22"/>
                <w:szCs w:val="22"/>
              </w:rPr>
            </w:pPr>
            <w:r>
              <w:rPr>
                <w:rFonts w:hint="eastAsia" w:cs="宋体"/>
                <w:sz w:val="22"/>
                <w:szCs w:val="22"/>
              </w:rPr>
              <w:t>驻场</w:t>
            </w:r>
          </w:p>
        </w:tc>
      </w:tr>
      <w:tr w14:paraId="69C3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2CD22F9A">
            <w:pPr>
              <w:widowControl/>
              <w:spacing w:line="240" w:lineRule="auto"/>
              <w:ind w:firstLine="0" w:firstLineChars="0"/>
              <w:jc w:val="center"/>
              <w:rPr>
                <w:rFonts w:cs="宋体"/>
                <w:sz w:val="22"/>
                <w:szCs w:val="22"/>
              </w:rPr>
            </w:pPr>
            <w:r>
              <w:rPr>
                <w:rFonts w:hint="eastAsia" w:cs="宋体"/>
                <w:sz w:val="22"/>
                <w:szCs w:val="22"/>
              </w:rPr>
              <w:t>运维主管</w:t>
            </w:r>
          </w:p>
        </w:tc>
        <w:tc>
          <w:tcPr>
            <w:tcW w:w="2553" w:type="dxa"/>
            <w:vAlign w:val="center"/>
          </w:tcPr>
          <w:p w14:paraId="1783BF09">
            <w:pPr>
              <w:widowControl/>
              <w:spacing w:line="240" w:lineRule="auto"/>
              <w:ind w:firstLine="0" w:firstLineChars="0"/>
              <w:jc w:val="center"/>
              <w:rPr>
                <w:rFonts w:cs="宋体"/>
                <w:sz w:val="22"/>
                <w:szCs w:val="22"/>
              </w:rPr>
            </w:pPr>
            <w:r>
              <w:rPr>
                <w:rFonts w:hint="eastAsia" w:cs="宋体"/>
                <w:sz w:val="22"/>
                <w:szCs w:val="22"/>
              </w:rPr>
              <w:t>负责项目安全运行</w:t>
            </w:r>
          </w:p>
        </w:tc>
        <w:tc>
          <w:tcPr>
            <w:tcW w:w="1189" w:type="dxa"/>
            <w:noWrap/>
            <w:vAlign w:val="center"/>
          </w:tcPr>
          <w:p w14:paraId="52BAC2F5">
            <w:pPr>
              <w:widowControl/>
              <w:spacing w:line="240" w:lineRule="auto"/>
              <w:ind w:firstLine="0" w:firstLineChars="0"/>
              <w:jc w:val="center"/>
              <w:rPr>
                <w:rFonts w:cs="宋体"/>
                <w:sz w:val="22"/>
                <w:szCs w:val="22"/>
              </w:rPr>
            </w:pPr>
            <w:r>
              <w:rPr>
                <w:rFonts w:hint="eastAsia" w:cs="宋体"/>
                <w:sz w:val="22"/>
                <w:szCs w:val="22"/>
              </w:rPr>
              <w:t>1人</w:t>
            </w:r>
          </w:p>
        </w:tc>
        <w:tc>
          <w:tcPr>
            <w:tcW w:w="2648" w:type="dxa"/>
            <w:vAlign w:val="center"/>
          </w:tcPr>
          <w:p w14:paraId="73AA972E">
            <w:pPr>
              <w:widowControl/>
              <w:spacing w:line="240" w:lineRule="auto"/>
              <w:ind w:firstLine="0" w:firstLineChars="0"/>
              <w:jc w:val="center"/>
              <w:rPr>
                <w:rFonts w:cs="宋体"/>
                <w:sz w:val="22"/>
                <w:szCs w:val="22"/>
              </w:rPr>
            </w:pPr>
            <w:r>
              <w:rPr>
                <w:rFonts w:hint="eastAsia" w:cs="宋体"/>
                <w:sz w:val="22"/>
                <w:szCs w:val="22"/>
              </w:rPr>
              <w:t>本科及以上学历，</w:t>
            </w:r>
            <w:r>
              <w:rPr>
                <w:rFonts w:hint="eastAsia" w:cs="宋体"/>
                <w:color w:val="000000"/>
                <w:kern w:val="0"/>
                <w:sz w:val="22"/>
                <w:szCs w:val="22"/>
              </w:rPr>
              <w:t>具有3年以上政务信息系统软件实施经验的优先考虑</w:t>
            </w:r>
          </w:p>
        </w:tc>
        <w:tc>
          <w:tcPr>
            <w:tcW w:w="958" w:type="dxa"/>
            <w:noWrap/>
            <w:vAlign w:val="center"/>
          </w:tcPr>
          <w:p w14:paraId="7E64A5FC">
            <w:pPr>
              <w:widowControl/>
              <w:spacing w:line="240" w:lineRule="auto"/>
              <w:ind w:firstLine="0" w:firstLineChars="0"/>
              <w:jc w:val="center"/>
              <w:rPr>
                <w:rFonts w:cs="宋体"/>
                <w:sz w:val="22"/>
                <w:szCs w:val="22"/>
              </w:rPr>
            </w:pPr>
            <w:r>
              <w:rPr>
                <w:rFonts w:hint="eastAsia" w:cs="宋体"/>
                <w:sz w:val="22"/>
                <w:szCs w:val="22"/>
              </w:rPr>
              <w:t>驻场</w:t>
            </w:r>
          </w:p>
        </w:tc>
      </w:tr>
      <w:tr w14:paraId="1665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23F6422E">
            <w:pPr>
              <w:widowControl/>
              <w:spacing w:line="240" w:lineRule="auto"/>
              <w:ind w:firstLine="0" w:firstLineChars="0"/>
              <w:jc w:val="center"/>
              <w:rPr>
                <w:rFonts w:cs="宋体"/>
                <w:sz w:val="22"/>
                <w:szCs w:val="22"/>
              </w:rPr>
            </w:pPr>
            <w:r>
              <w:rPr>
                <w:rFonts w:hint="eastAsia" w:cs="宋体"/>
                <w:sz w:val="22"/>
                <w:szCs w:val="22"/>
              </w:rPr>
              <w:t>技术工程师</w:t>
            </w:r>
          </w:p>
        </w:tc>
        <w:tc>
          <w:tcPr>
            <w:tcW w:w="2553" w:type="dxa"/>
            <w:noWrap/>
            <w:vAlign w:val="center"/>
          </w:tcPr>
          <w:p w14:paraId="7AEB6A49">
            <w:pPr>
              <w:widowControl/>
              <w:spacing w:line="240" w:lineRule="auto"/>
              <w:ind w:firstLine="0" w:firstLineChars="0"/>
              <w:jc w:val="center"/>
              <w:rPr>
                <w:rFonts w:cs="宋体"/>
                <w:sz w:val="22"/>
                <w:szCs w:val="22"/>
              </w:rPr>
            </w:pPr>
            <w:r>
              <w:rPr>
                <w:rFonts w:hint="eastAsia" w:cs="宋体"/>
                <w:sz w:val="22"/>
                <w:szCs w:val="22"/>
              </w:rPr>
              <w:t>负责项目运行维护</w:t>
            </w:r>
          </w:p>
        </w:tc>
        <w:tc>
          <w:tcPr>
            <w:tcW w:w="1189" w:type="dxa"/>
            <w:noWrap/>
            <w:vAlign w:val="center"/>
          </w:tcPr>
          <w:p w14:paraId="577DB6DC">
            <w:pPr>
              <w:widowControl/>
              <w:spacing w:line="240" w:lineRule="auto"/>
              <w:ind w:firstLine="0" w:firstLineChars="0"/>
              <w:jc w:val="center"/>
              <w:rPr>
                <w:rFonts w:cs="宋体"/>
                <w:sz w:val="22"/>
                <w:szCs w:val="22"/>
              </w:rPr>
            </w:pPr>
            <w:r>
              <w:rPr>
                <w:rFonts w:hint="eastAsia" w:cs="宋体"/>
                <w:sz w:val="22"/>
                <w:szCs w:val="22"/>
              </w:rPr>
              <w:t>1人</w:t>
            </w:r>
          </w:p>
        </w:tc>
        <w:tc>
          <w:tcPr>
            <w:tcW w:w="2648" w:type="dxa"/>
            <w:vAlign w:val="center"/>
          </w:tcPr>
          <w:p w14:paraId="20BFF369">
            <w:pPr>
              <w:widowControl/>
              <w:spacing w:line="240" w:lineRule="auto"/>
              <w:ind w:firstLine="0" w:firstLineChars="0"/>
              <w:jc w:val="center"/>
              <w:rPr>
                <w:rFonts w:cs="宋体"/>
                <w:sz w:val="22"/>
                <w:szCs w:val="22"/>
              </w:rPr>
            </w:pPr>
            <w:r>
              <w:rPr>
                <w:rFonts w:hint="eastAsia" w:cs="宋体"/>
                <w:sz w:val="22"/>
                <w:szCs w:val="22"/>
              </w:rPr>
              <w:t>专科及以上学历，具备软件开发相关工作经验</w:t>
            </w:r>
            <w:r>
              <w:rPr>
                <w:rFonts w:hint="eastAsia" w:cs="宋体"/>
                <w:color w:val="000000"/>
                <w:kern w:val="0"/>
                <w:sz w:val="22"/>
                <w:szCs w:val="22"/>
              </w:rPr>
              <w:t>的优先考虑</w:t>
            </w:r>
          </w:p>
        </w:tc>
        <w:tc>
          <w:tcPr>
            <w:tcW w:w="958" w:type="dxa"/>
            <w:noWrap/>
            <w:vAlign w:val="center"/>
          </w:tcPr>
          <w:p w14:paraId="1115C9E2">
            <w:pPr>
              <w:widowControl/>
              <w:spacing w:line="240" w:lineRule="auto"/>
              <w:ind w:firstLine="0" w:firstLineChars="0"/>
              <w:jc w:val="center"/>
              <w:rPr>
                <w:rFonts w:cs="宋体"/>
                <w:sz w:val="22"/>
                <w:szCs w:val="22"/>
              </w:rPr>
            </w:pPr>
            <w:r>
              <w:rPr>
                <w:rFonts w:hint="eastAsia" w:cs="宋体"/>
                <w:sz w:val="22"/>
                <w:szCs w:val="22"/>
              </w:rPr>
              <w:t>驻场</w:t>
            </w:r>
          </w:p>
        </w:tc>
      </w:tr>
    </w:tbl>
    <w:p w14:paraId="67EDD43D">
      <w:pPr>
        <w:ind w:firstLine="0" w:firstLineChars="0"/>
      </w:pPr>
    </w:p>
    <w:p w14:paraId="0D91FD6F">
      <w:pPr>
        <w:pStyle w:val="3"/>
      </w:pPr>
      <w:bookmarkStart w:id="33" w:name="_Toc63785511"/>
      <w:r>
        <w:t>等级保护要求</w:t>
      </w:r>
      <w:bookmarkEnd w:id="33"/>
    </w:p>
    <w:p w14:paraId="0405D14A">
      <w:r>
        <w:rPr>
          <w:rFonts w:hint="eastAsia"/>
        </w:rPr>
        <w:t>本项目中上海监狱（公众网）网站参照信息安全等级保护二级建设，上海市监狱管理局数字档案室、上海市监狱管理局内部控制管理平台参照信息安全等级保护三级建设，项目验收前应通过安全测评，报告关键要素应符合上海市大数据中心相关要求。</w:t>
      </w:r>
    </w:p>
    <w:p w14:paraId="6BDDBFA7">
      <w:pPr>
        <w:pStyle w:val="3"/>
      </w:pPr>
      <w:r>
        <w:rPr>
          <w:rFonts w:hint="eastAsia"/>
        </w:rPr>
        <w:t>商业密码应用需求</w:t>
      </w:r>
    </w:p>
    <w:p w14:paraId="07F72658"/>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213"/>
        <w:gridCol w:w="5138"/>
        <w:gridCol w:w="1525"/>
      </w:tblGrid>
      <w:tr w14:paraId="3885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364" w:type="pct"/>
            <w:vMerge w:val="restart"/>
            <w:shd w:val="clear" w:color="auto" w:fill="FFFFFF"/>
            <w:noWrap/>
            <w:vAlign w:val="center"/>
          </w:tcPr>
          <w:p w14:paraId="4E9D6454">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安全层面</w:t>
            </w:r>
          </w:p>
        </w:tc>
        <w:tc>
          <w:tcPr>
            <w:tcW w:w="1295" w:type="pct"/>
            <w:vMerge w:val="restart"/>
            <w:shd w:val="clear" w:color="auto" w:fill="FFFFFF"/>
            <w:noWrap/>
            <w:vAlign w:val="center"/>
          </w:tcPr>
          <w:p w14:paraId="7F1627D4">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指标要求</w:t>
            </w:r>
          </w:p>
        </w:tc>
        <w:tc>
          <w:tcPr>
            <w:tcW w:w="2472" w:type="pct"/>
            <w:vMerge w:val="restart"/>
            <w:shd w:val="clear" w:color="auto" w:fill="FFFFFF"/>
            <w:noWrap/>
            <w:vAlign w:val="center"/>
          </w:tcPr>
          <w:p w14:paraId="739516E9">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系统密码应用需求</w:t>
            </w:r>
          </w:p>
        </w:tc>
        <w:tc>
          <w:tcPr>
            <w:tcW w:w="868" w:type="pct"/>
            <w:vMerge w:val="restart"/>
            <w:shd w:val="clear" w:color="auto" w:fill="FFFFFF"/>
            <w:noWrap/>
            <w:vAlign w:val="center"/>
          </w:tcPr>
          <w:p w14:paraId="7C338A3F">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不适用说明</w:t>
            </w:r>
          </w:p>
        </w:tc>
      </w:tr>
      <w:tr w14:paraId="412D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364" w:type="pct"/>
            <w:vMerge w:val="continue"/>
            <w:shd w:val="clear" w:color="auto" w:fill="FFFFFF"/>
            <w:noWrap/>
            <w:vAlign w:val="center"/>
          </w:tcPr>
          <w:p w14:paraId="42AF8FD5">
            <w:pPr>
              <w:widowControl/>
              <w:wordWrap w:val="0"/>
              <w:autoSpaceDE w:val="0"/>
              <w:autoSpaceDN w:val="0"/>
              <w:adjustRightInd w:val="0"/>
              <w:snapToGrid w:val="0"/>
              <w:spacing w:line="240" w:lineRule="auto"/>
              <w:ind w:firstLine="0" w:firstLineChars="0"/>
              <w:textAlignment w:val="baseline"/>
              <w:rPr>
                <w:rFonts w:cs="宋体"/>
                <w:b/>
                <w:bCs/>
                <w:snapToGrid w:val="0"/>
                <w:color w:val="000000"/>
                <w:kern w:val="0"/>
              </w:rPr>
            </w:pPr>
          </w:p>
        </w:tc>
        <w:tc>
          <w:tcPr>
            <w:tcW w:w="1295" w:type="pct"/>
            <w:vMerge w:val="continue"/>
            <w:shd w:val="clear" w:color="auto" w:fill="FFFFFF"/>
            <w:noWrap/>
            <w:vAlign w:val="center"/>
          </w:tcPr>
          <w:p w14:paraId="62298C17">
            <w:pPr>
              <w:widowControl/>
              <w:wordWrap w:val="0"/>
              <w:autoSpaceDE w:val="0"/>
              <w:autoSpaceDN w:val="0"/>
              <w:adjustRightInd w:val="0"/>
              <w:snapToGrid w:val="0"/>
              <w:spacing w:line="240" w:lineRule="auto"/>
              <w:ind w:firstLine="0" w:firstLineChars="0"/>
              <w:jc w:val="center"/>
              <w:textAlignment w:val="baseline"/>
              <w:rPr>
                <w:rFonts w:cs="宋体"/>
                <w:b/>
                <w:bCs/>
                <w:snapToGrid w:val="0"/>
                <w:color w:val="000000"/>
                <w:kern w:val="0"/>
              </w:rPr>
            </w:pPr>
          </w:p>
        </w:tc>
        <w:tc>
          <w:tcPr>
            <w:tcW w:w="2472" w:type="pct"/>
            <w:vMerge w:val="continue"/>
            <w:shd w:val="clear" w:color="auto" w:fill="FFFFFF"/>
            <w:noWrap/>
            <w:vAlign w:val="center"/>
          </w:tcPr>
          <w:p w14:paraId="7B93C355">
            <w:pPr>
              <w:widowControl/>
              <w:wordWrap w:val="0"/>
              <w:autoSpaceDE w:val="0"/>
              <w:autoSpaceDN w:val="0"/>
              <w:adjustRightInd w:val="0"/>
              <w:snapToGrid w:val="0"/>
              <w:spacing w:line="240" w:lineRule="auto"/>
              <w:ind w:firstLine="0" w:firstLineChars="0"/>
              <w:jc w:val="center"/>
              <w:textAlignment w:val="baseline"/>
              <w:rPr>
                <w:rFonts w:cs="宋体"/>
                <w:b/>
                <w:bCs/>
                <w:snapToGrid w:val="0"/>
                <w:color w:val="000000"/>
                <w:kern w:val="0"/>
              </w:rPr>
            </w:pPr>
          </w:p>
        </w:tc>
        <w:tc>
          <w:tcPr>
            <w:tcW w:w="868" w:type="pct"/>
            <w:vMerge w:val="continue"/>
            <w:shd w:val="clear" w:color="auto" w:fill="FFFFFF"/>
            <w:noWrap/>
            <w:vAlign w:val="center"/>
          </w:tcPr>
          <w:p w14:paraId="4AC31316">
            <w:pPr>
              <w:widowControl/>
              <w:wordWrap w:val="0"/>
              <w:autoSpaceDE w:val="0"/>
              <w:autoSpaceDN w:val="0"/>
              <w:adjustRightInd w:val="0"/>
              <w:snapToGrid w:val="0"/>
              <w:spacing w:line="240" w:lineRule="auto"/>
              <w:ind w:firstLine="0" w:firstLineChars="0"/>
              <w:jc w:val="center"/>
              <w:textAlignment w:val="baseline"/>
              <w:rPr>
                <w:rFonts w:cs="宋体"/>
                <w:b/>
                <w:bCs/>
                <w:snapToGrid w:val="0"/>
                <w:color w:val="000000"/>
                <w:kern w:val="0"/>
              </w:rPr>
            </w:pPr>
          </w:p>
        </w:tc>
      </w:tr>
      <w:tr w14:paraId="129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restart"/>
            <w:shd w:val="clear" w:color="auto" w:fill="FFFFFF"/>
            <w:noWrap/>
            <w:vAlign w:val="center"/>
          </w:tcPr>
          <w:p w14:paraId="6DCA70C2">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物理和环境安全</w:t>
            </w:r>
          </w:p>
        </w:tc>
        <w:tc>
          <w:tcPr>
            <w:tcW w:w="1295" w:type="pct"/>
            <w:shd w:val="clear" w:color="auto" w:fill="FFFFFF"/>
            <w:noWrap/>
            <w:vAlign w:val="center"/>
          </w:tcPr>
          <w:p w14:paraId="41B76B0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shd w:val="clear" w:color="auto" w:fill="FFFFFF"/>
            <w:noWrap/>
            <w:vAlign w:val="center"/>
          </w:tcPr>
          <w:p w14:paraId="66884D9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spacing w:val="21"/>
                <w:kern w:val="0"/>
              </w:rPr>
              <w:t>确</w:t>
            </w:r>
            <w:r>
              <w:rPr>
                <w:rFonts w:hint="eastAsia" w:cs="宋体"/>
                <w:snapToGrid w:val="0"/>
                <w:color w:val="000000"/>
                <w:spacing w:val="17"/>
                <w:kern w:val="0"/>
              </w:rPr>
              <w:t>认进入机房人员身份的真实</w:t>
            </w:r>
            <w:r>
              <w:rPr>
                <w:rFonts w:hint="eastAsia" w:cs="宋体"/>
                <w:snapToGrid w:val="0"/>
                <w:color w:val="000000"/>
                <w:spacing w:val="10"/>
                <w:kern w:val="0"/>
              </w:rPr>
              <w:t>性</w:t>
            </w:r>
            <w:r>
              <w:rPr>
                <w:rFonts w:hint="eastAsia" w:cs="宋体"/>
                <w:snapToGrid w:val="0"/>
                <w:color w:val="000000"/>
                <w:spacing w:val="7"/>
                <w:kern w:val="0"/>
              </w:rPr>
              <w:t>，防止假冒人员进入。</w:t>
            </w:r>
          </w:p>
        </w:tc>
        <w:tc>
          <w:tcPr>
            <w:tcW w:w="868" w:type="pct"/>
            <w:vMerge w:val="restart"/>
            <w:shd w:val="clear" w:color="auto" w:fill="FFFFFF"/>
            <w:noWrap/>
            <w:vAlign w:val="center"/>
          </w:tcPr>
          <w:p w14:paraId="3B79028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系统的物理和环境安全由云平台提供安全保障。</w:t>
            </w:r>
          </w:p>
        </w:tc>
      </w:tr>
      <w:tr w14:paraId="3AF6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64" w:type="pct"/>
            <w:vMerge w:val="continue"/>
            <w:shd w:val="clear" w:color="auto" w:fill="FFFFFF"/>
            <w:noWrap/>
            <w:vAlign w:val="center"/>
          </w:tcPr>
          <w:p w14:paraId="40FE500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35F13E2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电子门禁记录数据完整性</w:t>
            </w:r>
          </w:p>
        </w:tc>
        <w:tc>
          <w:tcPr>
            <w:tcW w:w="2472" w:type="pct"/>
            <w:shd w:val="clear" w:color="auto" w:fill="FFFFFF"/>
            <w:noWrap/>
            <w:vAlign w:val="center"/>
          </w:tcPr>
          <w:p w14:paraId="41FC289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spacing w:val="21"/>
                <w:kern w:val="0"/>
              </w:rPr>
              <w:t>保</w:t>
            </w:r>
            <w:r>
              <w:rPr>
                <w:rFonts w:hint="eastAsia" w:cs="宋体"/>
                <w:snapToGrid w:val="0"/>
                <w:color w:val="000000"/>
                <w:spacing w:val="17"/>
                <w:kern w:val="0"/>
              </w:rPr>
              <w:t>护电子门禁系统进出记录的完整性，</w:t>
            </w:r>
            <w:r>
              <w:rPr>
                <w:rFonts w:hint="eastAsia" w:cs="宋体"/>
                <w:snapToGrid w:val="0"/>
                <w:color w:val="000000"/>
                <w:spacing w:val="9"/>
                <w:kern w:val="0"/>
              </w:rPr>
              <w:t>防</w:t>
            </w:r>
            <w:r>
              <w:rPr>
                <w:rFonts w:hint="eastAsia" w:cs="宋体"/>
                <w:snapToGrid w:val="0"/>
                <w:color w:val="000000"/>
                <w:spacing w:val="7"/>
                <w:kern w:val="0"/>
              </w:rPr>
              <w:t>止被非授权篡改。</w:t>
            </w:r>
          </w:p>
        </w:tc>
        <w:tc>
          <w:tcPr>
            <w:tcW w:w="868" w:type="pct"/>
            <w:vMerge w:val="continue"/>
            <w:shd w:val="clear" w:color="auto" w:fill="FFFFFF"/>
            <w:noWrap/>
            <w:vAlign w:val="center"/>
          </w:tcPr>
          <w:p w14:paraId="1E79D3F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7B1A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64" w:type="pct"/>
            <w:vMerge w:val="continue"/>
            <w:shd w:val="clear" w:color="auto" w:fill="FFFFFF"/>
            <w:noWrap/>
            <w:vAlign w:val="center"/>
          </w:tcPr>
          <w:p w14:paraId="33819488">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45ECA41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视频监控记录数</w:t>
            </w:r>
          </w:p>
          <w:p w14:paraId="3C9636F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据完整性</w:t>
            </w:r>
          </w:p>
        </w:tc>
        <w:tc>
          <w:tcPr>
            <w:tcW w:w="2472" w:type="pct"/>
            <w:shd w:val="clear" w:color="auto" w:fill="FFFFFF"/>
            <w:noWrap/>
            <w:vAlign w:val="center"/>
          </w:tcPr>
          <w:p w14:paraId="684A54F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spacing w:val="21"/>
                <w:kern w:val="0"/>
              </w:rPr>
              <w:t>保</w:t>
            </w:r>
            <w:r>
              <w:rPr>
                <w:rFonts w:hint="eastAsia" w:cs="宋体"/>
                <w:snapToGrid w:val="0"/>
                <w:color w:val="000000"/>
                <w:spacing w:val="17"/>
                <w:kern w:val="0"/>
              </w:rPr>
              <w:t>护</w:t>
            </w:r>
            <w:r>
              <w:rPr>
                <w:rFonts w:hint="eastAsia" w:cs="宋体"/>
                <w:snapToGrid w:val="0"/>
                <w:color w:val="000000"/>
                <w:spacing w:val="24"/>
                <w:kern w:val="0"/>
              </w:rPr>
              <w:t>视</w:t>
            </w:r>
            <w:r>
              <w:rPr>
                <w:rFonts w:hint="eastAsia" w:cs="宋体"/>
                <w:snapToGrid w:val="0"/>
                <w:color w:val="000000"/>
                <w:spacing w:val="17"/>
                <w:kern w:val="0"/>
              </w:rPr>
              <w:t>频监控音像记录的完整性，</w:t>
            </w:r>
            <w:r>
              <w:rPr>
                <w:rFonts w:hint="eastAsia" w:cs="宋体"/>
                <w:snapToGrid w:val="0"/>
                <w:color w:val="000000"/>
                <w:spacing w:val="9"/>
                <w:kern w:val="0"/>
              </w:rPr>
              <w:t>防</w:t>
            </w:r>
            <w:r>
              <w:rPr>
                <w:rFonts w:hint="eastAsia" w:cs="宋体"/>
                <w:snapToGrid w:val="0"/>
                <w:color w:val="000000"/>
                <w:spacing w:val="7"/>
                <w:kern w:val="0"/>
              </w:rPr>
              <w:t>止被非授权篡改。</w:t>
            </w:r>
          </w:p>
        </w:tc>
        <w:tc>
          <w:tcPr>
            <w:tcW w:w="868" w:type="pct"/>
            <w:vMerge w:val="continue"/>
            <w:shd w:val="clear" w:color="auto" w:fill="FFFFFF"/>
            <w:noWrap/>
            <w:vAlign w:val="center"/>
          </w:tcPr>
          <w:p w14:paraId="2A2FC21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92E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B9F016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4E44AB8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shd w:val="clear" w:color="auto" w:fill="FFFFFF"/>
            <w:noWrap/>
            <w:vAlign w:val="center"/>
          </w:tcPr>
          <w:p w14:paraId="4DDF064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不适用</w:t>
            </w:r>
          </w:p>
        </w:tc>
        <w:tc>
          <w:tcPr>
            <w:tcW w:w="868" w:type="pct"/>
            <w:vMerge w:val="continue"/>
            <w:shd w:val="clear" w:color="auto" w:fill="FFFFFF"/>
            <w:noWrap/>
            <w:vAlign w:val="center"/>
          </w:tcPr>
          <w:p w14:paraId="7067D8E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11CF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05D9EF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79FD2D2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shd w:val="clear" w:color="auto" w:fill="FFFFFF"/>
            <w:noWrap/>
            <w:vAlign w:val="center"/>
          </w:tcPr>
          <w:p w14:paraId="2C8F382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采用的密码产品应达到GB/T 37092二级及以上安全要求。</w:t>
            </w:r>
          </w:p>
        </w:tc>
        <w:tc>
          <w:tcPr>
            <w:tcW w:w="868" w:type="pct"/>
            <w:vMerge w:val="continue"/>
            <w:shd w:val="clear" w:color="auto" w:fill="FFFFFF"/>
            <w:noWrap/>
            <w:vAlign w:val="center"/>
          </w:tcPr>
          <w:p w14:paraId="2B2D3EB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4AE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restart"/>
            <w:shd w:val="clear" w:color="auto" w:fill="FFFFFF"/>
            <w:noWrap/>
            <w:vAlign w:val="center"/>
          </w:tcPr>
          <w:p w14:paraId="3E132814">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网络和通信安全</w:t>
            </w:r>
          </w:p>
        </w:tc>
        <w:tc>
          <w:tcPr>
            <w:tcW w:w="1295" w:type="pct"/>
            <w:vMerge w:val="restart"/>
            <w:shd w:val="clear" w:color="auto" w:fill="FFFFFF"/>
            <w:noWrap/>
            <w:vAlign w:val="center"/>
          </w:tcPr>
          <w:p w14:paraId="7727F28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vMerge w:val="restart"/>
            <w:shd w:val="clear" w:color="auto" w:fill="FFFFFF"/>
            <w:noWrap/>
            <w:vAlign w:val="center"/>
          </w:tcPr>
          <w:p w14:paraId="13D91C8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确保</w:t>
            </w:r>
            <w:r>
              <w:rPr>
                <w:rFonts w:hint="eastAsia" w:cs="宋体"/>
                <w:snapToGrid w:val="0"/>
                <w:kern w:val="0"/>
              </w:rPr>
              <w:t>通信实体身份的真实性，防止与假冒实体进行通信。</w:t>
            </w:r>
          </w:p>
        </w:tc>
        <w:tc>
          <w:tcPr>
            <w:tcW w:w="868" w:type="pct"/>
            <w:vMerge w:val="restart"/>
            <w:shd w:val="clear" w:color="auto" w:fill="FFFFFF"/>
            <w:noWrap/>
            <w:vAlign w:val="center"/>
          </w:tcPr>
          <w:p w14:paraId="6528BE7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6239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E9E253F">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C4C2D2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AD4775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70785C8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1AEA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FEC56C1">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E5DBA1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68DCB74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管理端的身份鉴别由云平台提供安全保障。</w:t>
            </w:r>
          </w:p>
        </w:tc>
        <w:tc>
          <w:tcPr>
            <w:tcW w:w="868" w:type="pct"/>
            <w:vMerge w:val="restart"/>
            <w:shd w:val="clear" w:color="auto" w:fill="FFFFFF"/>
            <w:noWrap/>
            <w:vAlign w:val="center"/>
          </w:tcPr>
          <w:p w14:paraId="5946B3A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7A7D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305D496">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294BC0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EF92B8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7E82C8F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5ACD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155615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11BD21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C21AEB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3916C16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0414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394413F8">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7C0190D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通信数据完整性</w:t>
            </w:r>
          </w:p>
        </w:tc>
        <w:tc>
          <w:tcPr>
            <w:tcW w:w="2472" w:type="pct"/>
            <w:vMerge w:val="restart"/>
            <w:shd w:val="clear" w:color="auto" w:fill="FFFFFF"/>
            <w:noWrap/>
            <w:vAlign w:val="center"/>
          </w:tcPr>
          <w:p w14:paraId="6C6B490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保</w:t>
            </w:r>
            <w:r>
              <w:rPr>
                <w:rFonts w:hint="eastAsia" w:cs="宋体"/>
                <w:snapToGrid w:val="0"/>
                <w:kern w:val="0"/>
              </w:rPr>
              <w:t>护通信过程中业务数据的完整性，防止数据被非授权篡改。</w:t>
            </w:r>
          </w:p>
        </w:tc>
        <w:tc>
          <w:tcPr>
            <w:tcW w:w="868" w:type="pct"/>
            <w:vMerge w:val="restart"/>
            <w:shd w:val="clear" w:color="auto" w:fill="FFFFFF"/>
            <w:noWrap/>
            <w:vAlign w:val="center"/>
          </w:tcPr>
          <w:p w14:paraId="19F3669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15C9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AE75D67">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610EFA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218065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65400EF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7154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8ECF737">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8B8B2C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6BE38C0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管理端进行远程运维管理时的运维通信数据完整性由云平台提供安全保障。</w:t>
            </w:r>
          </w:p>
        </w:tc>
        <w:tc>
          <w:tcPr>
            <w:tcW w:w="868" w:type="pct"/>
            <w:vMerge w:val="restart"/>
            <w:shd w:val="clear" w:color="auto" w:fill="FFFFFF"/>
            <w:noWrap/>
            <w:vAlign w:val="center"/>
          </w:tcPr>
          <w:p w14:paraId="2474DA8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58BC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934361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1AA902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B23489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25909FA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D9A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97D815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7C11CC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23BD36E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A62ECE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1337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48C0A74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23DADDB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通信过程中重要数据的机密性</w:t>
            </w:r>
          </w:p>
        </w:tc>
        <w:tc>
          <w:tcPr>
            <w:tcW w:w="2472" w:type="pct"/>
            <w:vMerge w:val="restart"/>
            <w:shd w:val="clear" w:color="auto" w:fill="FFFFFF"/>
            <w:noWrap/>
            <w:vAlign w:val="center"/>
          </w:tcPr>
          <w:p w14:paraId="5526ABC8">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保护通信过程中业务数据的机密性，防止敏感数据泄露。</w:t>
            </w:r>
          </w:p>
        </w:tc>
        <w:tc>
          <w:tcPr>
            <w:tcW w:w="868" w:type="pct"/>
            <w:vMerge w:val="restart"/>
            <w:shd w:val="clear" w:color="auto" w:fill="FFFFFF"/>
            <w:noWrap/>
            <w:vAlign w:val="center"/>
          </w:tcPr>
          <w:p w14:paraId="406A407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512F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7C3ED4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r>
              <w:rPr>
                <w:rFonts w:hint="eastAsia" w:cs="宋体"/>
                <w:snapToGrid w:val="0"/>
                <w:color w:val="000000"/>
                <w:kern w:val="0"/>
              </w:rPr>
              <w:t>无</w:t>
            </w:r>
          </w:p>
        </w:tc>
        <w:tc>
          <w:tcPr>
            <w:tcW w:w="1295" w:type="pct"/>
            <w:vMerge w:val="continue"/>
            <w:shd w:val="clear" w:color="auto" w:fill="FFFFFF"/>
            <w:noWrap/>
            <w:vAlign w:val="center"/>
          </w:tcPr>
          <w:p w14:paraId="071BD64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4112F31">
            <w:pPr>
              <w:widowControl/>
              <w:wordWrap w:val="0"/>
              <w:autoSpaceDE w:val="0"/>
              <w:autoSpaceDN w:val="0"/>
              <w:adjustRightInd w:val="0"/>
              <w:snapToGrid w:val="0"/>
              <w:spacing w:line="240" w:lineRule="auto"/>
              <w:ind w:firstLine="0" w:firstLineChars="0"/>
              <w:textAlignment w:val="baseline"/>
              <w:rPr>
                <w:rFonts w:cs="宋体"/>
                <w:snapToGrid w:val="0"/>
                <w:kern w:val="0"/>
              </w:rPr>
            </w:pPr>
          </w:p>
        </w:tc>
        <w:tc>
          <w:tcPr>
            <w:tcW w:w="868" w:type="pct"/>
            <w:vMerge w:val="continue"/>
            <w:shd w:val="clear" w:color="auto" w:fill="FFFFFF"/>
            <w:noWrap/>
            <w:vAlign w:val="center"/>
          </w:tcPr>
          <w:p w14:paraId="7E6DC5C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23E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F0EA458">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568C8A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398FEE43">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管理端进行远程运维管理时的运维通信数据机密性由云平台提供安全保障。</w:t>
            </w:r>
          </w:p>
        </w:tc>
        <w:tc>
          <w:tcPr>
            <w:tcW w:w="868" w:type="pct"/>
            <w:vMerge w:val="restart"/>
            <w:shd w:val="clear" w:color="auto" w:fill="FFFFFF"/>
            <w:noWrap/>
            <w:vAlign w:val="center"/>
          </w:tcPr>
          <w:p w14:paraId="6C64AB7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73E2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2281433">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FC931F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AD09C3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0BF493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310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1658035">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FB51D8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935532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38A4ABC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7E1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64" w:type="pct"/>
            <w:vMerge w:val="continue"/>
            <w:shd w:val="clear" w:color="auto" w:fill="FFFFFF"/>
            <w:noWrap/>
            <w:vAlign w:val="center"/>
          </w:tcPr>
          <w:p w14:paraId="1D2376D5">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2B09D00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网络边界访问控制信息的完整性</w:t>
            </w:r>
          </w:p>
        </w:tc>
        <w:tc>
          <w:tcPr>
            <w:tcW w:w="2472" w:type="pct"/>
            <w:shd w:val="clear" w:color="auto" w:fill="FFFFFF"/>
            <w:noWrap/>
            <w:vAlign w:val="center"/>
          </w:tcPr>
          <w:p w14:paraId="731EF2C1">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保护移通信过程中网络边界访问控制信息的完整性，防止被非授权篡改。</w:t>
            </w:r>
          </w:p>
        </w:tc>
        <w:tc>
          <w:tcPr>
            <w:tcW w:w="868" w:type="pct"/>
            <w:shd w:val="clear" w:color="auto" w:fill="FFFFFF"/>
            <w:noWrap/>
            <w:vAlign w:val="center"/>
          </w:tcPr>
          <w:p w14:paraId="139C07C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2166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C48AF55">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957763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2472" w:type="pct"/>
            <w:vMerge w:val="restart"/>
            <w:shd w:val="clear" w:color="auto" w:fill="FFFFFF"/>
            <w:noWrap/>
            <w:vAlign w:val="center"/>
          </w:tcPr>
          <w:p w14:paraId="2BC191DF">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系统网络拓扑中不同区域网络边界访问控制信息的完整性保护由云平台提供。</w:t>
            </w:r>
          </w:p>
        </w:tc>
        <w:tc>
          <w:tcPr>
            <w:tcW w:w="868" w:type="pct"/>
            <w:vMerge w:val="restart"/>
            <w:shd w:val="clear" w:color="auto" w:fill="FFFFFF"/>
            <w:noWrap/>
            <w:vAlign w:val="center"/>
          </w:tcPr>
          <w:p w14:paraId="4D8F3B0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1C5E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E4343E5">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91B802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7FE3ADE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4E777A8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65FF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6933BD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4EFB335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B003F7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BA43FB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050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2410A2B3">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512E0AD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安全接入认证</w:t>
            </w:r>
          </w:p>
        </w:tc>
        <w:tc>
          <w:tcPr>
            <w:tcW w:w="2472" w:type="pct"/>
            <w:vMerge w:val="restart"/>
            <w:shd w:val="clear" w:color="auto" w:fill="FFFFFF"/>
            <w:noWrap/>
            <w:vAlign w:val="center"/>
          </w:tcPr>
          <w:p w14:paraId="4DA98CD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不适用。</w:t>
            </w:r>
          </w:p>
        </w:tc>
        <w:tc>
          <w:tcPr>
            <w:tcW w:w="868" w:type="pct"/>
            <w:vMerge w:val="restart"/>
            <w:shd w:val="clear" w:color="auto" w:fill="FFFFFF"/>
            <w:noWrap/>
            <w:vAlign w:val="center"/>
          </w:tcPr>
          <w:p w14:paraId="4222274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无外部设备接入本系统的需求。</w:t>
            </w:r>
          </w:p>
        </w:tc>
      </w:tr>
      <w:tr w14:paraId="2114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E4EE746">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CD7E51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29696F4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3BB3F8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847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CB0FC9F">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7859AEB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90AB16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48A45B5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041E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36F14DE1">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6899873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vMerge w:val="restart"/>
            <w:shd w:val="clear" w:color="auto" w:fill="FFFFFF"/>
            <w:noWrap/>
            <w:vAlign w:val="center"/>
          </w:tcPr>
          <w:p w14:paraId="4E9F9A2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采用的数字证书由具备资质的电子认证服务机构签发。</w:t>
            </w:r>
          </w:p>
        </w:tc>
        <w:tc>
          <w:tcPr>
            <w:tcW w:w="868" w:type="pct"/>
            <w:vMerge w:val="restart"/>
            <w:shd w:val="clear" w:color="auto" w:fill="FFFFFF"/>
            <w:noWrap/>
            <w:vAlign w:val="center"/>
          </w:tcPr>
          <w:p w14:paraId="075032C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4B6F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8BAA18F">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60453E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5A6285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41F5CF3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6DD8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64" w:type="pct"/>
            <w:vMerge w:val="continue"/>
            <w:shd w:val="clear" w:color="auto" w:fill="FFFFFF"/>
            <w:noWrap/>
            <w:vAlign w:val="center"/>
          </w:tcPr>
          <w:p w14:paraId="07993433">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BD54BD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shd w:val="clear" w:color="auto" w:fill="FFFFFF"/>
            <w:noWrap/>
            <w:vAlign w:val="center"/>
          </w:tcPr>
          <w:p w14:paraId="08FF47D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采用的云密码服务由云平台提供。</w:t>
            </w:r>
          </w:p>
        </w:tc>
        <w:tc>
          <w:tcPr>
            <w:tcW w:w="868" w:type="pct"/>
            <w:shd w:val="clear" w:color="auto" w:fill="FFFFFF"/>
            <w:noWrap/>
            <w:vAlign w:val="center"/>
          </w:tcPr>
          <w:p w14:paraId="027A61B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5E2C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45A5E0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4DE691D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vMerge w:val="restart"/>
            <w:shd w:val="clear" w:color="auto" w:fill="FFFFFF"/>
            <w:noWrap/>
            <w:vAlign w:val="center"/>
          </w:tcPr>
          <w:p w14:paraId="63024508">
            <w:pPr>
              <w:widowControl/>
              <w:wordWrap w:val="0"/>
              <w:autoSpaceDE w:val="0"/>
              <w:autoSpaceDN w:val="0"/>
              <w:adjustRightInd w:val="0"/>
              <w:snapToGrid w:val="0"/>
              <w:spacing w:line="240" w:lineRule="auto"/>
              <w:ind w:firstLine="0" w:firstLineChars="0"/>
              <w:textAlignment w:val="baseline"/>
              <w:rPr>
                <w:rFonts w:cs="宋体"/>
                <w:i/>
                <w:iCs/>
                <w:snapToGrid w:val="0"/>
                <w:color w:val="FF0000"/>
                <w:kern w:val="0"/>
              </w:rPr>
            </w:pPr>
            <w:r>
              <w:rPr>
                <w:rFonts w:hint="eastAsia" w:cs="宋体"/>
                <w:snapToGrid w:val="0"/>
                <w:color w:val="000000"/>
                <w:kern w:val="0"/>
              </w:rPr>
              <w:t>客户端采用的安全浏览器、密码模块（二级）、USBKey达到GB/T 37092二级安全要求。</w:t>
            </w:r>
          </w:p>
        </w:tc>
        <w:tc>
          <w:tcPr>
            <w:tcW w:w="868" w:type="pct"/>
            <w:vMerge w:val="restart"/>
            <w:shd w:val="clear" w:color="auto" w:fill="FFFFFF"/>
            <w:noWrap/>
            <w:vAlign w:val="center"/>
          </w:tcPr>
          <w:p w14:paraId="261499F8">
            <w:pPr>
              <w:widowControl/>
              <w:wordWrap w:val="0"/>
              <w:autoSpaceDE w:val="0"/>
              <w:autoSpaceDN w:val="0"/>
              <w:adjustRightInd w:val="0"/>
              <w:snapToGrid w:val="0"/>
              <w:spacing w:line="240" w:lineRule="auto"/>
              <w:ind w:firstLine="0" w:firstLineChars="0"/>
              <w:textAlignment w:val="baseline"/>
              <w:rPr>
                <w:rFonts w:cs="宋体"/>
                <w:i/>
                <w:iCs/>
                <w:snapToGrid w:val="0"/>
                <w:color w:val="FF0000"/>
                <w:kern w:val="0"/>
              </w:rPr>
            </w:pPr>
            <w:r>
              <w:rPr>
                <w:rFonts w:hint="eastAsia" w:cs="宋体"/>
                <w:snapToGrid w:val="0"/>
                <w:color w:val="000000"/>
                <w:kern w:val="0"/>
              </w:rPr>
              <w:t>无</w:t>
            </w:r>
          </w:p>
        </w:tc>
      </w:tr>
      <w:tr w14:paraId="6CC7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A73E93A">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4506436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82BFFC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3225652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51BE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14DB93A">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48E5526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shd w:val="clear" w:color="auto" w:fill="FFFFFF"/>
            <w:noWrap/>
            <w:vAlign w:val="center"/>
          </w:tcPr>
          <w:p w14:paraId="23ED045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服务端相关的密码产品由云平台提供安全保障。</w:t>
            </w:r>
          </w:p>
        </w:tc>
        <w:tc>
          <w:tcPr>
            <w:tcW w:w="868" w:type="pct"/>
            <w:shd w:val="clear" w:color="auto" w:fill="FFFFFF"/>
            <w:noWrap/>
            <w:vAlign w:val="center"/>
          </w:tcPr>
          <w:p w14:paraId="5DBDC7E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5119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314C309">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E50965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6DF8A17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对服务器虚拟机等设备的远程运维管理员身份真实性进行识别和确认，防止假冒人员登录。</w:t>
            </w:r>
          </w:p>
        </w:tc>
        <w:tc>
          <w:tcPr>
            <w:tcW w:w="868" w:type="pct"/>
            <w:vMerge w:val="restart"/>
            <w:shd w:val="clear" w:color="auto" w:fill="FFFFFF"/>
            <w:noWrap/>
            <w:vAlign w:val="center"/>
          </w:tcPr>
          <w:p w14:paraId="23E96C1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2741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FA6C413">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C05352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3DC184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213AC87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8DE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4DF43DF">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1F9D07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03D6CA5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192972A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592B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restart"/>
            <w:shd w:val="clear" w:color="auto" w:fill="FFFFFF"/>
            <w:noWrap/>
            <w:vAlign w:val="center"/>
          </w:tcPr>
          <w:p w14:paraId="79BEC6E9">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设备和计算安全</w:t>
            </w:r>
          </w:p>
        </w:tc>
        <w:tc>
          <w:tcPr>
            <w:tcW w:w="1295" w:type="pct"/>
            <w:vMerge w:val="restart"/>
            <w:shd w:val="clear" w:color="auto" w:fill="FFFFFF"/>
            <w:noWrap/>
            <w:vAlign w:val="center"/>
          </w:tcPr>
          <w:p w14:paraId="08A16F1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vMerge w:val="restart"/>
            <w:shd w:val="clear" w:color="auto" w:fill="FFFFFF"/>
            <w:noWrap/>
            <w:vAlign w:val="center"/>
          </w:tcPr>
          <w:p w14:paraId="6FA1DCC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对服务器虚拟机等设备的远程运维管理通道进行保护，防止鉴别信息泄漏。</w:t>
            </w:r>
          </w:p>
        </w:tc>
        <w:tc>
          <w:tcPr>
            <w:tcW w:w="868" w:type="pct"/>
            <w:vMerge w:val="restart"/>
            <w:shd w:val="clear" w:color="auto" w:fill="FFFFFF"/>
            <w:noWrap/>
            <w:vAlign w:val="center"/>
          </w:tcPr>
          <w:p w14:paraId="0DEDB3C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4B96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C36014C">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654D9F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70FB2AA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66BC05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43B5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3AF56D6">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9B2F73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8D87E3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5151781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456D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4C0373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099605B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远程管理通道安全</w:t>
            </w:r>
          </w:p>
        </w:tc>
        <w:tc>
          <w:tcPr>
            <w:tcW w:w="2472" w:type="pct"/>
            <w:vMerge w:val="restart"/>
            <w:shd w:val="clear" w:color="auto" w:fill="FFFFFF"/>
            <w:noWrap/>
            <w:vAlign w:val="center"/>
          </w:tcPr>
          <w:p w14:paraId="103DA30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保护服务器虚拟机、数据库等设备访问控制信息的完整性，防止被非授权篡改。</w:t>
            </w:r>
          </w:p>
        </w:tc>
        <w:tc>
          <w:tcPr>
            <w:tcW w:w="868" w:type="pct"/>
            <w:vMerge w:val="restart"/>
            <w:shd w:val="clear" w:color="auto" w:fill="FFFFFF"/>
            <w:noWrap/>
            <w:vAlign w:val="center"/>
          </w:tcPr>
          <w:p w14:paraId="605088B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59E0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FF6B4E7">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B49B99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E60574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70F7339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1BB1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FCB49D6">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7BB8D85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系统资源访问控制信息完整性</w:t>
            </w:r>
          </w:p>
        </w:tc>
        <w:tc>
          <w:tcPr>
            <w:tcW w:w="2472" w:type="pct"/>
            <w:vMerge w:val="restart"/>
            <w:shd w:val="clear" w:color="auto" w:fill="FFFFFF"/>
            <w:noWrap/>
            <w:vAlign w:val="center"/>
          </w:tcPr>
          <w:p w14:paraId="429C42A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不适用。</w:t>
            </w:r>
          </w:p>
        </w:tc>
        <w:tc>
          <w:tcPr>
            <w:tcW w:w="868" w:type="pct"/>
            <w:vMerge w:val="restart"/>
            <w:shd w:val="clear" w:color="auto" w:fill="FFFFFF"/>
            <w:noWrap/>
            <w:vAlign w:val="center"/>
          </w:tcPr>
          <w:p w14:paraId="1A90A78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设备没有安全标记。</w:t>
            </w:r>
          </w:p>
        </w:tc>
      </w:tr>
      <w:tr w14:paraId="444E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59B1AA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D154AE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DF7211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1922DC7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1ADB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E2AB43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71F1C18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重要信息资源安全标记完整性</w:t>
            </w:r>
          </w:p>
        </w:tc>
        <w:tc>
          <w:tcPr>
            <w:tcW w:w="2472" w:type="pct"/>
            <w:vMerge w:val="restart"/>
            <w:shd w:val="clear" w:color="auto" w:fill="FFFFFF"/>
            <w:noWrap/>
            <w:vAlign w:val="center"/>
          </w:tcPr>
          <w:p w14:paraId="6FA1661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保护服务器虚拟机、数据库等设备中日志记录的完整性，防止被非授权篡改。</w:t>
            </w:r>
          </w:p>
        </w:tc>
        <w:tc>
          <w:tcPr>
            <w:tcW w:w="868" w:type="pct"/>
            <w:vMerge w:val="restart"/>
            <w:shd w:val="clear" w:color="auto" w:fill="FFFFFF"/>
            <w:noWrap/>
            <w:vAlign w:val="center"/>
          </w:tcPr>
          <w:p w14:paraId="7C769C2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414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A31AAF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B8418D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7B7E0D6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23E34ED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38B6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2F2712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191FD8B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日志记录完整性</w:t>
            </w:r>
          </w:p>
        </w:tc>
        <w:tc>
          <w:tcPr>
            <w:tcW w:w="2472" w:type="pct"/>
            <w:vMerge w:val="restart"/>
            <w:shd w:val="clear" w:color="auto" w:fill="FFFFFF"/>
            <w:noWrap/>
            <w:vAlign w:val="center"/>
          </w:tcPr>
          <w:p w14:paraId="612C6EB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保护应用服务器虚拟机等设备中重要可执行程序的完整性和来源真实性，防止被非授权篡改。</w:t>
            </w:r>
          </w:p>
        </w:tc>
        <w:tc>
          <w:tcPr>
            <w:tcW w:w="868" w:type="pct"/>
            <w:vMerge w:val="restart"/>
            <w:shd w:val="clear" w:color="auto" w:fill="FFFFFF"/>
            <w:noWrap/>
            <w:vAlign w:val="center"/>
          </w:tcPr>
          <w:p w14:paraId="17FBA1D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0235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E5857A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4A9A92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BC706D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3CE3206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2E0D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DE2E2CD">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0ADC1F5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重要可执行程序完整性、来源真实性</w:t>
            </w:r>
          </w:p>
        </w:tc>
        <w:tc>
          <w:tcPr>
            <w:tcW w:w="2472" w:type="pct"/>
            <w:vMerge w:val="restart"/>
            <w:shd w:val="clear" w:color="auto" w:fill="FFFFFF"/>
            <w:noWrap/>
            <w:vAlign w:val="center"/>
          </w:tcPr>
          <w:p w14:paraId="2721F85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采用的云密码服务由云平台提供。</w:t>
            </w:r>
          </w:p>
        </w:tc>
        <w:tc>
          <w:tcPr>
            <w:tcW w:w="868" w:type="pct"/>
            <w:vMerge w:val="restart"/>
            <w:shd w:val="clear" w:color="auto" w:fill="FFFFFF"/>
            <w:noWrap/>
            <w:vAlign w:val="center"/>
          </w:tcPr>
          <w:p w14:paraId="5373D54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云平台通过密评，已被完全评估。</w:t>
            </w:r>
          </w:p>
        </w:tc>
      </w:tr>
      <w:tr w14:paraId="6D4E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27284F8">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68034A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285A77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70D6068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4767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217C03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2CC85B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81E5EA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478A2F7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459E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BDAB36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4BC1C57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vMerge w:val="restart"/>
            <w:shd w:val="clear" w:color="auto" w:fill="FFFFFF"/>
            <w:noWrap/>
            <w:vAlign w:val="center"/>
          </w:tcPr>
          <w:p w14:paraId="13E4BB1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采用的密码产品应达到GB/T 37092二级及以上安全要求。</w:t>
            </w:r>
          </w:p>
        </w:tc>
        <w:tc>
          <w:tcPr>
            <w:tcW w:w="868" w:type="pct"/>
            <w:vMerge w:val="restart"/>
            <w:shd w:val="clear" w:color="auto" w:fill="FFFFFF"/>
            <w:noWrap/>
            <w:vAlign w:val="center"/>
          </w:tcPr>
          <w:p w14:paraId="7AB6FE3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4474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51FD007">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7EC737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79EA20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C7E16D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496A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EA5E6A9">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5AC363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100117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2D79C2F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2617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1753BA6">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4B33641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shd w:val="clear" w:color="auto" w:fill="FFFFFF"/>
            <w:noWrap/>
            <w:vAlign w:val="center"/>
          </w:tcPr>
          <w:p w14:paraId="7EAFE818">
            <w:pPr>
              <w:widowControl/>
              <w:wordWrap w:val="0"/>
              <w:autoSpaceDE w:val="0"/>
              <w:autoSpaceDN w:val="0"/>
              <w:adjustRightInd w:val="0"/>
              <w:snapToGrid w:val="0"/>
              <w:spacing w:line="240" w:lineRule="auto"/>
              <w:ind w:firstLine="0" w:firstLineChars="0"/>
              <w:textAlignment w:val="center"/>
              <w:rPr>
                <w:rFonts w:cs="宋体"/>
                <w:snapToGrid w:val="0"/>
                <w:color w:val="000000"/>
                <w:kern w:val="0"/>
                <w:highlight w:val="yellow"/>
              </w:rPr>
            </w:pPr>
            <w:r>
              <w:rPr>
                <w:rFonts w:hint="eastAsia" w:cs="宋体"/>
                <w:snapToGrid w:val="0"/>
                <w:color w:val="000000"/>
                <w:kern w:val="0"/>
              </w:rPr>
              <w:t>服务端相关的密码产品由云平台提供安全保障。</w:t>
            </w:r>
          </w:p>
        </w:tc>
        <w:tc>
          <w:tcPr>
            <w:tcW w:w="868" w:type="pct"/>
            <w:shd w:val="clear" w:color="auto" w:fill="FFFFFF"/>
            <w:noWrap/>
            <w:vAlign w:val="center"/>
          </w:tcPr>
          <w:p w14:paraId="71979AA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403D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374EE8C">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C41E40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2472" w:type="pct"/>
            <w:vMerge w:val="restart"/>
            <w:shd w:val="clear" w:color="auto" w:fill="FFFFFF"/>
            <w:noWrap/>
            <w:vAlign w:val="center"/>
          </w:tcPr>
          <w:p w14:paraId="369F0FD0">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r>
              <w:rPr>
                <w:rFonts w:hint="eastAsia" w:cs="宋体"/>
                <w:snapToGrid w:val="0"/>
                <w:kern w:val="0"/>
              </w:rPr>
              <w:t>确认用户的身份真实性，防止假冒人员登录。</w:t>
            </w:r>
          </w:p>
        </w:tc>
        <w:tc>
          <w:tcPr>
            <w:tcW w:w="868" w:type="pct"/>
            <w:vMerge w:val="restart"/>
            <w:shd w:val="clear" w:color="auto" w:fill="FFFFFF"/>
            <w:noWrap/>
            <w:vAlign w:val="center"/>
          </w:tcPr>
          <w:p w14:paraId="0D3AC2BC">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r>
              <w:rPr>
                <w:rFonts w:hint="eastAsia" w:cs="宋体"/>
                <w:snapToGrid w:val="0"/>
                <w:color w:val="000000"/>
                <w:kern w:val="0"/>
              </w:rPr>
              <w:t>无</w:t>
            </w:r>
          </w:p>
        </w:tc>
      </w:tr>
      <w:tr w14:paraId="43AD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restart"/>
            <w:shd w:val="clear" w:color="auto" w:fill="FFFFFF"/>
            <w:noWrap/>
            <w:vAlign w:val="center"/>
          </w:tcPr>
          <w:p w14:paraId="3DEBB871">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应用和数据安全</w:t>
            </w:r>
          </w:p>
        </w:tc>
        <w:tc>
          <w:tcPr>
            <w:tcW w:w="1295" w:type="pct"/>
            <w:vMerge w:val="restart"/>
            <w:shd w:val="clear" w:color="auto" w:fill="FFFFFF"/>
            <w:noWrap/>
            <w:vAlign w:val="center"/>
          </w:tcPr>
          <w:p w14:paraId="68CA62C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vMerge w:val="restart"/>
            <w:shd w:val="clear" w:color="auto" w:fill="FFFFFF"/>
            <w:noWrap/>
            <w:vAlign w:val="center"/>
          </w:tcPr>
          <w:p w14:paraId="6A543DA7">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kern w:val="0"/>
              </w:rPr>
              <w:t>对应用系统的访问权限控制列表进行完整性保护，防止被非授权篡改。</w:t>
            </w:r>
          </w:p>
        </w:tc>
        <w:tc>
          <w:tcPr>
            <w:tcW w:w="868" w:type="pct"/>
            <w:vMerge w:val="restart"/>
            <w:shd w:val="clear" w:color="auto" w:fill="FFFFFF"/>
            <w:noWrap/>
            <w:vAlign w:val="center"/>
          </w:tcPr>
          <w:p w14:paraId="03308B4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4516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CCE410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56307F4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0C1B6BF3">
            <w:pPr>
              <w:widowControl/>
              <w:wordWrap w:val="0"/>
              <w:autoSpaceDE w:val="0"/>
              <w:autoSpaceDN w:val="0"/>
              <w:adjustRightInd w:val="0"/>
              <w:snapToGrid w:val="0"/>
              <w:spacing w:line="240" w:lineRule="auto"/>
              <w:ind w:firstLine="0" w:firstLineChars="0"/>
              <w:textAlignment w:val="center"/>
              <w:rPr>
                <w:rFonts w:cs="宋体"/>
                <w:snapToGrid w:val="0"/>
                <w:kern w:val="0"/>
              </w:rPr>
            </w:pPr>
          </w:p>
        </w:tc>
        <w:tc>
          <w:tcPr>
            <w:tcW w:w="868" w:type="pct"/>
            <w:vMerge w:val="continue"/>
            <w:shd w:val="clear" w:color="auto" w:fill="FFFFFF"/>
            <w:noWrap/>
            <w:vAlign w:val="center"/>
          </w:tcPr>
          <w:p w14:paraId="0F9391D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4B5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66A9CB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011352D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访问控制信息完整性</w:t>
            </w:r>
          </w:p>
        </w:tc>
        <w:tc>
          <w:tcPr>
            <w:tcW w:w="2472" w:type="pct"/>
            <w:vMerge w:val="restart"/>
            <w:shd w:val="clear" w:color="auto" w:fill="FFFFFF"/>
            <w:noWrap/>
            <w:vAlign w:val="center"/>
          </w:tcPr>
          <w:p w14:paraId="40A5E321">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kern w:val="0"/>
              </w:rPr>
              <w:t>不适用。</w:t>
            </w:r>
          </w:p>
        </w:tc>
        <w:tc>
          <w:tcPr>
            <w:tcW w:w="868" w:type="pct"/>
            <w:vMerge w:val="restart"/>
            <w:shd w:val="clear" w:color="auto" w:fill="FFFFFF"/>
            <w:noWrap/>
            <w:vAlign w:val="center"/>
          </w:tcPr>
          <w:p w14:paraId="5C66E4E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应用没有安全标记。</w:t>
            </w:r>
          </w:p>
        </w:tc>
      </w:tr>
      <w:tr w14:paraId="74A6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9F841C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7E7D745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8654104">
            <w:pPr>
              <w:widowControl/>
              <w:wordWrap w:val="0"/>
              <w:autoSpaceDE w:val="0"/>
              <w:autoSpaceDN w:val="0"/>
              <w:adjustRightInd w:val="0"/>
              <w:snapToGrid w:val="0"/>
              <w:spacing w:line="240" w:lineRule="auto"/>
              <w:ind w:firstLine="0" w:firstLineChars="0"/>
              <w:textAlignment w:val="center"/>
              <w:rPr>
                <w:rFonts w:cs="宋体"/>
                <w:snapToGrid w:val="0"/>
                <w:kern w:val="0"/>
              </w:rPr>
            </w:pPr>
          </w:p>
        </w:tc>
        <w:tc>
          <w:tcPr>
            <w:tcW w:w="868" w:type="pct"/>
            <w:vMerge w:val="continue"/>
            <w:shd w:val="clear" w:color="auto" w:fill="FFFFFF"/>
            <w:noWrap/>
            <w:vAlign w:val="center"/>
          </w:tcPr>
          <w:p w14:paraId="31B3792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7628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306A5E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2A6CB26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重要信息资源安全标记完整性</w:t>
            </w:r>
          </w:p>
        </w:tc>
        <w:tc>
          <w:tcPr>
            <w:tcW w:w="2472" w:type="pct"/>
            <w:vMerge w:val="restart"/>
            <w:shd w:val="clear" w:color="auto" w:fill="FFFFFF"/>
            <w:noWrap/>
            <w:vAlign w:val="center"/>
          </w:tcPr>
          <w:p w14:paraId="18A7B650">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kern w:val="0"/>
              </w:rPr>
              <w:t>保护各端之间传输和存储的用户身份鉴别信息等重要数据的机密性和完整性，防止数据泄露给非授权的个人、进程等。保护系统业务日志数据的完整性，防止该数据被非授权篡改。</w:t>
            </w:r>
          </w:p>
        </w:tc>
        <w:tc>
          <w:tcPr>
            <w:tcW w:w="868" w:type="pct"/>
            <w:vMerge w:val="restart"/>
            <w:shd w:val="clear" w:color="auto" w:fill="FFFFFF"/>
            <w:noWrap/>
            <w:vAlign w:val="center"/>
          </w:tcPr>
          <w:p w14:paraId="18597F1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5E01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0ADFDD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FC7E96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29744090">
            <w:pPr>
              <w:widowControl/>
              <w:wordWrap w:val="0"/>
              <w:autoSpaceDE w:val="0"/>
              <w:autoSpaceDN w:val="0"/>
              <w:adjustRightInd w:val="0"/>
              <w:snapToGrid w:val="0"/>
              <w:spacing w:line="240" w:lineRule="auto"/>
              <w:ind w:firstLine="0" w:firstLineChars="0"/>
              <w:textAlignment w:val="center"/>
              <w:rPr>
                <w:rFonts w:cs="宋体"/>
                <w:snapToGrid w:val="0"/>
                <w:kern w:val="0"/>
              </w:rPr>
            </w:pPr>
          </w:p>
        </w:tc>
        <w:tc>
          <w:tcPr>
            <w:tcW w:w="868" w:type="pct"/>
            <w:vMerge w:val="continue"/>
            <w:shd w:val="clear" w:color="auto" w:fill="FFFFFF"/>
            <w:noWrap/>
            <w:vAlign w:val="center"/>
          </w:tcPr>
          <w:p w14:paraId="5D27174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0B78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64" w:type="pct"/>
            <w:vMerge w:val="continue"/>
            <w:shd w:val="clear" w:color="auto" w:fill="FFFFFF"/>
            <w:noWrap/>
            <w:vAlign w:val="center"/>
          </w:tcPr>
          <w:p w14:paraId="4C75EDE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0B261A7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数据传输机密性</w:t>
            </w:r>
          </w:p>
        </w:tc>
        <w:tc>
          <w:tcPr>
            <w:tcW w:w="2472" w:type="pct"/>
            <w:vMerge w:val="restart"/>
            <w:shd w:val="clear" w:color="auto" w:fill="FFFFFF"/>
            <w:noWrap/>
            <w:vAlign w:val="center"/>
          </w:tcPr>
          <w:p w14:paraId="54A13741">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color w:val="000000"/>
                <w:kern w:val="0"/>
              </w:rPr>
              <w:t>不适用</w:t>
            </w:r>
          </w:p>
        </w:tc>
        <w:tc>
          <w:tcPr>
            <w:tcW w:w="868" w:type="pct"/>
            <w:vMerge w:val="restart"/>
            <w:shd w:val="clear" w:color="auto" w:fill="FFFFFF"/>
            <w:noWrap/>
            <w:vAlign w:val="center"/>
          </w:tcPr>
          <w:p w14:paraId="67B915A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7ED0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4" w:type="pct"/>
            <w:vMerge w:val="continue"/>
            <w:shd w:val="clear" w:color="auto" w:fill="FFFFFF"/>
            <w:noWrap/>
            <w:vAlign w:val="center"/>
          </w:tcPr>
          <w:p w14:paraId="0B9677D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5190C85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数据存储机密性</w:t>
            </w:r>
          </w:p>
        </w:tc>
        <w:tc>
          <w:tcPr>
            <w:tcW w:w="2472" w:type="pct"/>
            <w:vMerge w:val="continue"/>
            <w:shd w:val="clear" w:color="auto" w:fill="FFFFFF"/>
            <w:noWrap/>
            <w:vAlign w:val="center"/>
          </w:tcPr>
          <w:p w14:paraId="6F3EDA5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3F1895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5420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64" w:type="pct"/>
            <w:vMerge w:val="continue"/>
            <w:shd w:val="clear" w:color="auto" w:fill="FFFFFF"/>
            <w:noWrap/>
            <w:vAlign w:val="center"/>
          </w:tcPr>
          <w:p w14:paraId="38BFB5B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0E31456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数据传输完整性</w:t>
            </w:r>
          </w:p>
        </w:tc>
        <w:tc>
          <w:tcPr>
            <w:tcW w:w="2472" w:type="pct"/>
            <w:vMerge w:val="continue"/>
            <w:shd w:val="clear" w:color="auto" w:fill="FFFFFF"/>
            <w:noWrap/>
            <w:vAlign w:val="center"/>
          </w:tcPr>
          <w:p w14:paraId="428F5EF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6746D17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0E55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64" w:type="pct"/>
            <w:vMerge w:val="continue"/>
            <w:shd w:val="clear" w:color="auto" w:fill="FFFFFF"/>
            <w:noWrap/>
            <w:vAlign w:val="center"/>
          </w:tcPr>
          <w:p w14:paraId="6DA4061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497661B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数据存储完整性</w:t>
            </w:r>
          </w:p>
        </w:tc>
        <w:tc>
          <w:tcPr>
            <w:tcW w:w="2472" w:type="pct"/>
            <w:vMerge w:val="continue"/>
            <w:shd w:val="clear" w:color="auto" w:fill="FFFFFF"/>
            <w:noWrap/>
            <w:vAlign w:val="center"/>
          </w:tcPr>
          <w:p w14:paraId="549FCF6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417CD4C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370F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FBF6CB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0D74402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不可否认性</w:t>
            </w:r>
          </w:p>
        </w:tc>
        <w:tc>
          <w:tcPr>
            <w:tcW w:w="2472" w:type="pct"/>
            <w:vMerge w:val="restart"/>
            <w:shd w:val="clear" w:color="auto" w:fill="FFFFFF"/>
            <w:noWrap/>
            <w:vAlign w:val="center"/>
          </w:tcPr>
          <w:p w14:paraId="7FF512A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采用的数字证书由具备资质的电子认证服务机构签发。</w:t>
            </w:r>
          </w:p>
        </w:tc>
        <w:tc>
          <w:tcPr>
            <w:tcW w:w="868" w:type="pct"/>
            <w:vMerge w:val="restart"/>
            <w:shd w:val="clear" w:color="auto" w:fill="FFFFFF"/>
            <w:noWrap/>
            <w:vAlign w:val="center"/>
          </w:tcPr>
          <w:p w14:paraId="2CD4867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2C85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94EBAF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6DCE0E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77A256F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5E32A4B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1E19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90B31D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19CF10A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2DBD83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05C030F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3CC5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DBE63E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36E9F0D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vMerge w:val="restart"/>
            <w:shd w:val="clear" w:color="auto" w:fill="FFFFFF"/>
            <w:noWrap/>
            <w:vAlign w:val="center"/>
          </w:tcPr>
          <w:p w14:paraId="4361ECB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采用的云密码服务由云平台提供。</w:t>
            </w:r>
          </w:p>
        </w:tc>
        <w:tc>
          <w:tcPr>
            <w:tcW w:w="868" w:type="pct"/>
            <w:vMerge w:val="restart"/>
            <w:shd w:val="clear" w:color="auto" w:fill="FFFFFF"/>
            <w:noWrap/>
            <w:vAlign w:val="center"/>
          </w:tcPr>
          <w:p w14:paraId="0771E68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云平台通过密评，已被完全评估。</w:t>
            </w:r>
          </w:p>
        </w:tc>
      </w:tr>
      <w:tr w14:paraId="5F6A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CBCF83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399010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2EFF69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67BE4BC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47C0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6B561D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1271AF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7E1652E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采用的密码产品应达到GB/T 37092二级及以上安全要求。</w:t>
            </w:r>
          </w:p>
        </w:tc>
        <w:tc>
          <w:tcPr>
            <w:tcW w:w="868" w:type="pct"/>
            <w:vMerge w:val="restart"/>
            <w:shd w:val="clear" w:color="auto" w:fill="FFFFFF"/>
            <w:noWrap/>
            <w:vAlign w:val="center"/>
          </w:tcPr>
          <w:p w14:paraId="2E1E870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5BB6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F2AD12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5FD1005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77DE5D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3265449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0059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5B3E6C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8C4B37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0398636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475642C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08E6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3667F1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1AF3FF7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shd w:val="clear" w:color="auto" w:fill="FFFFFF"/>
            <w:noWrap/>
            <w:vAlign w:val="center"/>
          </w:tcPr>
          <w:p w14:paraId="0EA26AB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服务端相关的密码产品由云平台提供安全保障。</w:t>
            </w:r>
          </w:p>
        </w:tc>
        <w:tc>
          <w:tcPr>
            <w:tcW w:w="868" w:type="pct"/>
            <w:shd w:val="clear" w:color="auto" w:fill="FFFFFF"/>
            <w:noWrap/>
            <w:vAlign w:val="center"/>
          </w:tcPr>
          <w:p w14:paraId="464866A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2FC8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DEA8F5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6F4CC0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2472" w:type="pct"/>
            <w:shd w:val="clear" w:color="auto" w:fill="FFFFFF"/>
            <w:noWrap/>
            <w:vAlign w:val="center"/>
          </w:tcPr>
          <w:p w14:paraId="1D1A1CF9">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p>
        </w:tc>
        <w:tc>
          <w:tcPr>
            <w:tcW w:w="868" w:type="pct"/>
            <w:shd w:val="clear" w:color="auto" w:fill="FFFFFF"/>
            <w:noWrap/>
            <w:vAlign w:val="center"/>
          </w:tcPr>
          <w:p w14:paraId="7987ECDE">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p>
        </w:tc>
      </w:tr>
    </w:tbl>
    <w:p w14:paraId="57568A23"/>
    <w:p w14:paraId="2A115647">
      <w:r>
        <w:rPr>
          <w:rFonts w:hint="eastAsia"/>
        </w:rPr>
        <w:t>本项目验收前应通过密码应用测评，报告关键要素应符合上海市大数据中心相关要求。</w:t>
      </w:r>
    </w:p>
    <w:p w14:paraId="1325A7A0">
      <w:pPr>
        <w:pStyle w:val="3"/>
      </w:pPr>
      <w:bookmarkStart w:id="34" w:name="_Toc63785512"/>
      <w:r>
        <w:rPr>
          <w:rFonts w:hint="eastAsia"/>
        </w:rPr>
        <w:t>技术文件要求</w:t>
      </w:r>
    </w:p>
    <w:p w14:paraId="38B464E5">
      <w:r>
        <w:rPr>
          <w:rFonts w:hint="eastAsia"/>
        </w:rPr>
        <w:t>投标人提供的书面技术资料应能确保系统正常运行所需的管理、运营及维护有关的全套文件。技术文件应该全面、完整、详细。投标人提供的技术文件至少应包括：</w:t>
      </w:r>
    </w:p>
    <w:p w14:paraId="0D30B3E0">
      <w:r>
        <w:rPr>
          <w:rFonts w:hint="eastAsia"/>
        </w:rPr>
        <w:t>－</w:t>
      </w:r>
      <w:r>
        <w:t xml:space="preserve"> 系统说明文件； </w:t>
      </w:r>
    </w:p>
    <w:p w14:paraId="6AE4FE44">
      <w:r>
        <w:rPr>
          <w:rFonts w:hint="eastAsia"/>
        </w:rPr>
        <w:t>－</w:t>
      </w:r>
      <w:r>
        <w:t xml:space="preserve"> 技术手册(安装、测试、操作、维护、故障排除等)； </w:t>
      </w:r>
    </w:p>
    <w:p w14:paraId="288BA4D5">
      <w:r>
        <w:rPr>
          <w:rFonts w:hint="eastAsia"/>
        </w:rPr>
        <w:t>－</w:t>
      </w:r>
      <w:r>
        <w:t xml:space="preserve"> 项目文档，应该包括：</w:t>
      </w:r>
    </w:p>
    <w:p w14:paraId="141D7C88">
      <w:pPr>
        <w:ind w:left="360"/>
      </w:pPr>
      <w:r>
        <w:t>(1)软件需求说明书</w:t>
      </w:r>
    </w:p>
    <w:p w14:paraId="77095536">
      <w:pPr>
        <w:ind w:left="360"/>
      </w:pPr>
      <w:r>
        <w:t>(2)</w:t>
      </w:r>
      <w:r>
        <w:tab/>
      </w:r>
      <w:r>
        <w:t>系统总体设计说明书</w:t>
      </w:r>
    </w:p>
    <w:p w14:paraId="3EE2174F">
      <w:pPr>
        <w:ind w:left="360"/>
      </w:pPr>
      <w:r>
        <w:t>(3)</w:t>
      </w:r>
      <w:r>
        <w:tab/>
      </w:r>
      <w:r>
        <w:t>应用软件功能清单</w:t>
      </w:r>
    </w:p>
    <w:p w14:paraId="4ADA5755">
      <w:r>
        <w:rPr>
          <w:rFonts w:hint="eastAsia"/>
        </w:rPr>
        <w:t>提供全套技术文件纸介质</w:t>
      </w:r>
      <w:r>
        <w:t>3套以及电子文件1套。</w:t>
      </w:r>
    </w:p>
    <w:p w14:paraId="1676EC0D">
      <w:pPr>
        <w:pStyle w:val="3"/>
      </w:pPr>
      <w:r>
        <w:rPr>
          <w:rFonts w:hint="eastAsia"/>
        </w:rPr>
        <w:t>数据服务等要求</w:t>
      </w:r>
    </w:p>
    <w:p w14:paraId="17D22AD1">
      <w:r>
        <w:rPr>
          <w:rFonts w:hint="eastAsia"/>
        </w:rPr>
        <w:t>投标人需提供软件配套的数据服务和系统集成服务能力，以满足产品软件和应用软件的部署和应用。数据服务应对上海市监狱管理局历史档案数据进行迁移，并保证迁移后历史数据的完整性和一致性。</w:t>
      </w:r>
    </w:p>
    <w:p w14:paraId="22883AE4"/>
    <w:p w14:paraId="1C748EAF">
      <w:pPr>
        <w:pStyle w:val="2"/>
      </w:pPr>
      <w:r>
        <w:rPr>
          <w:rFonts w:hint="eastAsia"/>
        </w:rPr>
        <w:t>供应商资质要求</w:t>
      </w:r>
    </w:p>
    <w:p w14:paraId="43703F44">
      <w:r>
        <w:t>1、符合《中华人民共和国政府采购法》第二十二条规定的供应商。</w:t>
      </w:r>
    </w:p>
    <w:p w14:paraId="50B1C42D">
      <w:r>
        <w:t>2、根据《上海市政府采购供应商登记及诚信管理办法》已登记入库的供应商。</w:t>
      </w:r>
      <w:bookmarkStart w:id="38" w:name="_GoBack"/>
      <w:bookmarkEnd w:id="38"/>
    </w:p>
    <w:p w14:paraId="3CFD504C">
      <w:r>
        <w:t>3、其他资格要求：</w:t>
      </w:r>
    </w:p>
    <w:p w14:paraId="05F942C8">
      <w:r>
        <w:t>3.</w:t>
      </w:r>
      <w:r>
        <w:rPr>
          <w:rFonts w:hint="eastAsia"/>
        </w:rPr>
        <w:t>1</w:t>
      </w:r>
      <w:r>
        <w:t>本项目面向大、中、小、微型等各类供应商采购。</w:t>
      </w:r>
    </w:p>
    <w:p w14:paraId="2057F77D">
      <w:r>
        <w:t>3.</w:t>
      </w:r>
      <w:r>
        <w:rPr>
          <w:rFonts w:hint="eastAsia"/>
        </w:rPr>
        <w:t>2</w:t>
      </w:r>
      <w:r>
        <w:t>未被列入“信用中国”网站(www.creditchina.gov.cn)失信被执行人名单、重大税收违法案件当事人名单和中国政府采购网(www.ccgp.gov.cn)政府采购严重违法失信行为记录名单。</w:t>
      </w:r>
    </w:p>
    <w:p w14:paraId="1F69B317">
      <w:pPr>
        <w:pStyle w:val="2"/>
      </w:pPr>
      <w:r>
        <w:rPr>
          <w:rFonts w:hint="eastAsia"/>
        </w:rPr>
        <w:t>供应商管理要求</w:t>
      </w:r>
      <w:bookmarkEnd w:id="34"/>
    </w:p>
    <w:p w14:paraId="1C59D0C2">
      <w:r>
        <w:rPr>
          <w:rFonts w:hint="eastAsia"/>
        </w:rPr>
        <w:t>1、在项目实施期间，成交供应商应严格执行国家、地方、行业有关本项目业务管理和安全作业的法律、法规和制度并按规定承担相应的费用。成交供应商因违反规定等原因造成的一切损失和责任由成交供应商自行承担。</w:t>
      </w:r>
    </w:p>
    <w:p w14:paraId="0B1145BC">
      <w:pPr>
        <w:pStyle w:val="81"/>
        <w:ind w:firstLine="480"/>
        <w:rPr>
          <w:sz w:val="24"/>
          <w:szCs w:val="24"/>
        </w:rPr>
      </w:pPr>
      <w:r>
        <w:rPr>
          <w:rFonts w:hint="eastAsia"/>
          <w:sz w:val="24"/>
          <w:szCs w:val="24"/>
        </w:rPr>
        <w:t>2、成交供应商在投标书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成交供应商不得调换或撤离上述人员。如采购人认为有必要，可要求成交供应商对上述人员中的部分人员作出更好的调整。</w:t>
      </w:r>
    </w:p>
    <w:p w14:paraId="27400308">
      <w:pPr>
        <w:pStyle w:val="81"/>
        <w:ind w:firstLine="480"/>
        <w:rPr>
          <w:sz w:val="24"/>
          <w:szCs w:val="24"/>
        </w:rPr>
      </w:pPr>
      <w:r>
        <w:rPr>
          <w:rFonts w:hint="eastAsia"/>
          <w:sz w:val="24"/>
          <w:szCs w:val="24"/>
        </w:rPr>
        <w:t>3、成交供应商在项目实施期间，应按项目实际进度与环节落实所对应项目整体及各环节管理工作，按照规范做好项目实施期间相关管理与实施记录。</w:t>
      </w:r>
    </w:p>
    <w:p w14:paraId="4AA97A72">
      <w:pPr>
        <w:pStyle w:val="81"/>
        <w:ind w:firstLine="480"/>
        <w:rPr>
          <w:sz w:val="24"/>
          <w:szCs w:val="24"/>
        </w:rPr>
      </w:pPr>
      <w:r>
        <w:rPr>
          <w:rFonts w:hint="eastAsia"/>
          <w:sz w:val="24"/>
          <w:szCs w:val="24"/>
        </w:rPr>
        <w:t>4、参与本项目的工作人员应严格遵循采购人的安全制度，保障采购人资料和设备的安全。成交供应商如需进入采购人机房工作，只能在采购人规定的工作区域内对项目涉及的设备进行操作，严禁触动与项目无关的任何设备（包括任何操作行为），如需跨区操作必须得到采购人项目联系人确认。</w:t>
      </w:r>
    </w:p>
    <w:p w14:paraId="6950A69E">
      <w:pPr>
        <w:pStyle w:val="81"/>
        <w:ind w:firstLine="480"/>
        <w:rPr>
          <w:sz w:val="24"/>
          <w:szCs w:val="24"/>
        </w:rPr>
      </w:pPr>
      <w:r>
        <w:rPr>
          <w:rFonts w:hint="eastAsia"/>
          <w:sz w:val="24"/>
          <w:szCs w:val="24"/>
        </w:rPr>
        <w:t>5、成交供应商在项目实施期间必须遵守采购人的规章制度并提供实施人员名单。</w:t>
      </w:r>
    </w:p>
    <w:p w14:paraId="4D700E7C">
      <w:pPr>
        <w:pStyle w:val="81"/>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4C7F2991">
      <w:pPr>
        <w:pStyle w:val="81"/>
        <w:ind w:firstLine="480"/>
        <w:rPr>
          <w:sz w:val="24"/>
          <w:szCs w:val="24"/>
        </w:rPr>
      </w:pPr>
      <w:r>
        <w:rPr>
          <w:rFonts w:hint="eastAsia"/>
          <w:sz w:val="24"/>
          <w:szCs w:val="24"/>
        </w:rPr>
        <w:t>7、本项目软件开发及调试将纳入采购人的管理范围，成交供应商在此过程中须服从上述单位的管理协调。</w:t>
      </w:r>
    </w:p>
    <w:p w14:paraId="6120A6B5">
      <w:pPr>
        <w:pStyle w:val="2"/>
        <w:rPr>
          <w:rFonts w:hint="eastAsia"/>
          <w:sz w:val="32"/>
          <w:szCs w:val="28"/>
        </w:rPr>
      </w:pPr>
      <w:r>
        <w:rPr>
          <w:rFonts w:hint="eastAsia"/>
          <w:b/>
          <w:bCs/>
          <w:sz w:val="32"/>
          <w:szCs w:val="28"/>
        </w:rPr>
        <w:t>企业综合实力</w:t>
      </w:r>
    </w:p>
    <w:p w14:paraId="08EA45DA">
      <w:pPr>
        <w:pStyle w:val="81"/>
        <w:ind w:firstLine="480"/>
        <w:rPr>
          <w:sz w:val="24"/>
          <w:szCs w:val="24"/>
        </w:rPr>
      </w:pPr>
      <w:r>
        <w:rPr>
          <w:rFonts w:hint="eastAsia"/>
          <w:sz w:val="24"/>
          <w:szCs w:val="24"/>
        </w:rPr>
        <w:t>投标人具备ISO9001质量管理体系认证证书、ISO27001信息安全管理体系认证证书、ISO20000信息技术服务管理体系认证证书，ITSS（信息技术服务标准）认证证书，CS信息系统建设和服务能力等级证书，CCRC 信息安全服务资质认证证书（限于信息系统安全集成及信息系统安全运维类）的优先考虑。</w:t>
      </w:r>
    </w:p>
    <w:p w14:paraId="27D7D34D">
      <w:pPr>
        <w:pStyle w:val="2"/>
      </w:pPr>
      <w:bookmarkStart w:id="35" w:name="_Toc63785513"/>
      <w:r>
        <w:rPr>
          <w:rFonts w:hint="eastAsia"/>
        </w:rPr>
        <w:t>关于转让和分包的规定</w:t>
      </w:r>
    </w:p>
    <w:p w14:paraId="3579437B">
      <w:r>
        <w:rPr>
          <w:rFonts w:hint="eastAsia"/>
        </w:rPr>
        <w:t>本项目不得转让、不得分包。</w:t>
      </w:r>
    </w:p>
    <w:p w14:paraId="687F36D8">
      <w:pPr>
        <w:pStyle w:val="2"/>
      </w:pPr>
      <w:r>
        <w:rPr>
          <w:rFonts w:hint="eastAsia"/>
        </w:rPr>
        <w:t>知识产权及保密要求</w:t>
      </w:r>
      <w:bookmarkEnd w:id="35"/>
    </w:p>
    <w:p w14:paraId="1293C641">
      <w:pPr>
        <w:ind w:firstLine="482"/>
        <w:rPr>
          <w:b/>
        </w:rPr>
      </w:pPr>
      <w:r>
        <w:rPr>
          <w:b/>
        </w:rPr>
        <w:t>1、</w:t>
      </w:r>
      <w:r>
        <w:rPr>
          <w:rFonts w:hint="eastAsia"/>
          <w:b/>
        </w:rPr>
        <w:t>成交供应商</w:t>
      </w:r>
      <w:r>
        <w:rPr>
          <w:b/>
        </w:rPr>
        <w:t>数据、文件、资料知识产权</w:t>
      </w:r>
    </w:p>
    <w:p w14:paraId="5BD2B327">
      <w:r>
        <w:rPr>
          <w:rFonts w:hint="eastAsia"/>
        </w:rPr>
        <w:t>成交供应商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成交供应商应负责与第三方解决纠纷，若因此导致采购人损失的，采购人有权要求成交供应商赔偿采购人因此遭受的全部损失，包括但不限于直接损失、间接损失、诉讼费／仲裁费、律师费、公证费、鉴定费等。</w:t>
      </w:r>
    </w:p>
    <w:p w14:paraId="154FA7BC">
      <w:r>
        <w:rPr>
          <w:rFonts w:hint="eastAsia"/>
        </w:rPr>
        <w:t>成交供应商因履行本项目而产生的所有成果的知识产权等权利均归采购人所有，成交供应商应配合采购人进行相关权利登记或申请。未经采购人书面同意，成交供应商不得以任何形式使用或许可他人使用本项目成果的相关内容，不得擅自对外公开发表或向任何第三方透露。</w:t>
      </w:r>
    </w:p>
    <w:p w14:paraId="3E68F5DF">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7B93215">
      <w:pPr>
        <w:ind w:firstLine="482"/>
        <w:rPr>
          <w:b/>
        </w:rPr>
      </w:pPr>
      <w:r>
        <w:rPr>
          <w:b/>
        </w:rPr>
        <w:t>2、项目保密要求</w:t>
      </w:r>
    </w:p>
    <w:p w14:paraId="278C4819">
      <w:r>
        <w:rPr>
          <w:rFonts w:hint="eastAsia"/>
        </w:rPr>
        <w:t>成交供应商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成交供应商不得对外泄露采购人要求保密的信息，不得用于其他用途，否则成交供应商需承担由此引起的法律责任和经济责任，包括但不限于直接损失、间接损失、律师费、诉讼费/仲裁费、调查费、公证费等。</w:t>
      </w:r>
    </w:p>
    <w:p w14:paraId="271AF067">
      <w:r>
        <w:rPr>
          <w:rFonts w:hint="eastAsia"/>
        </w:rPr>
        <w:t>成交供应商应采取必要的有效措施保证其参与本项目的人员（包括成交供应商聘用的人员、借调的人员、实习的人员）无论是在职或离职后，以及成交供应商的合作方无论是合作中或合作终止后，都能够履行本项目约定的保密义务。若成交供应商人员或成交供应商合作方违反保密规定，成交供应商应承担连带责任。</w:t>
      </w:r>
    </w:p>
    <w:p w14:paraId="03E87E1B">
      <w:r>
        <w:rPr>
          <w:rFonts w:hint="eastAsia"/>
        </w:rPr>
        <w:t>成交供应商（含成交供应商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36B2A046">
      <w:r>
        <w:rPr>
          <w:rFonts w:hint="eastAsia"/>
        </w:rPr>
        <w:t>以上内容的保密期限自成交供应商知悉保密信息起始至保密信息被合法公开之日止。</w:t>
      </w:r>
    </w:p>
    <w:p w14:paraId="330AD73C">
      <w:pPr>
        <w:ind w:firstLine="482"/>
        <w:rPr>
          <w:b/>
        </w:rPr>
      </w:pPr>
      <w:r>
        <w:rPr>
          <w:b/>
        </w:rPr>
        <w:t>3、临时账号等使用要求</w:t>
      </w:r>
    </w:p>
    <w:p w14:paraId="02124E97">
      <w:r>
        <w:rPr>
          <w:rFonts w:hint="eastAsia"/>
        </w:rPr>
        <w:t>成交供应商对采购人提拱的临时使用账号要保密，不得公开，对组件开发的账号密码需进行加密，避免信息安全的泄露。未经采购人的同意不得利用采购人的网络及平台进行短信、彩信、微信发送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rPr>
        <w:t>成交供应商</w:t>
      </w:r>
      <w:r>
        <w:t>负责。</w:t>
      </w:r>
    </w:p>
    <w:p w14:paraId="6086FA9E">
      <w:pPr>
        <w:pStyle w:val="2"/>
      </w:pPr>
      <w:bookmarkStart w:id="36" w:name="_Toc65170093"/>
      <w:r>
        <w:t>项目的变更、解除和终止</w:t>
      </w:r>
    </w:p>
    <w:p w14:paraId="5D04F38D">
      <w:r>
        <w:rPr>
          <w:rFonts w:hint="eastAsia"/>
        </w:rPr>
        <w:t>如果成交供应商丧失履约能力、发生资不抵债或进入破产程序，采购人可在任何时候以书面形式通知成交供应商终止本项目的执行而不给予成交供应商补偿。该终止本项目将不损害或影响采购人已经采取或将要采取任何行动或补救措施的权利。</w:t>
      </w:r>
    </w:p>
    <w:p w14:paraId="0B0A6E38">
      <w:r>
        <w:rPr>
          <w:rFonts w:hint="eastAsia"/>
        </w:rPr>
        <w:t>如遇国家、行业管理部门等机构的有关标准和规定调整的，导致本项目内容须做相应调整时，双方应按照公平、合理的原则共同协商修改本项目对应的合同的相关条款。</w:t>
      </w:r>
    </w:p>
    <w:bookmarkEnd w:id="36"/>
    <w:p w14:paraId="2BEF966E">
      <w:pPr>
        <w:pStyle w:val="2"/>
      </w:pPr>
      <w:bookmarkStart w:id="37" w:name="_Toc63785514"/>
      <w:r>
        <w:rPr>
          <w:rFonts w:hint="eastAsia"/>
        </w:rPr>
        <w:t>付款</w:t>
      </w:r>
      <w:bookmarkEnd w:id="37"/>
      <w:r>
        <w:rPr>
          <w:rFonts w:hint="eastAsia"/>
        </w:rPr>
        <w:t>方式</w:t>
      </w:r>
    </w:p>
    <w:p w14:paraId="33020C6F">
      <w:pPr>
        <w:pStyle w:val="134"/>
        <w:spacing w:line="600" w:lineRule="exact"/>
        <w:ind w:firstLine="480"/>
        <w:rPr>
          <w:rFonts w:ascii="宋体" w:hAnsi="宋体"/>
          <w:sz w:val="24"/>
          <w:szCs w:val="24"/>
        </w:rPr>
      </w:pPr>
      <w:r>
        <w:rPr>
          <w:rFonts w:hint="eastAsia" w:ascii="宋体" w:hAnsi="宋体"/>
          <w:sz w:val="24"/>
          <w:szCs w:val="24"/>
        </w:rPr>
        <w:t>本项目拟采用二期分期付款方式付款</w:t>
      </w:r>
    </w:p>
    <w:p w14:paraId="14BBF36C">
      <w:pPr>
        <w:pStyle w:val="134"/>
        <w:spacing w:line="600" w:lineRule="exact"/>
        <w:ind w:firstLine="480"/>
        <w:rPr>
          <w:rFonts w:ascii="宋体" w:hAnsi="宋体"/>
          <w:sz w:val="24"/>
          <w:szCs w:val="24"/>
        </w:rPr>
      </w:pPr>
      <w:r>
        <w:rPr>
          <w:rFonts w:hint="eastAsia" w:ascii="宋体" w:hAnsi="宋体"/>
          <w:sz w:val="24"/>
          <w:szCs w:val="24"/>
        </w:rPr>
        <w:t>a.合同签订生效且收到发票后10个工作日内，支付合同总价款的 70 %；</w:t>
      </w:r>
    </w:p>
    <w:p w14:paraId="32797C71">
      <w:pPr>
        <w:pStyle w:val="134"/>
        <w:spacing w:line="600" w:lineRule="exact"/>
        <w:ind w:firstLine="480"/>
        <w:rPr>
          <w:rFonts w:ascii="宋体" w:hAnsi="宋体"/>
          <w:sz w:val="24"/>
          <w:szCs w:val="24"/>
        </w:rPr>
      </w:pPr>
      <w:r>
        <w:rPr>
          <w:rFonts w:hint="eastAsia" w:ascii="宋体" w:hAnsi="宋体"/>
          <w:sz w:val="24"/>
          <w:szCs w:val="24"/>
        </w:rPr>
        <w:t>b.本项目通过最终验收且收到发票后10个工作日内，支付合同总价款的尾款。</w:t>
      </w:r>
    </w:p>
    <w:p w14:paraId="22574754">
      <w:pPr>
        <w:pStyle w:val="134"/>
        <w:spacing w:line="600" w:lineRule="exact"/>
        <w:ind w:firstLine="480"/>
        <w:rPr>
          <w:rFonts w:hint="eastAsia" w:ascii="宋体" w:hAnsi="宋体"/>
          <w:sz w:val="24"/>
          <w:szCs w:val="24"/>
        </w:rPr>
      </w:pPr>
      <w:r>
        <w:rPr>
          <w:rFonts w:hint="eastAsia" w:ascii="宋体" w:hAnsi="宋体"/>
          <w:sz w:val="24"/>
          <w:szCs w:val="24"/>
        </w:rPr>
        <w:t>付款条件备注：服务提供方应当在采购方每次付款前提前至少10个工作日向采购方提供有效发票。</w:t>
      </w:r>
    </w:p>
    <w:p w14:paraId="7F11004D">
      <w:pPr>
        <w:pStyle w:val="134"/>
        <w:spacing w:line="600" w:lineRule="exact"/>
        <w:ind w:firstLine="480" w:firstLineChars="0"/>
        <w:jc w:val="left"/>
        <w:rPr>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仿宋_GB2312"/>
    <w:panose1 w:val="00000000000000000000"/>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0000000000000000000"/>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18F0">
    <w:pPr>
      <w:ind w:firstLine="0" w:firstLineChars="0"/>
      <w:jc w:val="center"/>
    </w:pPr>
    <w:r>
      <w:fldChar w:fldCharType="begin"/>
    </w:r>
    <w:r>
      <w:instrText xml:space="preserve">PAGE   \* MERGEFORMAT</w:instrText>
    </w:r>
    <w:r>
      <w:fldChar w:fldCharType="separate"/>
    </w:r>
    <w:r>
      <w:rPr>
        <w:lang w:val="zh-CN"/>
      </w:rPr>
      <w:t>27</w:t>
    </w:r>
    <w:r>
      <w:rPr>
        <w:lang w:val="zh-CN"/>
      </w:rPr>
      <w:fldChar w:fldCharType="end"/>
    </w:r>
  </w:p>
  <w:p w14:paraId="2F2A9B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5E8B"/>
  <w:p w14:paraId="6C6AAEC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20E7">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41E4">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0986AE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750">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DA50"/>
  <w:p w14:paraId="1A919A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63414">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AABBD823"/>
    <w:multiLevelType w:val="multilevel"/>
    <w:tmpl w:val="AABBD82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tabs>
          <w:tab w:val="left" w:pos="0"/>
        </w:tabs>
        <w:ind w:left="480" w:hanging="567"/>
      </w:pPr>
      <w:rPr>
        <w:rFonts w:hint="eastAsia"/>
      </w:rPr>
    </w:lvl>
    <w:lvl w:ilvl="2" w:tentative="0">
      <w:start w:val="1"/>
      <w:numFmt w:val="decimal"/>
      <w:pStyle w:val="4"/>
      <w:isLgl/>
      <w:suff w:val="nothing"/>
      <w:lvlText w:val="%1.%2.%3、"/>
      <w:lvlJc w:val="left"/>
      <w:pPr>
        <w:ind w:left="1069" w:hanging="1069"/>
      </w:pPr>
      <w:rPr>
        <w:rFonts w:hint="eastAsia" w:ascii="宋体" w:hAnsi="宋体" w:eastAsia="宋体" w:cs="Arial"/>
      </w:rPr>
    </w:lvl>
    <w:lvl w:ilvl="3" w:tentative="0">
      <w:start w:val="1"/>
      <w:numFmt w:val="decimal"/>
      <w:pStyle w:val="5"/>
      <w:isLgl/>
      <w:suff w:val="nothing"/>
      <w:lvlText w:val="%1.%2.%3.%4、"/>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2">
    <w:nsid w:val="560D1D03"/>
    <w:multiLevelType w:val="singleLevel"/>
    <w:tmpl w:val="560D1D03"/>
    <w:lvl w:ilvl="0" w:tentative="0">
      <w:start w:val="1"/>
      <w:numFmt w:val="decimal"/>
      <w:suff w:val="nothing"/>
      <w:lvlText w:val="%1）"/>
      <w:lvlJc w:val="left"/>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910C0"/>
    <w:rsid w:val="0000005A"/>
    <w:rsid w:val="00000AED"/>
    <w:rsid w:val="00002DBA"/>
    <w:rsid w:val="00003516"/>
    <w:rsid w:val="0000380E"/>
    <w:rsid w:val="00005AFD"/>
    <w:rsid w:val="00006563"/>
    <w:rsid w:val="000074F1"/>
    <w:rsid w:val="00007A41"/>
    <w:rsid w:val="00007DA7"/>
    <w:rsid w:val="000106ED"/>
    <w:rsid w:val="00012EF0"/>
    <w:rsid w:val="000156DE"/>
    <w:rsid w:val="000165AD"/>
    <w:rsid w:val="000179E9"/>
    <w:rsid w:val="00020C18"/>
    <w:rsid w:val="00021EE6"/>
    <w:rsid w:val="0002280E"/>
    <w:rsid w:val="00022C74"/>
    <w:rsid w:val="00022E13"/>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2E69"/>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1D1"/>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1C2"/>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190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9A9"/>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36EA"/>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E74FE"/>
    <w:rsid w:val="002F2002"/>
    <w:rsid w:val="002F335D"/>
    <w:rsid w:val="002F4E32"/>
    <w:rsid w:val="002F503F"/>
    <w:rsid w:val="002F51DD"/>
    <w:rsid w:val="002F5D08"/>
    <w:rsid w:val="002F6895"/>
    <w:rsid w:val="002F6D13"/>
    <w:rsid w:val="003038D3"/>
    <w:rsid w:val="003049C7"/>
    <w:rsid w:val="00305F0E"/>
    <w:rsid w:val="0030667A"/>
    <w:rsid w:val="00307000"/>
    <w:rsid w:val="003106DE"/>
    <w:rsid w:val="00311530"/>
    <w:rsid w:val="00312D31"/>
    <w:rsid w:val="00315216"/>
    <w:rsid w:val="0031691C"/>
    <w:rsid w:val="00317AEF"/>
    <w:rsid w:val="00317F49"/>
    <w:rsid w:val="0032089B"/>
    <w:rsid w:val="00323450"/>
    <w:rsid w:val="00323D93"/>
    <w:rsid w:val="0032489B"/>
    <w:rsid w:val="0032525B"/>
    <w:rsid w:val="00325B88"/>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46135"/>
    <w:rsid w:val="00351BFC"/>
    <w:rsid w:val="0035575E"/>
    <w:rsid w:val="003565B4"/>
    <w:rsid w:val="00357782"/>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48C3"/>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52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396B"/>
    <w:rsid w:val="00404FEC"/>
    <w:rsid w:val="0040534D"/>
    <w:rsid w:val="00405FAD"/>
    <w:rsid w:val="00407CF4"/>
    <w:rsid w:val="004117AB"/>
    <w:rsid w:val="00412B2F"/>
    <w:rsid w:val="00415281"/>
    <w:rsid w:val="00415716"/>
    <w:rsid w:val="0041604D"/>
    <w:rsid w:val="00417842"/>
    <w:rsid w:val="00417A6E"/>
    <w:rsid w:val="00420CDF"/>
    <w:rsid w:val="0042285D"/>
    <w:rsid w:val="00422C44"/>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A21"/>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7A9"/>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5DEA"/>
    <w:rsid w:val="00636C0A"/>
    <w:rsid w:val="00637EC6"/>
    <w:rsid w:val="0064240C"/>
    <w:rsid w:val="00642B19"/>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3F69"/>
    <w:rsid w:val="00674B47"/>
    <w:rsid w:val="0067609E"/>
    <w:rsid w:val="00676BE1"/>
    <w:rsid w:val="00677749"/>
    <w:rsid w:val="00680E07"/>
    <w:rsid w:val="00682B9D"/>
    <w:rsid w:val="00683806"/>
    <w:rsid w:val="00686AF9"/>
    <w:rsid w:val="006910C0"/>
    <w:rsid w:val="006918E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1DE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130C"/>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7796A"/>
    <w:rsid w:val="007818AA"/>
    <w:rsid w:val="00783140"/>
    <w:rsid w:val="007838B6"/>
    <w:rsid w:val="00783E77"/>
    <w:rsid w:val="007906F1"/>
    <w:rsid w:val="0079243D"/>
    <w:rsid w:val="00794A9B"/>
    <w:rsid w:val="0079583B"/>
    <w:rsid w:val="00796602"/>
    <w:rsid w:val="00797185"/>
    <w:rsid w:val="007976B7"/>
    <w:rsid w:val="00797A7E"/>
    <w:rsid w:val="00797D6F"/>
    <w:rsid w:val="007A45B7"/>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031"/>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061F"/>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B5A"/>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3235"/>
    <w:rsid w:val="00A25F1B"/>
    <w:rsid w:val="00A325F3"/>
    <w:rsid w:val="00A33103"/>
    <w:rsid w:val="00A33294"/>
    <w:rsid w:val="00A35DCB"/>
    <w:rsid w:val="00A35EAA"/>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0A1D"/>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16D"/>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45C6"/>
    <w:rsid w:val="00C55143"/>
    <w:rsid w:val="00C5611B"/>
    <w:rsid w:val="00C5695E"/>
    <w:rsid w:val="00C60D5D"/>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5ED8"/>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47B0"/>
    <w:rsid w:val="00D55A98"/>
    <w:rsid w:val="00D56B49"/>
    <w:rsid w:val="00D6053F"/>
    <w:rsid w:val="00D6073D"/>
    <w:rsid w:val="00D618D6"/>
    <w:rsid w:val="00D62426"/>
    <w:rsid w:val="00D62804"/>
    <w:rsid w:val="00D6792B"/>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2BC"/>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6A84"/>
    <w:rsid w:val="00EF770B"/>
    <w:rsid w:val="00F02836"/>
    <w:rsid w:val="00F02B83"/>
    <w:rsid w:val="00F02FB5"/>
    <w:rsid w:val="00F0534E"/>
    <w:rsid w:val="00F05C30"/>
    <w:rsid w:val="00F10F1B"/>
    <w:rsid w:val="00F14179"/>
    <w:rsid w:val="00F15786"/>
    <w:rsid w:val="00F167C5"/>
    <w:rsid w:val="00F20B5A"/>
    <w:rsid w:val="00F21F0B"/>
    <w:rsid w:val="00F236AB"/>
    <w:rsid w:val="00F24009"/>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7DC"/>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2759FF"/>
    <w:rsid w:val="015C48BA"/>
    <w:rsid w:val="03430854"/>
    <w:rsid w:val="035D3297"/>
    <w:rsid w:val="039F5FA6"/>
    <w:rsid w:val="082D6FB0"/>
    <w:rsid w:val="08E65ADD"/>
    <w:rsid w:val="08F55D20"/>
    <w:rsid w:val="09305ADA"/>
    <w:rsid w:val="09DC0C8E"/>
    <w:rsid w:val="0AABE6E6"/>
    <w:rsid w:val="0AE77B69"/>
    <w:rsid w:val="0B77F7B7"/>
    <w:rsid w:val="0B7F8287"/>
    <w:rsid w:val="0C325866"/>
    <w:rsid w:val="0C796C68"/>
    <w:rsid w:val="0CA3EC77"/>
    <w:rsid w:val="0CA73A5F"/>
    <w:rsid w:val="0E8013B7"/>
    <w:rsid w:val="0EE02FCE"/>
    <w:rsid w:val="0FE501DB"/>
    <w:rsid w:val="0FF1C444"/>
    <w:rsid w:val="106605B1"/>
    <w:rsid w:val="10D604C6"/>
    <w:rsid w:val="10E169CD"/>
    <w:rsid w:val="118A0FD0"/>
    <w:rsid w:val="11B515E0"/>
    <w:rsid w:val="120130B0"/>
    <w:rsid w:val="13A53267"/>
    <w:rsid w:val="13F970D2"/>
    <w:rsid w:val="143E4A1F"/>
    <w:rsid w:val="14AA4136"/>
    <w:rsid w:val="152534E9"/>
    <w:rsid w:val="153B385F"/>
    <w:rsid w:val="15FBCA14"/>
    <w:rsid w:val="163A420B"/>
    <w:rsid w:val="17123573"/>
    <w:rsid w:val="172F3608"/>
    <w:rsid w:val="17FEBFD4"/>
    <w:rsid w:val="18207CF8"/>
    <w:rsid w:val="19413B26"/>
    <w:rsid w:val="19DFEA49"/>
    <w:rsid w:val="1C6D3688"/>
    <w:rsid w:val="1C974DF7"/>
    <w:rsid w:val="1CC63D0A"/>
    <w:rsid w:val="1D8D237E"/>
    <w:rsid w:val="1D9060FA"/>
    <w:rsid w:val="1DC2081A"/>
    <w:rsid w:val="1DD94266"/>
    <w:rsid w:val="1F5F1EDE"/>
    <w:rsid w:val="1F9D0947"/>
    <w:rsid w:val="1FB042F7"/>
    <w:rsid w:val="1FBF22BD"/>
    <w:rsid w:val="1FFA16BC"/>
    <w:rsid w:val="1FFB29C6"/>
    <w:rsid w:val="1FFF809D"/>
    <w:rsid w:val="213ED545"/>
    <w:rsid w:val="21CA5B44"/>
    <w:rsid w:val="22AF3620"/>
    <w:rsid w:val="22E70AD4"/>
    <w:rsid w:val="241D7FE9"/>
    <w:rsid w:val="24F1508D"/>
    <w:rsid w:val="259D499A"/>
    <w:rsid w:val="25FD1387"/>
    <w:rsid w:val="266F634F"/>
    <w:rsid w:val="26981B61"/>
    <w:rsid w:val="273870AC"/>
    <w:rsid w:val="27F710E7"/>
    <w:rsid w:val="27F7FB6E"/>
    <w:rsid w:val="28BD1D8F"/>
    <w:rsid w:val="291059EA"/>
    <w:rsid w:val="2AFC600B"/>
    <w:rsid w:val="2B54769D"/>
    <w:rsid w:val="2BBF12EC"/>
    <w:rsid w:val="2BC649D9"/>
    <w:rsid w:val="2F7E923F"/>
    <w:rsid w:val="31DF892C"/>
    <w:rsid w:val="31FEA9E5"/>
    <w:rsid w:val="32355222"/>
    <w:rsid w:val="32446417"/>
    <w:rsid w:val="332826CA"/>
    <w:rsid w:val="33833DA5"/>
    <w:rsid w:val="350A44D8"/>
    <w:rsid w:val="3515160D"/>
    <w:rsid w:val="367C0113"/>
    <w:rsid w:val="36CF22E1"/>
    <w:rsid w:val="37EC5F19"/>
    <w:rsid w:val="37F370FE"/>
    <w:rsid w:val="37FD206E"/>
    <w:rsid w:val="38EA21D0"/>
    <w:rsid w:val="3A43EE55"/>
    <w:rsid w:val="3AFFBBB0"/>
    <w:rsid w:val="3B1F0928"/>
    <w:rsid w:val="3BB7C478"/>
    <w:rsid w:val="3BBE5BD1"/>
    <w:rsid w:val="3BCFAB90"/>
    <w:rsid w:val="3BF4B7A4"/>
    <w:rsid w:val="3BFF0219"/>
    <w:rsid w:val="3C7D00D8"/>
    <w:rsid w:val="3CA06C0C"/>
    <w:rsid w:val="3CC408B1"/>
    <w:rsid w:val="3CFF4FC2"/>
    <w:rsid w:val="3DAFD8EF"/>
    <w:rsid w:val="3DE739D4"/>
    <w:rsid w:val="3DFB033A"/>
    <w:rsid w:val="3DFD52DF"/>
    <w:rsid w:val="3EA25851"/>
    <w:rsid w:val="3ED9AA4E"/>
    <w:rsid w:val="3EDB4A51"/>
    <w:rsid w:val="3EDD944D"/>
    <w:rsid w:val="3EE96999"/>
    <w:rsid w:val="3EF54D85"/>
    <w:rsid w:val="3EFB7566"/>
    <w:rsid w:val="3F4C0D15"/>
    <w:rsid w:val="3F6C3757"/>
    <w:rsid w:val="3FCB8A4A"/>
    <w:rsid w:val="3FD985C4"/>
    <w:rsid w:val="3FFD5218"/>
    <w:rsid w:val="3FFF3525"/>
    <w:rsid w:val="405D6A10"/>
    <w:rsid w:val="40891005"/>
    <w:rsid w:val="416C40CA"/>
    <w:rsid w:val="41DA6594"/>
    <w:rsid w:val="427D6AD5"/>
    <w:rsid w:val="42D75573"/>
    <w:rsid w:val="44307631"/>
    <w:rsid w:val="444C1A75"/>
    <w:rsid w:val="44A3526F"/>
    <w:rsid w:val="44B032F4"/>
    <w:rsid w:val="457D25F7"/>
    <w:rsid w:val="45D43FEC"/>
    <w:rsid w:val="468341CD"/>
    <w:rsid w:val="472C2589"/>
    <w:rsid w:val="4A760AEB"/>
    <w:rsid w:val="4B9F0970"/>
    <w:rsid w:val="4BD04E18"/>
    <w:rsid w:val="4C74841D"/>
    <w:rsid w:val="4D55761C"/>
    <w:rsid w:val="4DF573F5"/>
    <w:rsid w:val="4DFC3047"/>
    <w:rsid w:val="4E8A5B90"/>
    <w:rsid w:val="4F3162CA"/>
    <w:rsid w:val="4F9BF28E"/>
    <w:rsid w:val="4FA5990A"/>
    <w:rsid w:val="4FB8ED85"/>
    <w:rsid w:val="50546455"/>
    <w:rsid w:val="50D95873"/>
    <w:rsid w:val="526102AF"/>
    <w:rsid w:val="528444DA"/>
    <w:rsid w:val="52876F40"/>
    <w:rsid w:val="52EF6909"/>
    <w:rsid w:val="537745D5"/>
    <w:rsid w:val="547F1F0F"/>
    <w:rsid w:val="552306F6"/>
    <w:rsid w:val="56E352D5"/>
    <w:rsid w:val="56FE2B1F"/>
    <w:rsid w:val="57BFDCDB"/>
    <w:rsid w:val="57E435FE"/>
    <w:rsid w:val="57EE81F5"/>
    <w:rsid w:val="57FE27F7"/>
    <w:rsid w:val="582D0655"/>
    <w:rsid w:val="58A42D03"/>
    <w:rsid w:val="5951205C"/>
    <w:rsid w:val="59D079E8"/>
    <w:rsid w:val="59D40847"/>
    <w:rsid w:val="59F77EAD"/>
    <w:rsid w:val="5AE37F25"/>
    <w:rsid w:val="5AFF9B01"/>
    <w:rsid w:val="5BEA5EBF"/>
    <w:rsid w:val="5BFFAB47"/>
    <w:rsid w:val="5CB23D47"/>
    <w:rsid w:val="5CB6CBFD"/>
    <w:rsid w:val="5CEED3FC"/>
    <w:rsid w:val="5DBC1CD3"/>
    <w:rsid w:val="5DF91714"/>
    <w:rsid w:val="5EC7089D"/>
    <w:rsid w:val="5F6B019C"/>
    <w:rsid w:val="5F6E9D71"/>
    <w:rsid w:val="5F6FAC7C"/>
    <w:rsid w:val="5F7B9AD5"/>
    <w:rsid w:val="5FAF09C4"/>
    <w:rsid w:val="5FBF371D"/>
    <w:rsid w:val="5FBFDF52"/>
    <w:rsid w:val="5FD9F6F5"/>
    <w:rsid w:val="5FDBB5C1"/>
    <w:rsid w:val="5FEC3DB9"/>
    <w:rsid w:val="5FF28A9B"/>
    <w:rsid w:val="5FFF31C8"/>
    <w:rsid w:val="5FFFDE4C"/>
    <w:rsid w:val="608C4642"/>
    <w:rsid w:val="6166DBF2"/>
    <w:rsid w:val="61AB60F1"/>
    <w:rsid w:val="62214605"/>
    <w:rsid w:val="62795572"/>
    <w:rsid w:val="6327E41D"/>
    <w:rsid w:val="639B6E6A"/>
    <w:rsid w:val="63F628AF"/>
    <w:rsid w:val="63F7FFFB"/>
    <w:rsid w:val="6432503C"/>
    <w:rsid w:val="64DD6417"/>
    <w:rsid w:val="65893110"/>
    <w:rsid w:val="66004745"/>
    <w:rsid w:val="666FEEE0"/>
    <w:rsid w:val="66FF3D18"/>
    <w:rsid w:val="6715D437"/>
    <w:rsid w:val="677B981D"/>
    <w:rsid w:val="681A18DB"/>
    <w:rsid w:val="68A67612"/>
    <w:rsid w:val="697F7236"/>
    <w:rsid w:val="6A567F20"/>
    <w:rsid w:val="6BBF7D38"/>
    <w:rsid w:val="6BFFC2DE"/>
    <w:rsid w:val="6C75527F"/>
    <w:rsid w:val="6C7E2806"/>
    <w:rsid w:val="6C845EBC"/>
    <w:rsid w:val="6CD97953"/>
    <w:rsid w:val="6D2FA3A0"/>
    <w:rsid w:val="6DF454A2"/>
    <w:rsid w:val="6DFE532D"/>
    <w:rsid w:val="6E17BF84"/>
    <w:rsid w:val="6E3556C0"/>
    <w:rsid w:val="6E442662"/>
    <w:rsid w:val="6E8C33D6"/>
    <w:rsid w:val="6ED30FD7"/>
    <w:rsid w:val="6F388A51"/>
    <w:rsid w:val="6FBF7FBE"/>
    <w:rsid w:val="6FDD9E89"/>
    <w:rsid w:val="6FFE3173"/>
    <w:rsid w:val="7177C8E2"/>
    <w:rsid w:val="71BE4186"/>
    <w:rsid w:val="721750DD"/>
    <w:rsid w:val="7275AF4E"/>
    <w:rsid w:val="727D78FD"/>
    <w:rsid w:val="732C8086"/>
    <w:rsid w:val="73CC655F"/>
    <w:rsid w:val="73EA3D66"/>
    <w:rsid w:val="73FBCA08"/>
    <w:rsid w:val="74287041"/>
    <w:rsid w:val="7536860F"/>
    <w:rsid w:val="75957445"/>
    <w:rsid w:val="75D01AE1"/>
    <w:rsid w:val="75DFD202"/>
    <w:rsid w:val="75FF4AB6"/>
    <w:rsid w:val="7606124B"/>
    <w:rsid w:val="767F19BE"/>
    <w:rsid w:val="767F6D61"/>
    <w:rsid w:val="76AFAD9F"/>
    <w:rsid w:val="76FF7E7B"/>
    <w:rsid w:val="773A5AF5"/>
    <w:rsid w:val="773D9059"/>
    <w:rsid w:val="774F6D48"/>
    <w:rsid w:val="77524363"/>
    <w:rsid w:val="778F2E66"/>
    <w:rsid w:val="778FD111"/>
    <w:rsid w:val="77AE3DED"/>
    <w:rsid w:val="77B917B5"/>
    <w:rsid w:val="77E57ADA"/>
    <w:rsid w:val="77EFF98A"/>
    <w:rsid w:val="77F08009"/>
    <w:rsid w:val="77F7652C"/>
    <w:rsid w:val="77F7CB83"/>
    <w:rsid w:val="78703975"/>
    <w:rsid w:val="78DD0E2E"/>
    <w:rsid w:val="795598F6"/>
    <w:rsid w:val="79856DD0"/>
    <w:rsid w:val="799EBB42"/>
    <w:rsid w:val="79ECE062"/>
    <w:rsid w:val="79FEA321"/>
    <w:rsid w:val="7AEBAEA7"/>
    <w:rsid w:val="7AEBB3A9"/>
    <w:rsid w:val="7AEF091E"/>
    <w:rsid w:val="7AF51CE5"/>
    <w:rsid w:val="7B53424F"/>
    <w:rsid w:val="7B7D5786"/>
    <w:rsid w:val="7B7F6175"/>
    <w:rsid w:val="7B97F1E4"/>
    <w:rsid w:val="7BB20141"/>
    <w:rsid w:val="7BE420FD"/>
    <w:rsid w:val="7BEFF22E"/>
    <w:rsid w:val="7BFA2E6B"/>
    <w:rsid w:val="7BFB6C20"/>
    <w:rsid w:val="7BFD3DB4"/>
    <w:rsid w:val="7BFFCC28"/>
    <w:rsid w:val="7C6E2A01"/>
    <w:rsid w:val="7C7665FE"/>
    <w:rsid w:val="7CE24C65"/>
    <w:rsid w:val="7CE5B63C"/>
    <w:rsid w:val="7CEB9964"/>
    <w:rsid w:val="7D0D296B"/>
    <w:rsid w:val="7D42C85F"/>
    <w:rsid w:val="7D4E0B54"/>
    <w:rsid w:val="7D503E78"/>
    <w:rsid w:val="7D74E58D"/>
    <w:rsid w:val="7D76C90B"/>
    <w:rsid w:val="7D8775BA"/>
    <w:rsid w:val="7DFAB3C5"/>
    <w:rsid w:val="7E0160D4"/>
    <w:rsid w:val="7E7704D4"/>
    <w:rsid w:val="7E77B025"/>
    <w:rsid w:val="7E7F642F"/>
    <w:rsid w:val="7E8FD3D2"/>
    <w:rsid w:val="7EBC14E6"/>
    <w:rsid w:val="7EBE276A"/>
    <w:rsid w:val="7EC7497C"/>
    <w:rsid w:val="7ED116AC"/>
    <w:rsid w:val="7EDF47BC"/>
    <w:rsid w:val="7EF73A1C"/>
    <w:rsid w:val="7EF94A53"/>
    <w:rsid w:val="7F211349"/>
    <w:rsid w:val="7F2D7CEE"/>
    <w:rsid w:val="7F2F11DE"/>
    <w:rsid w:val="7F535388"/>
    <w:rsid w:val="7F6BE6E6"/>
    <w:rsid w:val="7F7EDDA3"/>
    <w:rsid w:val="7F7FF8AD"/>
    <w:rsid w:val="7FB70502"/>
    <w:rsid w:val="7FB98B14"/>
    <w:rsid w:val="7FBE9BE3"/>
    <w:rsid w:val="7FCE57FC"/>
    <w:rsid w:val="7FEA3D17"/>
    <w:rsid w:val="7FEF5834"/>
    <w:rsid w:val="7FF68665"/>
    <w:rsid w:val="7FF71FA6"/>
    <w:rsid w:val="7FFCF48D"/>
    <w:rsid w:val="7FFF0797"/>
    <w:rsid w:val="7FFF1B6B"/>
    <w:rsid w:val="7FFF3410"/>
    <w:rsid w:val="876F2CF7"/>
    <w:rsid w:val="87F2A4A5"/>
    <w:rsid w:val="8DDFB94A"/>
    <w:rsid w:val="8FF33305"/>
    <w:rsid w:val="9CB5CC36"/>
    <w:rsid w:val="9ECF4427"/>
    <w:rsid w:val="9F7FD422"/>
    <w:rsid w:val="9FDAFC4A"/>
    <w:rsid w:val="9FF7E5C4"/>
    <w:rsid w:val="A6AF73C2"/>
    <w:rsid w:val="A6EB7191"/>
    <w:rsid w:val="A73279E7"/>
    <w:rsid w:val="AFBE660D"/>
    <w:rsid w:val="AFFC1D9E"/>
    <w:rsid w:val="B26F867C"/>
    <w:rsid w:val="B7BF8849"/>
    <w:rsid w:val="BA7B0E17"/>
    <w:rsid w:val="BAB25893"/>
    <w:rsid w:val="BB7DDBD5"/>
    <w:rsid w:val="BBE915B0"/>
    <w:rsid w:val="BCBF05EA"/>
    <w:rsid w:val="BDBB003D"/>
    <w:rsid w:val="BDEF9A93"/>
    <w:rsid w:val="BE6B3F70"/>
    <w:rsid w:val="BEBD69A8"/>
    <w:rsid w:val="BEBF34CE"/>
    <w:rsid w:val="BF6B4DDA"/>
    <w:rsid w:val="BF7945CA"/>
    <w:rsid w:val="BFBB5097"/>
    <w:rsid w:val="BFCEF0A3"/>
    <w:rsid w:val="BFEEC5CD"/>
    <w:rsid w:val="BFEF46E0"/>
    <w:rsid w:val="BFF9B671"/>
    <w:rsid w:val="BFFF80CA"/>
    <w:rsid w:val="C9F79724"/>
    <w:rsid w:val="CBBFA85C"/>
    <w:rsid w:val="CD9BE891"/>
    <w:rsid w:val="CEFD159E"/>
    <w:rsid w:val="CFABCD51"/>
    <w:rsid w:val="CFCD6E71"/>
    <w:rsid w:val="CFFAC059"/>
    <w:rsid w:val="CFFF54CC"/>
    <w:rsid w:val="D18795A4"/>
    <w:rsid w:val="D1B826F0"/>
    <w:rsid w:val="D3FF272F"/>
    <w:rsid w:val="D5771A44"/>
    <w:rsid w:val="D7AE3CFD"/>
    <w:rsid w:val="D9F344DB"/>
    <w:rsid w:val="D9FD0C2B"/>
    <w:rsid w:val="DC774EB6"/>
    <w:rsid w:val="DCD7F6FC"/>
    <w:rsid w:val="DCFF7564"/>
    <w:rsid w:val="DDF7EEA2"/>
    <w:rsid w:val="DEBF1B54"/>
    <w:rsid w:val="DEED24E0"/>
    <w:rsid w:val="DEF7A557"/>
    <w:rsid w:val="DEFF1480"/>
    <w:rsid w:val="DF172F9D"/>
    <w:rsid w:val="DF1E29D7"/>
    <w:rsid w:val="DF3B6049"/>
    <w:rsid w:val="DF66171D"/>
    <w:rsid w:val="DF6BE5D1"/>
    <w:rsid w:val="DFFB5EA2"/>
    <w:rsid w:val="E16E297E"/>
    <w:rsid w:val="E4FDAEF2"/>
    <w:rsid w:val="E53F5E04"/>
    <w:rsid w:val="E5DD310C"/>
    <w:rsid w:val="E5E5453B"/>
    <w:rsid w:val="E5EBDD74"/>
    <w:rsid w:val="E7A776A5"/>
    <w:rsid w:val="E7FFF2E8"/>
    <w:rsid w:val="E9E6BF9C"/>
    <w:rsid w:val="EBBB9E79"/>
    <w:rsid w:val="EBCF525B"/>
    <w:rsid w:val="EBE70477"/>
    <w:rsid w:val="EBF822DC"/>
    <w:rsid w:val="EBFB7169"/>
    <w:rsid w:val="EBFFC5D3"/>
    <w:rsid w:val="EDFFBE6F"/>
    <w:rsid w:val="EE9DB722"/>
    <w:rsid w:val="EEAF0C69"/>
    <w:rsid w:val="EECF6772"/>
    <w:rsid w:val="EEDFA071"/>
    <w:rsid w:val="EF5D5C0F"/>
    <w:rsid w:val="EFEF8069"/>
    <w:rsid w:val="EFF7BA48"/>
    <w:rsid w:val="EFFADBCB"/>
    <w:rsid w:val="EFFBAD42"/>
    <w:rsid w:val="EFFDE066"/>
    <w:rsid w:val="EFFF4C85"/>
    <w:rsid w:val="EFFF50F1"/>
    <w:rsid w:val="F1DFC735"/>
    <w:rsid w:val="F2B7E723"/>
    <w:rsid w:val="F3BFA65F"/>
    <w:rsid w:val="F3DF4F76"/>
    <w:rsid w:val="F3EF963D"/>
    <w:rsid w:val="F3F37C19"/>
    <w:rsid w:val="F5FB33C6"/>
    <w:rsid w:val="F675E639"/>
    <w:rsid w:val="F67F8F0C"/>
    <w:rsid w:val="F72B23A5"/>
    <w:rsid w:val="F76FA8BF"/>
    <w:rsid w:val="F77E1E05"/>
    <w:rsid w:val="F77FA5D6"/>
    <w:rsid w:val="F7AF440F"/>
    <w:rsid w:val="F7BF39DE"/>
    <w:rsid w:val="F7D717BD"/>
    <w:rsid w:val="F7DDBB1D"/>
    <w:rsid w:val="F7DE7429"/>
    <w:rsid w:val="F7F670E3"/>
    <w:rsid w:val="F7FF1949"/>
    <w:rsid w:val="F7FFFC32"/>
    <w:rsid w:val="F978A6B5"/>
    <w:rsid w:val="F99BFB41"/>
    <w:rsid w:val="F9FF6CB4"/>
    <w:rsid w:val="FA9E7EF8"/>
    <w:rsid w:val="FAEA13FE"/>
    <w:rsid w:val="FB7F8F82"/>
    <w:rsid w:val="FBAD2224"/>
    <w:rsid w:val="FBDF5959"/>
    <w:rsid w:val="FBE7FEC4"/>
    <w:rsid w:val="FBF839CB"/>
    <w:rsid w:val="FC9EF396"/>
    <w:rsid w:val="FCCFA7A9"/>
    <w:rsid w:val="FCFF88C0"/>
    <w:rsid w:val="FDD72105"/>
    <w:rsid w:val="FDE770C0"/>
    <w:rsid w:val="FDFD5F6A"/>
    <w:rsid w:val="FEA19E17"/>
    <w:rsid w:val="FEBF4B90"/>
    <w:rsid w:val="FEF615C2"/>
    <w:rsid w:val="FEF7EB0F"/>
    <w:rsid w:val="FEFB84AD"/>
    <w:rsid w:val="FEFB8EF7"/>
    <w:rsid w:val="FEFDD9A0"/>
    <w:rsid w:val="FEFE3800"/>
    <w:rsid w:val="FEFF283E"/>
    <w:rsid w:val="FF1B9F4D"/>
    <w:rsid w:val="FF2D272F"/>
    <w:rsid w:val="FF4FAD0F"/>
    <w:rsid w:val="FF6FF49A"/>
    <w:rsid w:val="FF77A3CF"/>
    <w:rsid w:val="FF7AE558"/>
    <w:rsid w:val="FFAECC24"/>
    <w:rsid w:val="FFB1E53E"/>
    <w:rsid w:val="FFDBE821"/>
    <w:rsid w:val="FFDFF290"/>
    <w:rsid w:val="FFE74DB4"/>
    <w:rsid w:val="FFEBF860"/>
    <w:rsid w:val="FFF0BA81"/>
    <w:rsid w:val="FFF2F6A1"/>
    <w:rsid w:val="FFF6A91A"/>
    <w:rsid w:val="FFF7F4D0"/>
    <w:rsid w:val="FFFD9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60"/>
    <w:qFormat/>
    <w:uiPriority w:val="0"/>
    <w:pPr>
      <w:keepNext/>
      <w:keepLines/>
      <w:numPr>
        <w:ilvl w:val="3"/>
        <w:numId w:val="1"/>
      </w:numPr>
      <w:spacing w:before="120" w:after="120"/>
      <w:ind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4"/>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2"/>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9"/>
    <w:qFormat/>
    <w:uiPriority w:val="99"/>
    <w:pPr>
      <w:jc w:val="left"/>
    </w:pPr>
    <w:rPr>
      <w:rFonts w:ascii="Times New Roman" w:hAnsi="Times New Roman" w:eastAsia="仿宋"/>
      <w:sz w:val="28"/>
    </w:rPr>
  </w:style>
  <w:style w:type="paragraph" w:styleId="16">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8"/>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1"/>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4 字符"/>
    <w:semiHidden/>
    <w:qFormat/>
    <w:uiPriority w:val="9"/>
    <w:rPr>
      <w:rFonts w:ascii="等线 Light" w:hAnsi="等线 Light" w:eastAsia="等线 Light" w:cs="Times New Roman"/>
      <w:b/>
      <w:bCs/>
      <w:kern w:val="2"/>
      <w:sz w:val="28"/>
      <w:szCs w:val="28"/>
    </w:rPr>
  </w:style>
  <w:style w:type="character" w:customStyle="1" w:styleId="43">
    <w:name w:val="标题 3 字符"/>
    <w:semiHidden/>
    <w:qFormat/>
    <w:uiPriority w:val="9"/>
    <w:rPr>
      <w:rFonts w:ascii="宋体" w:hAnsi="宋体"/>
      <w:b/>
      <w:bCs/>
      <w:kern w:val="2"/>
      <w:sz w:val="32"/>
      <w:szCs w:val="32"/>
    </w:rPr>
  </w:style>
  <w:style w:type="character" w:customStyle="1" w:styleId="44">
    <w:name w:val="标题 6 字符"/>
    <w:semiHidden/>
    <w:qFormat/>
    <w:uiPriority w:val="9"/>
    <w:rPr>
      <w:rFonts w:ascii="等线 Light" w:hAnsi="等线 Light" w:eastAsia="等线 Light" w:cs="Times New Roman"/>
      <w:b/>
      <w:bCs/>
      <w:kern w:val="2"/>
      <w:sz w:val="24"/>
      <w:szCs w:val="24"/>
    </w:rPr>
  </w:style>
  <w:style w:type="character" w:customStyle="1" w:styleId="45">
    <w:name w:val="标题 5 字符"/>
    <w:semiHidden/>
    <w:qFormat/>
    <w:uiPriority w:val="9"/>
    <w:rPr>
      <w:rFonts w:ascii="宋体" w:hAnsi="宋体"/>
      <w:b/>
      <w:bCs/>
      <w:kern w:val="2"/>
      <w:sz w:val="28"/>
      <w:szCs w:val="28"/>
    </w:rPr>
  </w:style>
  <w:style w:type="character" w:customStyle="1" w:styleId="46">
    <w:name w:val="标题 3 字符1"/>
    <w:qFormat/>
    <w:uiPriority w:val="0"/>
    <w:rPr>
      <w:rFonts w:ascii="宋体" w:hAnsi="宋体"/>
      <w:b/>
      <w:bCs/>
      <w:kern w:val="2"/>
      <w:sz w:val="28"/>
      <w:szCs w:val="28"/>
    </w:rPr>
  </w:style>
  <w:style w:type="character" w:customStyle="1" w:styleId="47">
    <w:name w:val="首行缩进正文 Char"/>
    <w:link w:val="48"/>
    <w:qFormat/>
    <w:uiPriority w:val="0"/>
    <w:rPr>
      <w:kern w:val="2"/>
      <w:sz w:val="24"/>
    </w:rPr>
  </w:style>
  <w:style w:type="paragraph" w:customStyle="1" w:styleId="48">
    <w:name w:val="首行缩进正文"/>
    <w:basedOn w:val="1"/>
    <w:link w:val="47"/>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9">
    <w:name w:val="批注文字 Char"/>
    <w:link w:val="15"/>
    <w:qFormat/>
    <w:uiPriority w:val="99"/>
    <w:rPr>
      <w:rFonts w:eastAsia="仿宋"/>
      <w:kern w:val="2"/>
      <w:sz w:val="28"/>
      <w:szCs w:val="24"/>
    </w:rPr>
  </w:style>
  <w:style w:type="character" w:customStyle="1" w:styleId="50">
    <w:name w:val="日期 字符"/>
    <w:semiHidden/>
    <w:qFormat/>
    <w:uiPriority w:val="99"/>
    <w:rPr>
      <w:rFonts w:ascii="宋体" w:hAnsi="宋体"/>
      <w:kern w:val="2"/>
      <w:sz w:val="24"/>
      <w:szCs w:val="24"/>
    </w:rPr>
  </w:style>
  <w:style w:type="character" w:customStyle="1" w:styleId="51">
    <w:name w:val="日期 Char"/>
    <w:link w:val="22"/>
    <w:qFormat/>
    <w:uiPriority w:val="0"/>
    <w:rPr>
      <w:kern w:val="2"/>
      <w:sz w:val="21"/>
      <w:szCs w:val="24"/>
    </w:rPr>
  </w:style>
  <w:style w:type="character" w:customStyle="1" w:styleId="52">
    <w:name w:val="标题 9 Char"/>
    <w:link w:val="10"/>
    <w:qFormat/>
    <w:uiPriority w:val="9"/>
    <w:rPr>
      <w:rFonts w:ascii="Cambria" w:hAnsi="Cambria"/>
      <w:kern w:val="2"/>
      <w:sz w:val="21"/>
      <w:szCs w:val="21"/>
    </w:rPr>
  </w:style>
  <w:style w:type="character" w:customStyle="1" w:styleId="53">
    <w:name w:val="未处理的提及1"/>
    <w:unhideWhenUsed/>
    <w:qFormat/>
    <w:uiPriority w:val="99"/>
    <w:rPr>
      <w:color w:val="605E5C"/>
      <w:shd w:val="clear" w:color="auto" w:fill="E1DFDD"/>
    </w:rPr>
  </w:style>
  <w:style w:type="character" w:customStyle="1" w:styleId="54">
    <w:name w:val="标题 1 字符"/>
    <w:qFormat/>
    <w:uiPriority w:val="9"/>
    <w:rPr>
      <w:rFonts w:ascii="宋体" w:hAnsi="宋体"/>
      <w:b/>
      <w:bCs/>
      <w:kern w:val="44"/>
      <w:sz w:val="44"/>
      <w:szCs w:val="44"/>
    </w:rPr>
  </w:style>
  <w:style w:type="character" w:customStyle="1" w:styleId="55">
    <w:name w:val="页脚 字符"/>
    <w:qFormat/>
    <w:uiPriority w:val="99"/>
  </w:style>
  <w:style w:type="character" w:customStyle="1" w:styleId="56">
    <w:name w:val="题注 Char"/>
    <w:link w:val="13"/>
    <w:qFormat/>
    <w:locked/>
    <w:uiPriority w:val="0"/>
    <w:rPr>
      <w:rFonts w:ascii="Arial" w:hAnsi="Arial" w:eastAsia="黑体"/>
      <w:kern w:val="2"/>
    </w:rPr>
  </w:style>
  <w:style w:type="character" w:customStyle="1" w:styleId="57">
    <w:name w:val="标题 2 字符"/>
    <w:semiHidden/>
    <w:qFormat/>
    <w:uiPriority w:val="9"/>
    <w:rPr>
      <w:rFonts w:ascii="等线 Light" w:hAnsi="等线 Light" w:eastAsia="等线 Light" w:cs="Times New Roman"/>
      <w:b/>
      <w:bCs/>
      <w:kern w:val="2"/>
      <w:sz w:val="32"/>
      <w:szCs w:val="3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Char"/>
    <w:link w:val="5"/>
    <w:qFormat/>
    <w:uiPriority w:val="0"/>
    <w:rPr>
      <w:rFonts w:ascii="宋体" w:hAnsi="宋体"/>
      <w:b/>
      <w:bCs/>
      <w:kern w:val="2"/>
      <w:sz w:val="30"/>
      <w:szCs w:val="30"/>
    </w:rPr>
  </w:style>
  <w:style w:type="character" w:customStyle="1" w:styleId="61">
    <w:name w:val="正文文本 Char"/>
    <w:link w:val="16"/>
    <w:qFormat/>
    <w:uiPriority w:val="0"/>
    <w:rPr>
      <w:kern w:val="2"/>
      <w:sz w:val="21"/>
      <w:szCs w:val="24"/>
    </w:rPr>
  </w:style>
  <w:style w:type="character" w:customStyle="1" w:styleId="62">
    <w:name w:val="列出段落 Char"/>
    <w:link w:val="63"/>
    <w:qFormat/>
    <w:uiPriority w:val="34"/>
    <w:rPr>
      <w:kern w:val="2"/>
      <w:sz w:val="21"/>
      <w:szCs w:val="24"/>
    </w:rPr>
  </w:style>
  <w:style w:type="paragraph"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66"/>
    <w:qFormat/>
    <w:uiPriority w:val="0"/>
    <w:rPr>
      <w:rFonts w:ascii="time" w:hAnsi="time"/>
      <w:sz w:val="24"/>
      <w:szCs w:val="24"/>
      <w:lang w:bidi="en-US"/>
    </w:rPr>
  </w:style>
  <w:style w:type="paragraph" w:customStyle="1" w:styleId="66">
    <w:name w:val="*正文"/>
    <w:basedOn w:val="1"/>
    <w:link w:val="65"/>
    <w:qFormat/>
    <w:uiPriority w:val="0"/>
    <w:pPr>
      <w:widowControl/>
      <w:ind w:firstLine="200"/>
      <w:contextualSpacing/>
    </w:pPr>
    <w:rPr>
      <w:rFonts w:ascii="time" w:hAnsi="time"/>
      <w:kern w:val="0"/>
      <w:lang w:bidi="en-US"/>
    </w:rPr>
  </w:style>
  <w:style w:type="character" w:customStyle="1" w:styleId="67">
    <w:name w:val="正文文本缩进 字符"/>
    <w:semiHidden/>
    <w:qFormat/>
    <w:uiPriority w:val="99"/>
    <w:rPr>
      <w:rFonts w:ascii="宋体" w:hAnsi="宋体"/>
      <w:kern w:val="2"/>
      <w:sz w:val="24"/>
      <w:szCs w:val="24"/>
    </w:rPr>
  </w:style>
  <w:style w:type="character" w:customStyle="1" w:styleId="68">
    <w:name w:val="纯文本 Char"/>
    <w:link w:val="20"/>
    <w:qFormat/>
    <w:locked/>
    <w:uiPriority w:val="0"/>
    <w:rPr>
      <w:rFonts w:ascii="宋体" w:hAnsi="Courier New"/>
      <w:kern w:val="2"/>
      <w:sz w:val="21"/>
    </w:rPr>
  </w:style>
  <w:style w:type="character" w:customStyle="1" w:styleId="69">
    <w:name w:val="my正文 Char"/>
    <w:link w:val="70"/>
    <w:qFormat/>
    <w:uiPriority w:val="0"/>
    <w:rPr>
      <w:kern w:val="2"/>
      <w:sz w:val="21"/>
      <w:szCs w:val="24"/>
    </w:rPr>
  </w:style>
  <w:style w:type="paragraph" w:customStyle="1" w:styleId="70">
    <w:name w:val="my正文"/>
    <w:basedOn w:val="1"/>
    <w:link w:val="69"/>
    <w:qFormat/>
    <w:uiPriority w:val="0"/>
    <w:pPr>
      <w:spacing w:line="240" w:lineRule="auto"/>
      <w:ind w:firstLine="0" w:firstLineChars="0"/>
    </w:pPr>
    <w:rPr>
      <w:rFonts w:ascii="Times New Roman" w:hAnsi="Times New Roman"/>
      <w:sz w:val="21"/>
    </w:rPr>
  </w:style>
  <w:style w:type="character" w:customStyle="1" w:styleId="71">
    <w:name w:val="正文2 字符"/>
    <w:link w:val="72"/>
    <w:qFormat/>
    <w:uiPriority w:val="0"/>
    <w:rPr>
      <w:kern w:val="2"/>
      <w:sz w:val="21"/>
      <w:szCs w:val="24"/>
    </w:rPr>
  </w:style>
  <w:style w:type="paragraph" w:customStyle="1" w:styleId="72">
    <w:name w:val="正文2"/>
    <w:basedOn w:val="1"/>
    <w:link w:val="71"/>
    <w:qFormat/>
    <w:uiPriority w:val="0"/>
    <w:pPr>
      <w:ind w:firstLine="420"/>
    </w:pPr>
    <w:rPr>
      <w:rFonts w:ascii="Times New Roman" w:hAnsi="Times New Roman"/>
      <w:sz w:val="21"/>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标题 7 Char"/>
    <w:link w:val="8"/>
    <w:qFormat/>
    <w:uiPriority w:val="9"/>
    <w:rPr>
      <w:b/>
      <w:bCs/>
      <w:kern w:val="2"/>
      <w:sz w:val="21"/>
      <w:szCs w:val="24"/>
    </w:rPr>
  </w:style>
  <w:style w:type="character" w:customStyle="1" w:styleId="75">
    <w:name w:val="批注框文本 字符"/>
    <w:semiHidden/>
    <w:qFormat/>
    <w:uiPriority w:val="99"/>
    <w:rPr>
      <w:rFonts w:ascii="宋体" w:hAnsi="宋体"/>
      <w:kern w:val="2"/>
      <w:sz w:val="18"/>
      <w:szCs w:val="18"/>
    </w:rPr>
  </w:style>
  <w:style w:type="character" w:customStyle="1" w:styleId="76">
    <w:name w:val="副标题 Char1"/>
    <w:qFormat/>
    <w:uiPriority w:val="0"/>
    <w:rPr>
      <w:rFonts w:ascii="Calibri Light" w:hAnsi="Calibri Light" w:cs="Times New Roman"/>
      <w:b/>
      <w:bCs/>
      <w:kern w:val="28"/>
      <w:sz w:val="32"/>
      <w:szCs w:val="32"/>
    </w:rPr>
  </w:style>
  <w:style w:type="character" w:customStyle="1" w:styleId="77">
    <w:name w:val="标题 1 Char1"/>
    <w:link w:val="2"/>
    <w:qFormat/>
    <w:uiPriority w:val="0"/>
    <w:rPr>
      <w:rFonts w:ascii="宋体" w:hAnsi="宋体" w:eastAsia="黑体"/>
      <w:b/>
      <w:bCs/>
      <w:kern w:val="44"/>
      <w:sz w:val="32"/>
      <w:szCs w:val="28"/>
    </w:rPr>
  </w:style>
  <w:style w:type="character" w:customStyle="1" w:styleId="78">
    <w:name w:val="批注文字 字符"/>
    <w:qFormat/>
    <w:uiPriority w:val="99"/>
    <w:rPr>
      <w:rFonts w:ascii="宋体" w:hAnsi="宋体"/>
      <w:kern w:val="2"/>
      <w:sz w:val="24"/>
      <w:szCs w:val="24"/>
    </w:rPr>
  </w:style>
  <w:style w:type="character" w:customStyle="1" w:styleId="79">
    <w:name w:val="文档结构图 字符"/>
    <w:semiHidden/>
    <w:qFormat/>
    <w:uiPriority w:val="99"/>
    <w:rPr>
      <w:rFonts w:ascii="Microsoft YaHei UI" w:hAnsi="宋体" w:eastAsia="Microsoft YaHei UI"/>
      <w:kern w:val="2"/>
      <w:sz w:val="18"/>
      <w:szCs w:val="18"/>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Char"/>
    <w:link w:val="4"/>
    <w:qFormat/>
    <w:uiPriority w:val="0"/>
    <w:rPr>
      <w:rFonts w:ascii="宋体" w:hAnsi="宋体"/>
      <w:b/>
      <w:bCs/>
      <w:kern w:val="2"/>
      <w:sz w:val="28"/>
      <w:szCs w:val="28"/>
    </w:rPr>
  </w:style>
  <w:style w:type="character" w:customStyle="1" w:styleId="83">
    <w:name w:val="批注主题 Char"/>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Char"/>
    <w:link w:val="17"/>
    <w:qFormat/>
    <w:uiPriority w:val="0"/>
    <w:rPr>
      <w:kern w:val="2"/>
      <w:sz w:val="21"/>
    </w:rPr>
  </w:style>
  <w:style w:type="character" w:customStyle="1" w:styleId="86">
    <w:name w:val="标题 5 Char"/>
    <w:link w:val="6"/>
    <w:qFormat/>
    <w:uiPriority w:val="0"/>
    <w:rPr>
      <w:rFonts w:ascii="宋体" w:hAnsi="宋体"/>
      <w:b/>
      <w:bCs/>
      <w:kern w:val="2"/>
      <w:sz w:val="24"/>
      <w:szCs w:val="28"/>
    </w:rPr>
  </w:style>
  <w:style w:type="character" w:customStyle="1" w:styleId="87">
    <w:name w:val="副标题 Char"/>
    <w:link w:val="28"/>
    <w:qFormat/>
    <w:uiPriority w:val="0"/>
    <w:rPr>
      <w:rFonts w:ascii="Calibri Light" w:hAnsi="Calibri Light"/>
      <w:b/>
      <w:bCs/>
      <w:kern w:val="28"/>
      <w:sz w:val="32"/>
      <w:szCs w:val="32"/>
    </w:rPr>
  </w:style>
  <w:style w:type="character" w:customStyle="1" w:styleId="88">
    <w:name w:val="标题 2 Char"/>
    <w:link w:val="3"/>
    <w:qFormat/>
    <w:uiPriority w:val="9"/>
    <w:rPr>
      <w:rFonts w:ascii="宋体" w:hAnsi="宋体"/>
      <w:b/>
      <w:bCs/>
      <w:kern w:val="2"/>
      <w:sz w:val="30"/>
      <w:szCs w:val="32"/>
    </w:rPr>
  </w:style>
  <w:style w:type="character" w:customStyle="1" w:styleId="89">
    <w:name w:val="页脚 Char"/>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Char"/>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Char"/>
    <w:link w:val="33"/>
    <w:qFormat/>
    <w:uiPriority w:val="0"/>
    <w:rPr>
      <w:rFonts w:ascii="Cambria" w:hAnsi="Cambria" w:eastAsia="黑体"/>
      <w:b/>
      <w:bCs/>
      <w:kern w:val="2"/>
      <w:sz w:val="52"/>
      <w:szCs w:val="32"/>
    </w:rPr>
  </w:style>
  <w:style w:type="character" w:customStyle="1" w:styleId="96">
    <w:name w:val="批注框文本 Char"/>
    <w:link w:val="23"/>
    <w:qFormat/>
    <w:uiPriority w:val="0"/>
    <w:rPr>
      <w:kern w:val="2"/>
      <w:sz w:val="18"/>
      <w:szCs w:val="18"/>
    </w:rPr>
  </w:style>
  <w:style w:type="character" w:customStyle="1" w:styleId="97">
    <w:name w:val="页眉 Char"/>
    <w:link w:val="25"/>
    <w:qFormat/>
    <w:uiPriority w:val="99"/>
    <w:rPr>
      <w:kern w:val="2"/>
      <w:sz w:val="18"/>
      <w:szCs w:val="18"/>
    </w:rPr>
  </w:style>
  <w:style w:type="character" w:customStyle="1" w:styleId="98">
    <w:name w:val="标题 8 Char"/>
    <w:link w:val="9"/>
    <w:qFormat/>
    <w:uiPriority w:val="9"/>
    <w:rPr>
      <w:rFonts w:ascii="Cambria" w:hAnsi="Cambria"/>
      <w:kern w:val="2"/>
      <w:sz w:val="21"/>
      <w:szCs w:val="24"/>
    </w:rPr>
  </w:style>
  <w:style w:type="character" w:customStyle="1" w:styleId="99">
    <w:name w:val="标题 6 Char"/>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autoRedefine/>
    <w:qFormat/>
    <w:uiPriority w:val="34"/>
    <w:pPr>
      <w:spacing w:line="240" w:lineRule="auto"/>
      <w:ind w:firstLine="420"/>
    </w:pPr>
    <w:rPr>
      <w:rFonts w:ascii="Calibri" w:hAnsi="Calibri"/>
      <w:sz w:val="21"/>
      <w:szCs w:val="22"/>
    </w:rPr>
  </w:style>
  <w:style w:type="paragraph" w:customStyle="1" w:styleId="135">
    <w:name w:val="样式2"/>
    <w:basedOn w:val="1"/>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DB1B464-9DED-43FF-B9AC-2D4705B7F1FB}">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3143</Words>
  <Characters>17919</Characters>
  <Lines>149</Lines>
  <Paragraphs>42</Paragraphs>
  <TotalTime>294</TotalTime>
  <ScaleCrop>false</ScaleCrop>
  <LinksUpToDate>false</LinksUpToDate>
  <CharactersWithSpaces>21020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2022-12-26T09:54:00Z</dcterms:created>
  <dc:creator>gtig_tzb</dc:creator>
  <cp:lastModifiedBy>王婉婷</cp:lastModifiedBy>
  <cp:lastPrinted>2020-08-09T20:08:00Z</cp:lastPrinted>
  <dcterms:modified xsi:type="dcterms:W3CDTF">2026-01-14T13:40:05Z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99078E94B8EC48E3A26F0151BF8A7C14_13</vt:lpwstr>
  </property>
  <property fmtid="{D5CDD505-2E9C-101B-9397-08002B2CF9AE}" pid="4" name="KSOTemplateDocerSaveRecord">
    <vt:lpwstr>eyJoZGlkIjoiY2U2ZjliNDdiOTk0MmY5NDBhMWEwYWQwOWExNjRhNWUiLCJ1c2VySWQiOiI2NjQyMTk2NDEifQ==</vt:lpwstr>
  </property>
</Properties>
</file>