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bCs/>
          <w:sz w:val="44"/>
          <w:szCs w:val="44"/>
        </w:rPr>
      </w:pPr>
      <w:r>
        <w:rPr>
          <w:rFonts w:hint="eastAsia"/>
          <w:b/>
          <w:bCs/>
          <w:sz w:val="44"/>
          <w:szCs w:val="44"/>
        </w:rPr>
        <w:t>国有建设用地使用权</w:t>
      </w:r>
      <w:bookmarkStart w:id="0" w:name="挂牌出让须知"/>
      <w:bookmarkEnd w:id="0"/>
      <w:r>
        <w:rPr>
          <w:rFonts w:hint="eastAsia"/>
          <w:b/>
          <w:bCs/>
          <w:sz w:val="44"/>
          <w:szCs w:val="44"/>
        </w:rPr>
        <w:t>挂牌出让须知</w:t>
      </w:r>
    </w:p>
    <w:p>
      <w:pPr>
        <w:spacing w:line="560" w:lineRule="exact"/>
        <w:rPr>
          <w:rFonts w:ascii="仿宋" w:hAnsi="仿宋" w:eastAsia="仿宋" w:cs="仿宋"/>
          <w:sz w:val="32"/>
          <w:szCs w:val="32"/>
          <w:lang w:val="en-US"/>
        </w:rPr>
      </w:pPr>
    </w:p>
    <w:p>
      <w:pPr>
        <w:spacing w:line="540" w:lineRule="exact"/>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根据《中华人民共和国土地管理法》、《中华人民共和国城市房地产管理法》</w:t>
      </w:r>
      <w:r>
        <w:rPr>
          <w:rFonts w:hint="eastAsia" w:ascii="仿宋" w:hAnsi="仿宋" w:eastAsia="仿宋" w:cs="仿宋"/>
          <w:sz w:val="32"/>
          <w:szCs w:val="32"/>
          <w:lang w:val="en-US"/>
        </w:rPr>
        <w:t>,《中华人民共和国土地管理法实施条例》</w:t>
      </w:r>
      <w:r>
        <w:rPr>
          <w:rFonts w:hint="eastAsia" w:ascii="仿宋" w:hAnsi="仿宋" w:eastAsia="仿宋" w:cs="仿宋"/>
          <w:sz w:val="32"/>
          <w:szCs w:val="32"/>
        </w:rPr>
        <w:t>、《招标拍卖挂牌出让国有土地使用权规定》以及《招标拍卖挂牌出让国有土地使用权规范》等有关规定，经桦南县县长办公会议纪要批准，桦南县自然资源局以挂牌方式出让</w:t>
      </w:r>
      <w:r>
        <w:rPr>
          <w:rFonts w:hint="eastAsia" w:ascii="仿宋" w:hAnsi="仿宋" w:eastAsia="仿宋" w:cs="仿宋"/>
          <w:sz w:val="32"/>
          <w:szCs w:val="32"/>
          <w:lang w:val="en-US"/>
        </w:rPr>
        <w:t>以下</w:t>
      </w:r>
      <w:r>
        <w:rPr>
          <w:rFonts w:hint="eastAsia" w:ascii="仿宋" w:hAnsi="仿宋" w:eastAsia="仿宋" w:cs="仿宋"/>
          <w:sz w:val="32"/>
          <w:szCs w:val="32"/>
        </w:rPr>
        <w:t>地块国有建设用地使用权。</w:t>
      </w:r>
    </w:p>
    <w:p>
      <w:pPr>
        <w:numPr>
          <w:ilvl w:val="0"/>
          <w:numId w:val="1"/>
        </w:numPr>
        <w:spacing w:line="54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出让地块基本情况</w:t>
      </w:r>
      <w:bookmarkStart w:id="1" w:name="（一）、宗地基本情况及规划指标要求："/>
      <w:bookmarkEnd w:id="1"/>
    </w:p>
    <w:p>
      <w:pPr>
        <w:spacing w:line="540" w:lineRule="exact"/>
        <w:ind w:left="440" w:leftChars="200"/>
        <w:jc w:val="both"/>
        <w:rPr>
          <w:rFonts w:ascii="仿宋" w:hAnsi="仿宋" w:eastAsia="仿宋" w:cs="仿宋"/>
          <w:sz w:val="32"/>
          <w:szCs w:val="32"/>
        </w:rPr>
      </w:pPr>
      <w:r>
        <w:rPr>
          <w:rFonts w:hint="eastAsia" w:ascii="仿宋" w:hAnsi="仿宋" w:eastAsia="仿宋" w:cs="仿宋"/>
          <w:sz w:val="32"/>
          <w:szCs w:val="32"/>
        </w:rPr>
        <w:t>（一）地块基本情况及规划指标要求：</w:t>
      </w:r>
    </w:p>
    <w:tbl>
      <w:tblPr>
        <w:tblStyle w:val="21"/>
        <w:tblpPr w:leftFromText="180" w:rightFromText="180" w:vertAnchor="text" w:horzAnchor="page" w:tblpXSpec="center" w:tblpY="66"/>
        <w:tblOverlap w:val="never"/>
        <w:tblW w:w="9908" w:type="dxa"/>
        <w:jc w:val="center"/>
        <w:tblCellSpacing w:w="0" w:type="dxa"/>
        <w:tblInd w:w="17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30" w:type="dxa"/>
          <w:left w:w="30" w:type="dxa"/>
          <w:bottom w:w="30" w:type="dxa"/>
          <w:right w:w="30" w:type="dxa"/>
        </w:tblCellMar>
      </w:tblPr>
      <w:tblGrid>
        <w:gridCol w:w="435"/>
        <w:gridCol w:w="1359"/>
        <w:gridCol w:w="969"/>
        <w:gridCol w:w="623"/>
        <w:gridCol w:w="600"/>
        <w:gridCol w:w="705"/>
        <w:gridCol w:w="870"/>
        <w:gridCol w:w="870"/>
        <w:gridCol w:w="780"/>
        <w:gridCol w:w="975"/>
        <w:gridCol w:w="880"/>
        <w:gridCol w:w="842"/>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30" w:type="dxa"/>
            <w:left w:w="30" w:type="dxa"/>
            <w:bottom w:w="30" w:type="dxa"/>
            <w:right w:w="30" w:type="dxa"/>
          </w:tblCellMar>
        </w:tblPrEx>
        <w:trPr>
          <w:trHeight w:val="1715" w:hRule="atLeast"/>
          <w:tblCellSpacing w:w="0" w:type="dxa"/>
          <w:jc w:val="center"/>
        </w:trPr>
        <w:tc>
          <w:tcPr>
            <w:tcW w:w="435"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序号</w:t>
            </w:r>
          </w:p>
        </w:tc>
        <w:tc>
          <w:tcPr>
            <w:tcW w:w="1359"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土地</w:t>
            </w:r>
          </w:p>
          <w:p>
            <w:pPr>
              <w:spacing w:line="400" w:lineRule="exact"/>
              <w:jc w:val="center"/>
              <w:rPr>
                <w:rFonts w:ascii="仿宋" w:hAnsi="仿宋" w:eastAsia="仿宋" w:cs="仿宋"/>
                <w:sz w:val="24"/>
                <w:szCs w:val="24"/>
              </w:rPr>
            </w:pPr>
            <w:r>
              <w:rPr>
                <w:rFonts w:hint="eastAsia" w:ascii="仿宋" w:hAnsi="仿宋" w:eastAsia="仿宋" w:cs="仿宋"/>
                <w:sz w:val="24"/>
                <w:szCs w:val="24"/>
              </w:rPr>
              <w:t>位置</w:t>
            </w:r>
          </w:p>
        </w:tc>
        <w:tc>
          <w:tcPr>
            <w:tcW w:w="969"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土地</w:t>
            </w:r>
          </w:p>
          <w:p>
            <w:pPr>
              <w:spacing w:line="400" w:lineRule="exact"/>
              <w:jc w:val="center"/>
              <w:rPr>
                <w:rFonts w:ascii="仿宋" w:hAnsi="仿宋" w:eastAsia="仿宋" w:cs="仿宋"/>
                <w:sz w:val="24"/>
                <w:szCs w:val="24"/>
              </w:rPr>
            </w:pPr>
            <w:r>
              <w:rPr>
                <w:rFonts w:hint="eastAsia" w:ascii="仿宋" w:hAnsi="仿宋" w:eastAsia="仿宋" w:cs="仿宋"/>
                <w:sz w:val="24"/>
                <w:szCs w:val="24"/>
              </w:rPr>
              <w:t>面积</w:t>
            </w:r>
          </w:p>
          <w:p>
            <w:pPr>
              <w:spacing w:line="400" w:lineRule="exact"/>
              <w:jc w:val="center"/>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rPr>
              <w:t>m²</w:t>
            </w:r>
            <w:r>
              <w:rPr>
                <w:rFonts w:hint="eastAsia" w:ascii="仿宋" w:hAnsi="仿宋" w:eastAsia="仿宋" w:cs="仿宋"/>
                <w:sz w:val="24"/>
                <w:szCs w:val="24"/>
              </w:rPr>
              <w:t>）</w:t>
            </w:r>
          </w:p>
        </w:tc>
        <w:tc>
          <w:tcPr>
            <w:tcW w:w="623"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土地用途</w:t>
            </w:r>
          </w:p>
        </w:tc>
        <w:tc>
          <w:tcPr>
            <w:tcW w:w="600"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容积率</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限高</w:t>
            </w:r>
          </w:p>
          <w:p>
            <w:pPr>
              <w:spacing w:line="400" w:lineRule="exact"/>
              <w:jc w:val="center"/>
              <w:rPr>
                <w:rFonts w:ascii="仿宋" w:hAnsi="仿宋" w:eastAsia="仿宋" w:cs="仿宋"/>
                <w:sz w:val="24"/>
                <w:szCs w:val="24"/>
              </w:rPr>
            </w:pPr>
            <w:r>
              <w:rPr>
                <w:rFonts w:hint="eastAsia" w:ascii="仿宋" w:hAnsi="仿宋" w:eastAsia="仿宋" w:cs="仿宋"/>
                <w:sz w:val="24"/>
                <w:szCs w:val="24"/>
                <w:lang w:val="en-US"/>
              </w:rPr>
              <w:t>(m)</w:t>
            </w:r>
          </w:p>
        </w:tc>
        <w:tc>
          <w:tcPr>
            <w:tcW w:w="870"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绿地率</w:t>
            </w:r>
          </w:p>
        </w:tc>
        <w:tc>
          <w:tcPr>
            <w:tcW w:w="870"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建筑</w:t>
            </w:r>
          </w:p>
          <w:p>
            <w:pPr>
              <w:spacing w:line="400" w:lineRule="exact"/>
              <w:jc w:val="center"/>
              <w:rPr>
                <w:rFonts w:ascii="仿宋" w:hAnsi="仿宋" w:eastAsia="仿宋" w:cs="仿宋"/>
                <w:sz w:val="24"/>
                <w:szCs w:val="24"/>
              </w:rPr>
            </w:pPr>
            <w:r>
              <w:rPr>
                <w:rFonts w:hint="eastAsia" w:ascii="仿宋" w:hAnsi="仿宋" w:eastAsia="仿宋" w:cs="仿宋"/>
                <w:sz w:val="24"/>
                <w:szCs w:val="24"/>
              </w:rPr>
              <w:t>密度</w:t>
            </w:r>
          </w:p>
        </w:tc>
        <w:tc>
          <w:tcPr>
            <w:tcW w:w="780"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出让</w:t>
            </w:r>
          </w:p>
          <w:p>
            <w:pPr>
              <w:spacing w:line="400" w:lineRule="exact"/>
              <w:jc w:val="center"/>
              <w:rPr>
                <w:rFonts w:ascii="仿宋" w:hAnsi="仿宋" w:eastAsia="仿宋" w:cs="仿宋"/>
                <w:sz w:val="24"/>
                <w:szCs w:val="24"/>
              </w:rPr>
            </w:pPr>
            <w:r>
              <w:rPr>
                <w:rFonts w:hint="eastAsia" w:ascii="仿宋" w:hAnsi="仿宋" w:eastAsia="仿宋" w:cs="仿宋"/>
                <w:sz w:val="24"/>
                <w:szCs w:val="24"/>
              </w:rPr>
              <w:t>年限</w:t>
            </w:r>
          </w:p>
          <w:p>
            <w:pPr>
              <w:spacing w:line="400" w:lineRule="exact"/>
              <w:jc w:val="center"/>
              <w:rPr>
                <w:rFonts w:ascii="仿宋" w:hAnsi="仿宋" w:eastAsia="仿宋" w:cs="仿宋"/>
                <w:sz w:val="24"/>
                <w:szCs w:val="24"/>
              </w:rPr>
            </w:pPr>
            <w:r>
              <w:rPr>
                <w:rFonts w:hint="eastAsia" w:ascii="仿宋" w:hAnsi="仿宋" w:eastAsia="仿宋" w:cs="仿宋"/>
                <w:sz w:val="24"/>
                <w:szCs w:val="24"/>
                <w:lang w:val="en-US"/>
              </w:rPr>
              <w:t>(</w:t>
            </w:r>
            <w:r>
              <w:rPr>
                <w:rFonts w:hint="eastAsia" w:ascii="仿宋" w:hAnsi="仿宋" w:eastAsia="仿宋" w:cs="仿宋"/>
                <w:sz w:val="24"/>
                <w:szCs w:val="24"/>
              </w:rPr>
              <w:t>年</w:t>
            </w:r>
            <w:r>
              <w:rPr>
                <w:rFonts w:hint="eastAsia" w:ascii="仿宋" w:hAnsi="仿宋" w:eastAsia="仿宋" w:cs="仿宋"/>
                <w:sz w:val="24"/>
                <w:szCs w:val="24"/>
                <w:lang w:val="en-US"/>
              </w:rPr>
              <w:t>)</w:t>
            </w:r>
          </w:p>
        </w:tc>
        <w:tc>
          <w:tcPr>
            <w:tcW w:w="975"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挂牌</w:t>
            </w:r>
          </w:p>
          <w:p>
            <w:pPr>
              <w:spacing w:line="400" w:lineRule="exact"/>
              <w:jc w:val="center"/>
              <w:rPr>
                <w:rFonts w:ascii="仿宋" w:hAnsi="仿宋" w:eastAsia="仿宋" w:cs="仿宋"/>
                <w:sz w:val="24"/>
                <w:szCs w:val="24"/>
              </w:rPr>
            </w:pPr>
            <w:r>
              <w:rPr>
                <w:rFonts w:hint="eastAsia" w:ascii="仿宋" w:hAnsi="仿宋" w:eastAsia="仿宋" w:cs="仿宋"/>
                <w:sz w:val="24"/>
                <w:szCs w:val="24"/>
              </w:rPr>
              <w:t>起始价</w:t>
            </w:r>
            <w:r>
              <w:rPr>
                <w:rFonts w:hint="eastAsia" w:ascii="仿宋" w:hAnsi="仿宋" w:eastAsia="仿宋" w:cs="仿宋"/>
                <w:sz w:val="24"/>
                <w:szCs w:val="24"/>
                <w:lang w:val="en-US"/>
              </w:rPr>
              <w:t>(</w:t>
            </w:r>
            <w:r>
              <w:rPr>
                <w:rFonts w:hint="eastAsia" w:ascii="仿宋" w:hAnsi="仿宋" w:eastAsia="仿宋" w:cs="仿宋"/>
                <w:sz w:val="24"/>
                <w:szCs w:val="24"/>
              </w:rPr>
              <w:t>万元</w:t>
            </w:r>
            <w:r>
              <w:rPr>
                <w:rFonts w:hint="eastAsia" w:ascii="仿宋" w:hAnsi="仿宋" w:eastAsia="仿宋" w:cs="仿宋"/>
                <w:sz w:val="24"/>
                <w:szCs w:val="24"/>
                <w:lang w:val="en-US"/>
              </w:rPr>
              <w:t>)</w:t>
            </w:r>
          </w:p>
        </w:tc>
        <w:tc>
          <w:tcPr>
            <w:tcW w:w="880"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竞买</w:t>
            </w:r>
          </w:p>
          <w:p>
            <w:pPr>
              <w:spacing w:line="400" w:lineRule="exact"/>
              <w:jc w:val="center"/>
              <w:rPr>
                <w:rFonts w:ascii="仿宋" w:hAnsi="仿宋" w:eastAsia="仿宋" w:cs="仿宋"/>
                <w:sz w:val="24"/>
                <w:szCs w:val="24"/>
              </w:rPr>
            </w:pPr>
            <w:r>
              <w:rPr>
                <w:rFonts w:hint="eastAsia" w:ascii="仿宋" w:hAnsi="仿宋" w:eastAsia="仿宋" w:cs="仿宋"/>
                <w:sz w:val="24"/>
                <w:szCs w:val="24"/>
              </w:rPr>
              <w:t>保证金</w:t>
            </w:r>
            <w:r>
              <w:rPr>
                <w:rFonts w:hint="eastAsia" w:ascii="仿宋" w:hAnsi="仿宋" w:eastAsia="仿宋" w:cs="仿宋"/>
                <w:sz w:val="24"/>
                <w:szCs w:val="24"/>
                <w:lang w:val="en-US"/>
              </w:rPr>
              <w:t>(</w:t>
            </w:r>
            <w:r>
              <w:rPr>
                <w:rFonts w:hint="eastAsia" w:ascii="仿宋" w:hAnsi="仿宋" w:eastAsia="仿宋" w:cs="仿宋"/>
                <w:sz w:val="24"/>
                <w:szCs w:val="24"/>
              </w:rPr>
              <w:t>万元</w:t>
            </w:r>
            <w:r>
              <w:rPr>
                <w:rFonts w:hint="eastAsia" w:ascii="仿宋" w:hAnsi="仿宋" w:eastAsia="仿宋" w:cs="仿宋"/>
                <w:sz w:val="24"/>
                <w:szCs w:val="24"/>
                <w:lang w:val="en-US"/>
              </w:rPr>
              <w:t>)</w:t>
            </w:r>
          </w:p>
        </w:tc>
        <w:tc>
          <w:tcPr>
            <w:tcW w:w="842" w:type="dxa"/>
            <w:tcBorders>
              <w:top w:val="outset" w:color="000000" w:sz="6" w:space="0"/>
              <w:left w:val="outset" w:color="000000" w:sz="6" w:space="0"/>
              <w:bottom w:val="outset" w:color="000000" w:sz="6" w:space="0"/>
              <w:right w:val="outset" w:color="000000" w:sz="6"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增价</w:t>
            </w:r>
          </w:p>
          <w:p>
            <w:pPr>
              <w:spacing w:line="400" w:lineRule="exact"/>
              <w:jc w:val="center"/>
              <w:rPr>
                <w:rFonts w:ascii="仿宋" w:hAnsi="仿宋" w:eastAsia="仿宋" w:cs="仿宋"/>
                <w:sz w:val="24"/>
                <w:szCs w:val="24"/>
              </w:rPr>
            </w:pPr>
            <w:r>
              <w:rPr>
                <w:rFonts w:hint="eastAsia" w:ascii="仿宋" w:hAnsi="仿宋" w:eastAsia="仿宋" w:cs="仿宋"/>
                <w:sz w:val="24"/>
                <w:szCs w:val="24"/>
              </w:rPr>
              <w:t>幅度</w:t>
            </w:r>
          </w:p>
          <w:p>
            <w:pPr>
              <w:spacing w:line="400" w:lineRule="exact"/>
              <w:jc w:val="center"/>
              <w:rPr>
                <w:rFonts w:ascii="仿宋" w:hAnsi="仿宋" w:eastAsia="仿宋" w:cs="仿宋"/>
                <w:sz w:val="24"/>
                <w:szCs w:val="24"/>
              </w:rPr>
            </w:pPr>
            <w:r>
              <w:rPr>
                <w:rFonts w:hint="eastAsia" w:ascii="仿宋" w:hAnsi="仿宋" w:eastAsia="仿宋" w:cs="仿宋"/>
                <w:sz w:val="24"/>
                <w:szCs w:val="24"/>
                <w:lang w:val="en-US"/>
              </w:rPr>
              <w:t>(</w:t>
            </w:r>
            <w:r>
              <w:rPr>
                <w:rFonts w:hint="eastAsia" w:ascii="仿宋" w:hAnsi="仿宋" w:eastAsia="仿宋" w:cs="仿宋"/>
                <w:sz w:val="24"/>
                <w:szCs w:val="24"/>
              </w:rPr>
              <w:t>万元</w:t>
            </w:r>
            <w:r>
              <w:rPr>
                <w:rFonts w:hint="eastAsia" w:ascii="仿宋" w:hAnsi="仿宋" w:eastAsia="仿宋" w:cs="仿宋"/>
                <w:sz w:val="24"/>
                <w:szCs w:val="24"/>
                <w:lang w:val="en-US"/>
              </w:rPr>
              <w:t>)</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30" w:type="dxa"/>
            <w:left w:w="30" w:type="dxa"/>
            <w:bottom w:w="30" w:type="dxa"/>
            <w:right w:w="30" w:type="dxa"/>
          </w:tblCellMar>
        </w:tblPrEx>
        <w:trPr>
          <w:trHeight w:val="2026" w:hRule="atLeast"/>
          <w:tblCellSpacing w:w="0" w:type="dxa"/>
          <w:jc w:val="center"/>
        </w:trPr>
        <w:tc>
          <w:tcPr>
            <w:tcW w:w="435" w:type="dxa"/>
            <w:tcBorders>
              <w:top w:val="outset" w:color="000000" w:sz="6" w:space="0"/>
              <w:left w:val="outset" w:color="000000" w:sz="6" w:space="0"/>
              <w:bottom w:val="outset" w:color="000000" w:sz="6" w:space="0"/>
              <w:right w:val="outset" w:color="000000" w:sz="6" w:space="0"/>
            </w:tcBorders>
            <w:vAlign w:val="center"/>
          </w:tcPr>
          <w:p>
            <w:pPr>
              <w:spacing w:line="560" w:lineRule="exact"/>
              <w:jc w:val="center"/>
              <w:rPr>
                <w:rFonts w:ascii="仿宋" w:hAnsi="仿宋" w:eastAsia="仿宋" w:cs="仿宋"/>
                <w:sz w:val="24"/>
                <w:szCs w:val="24"/>
              </w:rPr>
            </w:pPr>
            <w:r>
              <w:rPr>
                <w:rFonts w:hint="eastAsia" w:ascii="仿宋" w:hAnsi="仿宋" w:eastAsia="仿宋" w:cs="仿宋"/>
                <w:sz w:val="24"/>
                <w:szCs w:val="24"/>
              </w:rPr>
              <w:t>1</w:t>
            </w:r>
          </w:p>
        </w:tc>
        <w:tc>
          <w:tcPr>
            <w:tcW w:w="1359"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rPr>
              <w:t>桦南县鸿途街南</w:t>
            </w:r>
            <w:r>
              <w:rPr>
                <w:rFonts w:hint="eastAsia" w:ascii="仿宋" w:hAnsi="仿宋" w:eastAsia="仿宋" w:cs="仿宋"/>
                <w:sz w:val="24"/>
                <w:szCs w:val="24"/>
                <w:lang w:val="en-US" w:eastAsia="zh-CN"/>
              </w:rPr>
              <w:t>01-02</w:t>
            </w:r>
            <w:r>
              <w:rPr>
                <w:rFonts w:hint="eastAsia" w:ascii="仿宋" w:hAnsi="仿宋" w:eastAsia="仿宋" w:cs="仿宋"/>
                <w:sz w:val="24"/>
                <w:szCs w:val="24"/>
                <w:lang w:val="en-US"/>
              </w:rPr>
              <w:t>地块</w:t>
            </w:r>
          </w:p>
        </w:tc>
        <w:tc>
          <w:tcPr>
            <w:tcW w:w="969"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eastAsia="zh-CN"/>
              </w:rPr>
              <w:t>35953</w:t>
            </w:r>
          </w:p>
        </w:tc>
        <w:tc>
          <w:tcPr>
            <w:tcW w:w="623"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rPr>
              <w:t>工业用地</w:t>
            </w:r>
          </w:p>
        </w:tc>
        <w:tc>
          <w:tcPr>
            <w:tcW w:w="600"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rPr>
              <w:t>≥</w:t>
            </w:r>
            <w:r>
              <w:rPr>
                <w:rFonts w:hint="eastAsia" w:ascii="仿宋" w:hAnsi="仿宋" w:eastAsia="仿宋" w:cs="仿宋"/>
                <w:sz w:val="24"/>
                <w:szCs w:val="24"/>
                <w:lang w:val="en-US"/>
              </w:rPr>
              <w:t>0.6</w:t>
            </w:r>
          </w:p>
        </w:tc>
        <w:tc>
          <w:tcPr>
            <w:tcW w:w="705"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rPr>
              <w:t>≤24</w:t>
            </w:r>
          </w:p>
        </w:tc>
        <w:tc>
          <w:tcPr>
            <w:tcW w:w="870"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rPr>
            </w:pPr>
            <w:r>
              <w:rPr>
                <w:rFonts w:hint="eastAsia" w:ascii="仿宋" w:hAnsi="仿宋" w:eastAsia="仿宋" w:cs="仿宋"/>
                <w:sz w:val="24"/>
                <w:szCs w:val="24"/>
                <w:lang w:val="en-US"/>
              </w:rPr>
              <w:t>≤20</w:t>
            </w:r>
            <w:r>
              <w:rPr>
                <w:rFonts w:hint="eastAsia" w:ascii="仿宋" w:hAnsi="仿宋" w:eastAsia="仿宋" w:cs="仿宋"/>
                <w:sz w:val="24"/>
                <w:szCs w:val="24"/>
              </w:rPr>
              <w:t>％</w:t>
            </w:r>
          </w:p>
        </w:tc>
        <w:tc>
          <w:tcPr>
            <w:tcW w:w="870"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40</w:t>
            </w:r>
            <w:r>
              <w:rPr>
                <w:rFonts w:hint="eastAsia" w:ascii="仿宋" w:hAnsi="仿宋" w:eastAsia="仿宋" w:cs="仿宋"/>
                <w:sz w:val="24"/>
                <w:szCs w:val="24"/>
              </w:rPr>
              <w:t>％</w:t>
            </w:r>
          </w:p>
        </w:tc>
        <w:tc>
          <w:tcPr>
            <w:tcW w:w="780"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rPr>
              <w:t>工业50年</w:t>
            </w:r>
          </w:p>
        </w:tc>
        <w:tc>
          <w:tcPr>
            <w:tcW w:w="975" w:type="dxa"/>
            <w:tcBorders>
              <w:top w:val="outset" w:color="000000" w:sz="6" w:space="0"/>
              <w:left w:val="outset" w:color="000000" w:sz="6" w:space="0"/>
              <w:bottom w:val="outset" w:color="000000" w:sz="6" w:space="0"/>
              <w:right w:val="outset" w:color="000000" w:sz="6" w:space="0"/>
            </w:tcBorders>
            <w:vAlign w:val="center"/>
          </w:tcPr>
          <w:p>
            <w:pPr>
              <w:ind w:left="720" w:leftChars="0" w:hanging="720" w:hangingChars="300"/>
              <w:jc w:val="center"/>
              <w:rPr>
                <w:rFonts w:ascii="仿宋" w:hAnsi="仿宋" w:eastAsia="仿宋" w:cs="仿宋"/>
                <w:sz w:val="24"/>
                <w:szCs w:val="24"/>
                <w:lang w:val="en-US"/>
              </w:rPr>
            </w:pPr>
            <w:r>
              <w:rPr>
                <w:rFonts w:hint="eastAsia" w:ascii="仿宋" w:hAnsi="仿宋" w:eastAsia="仿宋" w:cs="仿宋"/>
                <w:sz w:val="24"/>
                <w:szCs w:val="24"/>
                <w:lang w:val="en-US" w:eastAsia="zh-CN"/>
              </w:rPr>
              <w:t>712</w:t>
            </w:r>
          </w:p>
        </w:tc>
        <w:tc>
          <w:tcPr>
            <w:tcW w:w="880"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eastAsia="zh-CN"/>
              </w:rPr>
              <w:t>712</w:t>
            </w:r>
          </w:p>
        </w:tc>
        <w:tc>
          <w:tcPr>
            <w:tcW w:w="842" w:type="dxa"/>
            <w:tcBorders>
              <w:top w:val="outset" w:color="000000" w:sz="6" w:space="0"/>
              <w:left w:val="outset" w:color="000000" w:sz="6" w:space="0"/>
              <w:bottom w:val="outset" w:color="000000" w:sz="6" w:space="0"/>
              <w:right w:val="outset" w:color="000000" w:sz="6" w:space="0"/>
            </w:tcBorders>
            <w:vAlign w:val="center"/>
          </w:tcPr>
          <w:p>
            <w:pPr>
              <w:jc w:val="center"/>
              <w:rPr>
                <w:rFonts w:ascii="仿宋" w:hAnsi="仿宋" w:eastAsia="仿宋" w:cs="仿宋"/>
                <w:sz w:val="24"/>
                <w:szCs w:val="24"/>
                <w:lang w:val="en-US"/>
              </w:rPr>
            </w:pPr>
            <w:r>
              <w:rPr>
                <w:rFonts w:hint="eastAsia" w:ascii="仿宋" w:hAnsi="仿宋" w:eastAsia="仿宋" w:cs="仿宋"/>
                <w:sz w:val="24"/>
                <w:szCs w:val="24"/>
                <w:lang w:val="en-US"/>
              </w:rPr>
              <w:t>100</w:t>
            </w:r>
          </w:p>
        </w:tc>
      </w:tr>
    </w:tbl>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本次国有建设用地使用权挂牌出让遵循公开公平、公正和诚实信用原则。挂牌地块不设底价，按价高者得原则确定竞得人。本次国有建设用地使用权挂牌出让活动采取在互联网上交易的方式，即通过黑龙江公共资源交易网（http://ggzyjyw.hlj.gov.cn/）进行交易。</w:t>
      </w:r>
    </w:p>
    <w:p>
      <w:pPr>
        <w:spacing w:line="540" w:lineRule="exact"/>
        <w:rPr>
          <w:rFonts w:ascii="仿宋" w:hAnsi="仿宋" w:eastAsia="仿宋" w:cs="仿宋"/>
          <w:sz w:val="32"/>
          <w:szCs w:val="32"/>
        </w:rPr>
      </w:pPr>
      <w:bookmarkStart w:id="2" w:name="一、_出让地块基本情况"/>
      <w:bookmarkEnd w:id="2"/>
      <w:bookmarkStart w:id="3" w:name="（三）、供地情况说明："/>
      <w:bookmarkEnd w:id="3"/>
      <w:bookmarkStart w:id="4" w:name="二、_竞买资格及要求"/>
      <w:bookmarkEnd w:id="4"/>
      <w:bookmarkStart w:id="5" w:name="（二）、工业项目相关要求："/>
      <w:bookmarkEnd w:id="5"/>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二、竞买资格及要求</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1.</w:t>
      </w:r>
      <w:r>
        <w:rPr>
          <w:rFonts w:hint="eastAsia" w:ascii="仿宋" w:hAnsi="仿宋" w:eastAsia="仿宋" w:cs="仿宋"/>
          <w:sz w:val="32"/>
          <w:szCs w:val="32"/>
        </w:rPr>
        <w:t>中华人民共和国境内外的法人、自然人和其它组织（除法律、法规另有规定外），均可参加国有建设用地使用权竞买。可以独立竞买，也可以联合竞买。联合竞买的，须提交联合竞买协议和授权委托文件。被列入房地产开发企业失信黑名单的非诚信企业，不具备竞买资格。申请人一经报名即视为对挂牌文件及地块现状无异议并全部接受，并相应承担法律责任。在挂牌期内每个竞买人必须有一次有效报价。</w:t>
      </w:r>
      <w:bookmarkStart w:id="6" w:name="三、_挂牌出让活动有关时间"/>
      <w:bookmarkEnd w:id="6"/>
    </w:p>
    <w:p>
      <w:pPr>
        <w:spacing w:line="540" w:lineRule="exact"/>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 挂牌出让活动有关时间</w:t>
      </w:r>
    </w:p>
    <w:p>
      <w:pPr>
        <w:spacing w:line="540" w:lineRule="exact"/>
        <w:rPr>
          <w:rFonts w:ascii="仿宋" w:hAnsi="仿宋" w:eastAsia="仿宋" w:cs="仿宋"/>
          <w:sz w:val="32"/>
          <w:szCs w:val="32"/>
          <w:highlight w:val="magenta"/>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出让地块挂牌时间为202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日9时至202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w:t>
      </w:r>
      <w:r>
        <w:rPr>
          <w:rFonts w:hint="eastAsia" w:ascii="仿宋" w:hAnsi="仿宋" w:eastAsia="仿宋" w:cs="仿宋"/>
          <w:sz w:val="32"/>
          <w:szCs w:val="32"/>
          <w:lang w:val="en-US"/>
        </w:rPr>
        <w:t>9</w:t>
      </w:r>
      <w:r>
        <w:rPr>
          <w:rFonts w:hint="eastAsia" w:ascii="仿宋" w:hAnsi="仿宋" w:eastAsia="仿宋" w:cs="仿宋"/>
          <w:sz w:val="32"/>
          <w:szCs w:val="32"/>
        </w:rPr>
        <w:t>时（自由报价时间）；</w:t>
      </w:r>
    </w:p>
    <w:p>
      <w:pPr>
        <w:spacing w:line="540" w:lineRule="exact"/>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网上限时竞价开始时间：202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lang w:val="en-US"/>
        </w:rPr>
        <w:t>8</w:t>
      </w:r>
      <w:r>
        <w:rPr>
          <w:rFonts w:hint="eastAsia" w:ascii="仿宋" w:hAnsi="仿宋" w:eastAsia="仿宋" w:cs="仿宋"/>
          <w:sz w:val="32"/>
          <w:szCs w:val="32"/>
        </w:rPr>
        <w:t>日</w:t>
      </w:r>
      <w:r>
        <w:rPr>
          <w:rFonts w:hint="eastAsia" w:ascii="仿宋" w:hAnsi="仿宋" w:eastAsia="仿宋" w:cs="仿宋"/>
          <w:sz w:val="32"/>
          <w:szCs w:val="32"/>
          <w:lang w:val="en-US"/>
        </w:rPr>
        <w:t>9</w:t>
      </w:r>
      <w:r>
        <w:rPr>
          <w:rFonts w:hint="eastAsia" w:ascii="仿宋" w:hAnsi="仿宋" w:eastAsia="仿宋" w:cs="仿宋"/>
          <w:sz w:val="32"/>
          <w:szCs w:val="32"/>
        </w:rPr>
        <w:t>时</w:t>
      </w:r>
      <w:r>
        <w:rPr>
          <w:rFonts w:hint="eastAsia" w:ascii="仿宋" w:hAnsi="仿宋" w:eastAsia="仿宋" w:cs="仿宋"/>
          <w:sz w:val="32"/>
          <w:szCs w:val="32"/>
          <w:lang w:val="en-US"/>
        </w:rPr>
        <w:t>05分</w:t>
      </w:r>
      <w:r>
        <w:rPr>
          <w:rFonts w:hint="eastAsia" w:ascii="仿宋" w:hAnsi="仿宋" w:eastAsia="仿宋" w:cs="仿宋"/>
          <w:sz w:val="32"/>
          <w:szCs w:val="32"/>
        </w:rPr>
        <w:t>；</w:t>
      </w:r>
    </w:p>
    <w:p>
      <w:pPr>
        <w:spacing w:line="540" w:lineRule="exact"/>
        <w:rPr>
          <w:rFonts w:ascii="仿宋" w:hAnsi="仿宋" w:eastAsia="仿宋" w:cs="仿宋"/>
          <w:sz w:val="32"/>
          <w:szCs w:val="32"/>
        </w:rPr>
      </w:pPr>
      <w:bookmarkStart w:id="7" w:name="四、_竞买申请和资格审查"/>
      <w:bookmarkEnd w:id="7"/>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四、交易流程</w:t>
      </w:r>
    </w:p>
    <w:p>
      <w:pPr>
        <w:spacing w:line="540" w:lineRule="exact"/>
        <w:rPr>
          <w:rFonts w:ascii="仿宋" w:hAnsi="仿宋" w:eastAsia="仿宋" w:cs="仿宋"/>
          <w:color w:val="FF0000"/>
          <w:sz w:val="32"/>
          <w:szCs w:val="32"/>
          <w:lang w:val="en-US"/>
        </w:rPr>
      </w:pPr>
      <w:bookmarkStart w:id="8" w:name="(一)_、取得数字证书"/>
      <w:bookmarkEnd w:id="8"/>
      <w:r>
        <w:rPr>
          <w:rFonts w:hint="eastAsia" w:ascii="仿宋" w:hAnsi="仿宋" w:eastAsia="仿宋" w:cs="仿宋"/>
          <w:sz w:val="32"/>
          <w:szCs w:val="32"/>
          <w:lang w:val="en-US"/>
        </w:rPr>
        <w:t xml:space="preserve">    （一）竞买人操作流程</w:t>
      </w:r>
    </w:p>
    <w:p>
      <w:pPr>
        <w:spacing w:line="540" w:lineRule="exact"/>
        <w:jc w:val="both"/>
        <w:rPr>
          <w:rFonts w:ascii="仿宋" w:hAnsi="仿宋" w:eastAsia="仿宋" w:cs="仿宋"/>
          <w:sz w:val="32"/>
          <w:szCs w:val="32"/>
          <w:lang w:val="en-US"/>
        </w:rPr>
      </w:pPr>
      <w:r>
        <w:rPr>
          <w:rFonts w:hint="eastAsia" w:ascii="仿宋" w:hAnsi="仿宋" w:eastAsia="仿宋" w:cs="仿宋"/>
          <w:sz w:val="32"/>
          <w:szCs w:val="32"/>
          <w:lang w:val="en-US"/>
        </w:rPr>
        <w:t xml:space="preserve">    （1）竞买人须在公告期内，登录黑龙江省公共资源交易网（</w:t>
      </w:r>
      <w:r>
        <w:fldChar w:fldCharType="begin"/>
      </w:r>
      <w:r>
        <w:instrText xml:space="preserve">HYPERLINK "http://www.hljggzyjyw.org.cn/EpointSSO/login/oauth2login" </w:instrText>
      </w:r>
      <w:r>
        <w:fldChar w:fldCharType="separate"/>
      </w:r>
      <w:r>
        <w:rPr>
          <w:rFonts w:hint="eastAsia" w:ascii="仿宋" w:hAnsi="仿宋" w:eastAsia="仿宋" w:cs="仿宋"/>
          <w:sz w:val="32"/>
          <w:szCs w:val="32"/>
          <w:lang w:val="en-US"/>
        </w:rPr>
        <w:t>http://ggzyjyw.hlj.gov.cn/</w:t>
      </w:r>
      <w:r>
        <w:fldChar w:fldCharType="end"/>
      </w:r>
      <w:r>
        <w:rPr>
          <w:rFonts w:hint="eastAsia" w:ascii="仿宋" w:hAnsi="仿宋" w:eastAsia="仿宋" w:cs="仿宋"/>
          <w:sz w:val="32"/>
          <w:szCs w:val="32"/>
          <w:lang w:val="en-US"/>
        </w:rPr>
        <w:t>），在用户注册页面进行注册，并按照操作要求完善注册信息和诚信信息，提交后等待验证通过。</w:t>
      </w:r>
    </w:p>
    <w:p>
      <w:pPr>
        <w:spacing w:line="540" w:lineRule="exact"/>
        <w:rPr>
          <w:rFonts w:ascii="仿宋" w:hAnsi="仿宋" w:eastAsia="仿宋" w:cs="仿宋"/>
          <w:sz w:val="32"/>
          <w:szCs w:val="32"/>
          <w:lang w:val="en-US"/>
        </w:rPr>
      </w:pPr>
      <w:r>
        <w:rPr>
          <w:rFonts w:hint="eastAsia" w:ascii="仿宋" w:hAnsi="仿宋" w:eastAsia="仿宋" w:cs="仿宋"/>
          <w:sz w:val="32"/>
          <w:szCs w:val="32"/>
          <w:lang w:val="en-US"/>
        </w:rPr>
        <w:t xml:space="preserve">    （2）验证通过后，竞买人须在公告期内，到“黑龙江公共资源交易网” (</w:t>
      </w:r>
      <w:r>
        <w:fldChar w:fldCharType="begin"/>
      </w:r>
      <w:r>
        <w:instrText xml:space="preserve">HYPERLINK "http://www.hljggzyjyw.org.cn/" </w:instrText>
      </w:r>
      <w:r>
        <w:fldChar w:fldCharType="separate"/>
      </w:r>
      <w:r>
        <w:rPr>
          <w:rFonts w:hint="eastAsia" w:ascii="仿宋" w:hAnsi="仿宋" w:eastAsia="仿宋" w:cs="仿宋"/>
          <w:sz w:val="32"/>
          <w:szCs w:val="32"/>
          <w:lang w:val="en-US"/>
        </w:rPr>
        <w:t>http://ggzyjyw.hlj.gov.cn/</w:t>
      </w:r>
      <w:r>
        <w:fldChar w:fldCharType="end"/>
      </w:r>
      <w:r>
        <w:rPr>
          <w:rFonts w:hint="eastAsia" w:ascii="仿宋" w:hAnsi="仿宋" w:eastAsia="仿宋" w:cs="仿宋"/>
          <w:sz w:val="32"/>
          <w:szCs w:val="32"/>
          <w:lang w:val="en-US"/>
        </w:rPr>
        <w:t xml:space="preserve"> )“线上培训”和“服务指南”中下载《交易竞买人操作手册》等，自行学习标的报名和竞买保证金缴纳、标的竞价等相关事宜。</w:t>
      </w:r>
    </w:p>
    <w:p>
      <w:pPr>
        <w:spacing w:line="540" w:lineRule="exact"/>
        <w:rPr>
          <w:rFonts w:ascii="仿宋" w:hAnsi="仿宋" w:eastAsia="仿宋" w:cs="仿宋"/>
          <w:sz w:val="32"/>
          <w:szCs w:val="32"/>
          <w:lang w:val="en-US"/>
        </w:rPr>
      </w:pPr>
      <w:r>
        <w:rPr>
          <w:rFonts w:hint="eastAsia" w:ascii="仿宋" w:hAnsi="仿宋" w:eastAsia="仿宋" w:cs="仿宋"/>
          <w:sz w:val="32"/>
          <w:szCs w:val="32"/>
          <w:lang w:val="en-US"/>
        </w:rPr>
        <w:t xml:space="preserve">    （3）竞买人登陆“黑龙江省公共资源网”，点击“权益交易”，选择交易标的，进行在线报名、缴纳竞买保证金并按照报价规则在线出价。</w:t>
      </w:r>
    </w:p>
    <w:p>
      <w:pPr>
        <w:spacing w:line="540" w:lineRule="exact"/>
        <w:ind w:left="0" w:leftChars="0" w:firstLine="438" w:firstLineChars="137"/>
        <w:rPr>
          <w:rFonts w:ascii="仿宋" w:hAnsi="仿宋" w:eastAsia="仿宋" w:cs="仿宋"/>
          <w:sz w:val="32"/>
          <w:szCs w:val="32"/>
          <w:lang w:val="en-US"/>
        </w:rPr>
      </w:pPr>
      <w:r>
        <w:rPr>
          <w:rFonts w:hint="eastAsia" w:ascii="仿宋" w:hAnsi="仿宋" w:eastAsia="仿宋" w:cs="仿宋"/>
          <w:sz w:val="32"/>
          <w:szCs w:val="32"/>
          <w:lang w:val="en-US"/>
        </w:rPr>
        <w:t>(</w:t>
      </w:r>
      <w:r>
        <w:rPr>
          <w:rFonts w:hint="eastAsia" w:ascii="仿宋" w:hAnsi="仿宋" w:eastAsia="仿宋" w:cs="仿宋"/>
          <w:sz w:val="32"/>
          <w:szCs w:val="32"/>
        </w:rPr>
        <w:t>二</w:t>
      </w:r>
      <w:r>
        <w:rPr>
          <w:rFonts w:hint="eastAsia" w:ascii="仿宋" w:hAnsi="仿宋" w:eastAsia="仿宋" w:cs="仿宋"/>
          <w:sz w:val="32"/>
          <w:szCs w:val="32"/>
          <w:lang w:val="en-US"/>
        </w:rPr>
        <w:t>)</w:t>
      </w:r>
      <w:r>
        <w:rPr>
          <w:rFonts w:hint="eastAsia" w:ascii="仿宋" w:hAnsi="仿宋" w:eastAsia="仿宋" w:cs="仿宋"/>
          <w:sz w:val="32"/>
          <w:szCs w:val="32"/>
        </w:rPr>
        <w:t>获取挂牌文件</w:t>
      </w:r>
    </w:p>
    <w:p>
      <w:pPr>
        <w:spacing w:line="540" w:lineRule="exact"/>
        <w:ind w:left="0" w:leftChars="0" w:firstLine="438" w:firstLineChars="137"/>
        <w:jc w:val="both"/>
        <w:rPr>
          <w:rFonts w:ascii="仿宋" w:hAnsi="仿宋" w:eastAsia="仿宋" w:cs="仿宋"/>
          <w:sz w:val="32"/>
          <w:szCs w:val="32"/>
          <w:lang w:val="en-US"/>
        </w:rPr>
      </w:pPr>
      <w:r>
        <w:rPr>
          <w:rFonts w:hint="eastAsia" w:ascii="仿宋" w:hAnsi="仿宋" w:eastAsia="仿宋" w:cs="仿宋"/>
          <w:sz w:val="32"/>
          <w:szCs w:val="32"/>
        </w:rPr>
        <w:t>申请人可于</w:t>
      </w:r>
      <w:r>
        <w:rPr>
          <w:rFonts w:hint="eastAsia" w:ascii="仿宋" w:hAnsi="仿宋" w:eastAsia="仿宋" w:cs="仿宋"/>
          <w:sz w:val="32"/>
          <w:szCs w:val="32"/>
          <w:lang w:val="en-US"/>
        </w:rPr>
        <w:t>2023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19</w:t>
      </w:r>
      <w:r>
        <w:rPr>
          <w:rFonts w:hint="eastAsia" w:ascii="仿宋" w:hAnsi="仿宋" w:eastAsia="仿宋" w:cs="仿宋"/>
          <w:sz w:val="32"/>
          <w:szCs w:val="32"/>
        </w:rPr>
        <w:t>日</w:t>
      </w:r>
      <w:r>
        <w:rPr>
          <w:rFonts w:hint="eastAsia" w:ascii="仿宋" w:hAnsi="仿宋" w:eastAsia="仿宋" w:cs="仿宋"/>
          <w:sz w:val="32"/>
          <w:szCs w:val="32"/>
          <w:lang w:val="en-US"/>
        </w:rPr>
        <w:t>9时</w:t>
      </w:r>
      <w:r>
        <w:rPr>
          <w:rFonts w:hint="eastAsia" w:ascii="仿宋" w:hAnsi="仿宋" w:eastAsia="仿宋" w:cs="仿宋"/>
          <w:sz w:val="32"/>
          <w:szCs w:val="32"/>
        </w:rPr>
        <w:t>起登录黑龙江公共资源交易网</w:t>
      </w:r>
      <w:r>
        <w:rPr>
          <w:rFonts w:hint="eastAsia" w:ascii="仿宋" w:hAnsi="仿宋" w:eastAsia="仿宋" w:cs="仿宋"/>
          <w:sz w:val="32"/>
          <w:szCs w:val="32"/>
          <w:lang w:val="en-US"/>
        </w:rPr>
        <w:t>（http://ggzyjyw.hlj.gov.cn/）</w:t>
      </w:r>
      <w:r>
        <w:rPr>
          <w:rFonts w:hint="eastAsia" w:ascii="仿宋" w:hAnsi="仿宋" w:eastAsia="仿宋" w:cs="仿宋"/>
          <w:sz w:val="32"/>
          <w:szCs w:val="32"/>
        </w:rPr>
        <w:t>土地及矿产权信息</w:t>
      </w:r>
      <w:r>
        <w:rPr>
          <w:rFonts w:hint="eastAsia" w:ascii="仿宋" w:hAnsi="仿宋" w:eastAsia="仿宋" w:cs="仿宋"/>
          <w:sz w:val="32"/>
          <w:szCs w:val="32"/>
          <w:lang w:val="en-US"/>
        </w:rPr>
        <w:t>—</w:t>
      </w:r>
      <w:r>
        <w:rPr>
          <w:rFonts w:hint="eastAsia" w:ascii="仿宋" w:hAnsi="仿宋" w:eastAsia="仿宋" w:cs="仿宋"/>
          <w:sz w:val="32"/>
          <w:szCs w:val="32"/>
        </w:rPr>
        <w:t>下载《挂牌出让须知》、规划图、竞买申请书、授权委托书、及其他相关文件。</w:t>
      </w:r>
    </w:p>
    <w:p>
      <w:pPr>
        <w:spacing w:line="540" w:lineRule="exact"/>
        <w:ind w:left="0" w:leftChars="0" w:firstLine="438" w:firstLineChars="137"/>
        <w:rPr>
          <w:rFonts w:ascii="仿宋" w:hAnsi="仿宋" w:eastAsia="仿宋" w:cs="仿宋"/>
          <w:sz w:val="32"/>
          <w:szCs w:val="32"/>
        </w:rPr>
      </w:pPr>
      <w:bookmarkStart w:id="9" w:name="(三)_、答疑及踏查"/>
      <w:bookmarkEnd w:id="9"/>
      <w:r>
        <w:rPr>
          <w:rFonts w:hint="eastAsia" w:ascii="仿宋" w:hAnsi="仿宋" w:eastAsia="仿宋" w:cs="仿宋"/>
          <w:sz w:val="32"/>
          <w:szCs w:val="32"/>
        </w:rPr>
        <w:t>(三)答疑及踏查</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申请人对挂牌出让文件有疑问的，可以在挂牌活动开始前以书面或者口头方式向</w:t>
      </w:r>
      <w:r>
        <w:rPr>
          <w:rFonts w:hint="eastAsia" w:ascii="仿宋" w:hAnsi="仿宋" w:eastAsia="仿宋" w:cs="仿宋"/>
          <w:sz w:val="32"/>
          <w:szCs w:val="32"/>
          <w:lang w:val="en-US"/>
        </w:rPr>
        <w:t>桦南县自然资源局</w:t>
      </w:r>
      <w:r>
        <w:rPr>
          <w:rFonts w:hint="eastAsia" w:ascii="仿宋" w:hAnsi="仿宋" w:eastAsia="仿宋" w:cs="仿宋"/>
          <w:sz w:val="32"/>
          <w:szCs w:val="32"/>
        </w:rPr>
        <w:t>咨询。我中心不组织安排该地块的现场踏勘。</w:t>
      </w:r>
    </w:p>
    <w:p>
      <w:pPr>
        <w:spacing w:line="540" w:lineRule="exact"/>
        <w:ind w:left="0" w:leftChars="0" w:firstLine="438" w:firstLineChars="137"/>
        <w:rPr>
          <w:rFonts w:ascii="仿宋" w:hAnsi="仿宋" w:eastAsia="仿宋" w:cs="仿宋"/>
          <w:sz w:val="32"/>
          <w:szCs w:val="32"/>
        </w:rPr>
      </w:pPr>
      <w:bookmarkStart w:id="10" w:name="(四)_、提交竞买申请"/>
      <w:bookmarkEnd w:id="10"/>
      <w:r>
        <w:rPr>
          <w:rFonts w:hint="eastAsia" w:ascii="仿宋" w:hAnsi="仿宋" w:eastAsia="仿宋" w:cs="仿宋"/>
          <w:sz w:val="32"/>
          <w:szCs w:val="32"/>
        </w:rPr>
        <w:t>(四)提交竞买申请</w:t>
      </w:r>
    </w:p>
    <w:p>
      <w:pPr>
        <w:spacing w:line="540" w:lineRule="exact"/>
        <w:ind w:left="0" w:leftChars="0" w:firstLine="438" w:firstLineChars="137"/>
        <w:jc w:val="both"/>
        <w:rPr>
          <w:rFonts w:ascii="仿宋" w:hAnsi="仿宋" w:eastAsia="仿宋" w:cs="仿宋"/>
          <w:sz w:val="32"/>
          <w:szCs w:val="32"/>
        </w:rPr>
      </w:pPr>
      <w:r>
        <w:rPr>
          <w:rFonts w:hint="eastAsia" w:ascii="仿宋" w:hAnsi="仿宋" w:eastAsia="仿宋" w:cs="仿宋"/>
          <w:sz w:val="32"/>
          <w:szCs w:val="32"/>
        </w:rPr>
        <w:t>申请人可于202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r>
        <w:rPr>
          <w:rFonts w:hint="eastAsia" w:ascii="仿宋" w:hAnsi="仿宋" w:eastAsia="仿宋" w:cs="仿宋"/>
          <w:sz w:val="32"/>
          <w:szCs w:val="32"/>
          <w:lang w:val="en-US"/>
        </w:rPr>
        <w:t>9</w:t>
      </w:r>
      <w:r>
        <w:rPr>
          <w:rFonts w:hint="eastAsia" w:ascii="仿宋" w:hAnsi="仿宋" w:eastAsia="仿宋" w:cs="仿宋"/>
          <w:sz w:val="32"/>
          <w:szCs w:val="32"/>
        </w:rPr>
        <w:t>时至202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17</w:t>
      </w:r>
      <w:bookmarkStart w:id="16" w:name="_GoBack"/>
      <w:bookmarkEnd w:id="16"/>
      <w:r>
        <w:rPr>
          <w:rFonts w:hint="eastAsia" w:ascii="仿宋" w:hAnsi="仿宋" w:eastAsia="仿宋" w:cs="仿宋"/>
          <w:sz w:val="32"/>
          <w:szCs w:val="32"/>
        </w:rPr>
        <w:t>日</w:t>
      </w:r>
      <w:r>
        <w:rPr>
          <w:rFonts w:hint="eastAsia" w:ascii="仿宋" w:hAnsi="仿宋" w:eastAsia="仿宋" w:cs="仿宋"/>
          <w:sz w:val="32"/>
          <w:szCs w:val="32"/>
          <w:lang w:val="en-US"/>
        </w:rPr>
        <w:t>9</w:t>
      </w:r>
      <w:r>
        <w:rPr>
          <w:rFonts w:hint="eastAsia" w:ascii="仿宋" w:hAnsi="仿宋" w:eastAsia="仿宋" w:cs="仿宋"/>
          <w:sz w:val="32"/>
          <w:szCs w:val="32"/>
        </w:rPr>
        <w:t>时在黑龙江公共资源交易网（http://ggzyjyw.hlj.gov.cn/）提交竞买申请，竞买申请通过资格审核后</w:t>
      </w:r>
      <w:r>
        <w:rPr>
          <w:rFonts w:hint="eastAsia" w:ascii="仿宋" w:hAnsi="仿宋" w:eastAsia="仿宋" w:cs="仿宋"/>
          <w:sz w:val="32"/>
          <w:szCs w:val="32"/>
          <w:lang w:val="en-US"/>
        </w:rPr>
        <w:t>,</w:t>
      </w:r>
      <w:r>
        <w:rPr>
          <w:rFonts w:hint="eastAsia" w:ascii="仿宋" w:hAnsi="仿宋" w:eastAsia="仿宋" w:cs="仿宋"/>
          <w:sz w:val="32"/>
          <w:szCs w:val="32"/>
        </w:rPr>
        <w:t>申请人可于202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lang w:val="en-US"/>
        </w:rPr>
        <w:t>7</w:t>
      </w:r>
      <w:r>
        <w:rPr>
          <w:rFonts w:hint="eastAsia" w:ascii="仿宋" w:hAnsi="仿宋" w:eastAsia="仿宋" w:cs="仿宋"/>
          <w:sz w:val="32"/>
          <w:szCs w:val="32"/>
        </w:rPr>
        <w:t>日</w:t>
      </w:r>
      <w:r>
        <w:rPr>
          <w:rFonts w:hint="eastAsia" w:ascii="仿宋" w:hAnsi="仿宋" w:eastAsia="仿宋" w:cs="仿宋"/>
          <w:sz w:val="32"/>
          <w:szCs w:val="32"/>
          <w:lang w:val="en-US"/>
        </w:rPr>
        <w:t>15</w:t>
      </w:r>
      <w:r>
        <w:rPr>
          <w:rFonts w:hint="eastAsia" w:ascii="仿宋" w:hAnsi="仿宋" w:eastAsia="仿宋" w:cs="仿宋"/>
          <w:sz w:val="32"/>
          <w:szCs w:val="32"/>
        </w:rPr>
        <w:t>时前交纳竞买保证金。申请人一经报名即视为对挂牌文件及地块现状无异议并全部接受，对有关承诺承担法律责任。</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申请文件包括：</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lang w:val="en-US"/>
        </w:rPr>
        <w:t>1.</w:t>
      </w:r>
      <w:r>
        <w:rPr>
          <w:rFonts w:hint="eastAsia" w:ascii="仿宋" w:hAnsi="仿宋" w:eastAsia="仿宋" w:cs="仿宋"/>
          <w:sz w:val="32"/>
          <w:szCs w:val="32"/>
        </w:rPr>
        <w:t>境内法人申请</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1）</w:t>
      </w:r>
      <w:r>
        <w:rPr>
          <w:rFonts w:hint="eastAsia" w:ascii="仿宋" w:hAnsi="仿宋" w:eastAsia="仿宋" w:cs="仿宋"/>
          <w:sz w:val="32"/>
          <w:szCs w:val="32"/>
        </w:rPr>
        <w:t>竞买申请书的照片或扫描件（PDF格式），竞买申请书必须手工填写并加盖申请人公章。</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2）</w:t>
      </w:r>
      <w:r>
        <w:rPr>
          <w:rFonts w:hint="eastAsia" w:ascii="仿宋" w:hAnsi="仿宋" w:eastAsia="仿宋" w:cs="仿宋"/>
          <w:sz w:val="32"/>
          <w:szCs w:val="32"/>
        </w:rPr>
        <w:t>法人单位有效的证明文件的照片或扫描件（PDF格式）。</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3）</w:t>
      </w:r>
      <w:r>
        <w:rPr>
          <w:rFonts w:hint="eastAsia" w:ascii="仿宋" w:hAnsi="仿宋" w:eastAsia="仿宋" w:cs="仿宋"/>
          <w:sz w:val="32"/>
          <w:szCs w:val="32"/>
        </w:rPr>
        <w:t>法定代表人的有效身份证明文件(原件)的照片或扫描件（PDF格式）。</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4）</w:t>
      </w:r>
      <w:r>
        <w:rPr>
          <w:rFonts w:hint="eastAsia" w:ascii="仿宋" w:hAnsi="仿宋" w:eastAsia="仿宋" w:cs="仿宋"/>
          <w:sz w:val="32"/>
          <w:szCs w:val="32"/>
        </w:rPr>
        <w:t>申请人委托他人办理的，应提交授权委托书及委托代理人的有效身份证明文件(原件)的照片或扫描件（PDF格式），授权委托书必须手工填写，加盖申请人公章。</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5）</w:t>
      </w:r>
      <w:r>
        <w:rPr>
          <w:rFonts w:hint="eastAsia" w:ascii="仿宋" w:hAnsi="仿宋" w:eastAsia="仿宋" w:cs="仿宋"/>
          <w:sz w:val="32"/>
          <w:szCs w:val="32"/>
        </w:rPr>
        <w:t>拟成立新公司进行开发建设的，应提交成立新公司的《申请书》（机打）并明确新公司的出资构成、成立时间等内容。</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6）</w:t>
      </w:r>
      <w:r>
        <w:rPr>
          <w:rFonts w:hint="eastAsia" w:ascii="仿宋" w:hAnsi="仿宋" w:eastAsia="仿宋" w:cs="仿宋"/>
          <w:sz w:val="32"/>
          <w:szCs w:val="32"/>
        </w:rPr>
        <w:t>挂牌文件规定需要提交的其他文件的照片或扫描件（PDF格式）。</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lang w:val="en-US"/>
        </w:rPr>
        <w:t xml:space="preserve">  2.</w:t>
      </w:r>
      <w:r>
        <w:rPr>
          <w:rFonts w:hint="eastAsia" w:ascii="仿宋" w:hAnsi="仿宋" w:eastAsia="仿宋" w:cs="仿宋"/>
          <w:sz w:val="32"/>
          <w:szCs w:val="32"/>
        </w:rPr>
        <w:t>自然人申请</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1）</w:t>
      </w:r>
      <w:r>
        <w:rPr>
          <w:rFonts w:hint="eastAsia" w:ascii="仿宋" w:hAnsi="仿宋" w:eastAsia="仿宋" w:cs="仿宋"/>
          <w:sz w:val="32"/>
          <w:szCs w:val="32"/>
        </w:rPr>
        <w:t>竞买申请书的照片或扫描件（PDF格式），竞买申请书必须手工填写，申请人必须签字并按压指印。</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2）</w:t>
      </w:r>
      <w:r>
        <w:rPr>
          <w:rFonts w:hint="eastAsia" w:ascii="仿宋" w:hAnsi="仿宋" w:eastAsia="仿宋" w:cs="仿宋"/>
          <w:sz w:val="32"/>
          <w:szCs w:val="32"/>
        </w:rPr>
        <w:t>申请人有效身份证明文件(原件)的照片或扫描件（PDF格式）。</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3）</w:t>
      </w:r>
      <w:r>
        <w:rPr>
          <w:rFonts w:hint="eastAsia" w:ascii="仿宋" w:hAnsi="仿宋" w:eastAsia="仿宋" w:cs="仿宋"/>
          <w:sz w:val="32"/>
          <w:szCs w:val="32"/>
        </w:rPr>
        <w:t>申请人委托他人办理的，应提交授权委托书及委托代理人的有效身份证明文件(原件)的照片或扫描件（PDF格式），授权委托书必须手工填写，加盖申请人指印、名章。</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4）</w:t>
      </w:r>
      <w:r>
        <w:rPr>
          <w:rFonts w:hint="eastAsia" w:ascii="仿宋" w:hAnsi="仿宋" w:eastAsia="仿宋" w:cs="仿宋"/>
          <w:sz w:val="32"/>
          <w:szCs w:val="32"/>
        </w:rPr>
        <w:t>自然人竞买必须成立新公司进行开发建设，应提交成立新公司的《申请书》（机打）并明确新公司的出资构成、成立时间等内容。</w:t>
      </w:r>
    </w:p>
    <w:p>
      <w:pPr>
        <w:spacing w:line="540" w:lineRule="exact"/>
        <w:ind w:left="0" w:leftChars="0" w:firstLine="438" w:firstLineChars="137"/>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rPr>
        <w:t>5）</w:t>
      </w:r>
      <w:r>
        <w:rPr>
          <w:rFonts w:hint="eastAsia" w:ascii="仿宋" w:hAnsi="仿宋" w:eastAsia="仿宋" w:cs="仿宋"/>
          <w:sz w:val="32"/>
          <w:szCs w:val="32"/>
        </w:rPr>
        <w:t>挂牌文件规定需要提交的其他文件的照片或扫描件（PDF格式）。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3.</w:t>
      </w:r>
      <w:r>
        <w:rPr>
          <w:rFonts w:hint="eastAsia" w:ascii="仿宋" w:hAnsi="仿宋" w:eastAsia="仿宋" w:cs="仿宋"/>
          <w:sz w:val="32"/>
          <w:szCs w:val="32"/>
        </w:rPr>
        <w:t>其他组织申请</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(1)</w:t>
      </w:r>
      <w:r>
        <w:rPr>
          <w:rFonts w:hint="eastAsia" w:ascii="仿宋" w:hAnsi="仿宋" w:eastAsia="仿宋" w:cs="仿宋"/>
          <w:sz w:val="32"/>
          <w:szCs w:val="32"/>
        </w:rPr>
        <w:t>竞买申请书的照片或扫描件（PDF格式），竞买申请书必须手工填写并加盖申请人公章。</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(2)</w:t>
      </w:r>
      <w:r>
        <w:rPr>
          <w:rFonts w:hint="eastAsia" w:ascii="仿宋" w:hAnsi="仿宋" w:eastAsia="仿宋" w:cs="仿宋"/>
          <w:sz w:val="32"/>
          <w:szCs w:val="32"/>
        </w:rPr>
        <w:t>表明该组织合法存在的文件或有效证明文件的照片或扫描件（PDF格式）。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(3)</w:t>
      </w:r>
      <w:r>
        <w:rPr>
          <w:rFonts w:hint="eastAsia" w:ascii="仿宋" w:hAnsi="仿宋" w:eastAsia="仿宋" w:cs="仿宋"/>
          <w:sz w:val="32"/>
          <w:szCs w:val="32"/>
        </w:rPr>
        <w:t>表明该组织负责人身份的有效证明文件的照片或扫描件（PDF格式）。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(4)</w:t>
      </w:r>
      <w:r>
        <w:rPr>
          <w:rFonts w:hint="eastAsia" w:ascii="仿宋" w:hAnsi="仿宋" w:eastAsia="仿宋" w:cs="仿宋"/>
          <w:sz w:val="32"/>
          <w:szCs w:val="32"/>
        </w:rPr>
        <w:t>申请人委托他人办理的，应提交授权委托书及委托代理人的有效身份证明文件(原件)的照片或扫描件（PDF格式），授权委托书必须手工填写，加盖申请人公章。</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(5)</w:t>
      </w:r>
      <w:r>
        <w:rPr>
          <w:rFonts w:hint="eastAsia" w:ascii="仿宋" w:hAnsi="仿宋" w:eastAsia="仿宋" w:cs="仿宋"/>
          <w:sz w:val="32"/>
          <w:szCs w:val="32"/>
        </w:rPr>
        <w:t>拟成立新公司进行开发建设的，应提交成立新公司的《申请书》（机打）并明确新公司的出资构成、成立时间等内容。</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(6)</w:t>
      </w:r>
      <w:r>
        <w:rPr>
          <w:rFonts w:hint="eastAsia" w:ascii="仿宋" w:hAnsi="仿宋" w:eastAsia="仿宋" w:cs="仿宋"/>
          <w:sz w:val="32"/>
          <w:szCs w:val="32"/>
        </w:rPr>
        <w:t>挂牌文件规定需要提交的其他文件的照片或扫描件（PDF格式）。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4.</w:t>
      </w:r>
      <w:r>
        <w:rPr>
          <w:rFonts w:hint="eastAsia" w:ascii="仿宋" w:hAnsi="仿宋" w:eastAsia="仿宋" w:cs="仿宋"/>
          <w:sz w:val="32"/>
          <w:szCs w:val="32"/>
        </w:rPr>
        <w:t>境外申请人申请</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(1)</w:t>
      </w:r>
      <w:r>
        <w:rPr>
          <w:rFonts w:hint="eastAsia" w:ascii="仿宋" w:hAnsi="仿宋" w:eastAsia="仿宋" w:cs="仿宋"/>
          <w:sz w:val="32"/>
          <w:szCs w:val="32"/>
        </w:rPr>
        <w:t>竞买申请书的照片或扫描件（PDF格式），竞买申请书必须手工填写并加盖申请人公章。</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(2)</w:t>
      </w:r>
      <w:r>
        <w:rPr>
          <w:rFonts w:hint="eastAsia" w:ascii="仿宋" w:hAnsi="仿宋" w:eastAsia="仿宋" w:cs="仿宋"/>
          <w:sz w:val="32"/>
          <w:szCs w:val="32"/>
        </w:rPr>
        <w:t>境外法人、自然人、其他组织的有效身份证明文件(原件)的照片或扫描件（PDF格式）。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(3)</w:t>
      </w:r>
      <w:r>
        <w:rPr>
          <w:rFonts w:hint="eastAsia" w:ascii="仿宋" w:hAnsi="仿宋" w:eastAsia="仿宋" w:cs="仿宋"/>
          <w:sz w:val="32"/>
          <w:szCs w:val="32"/>
        </w:rPr>
        <w:t>申请人委托他人办理的，应提交授权委托书及委托代理人的有效身份证明文件(原件)的照片或扫描件（PDF格式），授权委托书必须手工填写，加盖申请人公章。</w:t>
      </w:r>
    </w:p>
    <w:p>
      <w:pPr>
        <w:spacing w:line="540" w:lineRule="exact"/>
        <w:rPr>
          <w:rFonts w:ascii="仿宋" w:hAnsi="仿宋" w:eastAsia="仿宋" w:cs="仿宋"/>
          <w:sz w:val="32"/>
          <w:szCs w:val="32"/>
          <w:lang w:val="en-US"/>
        </w:rPr>
      </w:pPr>
      <w:r>
        <w:rPr>
          <w:rFonts w:hint="eastAsia" w:ascii="仿宋" w:hAnsi="仿宋" w:eastAsia="仿宋" w:cs="仿宋"/>
          <w:sz w:val="32"/>
          <w:szCs w:val="32"/>
          <w:lang w:val="en-US"/>
        </w:rPr>
        <w:t xml:space="preserve">    (4)</w:t>
      </w:r>
      <w:r>
        <w:rPr>
          <w:rFonts w:hint="eastAsia" w:ascii="仿宋" w:hAnsi="仿宋" w:eastAsia="仿宋" w:cs="仿宋"/>
          <w:sz w:val="32"/>
          <w:szCs w:val="32"/>
        </w:rPr>
        <w:t>境外申请人竞买必须成立新公司进行开发建设，应提交成立新公司的《申请书》（机打）并明确新公司的出资构成、成立时间等内容。</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(5)</w:t>
      </w:r>
      <w:r>
        <w:rPr>
          <w:rFonts w:hint="eastAsia" w:ascii="仿宋" w:hAnsi="仿宋" w:eastAsia="仿宋" w:cs="仿宋"/>
          <w:sz w:val="32"/>
          <w:szCs w:val="32"/>
        </w:rPr>
        <w:t>挂牌文件规定需要提交的其他文件。</w:t>
      </w:r>
    </w:p>
    <w:p>
      <w:pPr>
        <w:spacing w:line="540" w:lineRule="exact"/>
        <w:rPr>
          <w:rFonts w:ascii="仿宋" w:hAnsi="仿宋" w:eastAsia="仿宋" w:cs="仿宋"/>
          <w:sz w:val="32"/>
          <w:szCs w:val="32"/>
        </w:rPr>
      </w:pPr>
      <w:r>
        <w:rPr>
          <w:rFonts w:hint="eastAsia" w:ascii="仿宋" w:hAnsi="仿宋" w:eastAsia="仿宋" w:cs="仿宋"/>
          <w:sz w:val="32"/>
          <w:szCs w:val="32"/>
        </w:rPr>
        <w:t>上述文件中，可以使用其他语言，但必须附中文译本，所有文件的解释以中文译本为准。</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5.</w:t>
      </w:r>
      <w:r>
        <w:rPr>
          <w:rFonts w:hint="eastAsia" w:ascii="仿宋" w:hAnsi="仿宋" w:eastAsia="仿宋" w:cs="仿宋"/>
          <w:sz w:val="32"/>
          <w:szCs w:val="32"/>
        </w:rPr>
        <w:t>联合申请</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(1)</w:t>
      </w:r>
      <w:r>
        <w:rPr>
          <w:rFonts w:hint="eastAsia" w:ascii="仿宋" w:hAnsi="仿宋" w:eastAsia="仿宋" w:cs="仿宋"/>
          <w:sz w:val="32"/>
          <w:szCs w:val="32"/>
        </w:rPr>
        <w:t>联合竞买申请书的照片或扫描件（PDF格式），联合竞买申请书必须手工填写并加盖所有申请人公章。</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(2)</w:t>
      </w:r>
      <w:r>
        <w:rPr>
          <w:rFonts w:hint="eastAsia" w:ascii="仿宋" w:hAnsi="仿宋" w:eastAsia="仿宋" w:cs="仿宋"/>
          <w:sz w:val="32"/>
          <w:szCs w:val="32"/>
        </w:rPr>
        <w:t>联合申请各方的有效身份证明文件(原件)的照片或扫描件</w:t>
      </w:r>
      <w:bookmarkStart w:id="11" w:name="page7"/>
      <w:bookmarkEnd w:id="11"/>
      <w:r>
        <w:rPr>
          <w:rFonts w:hint="eastAsia" w:ascii="仿宋" w:hAnsi="仿宋" w:eastAsia="仿宋" w:cs="仿宋"/>
          <w:sz w:val="32"/>
          <w:szCs w:val="32"/>
        </w:rPr>
        <w:t>（PDF格式）；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(3)</w:t>
      </w:r>
      <w:r>
        <w:rPr>
          <w:rFonts w:hint="eastAsia" w:ascii="仿宋" w:hAnsi="仿宋" w:eastAsia="仿宋" w:cs="仿宋"/>
          <w:sz w:val="32"/>
          <w:szCs w:val="32"/>
        </w:rPr>
        <w:t>联合竞买协议，协议要规定各方的权利、义务，包括各方的出资比例等，并明确签订《国有建设用地使用权出让合同》时的受让人，提交加盖各联合方公章的照片或扫描件（PDF格式）。</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(4)</w:t>
      </w:r>
      <w:r>
        <w:rPr>
          <w:rFonts w:hint="eastAsia" w:ascii="仿宋" w:hAnsi="仿宋" w:eastAsia="仿宋" w:cs="仿宋"/>
          <w:sz w:val="32"/>
          <w:szCs w:val="32"/>
        </w:rPr>
        <w:t>申请人委托他人办理的，应提交授权委托书及委托代理人的有效身份证明文件(原件)的照片或扫描件（PDF格式），授权委托书必须手工填写，加盖各联合方的公章。</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(5)</w:t>
      </w:r>
      <w:r>
        <w:rPr>
          <w:rFonts w:hint="eastAsia" w:ascii="仿宋" w:hAnsi="仿宋" w:eastAsia="仿宋" w:cs="仿宋"/>
          <w:sz w:val="32"/>
          <w:szCs w:val="32"/>
        </w:rPr>
        <w:t>联合竞买人必须成立新公司进行开发建设，并提交成立新公司的《申请书》（机打）明确新公司的出资构成、成立时间等内容。</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(6)</w:t>
      </w:r>
      <w:r>
        <w:rPr>
          <w:rFonts w:hint="eastAsia" w:ascii="仿宋" w:hAnsi="仿宋" w:eastAsia="仿宋" w:cs="仿宋"/>
          <w:sz w:val="32"/>
          <w:szCs w:val="32"/>
        </w:rPr>
        <w:t>挂牌文件规定需要提交的其他文件。</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(五)资格审核</w:t>
      </w:r>
    </w:p>
    <w:p>
      <w:pPr>
        <w:spacing w:line="540" w:lineRule="exact"/>
        <w:ind w:left="0" w:leftChars="0" w:firstLine="659" w:firstLineChars="206"/>
        <w:rPr>
          <w:rFonts w:ascii="仿宋" w:hAnsi="仿宋" w:eastAsia="仿宋" w:cs="仿宋"/>
          <w:sz w:val="32"/>
          <w:szCs w:val="32"/>
        </w:rPr>
      </w:pPr>
      <w:r>
        <w:fldChar w:fldCharType="begin"/>
      </w:r>
      <w:r>
        <w:instrText xml:space="preserve">HYPERLINK "http://www.hljggzyjyw.gov.cn/" </w:instrText>
      </w:r>
      <w:r>
        <w:fldChar w:fldCharType="separate"/>
      </w:r>
      <w:r>
        <w:fldChar w:fldCharType="end"/>
      </w:r>
      <w:r>
        <w:rPr>
          <w:rFonts w:hint="eastAsia" w:ascii="仿宋" w:hAnsi="仿宋" w:eastAsia="仿宋" w:cs="仿宋"/>
          <w:w w:val="99"/>
          <w:sz w:val="32"/>
          <w:szCs w:val="32"/>
        </w:rPr>
        <w:t>竞买人在黑龙江公共资源交易网</w:t>
      </w:r>
      <w:r>
        <w:rPr>
          <w:rFonts w:hint="eastAsia" w:ascii="仿宋" w:hAnsi="仿宋" w:eastAsia="仿宋" w:cs="仿宋"/>
          <w:w w:val="96"/>
          <w:sz w:val="32"/>
          <w:szCs w:val="32"/>
        </w:rPr>
        <w:t>（</w:t>
      </w:r>
      <w:r>
        <w:rPr>
          <w:rFonts w:hint="eastAsia" w:ascii="仿宋" w:hAnsi="仿宋" w:eastAsia="仿宋" w:cs="仿宋"/>
          <w:sz w:val="32"/>
          <w:szCs w:val="32"/>
        </w:rPr>
        <w:t>http://ggzyjyw.hlj.gov.cn/）提交竞买申请，申请人委托他人办理的需提供授权委托书。桦南县自然资源局工作人员将审核申请人报名材料，审核通过后竞买人交纳竞买保证金，参与竞买。</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(六)竞买保证金交纳</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竞买人可于202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sz w:val="32"/>
          <w:szCs w:val="32"/>
          <w:lang w:val="en-US"/>
        </w:rPr>
        <w:t>15</w:t>
      </w:r>
      <w:r>
        <w:rPr>
          <w:rFonts w:hint="eastAsia" w:ascii="仿宋" w:hAnsi="仿宋" w:eastAsia="仿宋" w:cs="仿宋"/>
          <w:sz w:val="32"/>
          <w:szCs w:val="32"/>
        </w:rPr>
        <w:t>时前交纳竞买保证金，以上地块的竞买保证金为:人民币</w:t>
      </w:r>
      <w:r>
        <w:rPr>
          <w:rFonts w:hint="eastAsia" w:ascii="仿宋" w:hAnsi="仿宋" w:eastAsia="仿宋" w:cs="仿宋"/>
          <w:sz w:val="32"/>
          <w:szCs w:val="32"/>
          <w:lang w:eastAsia="zh-CN"/>
        </w:rPr>
        <w:t>柒佰壹拾贰</w:t>
      </w:r>
      <w:r>
        <w:rPr>
          <w:rFonts w:hint="eastAsia" w:ascii="仿宋" w:hAnsi="仿宋" w:eastAsia="仿宋" w:cs="仿宋"/>
          <w:sz w:val="32"/>
          <w:szCs w:val="32"/>
        </w:rPr>
        <w:t>万元（￥</w:t>
      </w:r>
      <w:r>
        <w:rPr>
          <w:rFonts w:hint="eastAsia" w:ascii="仿宋" w:hAnsi="仿宋" w:eastAsia="仿宋" w:cs="仿宋"/>
          <w:sz w:val="32"/>
          <w:szCs w:val="32"/>
          <w:lang w:val="en-US" w:eastAsia="zh-CN"/>
        </w:rPr>
        <w:t>712</w:t>
      </w:r>
      <w:r>
        <w:rPr>
          <w:rFonts w:hint="eastAsia" w:ascii="仿宋" w:hAnsi="仿宋" w:eastAsia="仿宋" w:cs="仿宋"/>
          <w:sz w:val="32"/>
          <w:szCs w:val="32"/>
        </w:rPr>
        <w:t>万元）。</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未竞得人交纳的竞买保证金在挂牌结束后 5 个工作日内予以退还，不计利息。（在保证金退回过程中发生的必要的跨行手续费，由竞买人承担）。挂牌成交后，竞得人交纳的竞买保证金转入国家税务总局桦南税务局，冲抵成交价款。黑龙江公共资源交易网提供银行缴费链接，申请人可任选其一交纳竞买保证金。竞买保证金交纳方式详见“黑龙江公共资源交易网”（http://ggzyjyw.hlj.gov.cn/）—“服务指南”—《黑龙江省公共资源交易平台土地交易竞买人》操作手册。</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竞买保证金必须通过竞买人的银行账户交纳（竞买保证金</w:t>
      </w:r>
      <w:bookmarkStart w:id="12" w:name="page8"/>
      <w:bookmarkEnd w:id="12"/>
      <w:r>
        <w:rPr>
          <w:rFonts w:hint="eastAsia" w:ascii="仿宋" w:hAnsi="仿宋" w:eastAsia="仿宋" w:cs="仿宋"/>
          <w:sz w:val="32"/>
          <w:szCs w:val="32"/>
        </w:rPr>
        <w:t>交纳账户的户名必须与竞买人一致）。</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五、挂牌起始价、增价幅度</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挂牌出让起始价设定为人民币</w:t>
      </w:r>
      <w:r>
        <w:rPr>
          <w:rFonts w:hint="eastAsia" w:ascii="仿宋" w:hAnsi="仿宋" w:eastAsia="仿宋" w:cs="仿宋"/>
          <w:sz w:val="32"/>
          <w:szCs w:val="32"/>
          <w:lang w:eastAsia="zh-CN"/>
        </w:rPr>
        <w:t>柒佰壹拾贰</w:t>
      </w:r>
      <w:r>
        <w:rPr>
          <w:rFonts w:hint="eastAsia" w:ascii="仿宋" w:hAnsi="仿宋" w:eastAsia="仿宋" w:cs="仿宋"/>
          <w:sz w:val="32"/>
          <w:szCs w:val="32"/>
        </w:rPr>
        <w:t>万元（￥</w:t>
      </w:r>
      <w:r>
        <w:rPr>
          <w:rFonts w:hint="eastAsia" w:ascii="仿宋" w:hAnsi="仿宋" w:eastAsia="仿宋" w:cs="仿宋"/>
          <w:sz w:val="32"/>
          <w:szCs w:val="32"/>
          <w:lang w:val="en-US" w:eastAsia="zh-CN"/>
        </w:rPr>
        <w:t>712</w:t>
      </w:r>
      <w:r>
        <w:rPr>
          <w:rFonts w:hint="eastAsia" w:ascii="仿宋" w:hAnsi="仿宋" w:eastAsia="仿宋" w:cs="仿宋"/>
          <w:sz w:val="32"/>
          <w:szCs w:val="32"/>
        </w:rPr>
        <w:t>万元）。增价幅度为人民币</w:t>
      </w:r>
      <w:r>
        <w:rPr>
          <w:rFonts w:hint="eastAsia" w:ascii="仿宋" w:hAnsi="仿宋" w:eastAsia="仿宋" w:cs="仿宋"/>
          <w:sz w:val="32"/>
          <w:szCs w:val="32"/>
          <w:lang w:val="en-US"/>
        </w:rPr>
        <w:t>100</w:t>
      </w:r>
      <w:r>
        <w:rPr>
          <w:rFonts w:hint="eastAsia" w:ascii="仿宋" w:hAnsi="仿宋" w:eastAsia="仿宋" w:cs="仿宋"/>
          <w:sz w:val="32"/>
          <w:szCs w:val="32"/>
        </w:rPr>
        <w:t>万元。</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六、竞价方式</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(一)网上挂牌竞价</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符合条件的竞买人在报价前应仔细阅读本须知，明确挂牌起始价、增价幅度等规定，挂牌开始后，竞买人可以开始报价。报价流程如下：</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rPr>
        <w:t>.</w:t>
      </w:r>
      <w:r>
        <w:rPr>
          <w:rFonts w:hint="eastAsia" w:ascii="仿宋" w:hAnsi="仿宋" w:eastAsia="仿宋" w:cs="仿宋"/>
          <w:sz w:val="32"/>
          <w:szCs w:val="32"/>
        </w:rPr>
        <w:t>竞买人在提交完竞买申请并足额交纳保证金后，获得报价资格；</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rPr>
        <w:t>.</w:t>
      </w:r>
      <w:r>
        <w:rPr>
          <w:rFonts w:hint="eastAsia" w:ascii="仿宋" w:hAnsi="仿宋" w:eastAsia="仿宋" w:cs="仿宋"/>
          <w:sz w:val="32"/>
          <w:szCs w:val="32"/>
        </w:rPr>
        <w:t>竞买人须按网上交易系统提示报价，网上交易系统对符合规定的报价予以确认，并显示当前最高报价；</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rPr>
        <w:t>.</w:t>
      </w:r>
      <w:r>
        <w:rPr>
          <w:rFonts w:hint="eastAsia" w:ascii="仿宋" w:hAnsi="仿宋" w:eastAsia="仿宋" w:cs="仿宋"/>
          <w:sz w:val="32"/>
          <w:szCs w:val="32"/>
        </w:rPr>
        <w:t>在挂牌期每个竞买人必须有一次有效报价，并不得低于一个加价幅度。</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rPr>
        <w:t>.</w:t>
      </w:r>
      <w:r>
        <w:rPr>
          <w:rFonts w:hint="eastAsia" w:ascii="仿宋" w:hAnsi="仿宋" w:eastAsia="仿宋" w:cs="仿宋"/>
          <w:sz w:val="32"/>
          <w:szCs w:val="32"/>
        </w:rPr>
        <w:t>当挂牌期结束后仍有2家或2家以上竞买人要求继续竞买的，则进入网上限时竞价环节。</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(二)网上限时竞价</w:t>
      </w:r>
    </w:p>
    <w:p>
      <w:pPr>
        <w:spacing w:line="540" w:lineRule="exact"/>
        <w:ind w:left="0" w:leftChars="0" w:firstLine="659" w:firstLineChars="206"/>
        <w:jc w:val="both"/>
        <w:rPr>
          <w:rFonts w:ascii="仿宋" w:hAnsi="仿宋" w:eastAsia="仿宋" w:cs="仿宋"/>
          <w:sz w:val="32"/>
          <w:szCs w:val="32"/>
        </w:rPr>
      </w:pPr>
      <w:r>
        <w:rPr>
          <w:rFonts w:hint="eastAsia" w:ascii="仿宋" w:hAnsi="仿宋" w:eastAsia="仿宋" w:cs="仿宋"/>
          <w:sz w:val="32"/>
          <w:szCs w:val="32"/>
        </w:rPr>
        <w:t xml:space="preserve">参与网上限时竞价的竞买人应当在网上交易系统开始第一次 </w:t>
      </w:r>
      <w:r>
        <w:rPr>
          <w:rFonts w:hint="eastAsia" w:ascii="仿宋" w:hAnsi="仿宋" w:eastAsia="仿宋" w:cs="仿宋"/>
          <w:sz w:val="32"/>
          <w:szCs w:val="32"/>
          <w:lang w:val="en-US"/>
        </w:rPr>
        <w:t>300</w:t>
      </w:r>
      <w:r>
        <w:rPr>
          <w:rFonts w:hint="eastAsia" w:ascii="仿宋" w:hAnsi="仿宋" w:eastAsia="仿宋" w:cs="仿宋"/>
          <w:sz w:val="32"/>
          <w:szCs w:val="32"/>
        </w:rPr>
        <w:t>秒倒计时内进行报价。如在</w:t>
      </w:r>
      <w:r>
        <w:rPr>
          <w:rFonts w:hint="eastAsia" w:ascii="仿宋" w:hAnsi="仿宋" w:eastAsia="仿宋" w:cs="仿宋"/>
          <w:sz w:val="32"/>
          <w:szCs w:val="32"/>
          <w:lang w:val="en-US"/>
        </w:rPr>
        <w:t>300</w:t>
      </w:r>
      <w:r>
        <w:rPr>
          <w:rFonts w:hint="eastAsia" w:ascii="仿宋" w:hAnsi="仿宋" w:eastAsia="仿宋" w:cs="仿宋"/>
          <w:sz w:val="32"/>
          <w:szCs w:val="32"/>
        </w:rPr>
        <w:t xml:space="preserve">秒倒计时内的任一时刻有新的报价，网上交易系统即从此刻起再顺延一个新的 </w:t>
      </w:r>
      <w:r>
        <w:rPr>
          <w:rFonts w:hint="eastAsia" w:ascii="仿宋" w:hAnsi="仿宋" w:eastAsia="仿宋" w:cs="仿宋"/>
          <w:sz w:val="32"/>
          <w:szCs w:val="32"/>
          <w:lang w:val="en-US"/>
        </w:rPr>
        <w:t>300</w:t>
      </w:r>
      <w:r>
        <w:rPr>
          <w:rFonts w:hint="eastAsia" w:ascii="仿宋" w:hAnsi="仿宋" w:eastAsia="仿宋" w:cs="仿宋"/>
          <w:sz w:val="32"/>
          <w:szCs w:val="32"/>
        </w:rPr>
        <w:t xml:space="preserve">秒倒计时，竞买人可继续新一轮竞价，并按此方式不断顺延下去。在每一次 </w:t>
      </w:r>
      <w:r>
        <w:rPr>
          <w:rFonts w:hint="eastAsia" w:ascii="仿宋" w:hAnsi="仿宋" w:eastAsia="仿宋" w:cs="仿宋"/>
          <w:sz w:val="32"/>
          <w:szCs w:val="32"/>
          <w:lang w:val="en-US"/>
        </w:rPr>
        <w:t>300</w:t>
      </w:r>
      <w:r>
        <w:rPr>
          <w:rFonts w:hint="eastAsia" w:ascii="仿宋" w:hAnsi="仿宋" w:eastAsia="仿宋" w:cs="仿宋"/>
          <w:sz w:val="32"/>
          <w:szCs w:val="32"/>
        </w:rPr>
        <w:t xml:space="preserve">秒倒计时的最后 </w:t>
      </w:r>
      <w:r>
        <w:rPr>
          <w:rFonts w:hint="eastAsia" w:ascii="仿宋" w:hAnsi="仿宋" w:eastAsia="仿宋" w:cs="仿宋"/>
          <w:sz w:val="32"/>
          <w:szCs w:val="32"/>
          <w:lang w:val="en-US"/>
        </w:rPr>
        <w:t>60秒</w:t>
      </w:r>
      <w:r>
        <w:rPr>
          <w:rFonts w:hint="eastAsia" w:ascii="仿宋" w:hAnsi="仿宋" w:eastAsia="仿宋" w:cs="仿宋"/>
          <w:sz w:val="32"/>
          <w:szCs w:val="32"/>
        </w:rPr>
        <w:t>内，网上交易系统会出现该地块网上限时竞价即将结束的三次提示。</w:t>
      </w:r>
      <w:r>
        <w:rPr>
          <w:rFonts w:hint="eastAsia" w:ascii="仿宋" w:hAnsi="仿宋" w:eastAsia="仿宋" w:cs="仿宋"/>
          <w:sz w:val="32"/>
          <w:szCs w:val="32"/>
          <w:lang w:val="en-US"/>
        </w:rPr>
        <w:t>300</w:t>
      </w:r>
      <w:r>
        <w:rPr>
          <w:rFonts w:hint="eastAsia" w:ascii="仿宋" w:hAnsi="仿宋" w:eastAsia="仿宋" w:cs="仿宋"/>
          <w:sz w:val="32"/>
          <w:szCs w:val="32"/>
        </w:rPr>
        <w:t>秒倒计时截止时，系统会自动关闭限时竞价中的报价通道，确认当前网上交易系统接受的最高报价为地块的最终竞买价，</w:t>
      </w:r>
      <w:bookmarkStart w:id="13" w:name="page9"/>
      <w:bookmarkEnd w:id="13"/>
      <w:r>
        <w:rPr>
          <w:rFonts w:hint="eastAsia" w:ascii="仿宋" w:hAnsi="仿宋" w:eastAsia="仿宋" w:cs="仿宋"/>
          <w:sz w:val="32"/>
          <w:szCs w:val="32"/>
        </w:rPr>
        <w:t>由网上交易系统按“价高者得”的原则确定该地块的网上交易系统竞得人，并在相关信息栏中显示交易结果。</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七、签订《成交确认书》</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竞买结束后出价最高的竞买人成为竞得入选人，竞得入选人须在</w:t>
      </w:r>
      <w:r>
        <w:rPr>
          <w:rFonts w:hint="eastAsia" w:ascii="仿宋" w:hAnsi="仿宋" w:eastAsia="仿宋" w:cs="仿宋"/>
          <w:sz w:val="32"/>
          <w:szCs w:val="32"/>
          <w:lang w:val="en-US"/>
        </w:rPr>
        <w:t>5</w:t>
      </w:r>
      <w:r>
        <w:rPr>
          <w:rFonts w:hint="eastAsia" w:ascii="仿宋" w:hAnsi="仿宋" w:eastAsia="仿宋" w:cs="仿宋"/>
          <w:sz w:val="32"/>
          <w:szCs w:val="32"/>
        </w:rPr>
        <w:t>个工作日内与桦南县自然资源局签订《成交确认书》同时提交《授权委托书》等文件原件</w:t>
      </w:r>
      <w:r>
        <w:rPr>
          <w:rFonts w:hint="eastAsia" w:ascii="仿宋" w:hAnsi="仿宋" w:eastAsia="仿宋" w:cs="仿宋"/>
          <w:sz w:val="32"/>
          <w:szCs w:val="32"/>
          <w:lang w:val="en-US"/>
        </w:rPr>
        <w:t>(自然人需提供本人身份证)</w:t>
      </w:r>
      <w:r>
        <w:rPr>
          <w:rFonts w:hint="eastAsia" w:ascii="仿宋" w:hAnsi="仿宋" w:eastAsia="仿宋" w:cs="仿宋"/>
          <w:sz w:val="32"/>
          <w:szCs w:val="32"/>
        </w:rPr>
        <w:t>。如逾期未签订《成交确认书》则取消竞得入选人资格，保证金不予退还。</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八、成交价款</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成交价款以成交确认书为准。竞得人须在成交之日起10个工作日签订《国有建设用地使用权出让合同》，签订《国有建设用地使用权出让合同》次日起30日内须缴齐全部成交价款（含定金）。</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九、信息发布</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中国土地市场网 (</w:t>
      </w:r>
      <w:r>
        <w:fldChar w:fldCharType="begin"/>
      </w:r>
      <w:r>
        <w:instrText xml:space="preserve">HYPERLINK "http://www.landchina.com/" </w:instrText>
      </w:r>
      <w:r>
        <w:fldChar w:fldCharType="separate"/>
      </w:r>
      <w:r>
        <w:rPr>
          <w:rFonts w:hint="eastAsia" w:ascii="仿宋" w:hAnsi="仿宋" w:eastAsia="仿宋" w:cs="仿宋"/>
          <w:sz w:val="32"/>
          <w:szCs w:val="32"/>
        </w:rPr>
        <w:t>www.landchina.com</w:t>
      </w:r>
      <w:r>
        <w:fldChar w:fldCharType="end"/>
      </w:r>
      <w:r>
        <w:rPr>
          <w:rFonts w:hint="eastAsia" w:ascii="仿宋" w:hAnsi="仿宋" w:eastAsia="仿宋" w:cs="仿宋"/>
          <w:sz w:val="32"/>
          <w:szCs w:val="32"/>
        </w:rPr>
        <w:t>)、黑龙江公共资源交易网（http://ggzyjyw.hlj.gov.cn/）发布挂牌公告和成交公示。</w:t>
      </w:r>
    </w:p>
    <w:p>
      <w:pPr>
        <w:spacing w:line="540" w:lineRule="exact"/>
        <w:ind w:left="0" w:leftChars="0" w:firstLine="659" w:firstLineChars="206"/>
        <w:rPr>
          <w:rFonts w:ascii="仿宋" w:hAnsi="仿宋" w:eastAsia="仿宋" w:cs="仿宋"/>
          <w:sz w:val="32"/>
          <w:szCs w:val="32"/>
        </w:rPr>
      </w:pPr>
      <w:bookmarkStart w:id="14" w:name="page10"/>
      <w:bookmarkEnd w:id="14"/>
      <w:r>
        <w:rPr>
          <w:rFonts w:hint="eastAsia" w:ascii="仿宋" w:hAnsi="仿宋" w:eastAsia="仿宋" w:cs="仿宋"/>
          <w:sz w:val="32"/>
          <w:szCs w:val="32"/>
        </w:rPr>
        <w:t>十、注意事项</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一）申请人须全面阅读有关挂牌文件，如有疑问可以在挂牌活动开始日以前用书面或口头方式向桦南县自然资源局咨询。申请人可到现场踏勘挂牌出让地块。申请人一经报名即视为对挂牌文件及地块现状无异议并全部接受，对有关承诺承担法律责任。</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（二）竞买报价一经提交，不可撤回。</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（三）竞买结束后，竞得人须在</w:t>
      </w:r>
      <w:r>
        <w:rPr>
          <w:rFonts w:hint="eastAsia" w:ascii="仿宋" w:hAnsi="仿宋" w:eastAsia="仿宋" w:cs="仿宋"/>
          <w:sz w:val="32"/>
          <w:szCs w:val="32"/>
          <w:lang w:val="en-US"/>
        </w:rPr>
        <w:t>5</w:t>
      </w:r>
      <w:r>
        <w:rPr>
          <w:rFonts w:hint="eastAsia" w:ascii="仿宋" w:hAnsi="仿宋" w:eastAsia="仿宋" w:cs="仿宋"/>
          <w:sz w:val="32"/>
          <w:szCs w:val="32"/>
        </w:rPr>
        <w:t>个工作日内桦南县自然资源局签订《成交确认书》。委托他人代签的，应提交法定代表人亲笔签名并盖章的授权委托书。《成交确认书》对桦南县自然资源局和竞得人具有法律效力。桦南县自然资源局改变挂牌结果的，或者竞得人放弃竞得地块的，应当承担法律责任。</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（四）有下列情形之一的，桦南县自然资源局应当在挂牌开始前终止挂牌活动，并通知竞买人：</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rPr>
        <w:t>.</w:t>
      </w:r>
      <w:r>
        <w:rPr>
          <w:rFonts w:hint="eastAsia" w:ascii="仿宋" w:hAnsi="仿宋" w:eastAsia="仿宋" w:cs="仿宋"/>
          <w:sz w:val="32"/>
          <w:szCs w:val="32"/>
        </w:rPr>
        <w:t>竞买人串通损害国家利益、社会利益或他人合法权益的；</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rPr>
        <w:t>.</w:t>
      </w:r>
      <w:r>
        <w:rPr>
          <w:rFonts w:hint="eastAsia" w:ascii="仿宋" w:hAnsi="仿宋" w:eastAsia="仿宋" w:cs="仿宋"/>
          <w:sz w:val="32"/>
          <w:szCs w:val="32"/>
        </w:rPr>
        <w:t>挂牌工作人员私下接触竞买人，足以影响挂牌公正性的；</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rPr>
        <w:t>.</w:t>
      </w:r>
      <w:r>
        <w:rPr>
          <w:rFonts w:hint="eastAsia" w:ascii="仿宋" w:hAnsi="仿宋" w:eastAsia="仿宋" w:cs="仿宋"/>
          <w:sz w:val="32"/>
          <w:szCs w:val="32"/>
        </w:rPr>
        <w:t>应当依法终止挂牌活动的其他情形；</w:t>
      </w:r>
    </w:p>
    <w:p>
      <w:pPr>
        <w:spacing w:line="540" w:lineRule="exact"/>
        <w:ind w:left="0" w:leftChars="0" w:firstLine="659" w:firstLineChars="206"/>
        <w:rPr>
          <w:rFonts w:ascii="仿宋" w:hAnsi="仿宋" w:eastAsia="仿宋" w:cs="仿宋"/>
          <w:sz w:val="32"/>
          <w:szCs w:val="32"/>
        </w:rPr>
      </w:pPr>
      <w:r>
        <w:rPr>
          <w:rFonts w:hint="eastAsia" w:ascii="仿宋" w:hAnsi="仿宋" w:eastAsia="仿宋" w:cs="仿宋"/>
          <w:sz w:val="32"/>
          <w:szCs w:val="32"/>
        </w:rPr>
        <w:t>（五）竞买人有下列行为之一的，视为违约，桦南县自然资源局可取消其竞得资格，竞买保证金不予退还：</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1.</w:t>
      </w:r>
      <w:r>
        <w:rPr>
          <w:rFonts w:hint="eastAsia" w:ascii="仿宋" w:hAnsi="仿宋" w:eastAsia="仿宋" w:cs="仿宋"/>
          <w:sz w:val="32"/>
          <w:szCs w:val="32"/>
        </w:rPr>
        <w:t>竞得人逾期或拒绝签订《成交确认书》的；</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2.</w:t>
      </w:r>
      <w:r>
        <w:rPr>
          <w:rFonts w:hint="eastAsia" w:ascii="仿宋" w:hAnsi="仿宋" w:eastAsia="仿宋" w:cs="仿宋"/>
          <w:sz w:val="32"/>
          <w:szCs w:val="32"/>
        </w:rPr>
        <w:t>竞得人逾期或拒绝签订《国有建设用地使用权出让合同》的；</w:t>
      </w:r>
    </w:p>
    <w:p>
      <w:pPr>
        <w:spacing w:line="540" w:lineRule="exact"/>
        <w:rPr>
          <w:rFonts w:ascii="仿宋" w:hAnsi="仿宋" w:eastAsia="仿宋" w:cs="仿宋"/>
          <w:sz w:val="32"/>
          <w:szCs w:val="32"/>
        </w:rPr>
      </w:pPr>
      <w:r>
        <w:rPr>
          <w:rFonts w:hint="eastAsia" w:ascii="仿宋" w:hAnsi="仿宋" w:eastAsia="仿宋" w:cs="仿宋"/>
          <w:sz w:val="32"/>
          <w:szCs w:val="32"/>
          <w:lang w:val="en-US"/>
        </w:rPr>
        <w:t xml:space="preserve">    3.</w:t>
      </w:r>
      <w:r>
        <w:rPr>
          <w:rFonts w:hint="eastAsia" w:ascii="仿宋" w:hAnsi="仿宋" w:eastAsia="仿宋" w:cs="仿宋"/>
          <w:sz w:val="32"/>
          <w:szCs w:val="32"/>
        </w:rPr>
        <w:t>法律法规规定的其他情形；</w:t>
      </w:r>
    </w:p>
    <w:p>
      <w:pPr>
        <w:spacing w:line="540" w:lineRule="exact"/>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（六）竞得人依照《国有建设用地使用权出让合同》的约定付清全部土地成交价款后，方可申请办理土地登记，领取不动产权证书。</w:t>
      </w:r>
    </w:p>
    <w:p>
      <w:pPr>
        <w:spacing w:line="540" w:lineRule="exact"/>
        <w:rPr>
          <w:rFonts w:ascii="仿宋" w:hAnsi="仿宋" w:eastAsia="仿宋" w:cs="仿宋"/>
          <w:sz w:val="32"/>
          <w:szCs w:val="32"/>
        </w:rPr>
      </w:pPr>
      <w:bookmarkStart w:id="15" w:name="page11"/>
      <w:bookmarkEnd w:id="15"/>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七）申请人竞得土地后，拟成立新公司进行开发建设的，应在申请书中明确新公司的出资构成、成立时间等内容。桦南县自然资源局可以根据挂牌出让结果与竞得人签订《国有建设用地使用权出让合同》，在竞得人按约定办理完新公司注册登记手续后，再与新公司签订《国有建设用地使用权出让合同变更协议》。（或桦南县自然资源局同意直接与新公司签订《国有建设用地使用权出让合同》）。</w:t>
      </w:r>
    </w:p>
    <w:p>
      <w:pPr>
        <w:spacing w:line="540" w:lineRule="exact"/>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十一、桦南县自然资源局对本《须知》有解释权。未尽事宜依照《招标拍卖挂牌出让国有土地使用权规范》办理。</w:t>
      </w:r>
    </w:p>
    <w:p>
      <w:pPr>
        <w:spacing w:line="540" w:lineRule="exact"/>
        <w:rPr>
          <w:rFonts w:ascii="仿宋" w:hAnsi="仿宋" w:eastAsia="仿宋" w:cs="仿宋"/>
          <w:sz w:val="32"/>
          <w:szCs w:val="32"/>
        </w:rPr>
      </w:pPr>
    </w:p>
    <w:p>
      <w:pPr>
        <w:spacing w:line="540" w:lineRule="exact"/>
        <w:rPr>
          <w:rFonts w:ascii="仿宋" w:hAnsi="仿宋" w:eastAsia="仿宋" w:cs="仿宋"/>
          <w:sz w:val="32"/>
          <w:szCs w:val="32"/>
        </w:rPr>
      </w:pPr>
    </w:p>
    <w:p>
      <w:pPr>
        <w:spacing w:line="540" w:lineRule="exact"/>
        <w:rPr>
          <w:rFonts w:ascii="仿宋" w:hAnsi="仿宋" w:eastAsia="仿宋" w:cs="仿宋"/>
          <w:sz w:val="32"/>
          <w:szCs w:val="32"/>
        </w:rPr>
      </w:pPr>
    </w:p>
    <w:p>
      <w:pPr>
        <w:spacing w:line="540" w:lineRule="exact"/>
        <w:ind w:firstLine="3520" w:firstLineChars="1100"/>
        <w:rPr>
          <w:rFonts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桦南县自然资源局</w:t>
      </w:r>
    </w:p>
    <w:p>
      <w:pPr>
        <w:spacing w:line="540" w:lineRule="exact"/>
        <w:ind w:firstLine="3520" w:firstLineChars="1100"/>
        <w:rPr>
          <w:rFonts w:ascii="仿宋" w:hAnsi="仿宋" w:eastAsia="仿宋" w:cs="仿宋"/>
          <w:sz w:val="32"/>
          <w:szCs w:val="32"/>
          <w:lang w:val="en-US"/>
        </w:rPr>
      </w:pPr>
    </w:p>
    <w:p>
      <w:pPr>
        <w:spacing w:line="540" w:lineRule="exact"/>
        <w:ind w:firstLine="4160" w:firstLineChars="1300"/>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rPr>
        <w:t>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19</w:t>
      </w:r>
      <w:r>
        <w:rPr>
          <w:rFonts w:hint="eastAsia" w:ascii="仿宋" w:hAnsi="仿宋" w:eastAsia="仿宋" w:cs="仿宋"/>
          <w:sz w:val="32"/>
          <w:szCs w:val="32"/>
        </w:rPr>
        <w:t>日</w:t>
      </w:r>
    </w:p>
    <w:sectPr>
      <w:footerReference r:id="rId4" w:type="default"/>
      <w:pgSz w:w="11910" w:h="16840"/>
      <w:pgMar w:top="1542" w:right="1134" w:bottom="1378" w:left="1247" w:header="0" w:footer="1196" w:gutter="0"/>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新宋体">
    <w:panose1 w:val="02010609030101010101"/>
    <w:charset w:val="86"/>
    <w:family w:val="auto"/>
    <w:pitch w:val="default"/>
    <w:sig w:usb0="000000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spacing w:line="14" w:lineRule="auto"/>
      <w:ind w:left="0"/>
      <w:rPr>
        <w:sz w:val="20"/>
      </w:rPr>
    </w:pPr>
    <w:r>
      <w:rPr>
        <w:rFonts w:ascii="新宋体" w:hAnsi="新宋体" w:eastAsia="新宋体" w:cs="新宋体"/>
        <w:sz w:val="20"/>
        <w:szCs w:val="28"/>
        <w:lang w:val="zh-CN" w:eastAsia="zh-CN" w:bidi="zh-CN"/>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79537674">
    <w:nsid w:val="641BB60A"/>
    <w:multiLevelType w:val="singleLevel"/>
    <w:tmpl w:val="641BB60A"/>
    <w:lvl w:ilvl="0" w:tentative="1">
      <w:start w:val="1"/>
      <w:numFmt w:val="chineseCounting"/>
      <w:suff w:val="nothing"/>
      <w:lvlText w:val="%1、"/>
      <w:lvlJc w:val="left"/>
    </w:lvl>
  </w:abstractNum>
  <w:num w:numId="1">
    <w:abstractNumId w:val="16795376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YWZlMzBlMmExMzc0ZTk5ZWJhY2M0YWI1YjEwZWFkMjgifQ=="/>
  </w:docVars>
  <w:rsids>
    <w:rsidRoot w:val="7EA26D1F"/>
    <w:rsid w:val="000E5E6C"/>
    <w:rsid w:val="00134557"/>
    <w:rsid w:val="001F2417"/>
    <w:rsid w:val="002217C9"/>
    <w:rsid w:val="0026635A"/>
    <w:rsid w:val="0032741D"/>
    <w:rsid w:val="00465A04"/>
    <w:rsid w:val="00531862"/>
    <w:rsid w:val="00657F9F"/>
    <w:rsid w:val="008E5027"/>
    <w:rsid w:val="00A97210"/>
    <w:rsid w:val="00B66AA1"/>
    <w:rsid w:val="00B73398"/>
    <w:rsid w:val="00BB4E0D"/>
    <w:rsid w:val="00CC0E55"/>
    <w:rsid w:val="00D7665F"/>
    <w:rsid w:val="00FC195A"/>
    <w:rsid w:val="012617B9"/>
    <w:rsid w:val="012838D4"/>
    <w:rsid w:val="01364A57"/>
    <w:rsid w:val="01574008"/>
    <w:rsid w:val="016B7B95"/>
    <w:rsid w:val="016E086E"/>
    <w:rsid w:val="01AA1DE5"/>
    <w:rsid w:val="01CA3538"/>
    <w:rsid w:val="01FD42EF"/>
    <w:rsid w:val="020B7643"/>
    <w:rsid w:val="02125A12"/>
    <w:rsid w:val="02266605"/>
    <w:rsid w:val="02403DF2"/>
    <w:rsid w:val="02497F63"/>
    <w:rsid w:val="027F6FFE"/>
    <w:rsid w:val="02D22E7A"/>
    <w:rsid w:val="032973A0"/>
    <w:rsid w:val="032A4CD6"/>
    <w:rsid w:val="036C38B9"/>
    <w:rsid w:val="038711AC"/>
    <w:rsid w:val="03B911E9"/>
    <w:rsid w:val="03F07FEF"/>
    <w:rsid w:val="040B09C2"/>
    <w:rsid w:val="04213072"/>
    <w:rsid w:val="042539C2"/>
    <w:rsid w:val="04266BCC"/>
    <w:rsid w:val="04273EC0"/>
    <w:rsid w:val="044A024F"/>
    <w:rsid w:val="045727A1"/>
    <w:rsid w:val="0458352F"/>
    <w:rsid w:val="04584100"/>
    <w:rsid w:val="04642AE9"/>
    <w:rsid w:val="046D2E73"/>
    <w:rsid w:val="04CA4F95"/>
    <w:rsid w:val="04E83AEF"/>
    <w:rsid w:val="04FB6C6D"/>
    <w:rsid w:val="05110F8D"/>
    <w:rsid w:val="05283EE5"/>
    <w:rsid w:val="05DF5B0D"/>
    <w:rsid w:val="06201353"/>
    <w:rsid w:val="06486071"/>
    <w:rsid w:val="06D81195"/>
    <w:rsid w:val="07193C69"/>
    <w:rsid w:val="0768220B"/>
    <w:rsid w:val="077F45D3"/>
    <w:rsid w:val="078D6A74"/>
    <w:rsid w:val="079A71D9"/>
    <w:rsid w:val="07A85DA9"/>
    <w:rsid w:val="07A9302F"/>
    <w:rsid w:val="07B9369A"/>
    <w:rsid w:val="080D2C14"/>
    <w:rsid w:val="08154F1A"/>
    <w:rsid w:val="087104B3"/>
    <w:rsid w:val="08AA3B03"/>
    <w:rsid w:val="08AD5358"/>
    <w:rsid w:val="08BE16D7"/>
    <w:rsid w:val="08C9124E"/>
    <w:rsid w:val="08CB04FB"/>
    <w:rsid w:val="08E94F7D"/>
    <w:rsid w:val="09235BA2"/>
    <w:rsid w:val="09357C45"/>
    <w:rsid w:val="09461CD7"/>
    <w:rsid w:val="099B39AD"/>
    <w:rsid w:val="09C16EEE"/>
    <w:rsid w:val="09DD126F"/>
    <w:rsid w:val="09DE474A"/>
    <w:rsid w:val="0A150A1E"/>
    <w:rsid w:val="0A3A0999"/>
    <w:rsid w:val="0A59062D"/>
    <w:rsid w:val="0A5C2A65"/>
    <w:rsid w:val="0A5F49D6"/>
    <w:rsid w:val="0A79191E"/>
    <w:rsid w:val="0A855CC6"/>
    <w:rsid w:val="0A9325DA"/>
    <w:rsid w:val="0AA21558"/>
    <w:rsid w:val="0AC966DF"/>
    <w:rsid w:val="0AE02ED2"/>
    <w:rsid w:val="0B177FBF"/>
    <w:rsid w:val="0B1C6DBC"/>
    <w:rsid w:val="0B4F4448"/>
    <w:rsid w:val="0B6C5571"/>
    <w:rsid w:val="0B711867"/>
    <w:rsid w:val="0B9C2809"/>
    <w:rsid w:val="0BD14E1B"/>
    <w:rsid w:val="0BDF181A"/>
    <w:rsid w:val="0C0B694E"/>
    <w:rsid w:val="0C1E3FC3"/>
    <w:rsid w:val="0C203DF5"/>
    <w:rsid w:val="0C486B0B"/>
    <w:rsid w:val="0C612967"/>
    <w:rsid w:val="0C680F07"/>
    <w:rsid w:val="0C700508"/>
    <w:rsid w:val="0C84511B"/>
    <w:rsid w:val="0C97205D"/>
    <w:rsid w:val="0CBA6B7A"/>
    <w:rsid w:val="0CD948AE"/>
    <w:rsid w:val="0CDA67F5"/>
    <w:rsid w:val="0CE95A3D"/>
    <w:rsid w:val="0D424303"/>
    <w:rsid w:val="0D745C17"/>
    <w:rsid w:val="0DA424DA"/>
    <w:rsid w:val="0DBF2020"/>
    <w:rsid w:val="0DC145E4"/>
    <w:rsid w:val="0E006DB0"/>
    <w:rsid w:val="0E66169F"/>
    <w:rsid w:val="0E663C01"/>
    <w:rsid w:val="0E6B2AC5"/>
    <w:rsid w:val="0EAC3233"/>
    <w:rsid w:val="0ECC0387"/>
    <w:rsid w:val="0EDB470E"/>
    <w:rsid w:val="0EE80975"/>
    <w:rsid w:val="0F0B4830"/>
    <w:rsid w:val="0F1449EF"/>
    <w:rsid w:val="0F474AD4"/>
    <w:rsid w:val="0F537AF2"/>
    <w:rsid w:val="0F7F21A6"/>
    <w:rsid w:val="0F9173E6"/>
    <w:rsid w:val="0FA35927"/>
    <w:rsid w:val="10007B3E"/>
    <w:rsid w:val="10166812"/>
    <w:rsid w:val="10660554"/>
    <w:rsid w:val="107E44E3"/>
    <w:rsid w:val="10C50E7F"/>
    <w:rsid w:val="10D418E4"/>
    <w:rsid w:val="10D83C55"/>
    <w:rsid w:val="10D90D83"/>
    <w:rsid w:val="10E40F6F"/>
    <w:rsid w:val="10FD342A"/>
    <w:rsid w:val="110726F0"/>
    <w:rsid w:val="112273AB"/>
    <w:rsid w:val="114F32D8"/>
    <w:rsid w:val="118273C5"/>
    <w:rsid w:val="1192762C"/>
    <w:rsid w:val="11F45D46"/>
    <w:rsid w:val="125B09AB"/>
    <w:rsid w:val="127E348D"/>
    <w:rsid w:val="1288733C"/>
    <w:rsid w:val="1299732E"/>
    <w:rsid w:val="12A5526C"/>
    <w:rsid w:val="12C829B8"/>
    <w:rsid w:val="12D42FE3"/>
    <w:rsid w:val="132C4959"/>
    <w:rsid w:val="134C1277"/>
    <w:rsid w:val="13540B2E"/>
    <w:rsid w:val="13614BE1"/>
    <w:rsid w:val="138063AB"/>
    <w:rsid w:val="13857451"/>
    <w:rsid w:val="13B139C5"/>
    <w:rsid w:val="13B440F3"/>
    <w:rsid w:val="13BF27EE"/>
    <w:rsid w:val="14494355"/>
    <w:rsid w:val="14912F1D"/>
    <w:rsid w:val="15065D8D"/>
    <w:rsid w:val="150E0633"/>
    <w:rsid w:val="15115B0D"/>
    <w:rsid w:val="15325F45"/>
    <w:rsid w:val="153D42BB"/>
    <w:rsid w:val="154422B2"/>
    <w:rsid w:val="155641C6"/>
    <w:rsid w:val="15A374AE"/>
    <w:rsid w:val="16033F31"/>
    <w:rsid w:val="16225ADA"/>
    <w:rsid w:val="16383B80"/>
    <w:rsid w:val="16515021"/>
    <w:rsid w:val="16535725"/>
    <w:rsid w:val="16806982"/>
    <w:rsid w:val="16937DFE"/>
    <w:rsid w:val="16C8258D"/>
    <w:rsid w:val="16D830FE"/>
    <w:rsid w:val="16E43BF8"/>
    <w:rsid w:val="16F74544"/>
    <w:rsid w:val="171C4C14"/>
    <w:rsid w:val="173B1077"/>
    <w:rsid w:val="17591513"/>
    <w:rsid w:val="176576B2"/>
    <w:rsid w:val="17790818"/>
    <w:rsid w:val="178E0F0B"/>
    <w:rsid w:val="17B82320"/>
    <w:rsid w:val="17C6449C"/>
    <w:rsid w:val="17CF2191"/>
    <w:rsid w:val="17DE4D77"/>
    <w:rsid w:val="182334D5"/>
    <w:rsid w:val="18252BB2"/>
    <w:rsid w:val="18646BF0"/>
    <w:rsid w:val="186D3C23"/>
    <w:rsid w:val="18712B03"/>
    <w:rsid w:val="1872382B"/>
    <w:rsid w:val="18905D8F"/>
    <w:rsid w:val="18BC5301"/>
    <w:rsid w:val="18CE67AB"/>
    <w:rsid w:val="18D86C85"/>
    <w:rsid w:val="1908281C"/>
    <w:rsid w:val="19143034"/>
    <w:rsid w:val="191D03A3"/>
    <w:rsid w:val="193F66CB"/>
    <w:rsid w:val="19722E46"/>
    <w:rsid w:val="199003FF"/>
    <w:rsid w:val="19D95188"/>
    <w:rsid w:val="19E456A3"/>
    <w:rsid w:val="1A3B0898"/>
    <w:rsid w:val="1A3C01BC"/>
    <w:rsid w:val="1A613D07"/>
    <w:rsid w:val="1A873CD3"/>
    <w:rsid w:val="1A877BC7"/>
    <w:rsid w:val="1AB5249B"/>
    <w:rsid w:val="1AC90B65"/>
    <w:rsid w:val="1B0B4B12"/>
    <w:rsid w:val="1B180595"/>
    <w:rsid w:val="1B1E12A5"/>
    <w:rsid w:val="1B3B7F34"/>
    <w:rsid w:val="1B5E0BDF"/>
    <w:rsid w:val="1B6F1E54"/>
    <w:rsid w:val="1B8A31A7"/>
    <w:rsid w:val="1BAB2B88"/>
    <w:rsid w:val="1BCD211D"/>
    <w:rsid w:val="1BD712B5"/>
    <w:rsid w:val="1BDE3556"/>
    <w:rsid w:val="1BF94DED"/>
    <w:rsid w:val="1BFB6334"/>
    <w:rsid w:val="1C112A1C"/>
    <w:rsid w:val="1C1B1876"/>
    <w:rsid w:val="1C493144"/>
    <w:rsid w:val="1D4662A5"/>
    <w:rsid w:val="1D6D3CF0"/>
    <w:rsid w:val="1DB135C5"/>
    <w:rsid w:val="1DC31F66"/>
    <w:rsid w:val="1DEF4B0E"/>
    <w:rsid w:val="1E104592"/>
    <w:rsid w:val="1E217EEB"/>
    <w:rsid w:val="1E280C7A"/>
    <w:rsid w:val="1E3B6335"/>
    <w:rsid w:val="1E514B0C"/>
    <w:rsid w:val="1E7D2192"/>
    <w:rsid w:val="1E8647E7"/>
    <w:rsid w:val="1E966800"/>
    <w:rsid w:val="1E9F1E02"/>
    <w:rsid w:val="1EA266F0"/>
    <w:rsid w:val="1EA37C6A"/>
    <w:rsid w:val="1EAB429B"/>
    <w:rsid w:val="1F031FA0"/>
    <w:rsid w:val="1F053CF4"/>
    <w:rsid w:val="1F63394D"/>
    <w:rsid w:val="1FA5796D"/>
    <w:rsid w:val="1FC70ABE"/>
    <w:rsid w:val="1FC90F28"/>
    <w:rsid w:val="200D76B0"/>
    <w:rsid w:val="20344B79"/>
    <w:rsid w:val="20521A61"/>
    <w:rsid w:val="206E0B1B"/>
    <w:rsid w:val="207B61B3"/>
    <w:rsid w:val="20A67FC8"/>
    <w:rsid w:val="20AF231F"/>
    <w:rsid w:val="214B3D4D"/>
    <w:rsid w:val="21A115E3"/>
    <w:rsid w:val="21B60D08"/>
    <w:rsid w:val="21C936AF"/>
    <w:rsid w:val="21E60BC3"/>
    <w:rsid w:val="22261448"/>
    <w:rsid w:val="227D68CC"/>
    <w:rsid w:val="228640C8"/>
    <w:rsid w:val="22B908D3"/>
    <w:rsid w:val="22CC0B8A"/>
    <w:rsid w:val="2301768E"/>
    <w:rsid w:val="23103A2A"/>
    <w:rsid w:val="23360768"/>
    <w:rsid w:val="2342247E"/>
    <w:rsid w:val="236F5A01"/>
    <w:rsid w:val="237F470C"/>
    <w:rsid w:val="23A25387"/>
    <w:rsid w:val="23B13C4D"/>
    <w:rsid w:val="244A6719"/>
    <w:rsid w:val="248C700C"/>
    <w:rsid w:val="249B00F3"/>
    <w:rsid w:val="24E70A94"/>
    <w:rsid w:val="24F51206"/>
    <w:rsid w:val="24F71161"/>
    <w:rsid w:val="252157F8"/>
    <w:rsid w:val="257A0E8C"/>
    <w:rsid w:val="25924EA3"/>
    <w:rsid w:val="25AC63D8"/>
    <w:rsid w:val="25B70CE5"/>
    <w:rsid w:val="25FD638C"/>
    <w:rsid w:val="26BF2EF1"/>
    <w:rsid w:val="26C85443"/>
    <w:rsid w:val="26D428EC"/>
    <w:rsid w:val="26EE6975"/>
    <w:rsid w:val="271C78CB"/>
    <w:rsid w:val="276850E0"/>
    <w:rsid w:val="28080BC1"/>
    <w:rsid w:val="285216A9"/>
    <w:rsid w:val="28585BED"/>
    <w:rsid w:val="286C427E"/>
    <w:rsid w:val="28996484"/>
    <w:rsid w:val="28C15F43"/>
    <w:rsid w:val="28C42FFE"/>
    <w:rsid w:val="29154740"/>
    <w:rsid w:val="291E20FE"/>
    <w:rsid w:val="293E7C07"/>
    <w:rsid w:val="295A1D7F"/>
    <w:rsid w:val="296D7E7C"/>
    <w:rsid w:val="297D5B2A"/>
    <w:rsid w:val="29CC3360"/>
    <w:rsid w:val="29D02617"/>
    <w:rsid w:val="2A0F02AA"/>
    <w:rsid w:val="2A1D2666"/>
    <w:rsid w:val="2A3A3086"/>
    <w:rsid w:val="2A562DC0"/>
    <w:rsid w:val="2A917856"/>
    <w:rsid w:val="2AA32290"/>
    <w:rsid w:val="2ABC7DCD"/>
    <w:rsid w:val="2AE3164A"/>
    <w:rsid w:val="2AE51679"/>
    <w:rsid w:val="2AEE38C7"/>
    <w:rsid w:val="2B3320FE"/>
    <w:rsid w:val="2BCC34D2"/>
    <w:rsid w:val="2BE66414"/>
    <w:rsid w:val="2C000042"/>
    <w:rsid w:val="2C1D5F87"/>
    <w:rsid w:val="2C213486"/>
    <w:rsid w:val="2C24381C"/>
    <w:rsid w:val="2C34781E"/>
    <w:rsid w:val="2C475191"/>
    <w:rsid w:val="2C7277B3"/>
    <w:rsid w:val="2CA656B1"/>
    <w:rsid w:val="2CCB6152"/>
    <w:rsid w:val="2CD40D5C"/>
    <w:rsid w:val="2CF90DD5"/>
    <w:rsid w:val="2D746365"/>
    <w:rsid w:val="2D9272C9"/>
    <w:rsid w:val="2D9662E6"/>
    <w:rsid w:val="2D9B3BCB"/>
    <w:rsid w:val="2DB66E03"/>
    <w:rsid w:val="2DC614F5"/>
    <w:rsid w:val="2DD006DD"/>
    <w:rsid w:val="2DDF68FF"/>
    <w:rsid w:val="2DF176E0"/>
    <w:rsid w:val="2E100CB8"/>
    <w:rsid w:val="2EEB385A"/>
    <w:rsid w:val="2EED4B36"/>
    <w:rsid w:val="2F350E04"/>
    <w:rsid w:val="2F8D1FF4"/>
    <w:rsid w:val="2FB1304E"/>
    <w:rsid w:val="2FEF1957"/>
    <w:rsid w:val="304332E3"/>
    <w:rsid w:val="30565E8A"/>
    <w:rsid w:val="305F79BC"/>
    <w:rsid w:val="308B38EA"/>
    <w:rsid w:val="30955B0A"/>
    <w:rsid w:val="30AA4E3E"/>
    <w:rsid w:val="30BB1444"/>
    <w:rsid w:val="30D06648"/>
    <w:rsid w:val="30EB6C06"/>
    <w:rsid w:val="31752006"/>
    <w:rsid w:val="31883337"/>
    <w:rsid w:val="319D403D"/>
    <w:rsid w:val="31CB5AC9"/>
    <w:rsid w:val="31E90568"/>
    <w:rsid w:val="31FD11D7"/>
    <w:rsid w:val="321477CA"/>
    <w:rsid w:val="321B524E"/>
    <w:rsid w:val="32460A89"/>
    <w:rsid w:val="325F7A82"/>
    <w:rsid w:val="32B872CF"/>
    <w:rsid w:val="32EE4A6F"/>
    <w:rsid w:val="330A23C5"/>
    <w:rsid w:val="331704BD"/>
    <w:rsid w:val="335A7AAD"/>
    <w:rsid w:val="33AE5BC7"/>
    <w:rsid w:val="33EA50C3"/>
    <w:rsid w:val="3416366F"/>
    <w:rsid w:val="341D68D1"/>
    <w:rsid w:val="34275B8C"/>
    <w:rsid w:val="34452F9C"/>
    <w:rsid w:val="3484486F"/>
    <w:rsid w:val="34A34BA4"/>
    <w:rsid w:val="34DF59EF"/>
    <w:rsid w:val="3520260D"/>
    <w:rsid w:val="352D2E76"/>
    <w:rsid w:val="35545B10"/>
    <w:rsid w:val="356503BE"/>
    <w:rsid w:val="358D4853"/>
    <w:rsid w:val="35976392"/>
    <w:rsid w:val="35AC677A"/>
    <w:rsid w:val="3610103F"/>
    <w:rsid w:val="3651018A"/>
    <w:rsid w:val="36652403"/>
    <w:rsid w:val="368C11C2"/>
    <w:rsid w:val="36B34FAE"/>
    <w:rsid w:val="37123F1C"/>
    <w:rsid w:val="373E007B"/>
    <w:rsid w:val="37850BFB"/>
    <w:rsid w:val="379A4F0C"/>
    <w:rsid w:val="37A851F4"/>
    <w:rsid w:val="37B200FE"/>
    <w:rsid w:val="38074C5D"/>
    <w:rsid w:val="38211E89"/>
    <w:rsid w:val="383C0F94"/>
    <w:rsid w:val="38460FDE"/>
    <w:rsid w:val="384A2825"/>
    <w:rsid w:val="38782F90"/>
    <w:rsid w:val="387D14B0"/>
    <w:rsid w:val="388025FD"/>
    <w:rsid w:val="38856677"/>
    <w:rsid w:val="38C931D4"/>
    <w:rsid w:val="39212A81"/>
    <w:rsid w:val="39692594"/>
    <w:rsid w:val="396C1498"/>
    <w:rsid w:val="39705DB6"/>
    <w:rsid w:val="39794968"/>
    <w:rsid w:val="39BC0163"/>
    <w:rsid w:val="39DA6B56"/>
    <w:rsid w:val="3A024783"/>
    <w:rsid w:val="3A085656"/>
    <w:rsid w:val="3A895848"/>
    <w:rsid w:val="3AB36D5D"/>
    <w:rsid w:val="3AC66902"/>
    <w:rsid w:val="3B48735C"/>
    <w:rsid w:val="3B5A0B8D"/>
    <w:rsid w:val="3BB92A1B"/>
    <w:rsid w:val="3BBE44AB"/>
    <w:rsid w:val="3BE15F00"/>
    <w:rsid w:val="3BF44C4E"/>
    <w:rsid w:val="3C2D1349"/>
    <w:rsid w:val="3C436C8A"/>
    <w:rsid w:val="3C441F95"/>
    <w:rsid w:val="3C493DE9"/>
    <w:rsid w:val="3C6544F1"/>
    <w:rsid w:val="3C803773"/>
    <w:rsid w:val="3C88268A"/>
    <w:rsid w:val="3CA676ED"/>
    <w:rsid w:val="3CE400C5"/>
    <w:rsid w:val="3CED718C"/>
    <w:rsid w:val="3D0D48A2"/>
    <w:rsid w:val="3D583482"/>
    <w:rsid w:val="3DD6278A"/>
    <w:rsid w:val="3DF022AF"/>
    <w:rsid w:val="3E14583A"/>
    <w:rsid w:val="3E4E2D09"/>
    <w:rsid w:val="3E561C53"/>
    <w:rsid w:val="3E8D3027"/>
    <w:rsid w:val="3EB654AE"/>
    <w:rsid w:val="3EC05190"/>
    <w:rsid w:val="3EC6100D"/>
    <w:rsid w:val="3EFE49E5"/>
    <w:rsid w:val="3F9108F6"/>
    <w:rsid w:val="3F9C7D6C"/>
    <w:rsid w:val="3FDE3C3D"/>
    <w:rsid w:val="3FF81D85"/>
    <w:rsid w:val="402C0844"/>
    <w:rsid w:val="403609A2"/>
    <w:rsid w:val="40580143"/>
    <w:rsid w:val="40715C68"/>
    <w:rsid w:val="409E507C"/>
    <w:rsid w:val="40B24B84"/>
    <w:rsid w:val="40BA6536"/>
    <w:rsid w:val="40CE5BCF"/>
    <w:rsid w:val="40D26467"/>
    <w:rsid w:val="413220C1"/>
    <w:rsid w:val="41353A05"/>
    <w:rsid w:val="41496BF4"/>
    <w:rsid w:val="415A7E10"/>
    <w:rsid w:val="416F466E"/>
    <w:rsid w:val="41801B54"/>
    <w:rsid w:val="41B81FBB"/>
    <w:rsid w:val="420501A9"/>
    <w:rsid w:val="424203FB"/>
    <w:rsid w:val="42654C28"/>
    <w:rsid w:val="429B7014"/>
    <w:rsid w:val="42A738AD"/>
    <w:rsid w:val="42BB6084"/>
    <w:rsid w:val="42C810C0"/>
    <w:rsid w:val="42DC36C1"/>
    <w:rsid w:val="431C2459"/>
    <w:rsid w:val="431D46BB"/>
    <w:rsid w:val="43211925"/>
    <w:rsid w:val="43391571"/>
    <w:rsid w:val="4352201E"/>
    <w:rsid w:val="43715883"/>
    <w:rsid w:val="43753881"/>
    <w:rsid w:val="437950D5"/>
    <w:rsid w:val="43A675D6"/>
    <w:rsid w:val="43AE01ED"/>
    <w:rsid w:val="440431A8"/>
    <w:rsid w:val="441115A9"/>
    <w:rsid w:val="443A0087"/>
    <w:rsid w:val="44481868"/>
    <w:rsid w:val="44595ED6"/>
    <w:rsid w:val="447A0978"/>
    <w:rsid w:val="44833D6A"/>
    <w:rsid w:val="44B83E9D"/>
    <w:rsid w:val="44C356AC"/>
    <w:rsid w:val="44F16DFC"/>
    <w:rsid w:val="451A6358"/>
    <w:rsid w:val="455B6135"/>
    <w:rsid w:val="45624BEE"/>
    <w:rsid w:val="45634D88"/>
    <w:rsid w:val="45991ABA"/>
    <w:rsid w:val="45B43BB5"/>
    <w:rsid w:val="45E35EE6"/>
    <w:rsid w:val="45EF3B0C"/>
    <w:rsid w:val="45F1737E"/>
    <w:rsid w:val="45FB2D5C"/>
    <w:rsid w:val="46082B3F"/>
    <w:rsid w:val="4626030C"/>
    <w:rsid w:val="46C8737C"/>
    <w:rsid w:val="4716395B"/>
    <w:rsid w:val="473A3794"/>
    <w:rsid w:val="474520E0"/>
    <w:rsid w:val="47455440"/>
    <w:rsid w:val="474D072C"/>
    <w:rsid w:val="474E5216"/>
    <w:rsid w:val="47FC2030"/>
    <w:rsid w:val="48132331"/>
    <w:rsid w:val="48316B90"/>
    <w:rsid w:val="484872CC"/>
    <w:rsid w:val="484C1CEA"/>
    <w:rsid w:val="485501A1"/>
    <w:rsid w:val="485B02FC"/>
    <w:rsid w:val="4870156C"/>
    <w:rsid w:val="487203C1"/>
    <w:rsid w:val="48894BB5"/>
    <w:rsid w:val="48D34EFB"/>
    <w:rsid w:val="492C3C07"/>
    <w:rsid w:val="494722AB"/>
    <w:rsid w:val="495D296B"/>
    <w:rsid w:val="495E5BC2"/>
    <w:rsid w:val="499F6262"/>
    <w:rsid w:val="49B549FD"/>
    <w:rsid w:val="49F8560F"/>
    <w:rsid w:val="49FC5AE0"/>
    <w:rsid w:val="4A027CD4"/>
    <w:rsid w:val="4A071CF2"/>
    <w:rsid w:val="4A2E4CB8"/>
    <w:rsid w:val="4A3136AB"/>
    <w:rsid w:val="4A402788"/>
    <w:rsid w:val="4A5E10F0"/>
    <w:rsid w:val="4A9B378F"/>
    <w:rsid w:val="4AD359CF"/>
    <w:rsid w:val="4B067C77"/>
    <w:rsid w:val="4B502316"/>
    <w:rsid w:val="4B513014"/>
    <w:rsid w:val="4B5C5031"/>
    <w:rsid w:val="4B757E84"/>
    <w:rsid w:val="4B7D4AFE"/>
    <w:rsid w:val="4BD51311"/>
    <w:rsid w:val="4BD845CD"/>
    <w:rsid w:val="4BE420C0"/>
    <w:rsid w:val="4C3218B7"/>
    <w:rsid w:val="4C556576"/>
    <w:rsid w:val="4C596668"/>
    <w:rsid w:val="4C8A1D07"/>
    <w:rsid w:val="4C920C0D"/>
    <w:rsid w:val="4C92517C"/>
    <w:rsid w:val="4C9F44A2"/>
    <w:rsid w:val="4D053561"/>
    <w:rsid w:val="4D0C0D2A"/>
    <w:rsid w:val="4D28039A"/>
    <w:rsid w:val="4D7125C0"/>
    <w:rsid w:val="4DBB71D1"/>
    <w:rsid w:val="4DCD2AAB"/>
    <w:rsid w:val="4DE806E7"/>
    <w:rsid w:val="4E1857AC"/>
    <w:rsid w:val="4E2D3B6B"/>
    <w:rsid w:val="4E7F0650"/>
    <w:rsid w:val="4EAA3AF4"/>
    <w:rsid w:val="4EB85D78"/>
    <w:rsid w:val="4EDA586A"/>
    <w:rsid w:val="4EEF5A2B"/>
    <w:rsid w:val="4F256E8B"/>
    <w:rsid w:val="4F532753"/>
    <w:rsid w:val="4F597B24"/>
    <w:rsid w:val="4F5A71AA"/>
    <w:rsid w:val="4F9D38CA"/>
    <w:rsid w:val="4FA07BB2"/>
    <w:rsid w:val="50A90FFC"/>
    <w:rsid w:val="50AE2848"/>
    <w:rsid w:val="50B81A7D"/>
    <w:rsid w:val="50DD28B1"/>
    <w:rsid w:val="50F44E02"/>
    <w:rsid w:val="510B0443"/>
    <w:rsid w:val="51171218"/>
    <w:rsid w:val="515E0640"/>
    <w:rsid w:val="51806624"/>
    <w:rsid w:val="51A02F3C"/>
    <w:rsid w:val="51A84704"/>
    <w:rsid w:val="51B95CA3"/>
    <w:rsid w:val="51C1782C"/>
    <w:rsid w:val="51C35D39"/>
    <w:rsid w:val="51CD17FE"/>
    <w:rsid w:val="52715AF3"/>
    <w:rsid w:val="52A8492F"/>
    <w:rsid w:val="52B96EB7"/>
    <w:rsid w:val="52EE7575"/>
    <w:rsid w:val="5301153A"/>
    <w:rsid w:val="53013CAA"/>
    <w:rsid w:val="530F6F55"/>
    <w:rsid w:val="534B07D8"/>
    <w:rsid w:val="536E20F2"/>
    <w:rsid w:val="53CF36A4"/>
    <w:rsid w:val="53D67846"/>
    <w:rsid w:val="53E822B8"/>
    <w:rsid w:val="53EF7A6F"/>
    <w:rsid w:val="53F62407"/>
    <w:rsid w:val="54065E94"/>
    <w:rsid w:val="541E5DED"/>
    <w:rsid w:val="54613B3F"/>
    <w:rsid w:val="547759BE"/>
    <w:rsid w:val="547978CA"/>
    <w:rsid w:val="547D3B1D"/>
    <w:rsid w:val="547E737C"/>
    <w:rsid w:val="547F6434"/>
    <w:rsid w:val="549E5984"/>
    <w:rsid w:val="54BB1B13"/>
    <w:rsid w:val="55046873"/>
    <w:rsid w:val="5510214B"/>
    <w:rsid w:val="55540DFC"/>
    <w:rsid w:val="55DB4972"/>
    <w:rsid w:val="55E54B02"/>
    <w:rsid w:val="55E77F22"/>
    <w:rsid w:val="56175112"/>
    <w:rsid w:val="563240B4"/>
    <w:rsid w:val="56344116"/>
    <w:rsid w:val="56594A37"/>
    <w:rsid w:val="56773FE3"/>
    <w:rsid w:val="56877089"/>
    <w:rsid w:val="56EA44E9"/>
    <w:rsid w:val="56F6339D"/>
    <w:rsid w:val="57025319"/>
    <w:rsid w:val="57093CB1"/>
    <w:rsid w:val="57192F9C"/>
    <w:rsid w:val="57240A2F"/>
    <w:rsid w:val="57700BD9"/>
    <w:rsid w:val="5778409E"/>
    <w:rsid w:val="579E1E5D"/>
    <w:rsid w:val="57B00274"/>
    <w:rsid w:val="57B1167E"/>
    <w:rsid w:val="57C644E4"/>
    <w:rsid w:val="57C76DF5"/>
    <w:rsid w:val="57F15D09"/>
    <w:rsid w:val="58033ADD"/>
    <w:rsid w:val="58067B69"/>
    <w:rsid w:val="5807211E"/>
    <w:rsid w:val="58141F60"/>
    <w:rsid w:val="582B4640"/>
    <w:rsid w:val="584453B1"/>
    <w:rsid w:val="585718C5"/>
    <w:rsid w:val="589B44B5"/>
    <w:rsid w:val="58A30665"/>
    <w:rsid w:val="58B22C6B"/>
    <w:rsid w:val="58C11CC8"/>
    <w:rsid w:val="58D55BB3"/>
    <w:rsid w:val="58E00537"/>
    <w:rsid w:val="58EC650F"/>
    <w:rsid w:val="58FC059D"/>
    <w:rsid w:val="594108C9"/>
    <w:rsid w:val="59C9486E"/>
    <w:rsid w:val="59D30E5C"/>
    <w:rsid w:val="59FD080B"/>
    <w:rsid w:val="5A102C2B"/>
    <w:rsid w:val="5A1166E7"/>
    <w:rsid w:val="5A60428C"/>
    <w:rsid w:val="5A8D6921"/>
    <w:rsid w:val="5AA14B2E"/>
    <w:rsid w:val="5AAA4410"/>
    <w:rsid w:val="5AED2E16"/>
    <w:rsid w:val="5AEE2E9E"/>
    <w:rsid w:val="5B215A42"/>
    <w:rsid w:val="5B826F6D"/>
    <w:rsid w:val="5B8C5D1D"/>
    <w:rsid w:val="5B97069F"/>
    <w:rsid w:val="5BAC7339"/>
    <w:rsid w:val="5BC9655A"/>
    <w:rsid w:val="5BE056D4"/>
    <w:rsid w:val="5BFE7D28"/>
    <w:rsid w:val="5C023893"/>
    <w:rsid w:val="5C0F7E0A"/>
    <w:rsid w:val="5C3238E7"/>
    <w:rsid w:val="5C6139D9"/>
    <w:rsid w:val="5C7D155D"/>
    <w:rsid w:val="5C905033"/>
    <w:rsid w:val="5C976CF3"/>
    <w:rsid w:val="5C990CF9"/>
    <w:rsid w:val="5CC4383E"/>
    <w:rsid w:val="5CEA15B4"/>
    <w:rsid w:val="5CFA7B59"/>
    <w:rsid w:val="5CFF00C6"/>
    <w:rsid w:val="5D035853"/>
    <w:rsid w:val="5D2718F2"/>
    <w:rsid w:val="5D9D57F8"/>
    <w:rsid w:val="5E071E04"/>
    <w:rsid w:val="5E0E2DDD"/>
    <w:rsid w:val="5E320527"/>
    <w:rsid w:val="5E421773"/>
    <w:rsid w:val="5E6D0BBB"/>
    <w:rsid w:val="5E70398B"/>
    <w:rsid w:val="5EA162B7"/>
    <w:rsid w:val="5EBD39E4"/>
    <w:rsid w:val="5EEC7C90"/>
    <w:rsid w:val="5EF65D63"/>
    <w:rsid w:val="5F222921"/>
    <w:rsid w:val="5F413665"/>
    <w:rsid w:val="5F5071BC"/>
    <w:rsid w:val="5F7F2CBF"/>
    <w:rsid w:val="5FA50B0F"/>
    <w:rsid w:val="5FB32210"/>
    <w:rsid w:val="5FB855DB"/>
    <w:rsid w:val="5FBE624C"/>
    <w:rsid w:val="5FDF26CF"/>
    <w:rsid w:val="5FEC2D96"/>
    <w:rsid w:val="5FFC6C11"/>
    <w:rsid w:val="602D4C62"/>
    <w:rsid w:val="604E2F82"/>
    <w:rsid w:val="606604FF"/>
    <w:rsid w:val="60765BFA"/>
    <w:rsid w:val="608D532B"/>
    <w:rsid w:val="60B86C76"/>
    <w:rsid w:val="60C50DF0"/>
    <w:rsid w:val="60D37B7E"/>
    <w:rsid w:val="60ED2C83"/>
    <w:rsid w:val="61360FE0"/>
    <w:rsid w:val="613971C6"/>
    <w:rsid w:val="617C1F0A"/>
    <w:rsid w:val="61887956"/>
    <w:rsid w:val="618A4088"/>
    <w:rsid w:val="61995157"/>
    <w:rsid w:val="61C44F3B"/>
    <w:rsid w:val="61D7426F"/>
    <w:rsid w:val="61F475E9"/>
    <w:rsid w:val="625E50D7"/>
    <w:rsid w:val="62A81D36"/>
    <w:rsid w:val="62B63B02"/>
    <w:rsid w:val="62B864F3"/>
    <w:rsid w:val="638878F9"/>
    <w:rsid w:val="63940EAB"/>
    <w:rsid w:val="63B44CA0"/>
    <w:rsid w:val="63C46E31"/>
    <w:rsid w:val="63CB275C"/>
    <w:rsid w:val="63D46817"/>
    <w:rsid w:val="64070082"/>
    <w:rsid w:val="64142B55"/>
    <w:rsid w:val="643001B3"/>
    <w:rsid w:val="64647F2E"/>
    <w:rsid w:val="64843B34"/>
    <w:rsid w:val="64872474"/>
    <w:rsid w:val="649C083D"/>
    <w:rsid w:val="64A66831"/>
    <w:rsid w:val="64C100F3"/>
    <w:rsid w:val="64C8335C"/>
    <w:rsid w:val="650E49DE"/>
    <w:rsid w:val="6542563F"/>
    <w:rsid w:val="654621B9"/>
    <w:rsid w:val="658B7DA8"/>
    <w:rsid w:val="65932F29"/>
    <w:rsid w:val="659C5197"/>
    <w:rsid w:val="65A94EDF"/>
    <w:rsid w:val="65B0017A"/>
    <w:rsid w:val="65E26243"/>
    <w:rsid w:val="660A2D4A"/>
    <w:rsid w:val="66246472"/>
    <w:rsid w:val="662F09D8"/>
    <w:rsid w:val="663527BF"/>
    <w:rsid w:val="66494BAE"/>
    <w:rsid w:val="66600FF9"/>
    <w:rsid w:val="6680437A"/>
    <w:rsid w:val="66AF45BC"/>
    <w:rsid w:val="66CE7DB2"/>
    <w:rsid w:val="66D81B2C"/>
    <w:rsid w:val="66DC407A"/>
    <w:rsid w:val="67134F4F"/>
    <w:rsid w:val="671875FB"/>
    <w:rsid w:val="673F2C72"/>
    <w:rsid w:val="67692CCF"/>
    <w:rsid w:val="6781393A"/>
    <w:rsid w:val="679321B4"/>
    <w:rsid w:val="679D3024"/>
    <w:rsid w:val="68002DD7"/>
    <w:rsid w:val="68005009"/>
    <w:rsid w:val="6857623F"/>
    <w:rsid w:val="687D7337"/>
    <w:rsid w:val="688176A6"/>
    <w:rsid w:val="68AF2E0F"/>
    <w:rsid w:val="68D23422"/>
    <w:rsid w:val="68D46235"/>
    <w:rsid w:val="68FD37BC"/>
    <w:rsid w:val="69290C4A"/>
    <w:rsid w:val="694644EE"/>
    <w:rsid w:val="699A0E66"/>
    <w:rsid w:val="69AF099D"/>
    <w:rsid w:val="69E05C0C"/>
    <w:rsid w:val="6A11545A"/>
    <w:rsid w:val="6A1F21DD"/>
    <w:rsid w:val="6A2D4117"/>
    <w:rsid w:val="6A8A6C18"/>
    <w:rsid w:val="6ABA7BE8"/>
    <w:rsid w:val="6ADB0AE9"/>
    <w:rsid w:val="6B1D2487"/>
    <w:rsid w:val="6BA03233"/>
    <w:rsid w:val="6BAF274C"/>
    <w:rsid w:val="6BCA5814"/>
    <w:rsid w:val="6BD014A2"/>
    <w:rsid w:val="6BE141EC"/>
    <w:rsid w:val="6C003007"/>
    <w:rsid w:val="6C205930"/>
    <w:rsid w:val="6C262BD7"/>
    <w:rsid w:val="6CB52F14"/>
    <w:rsid w:val="6CE86A8C"/>
    <w:rsid w:val="6CF96C0D"/>
    <w:rsid w:val="6D217C4C"/>
    <w:rsid w:val="6D595B54"/>
    <w:rsid w:val="6D687FB5"/>
    <w:rsid w:val="6D71119D"/>
    <w:rsid w:val="6DB44B2B"/>
    <w:rsid w:val="6DE0013B"/>
    <w:rsid w:val="6E12456F"/>
    <w:rsid w:val="6E2863D9"/>
    <w:rsid w:val="6E4D40DF"/>
    <w:rsid w:val="6E514EA1"/>
    <w:rsid w:val="6E7A7BA8"/>
    <w:rsid w:val="6E9D16B9"/>
    <w:rsid w:val="6EAC089F"/>
    <w:rsid w:val="6ED87D25"/>
    <w:rsid w:val="6F2479C3"/>
    <w:rsid w:val="6F636CDE"/>
    <w:rsid w:val="6FA66877"/>
    <w:rsid w:val="6FAD7576"/>
    <w:rsid w:val="6FAE088A"/>
    <w:rsid w:val="6FB846F2"/>
    <w:rsid w:val="6FD1766A"/>
    <w:rsid w:val="6FE975C8"/>
    <w:rsid w:val="6FFB6CFC"/>
    <w:rsid w:val="70203BF9"/>
    <w:rsid w:val="70263331"/>
    <w:rsid w:val="70672EA9"/>
    <w:rsid w:val="70A013B8"/>
    <w:rsid w:val="70BB7448"/>
    <w:rsid w:val="70DB0FBA"/>
    <w:rsid w:val="710F40A8"/>
    <w:rsid w:val="712935D2"/>
    <w:rsid w:val="717C26C1"/>
    <w:rsid w:val="71A57ECD"/>
    <w:rsid w:val="71A778E1"/>
    <w:rsid w:val="71DE3A40"/>
    <w:rsid w:val="71ED00B9"/>
    <w:rsid w:val="71F92FAA"/>
    <w:rsid w:val="72156AA5"/>
    <w:rsid w:val="7223758C"/>
    <w:rsid w:val="727331D4"/>
    <w:rsid w:val="727D33D7"/>
    <w:rsid w:val="72D87E14"/>
    <w:rsid w:val="72FD3D04"/>
    <w:rsid w:val="732C4B81"/>
    <w:rsid w:val="732F3F43"/>
    <w:rsid w:val="73373D7D"/>
    <w:rsid w:val="73577327"/>
    <w:rsid w:val="73A20526"/>
    <w:rsid w:val="73CF578C"/>
    <w:rsid w:val="73E00A93"/>
    <w:rsid w:val="742E4B39"/>
    <w:rsid w:val="744911B0"/>
    <w:rsid w:val="747D0213"/>
    <w:rsid w:val="74EA5187"/>
    <w:rsid w:val="752C369D"/>
    <w:rsid w:val="755E2589"/>
    <w:rsid w:val="756D76B5"/>
    <w:rsid w:val="757F114D"/>
    <w:rsid w:val="75897F9E"/>
    <w:rsid w:val="75B02F59"/>
    <w:rsid w:val="75C208A8"/>
    <w:rsid w:val="75FF0AB8"/>
    <w:rsid w:val="760D0D3B"/>
    <w:rsid w:val="76116DB5"/>
    <w:rsid w:val="761D1941"/>
    <w:rsid w:val="764852A6"/>
    <w:rsid w:val="766F43EF"/>
    <w:rsid w:val="769E64A3"/>
    <w:rsid w:val="76A41CB5"/>
    <w:rsid w:val="76C36D02"/>
    <w:rsid w:val="77067D4F"/>
    <w:rsid w:val="771F2CF6"/>
    <w:rsid w:val="77450810"/>
    <w:rsid w:val="779F04FA"/>
    <w:rsid w:val="77AD4E64"/>
    <w:rsid w:val="77AE22B1"/>
    <w:rsid w:val="77C94D61"/>
    <w:rsid w:val="77F54AD9"/>
    <w:rsid w:val="780736FB"/>
    <w:rsid w:val="7896192D"/>
    <w:rsid w:val="78C23C41"/>
    <w:rsid w:val="78C45414"/>
    <w:rsid w:val="78D04501"/>
    <w:rsid w:val="78FA4F50"/>
    <w:rsid w:val="78FE2D8D"/>
    <w:rsid w:val="790822C0"/>
    <w:rsid w:val="796309CA"/>
    <w:rsid w:val="79667925"/>
    <w:rsid w:val="798D7729"/>
    <w:rsid w:val="79B3134A"/>
    <w:rsid w:val="79C751DA"/>
    <w:rsid w:val="79F302D9"/>
    <w:rsid w:val="7A185E1A"/>
    <w:rsid w:val="7A5A2A12"/>
    <w:rsid w:val="7A61729F"/>
    <w:rsid w:val="7AAA73A8"/>
    <w:rsid w:val="7AB0267A"/>
    <w:rsid w:val="7ACE461C"/>
    <w:rsid w:val="7ADA2F81"/>
    <w:rsid w:val="7AE44D62"/>
    <w:rsid w:val="7AEA66A6"/>
    <w:rsid w:val="7B083C6A"/>
    <w:rsid w:val="7B1E5C96"/>
    <w:rsid w:val="7B250FE9"/>
    <w:rsid w:val="7B52587A"/>
    <w:rsid w:val="7B683F32"/>
    <w:rsid w:val="7B7C3265"/>
    <w:rsid w:val="7BB33A5A"/>
    <w:rsid w:val="7BD91778"/>
    <w:rsid w:val="7BF32598"/>
    <w:rsid w:val="7C146C39"/>
    <w:rsid w:val="7C265303"/>
    <w:rsid w:val="7C3A28AB"/>
    <w:rsid w:val="7C3A72C8"/>
    <w:rsid w:val="7C6C1066"/>
    <w:rsid w:val="7C997837"/>
    <w:rsid w:val="7CAB5015"/>
    <w:rsid w:val="7CE13046"/>
    <w:rsid w:val="7CE73277"/>
    <w:rsid w:val="7CE771CB"/>
    <w:rsid w:val="7CFC733F"/>
    <w:rsid w:val="7D2D67F2"/>
    <w:rsid w:val="7D4D0AE3"/>
    <w:rsid w:val="7D501195"/>
    <w:rsid w:val="7D5E65F8"/>
    <w:rsid w:val="7D884F8B"/>
    <w:rsid w:val="7DE11975"/>
    <w:rsid w:val="7E012EA2"/>
    <w:rsid w:val="7E162E96"/>
    <w:rsid w:val="7E3B0B63"/>
    <w:rsid w:val="7E5F55F3"/>
    <w:rsid w:val="7E70179A"/>
    <w:rsid w:val="7E756F7E"/>
    <w:rsid w:val="7E90306B"/>
    <w:rsid w:val="7EA26D1F"/>
    <w:rsid w:val="7ED37344"/>
    <w:rsid w:val="7F4B5FB5"/>
    <w:rsid w:val="7F4E6CBB"/>
    <w:rsid w:val="7F6A651D"/>
    <w:rsid w:val="7F6B1087"/>
    <w:rsid w:val="7F801E5B"/>
    <w:rsid w:val="7F816F78"/>
    <w:rsid w:val="7FB47B75"/>
    <w:rsid w:val="7FD51746"/>
    <w:rsid w:val="7FE77CE3"/>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新宋体" w:hAnsi="新宋体" w:eastAsia="新宋体" w:cs="新宋体"/>
      <w:sz w:val="22"/>
      <w:szCs w:val="22"/>
      <w:lang w:val="zh-CN" w:eastAsia="zh-CN" w:bidi="zh-CN"/>
    </w:rPr>
  </w:style>
  <w:style w:type="paragraph" w:styleId="2">
    <w:name w:val="heading 1"/>
    <w:basedOn w:val="1"/>
    <w:next w:val="1"/>
    <w:qFormat/>
    <w:uiPriority w:val="1"/>
    <w:pPr>
      <w:ind w:left="140"/>
      <w:outlineLvl w:val="0"/>
    </w:pPr>
    <w:rPr>
      <w:rFonts w:ascii="宋体" w:hAnsi="宋体" w:eastAsia="宋体" w:cs="宋体"/>
      <w:b/>
      <w:bCs/>
      <w:sz w:val="32"/>
      <w:szCs w:val="32"/>
    </w:rPr>
  </w:style>
  <w:style w:type="paragraph" w:styleId="3">
    <w:name w:val="heading 2"/>
    <w:basedOn w:val="1"/>
    <w:next w:val="1"/>
    <w:unhideWhenUsed/>
    <w:qFormat/>
    <w:uiPriority w:val="0"/>
    <w:pPr>
      <w:spacing w:beforeAutospacing="1" w:afterAutospacing="1"/>
      <w:outlineLvl w:val="1"/>
    </w:pPr>
    <w:rPr>
      <w:rFonts w:hint="eastAsia" w:ascii="宋体" w:hAnsi="宋体" w:eastAsia="宋体" w:cs="宋体"/>
      <w:b/>
      <w:bCs/>
      <w:sz w:val="36"/>
      <w:szCs w:val="36"/>
      <w:lang w:val="en-US"/>
    </w:rPr>
  </w:style>
  <w:style w:type="character" w:default="1" w:styleId="8">
    <w:name w:val="Default Paragraph Font"/>
    <w:unhideWhenUsed/>
    <w:uiPriority w:val="1"/>
  </w:style>
  <w:style w:type="table" w:default="1" w:styleId="21">
    <w:name w:val="Normal Table"/>
    <w:unhideWhenUsed/>
    <w:qFormat/>
    <w:uiPriority w:val="99"/>
    <w:tblPr>
      <w:tblStyle w:val="21"/>
      <w:tblLayout w:type="fixed"/>
      <w:tblCellMar>
        <w:top w:w="0" w:type="dxa"/>
        <w:left w:w="108" w:type="dxa"/>
        <w:bottom w:w="0" w:type="dxa"/>
        <w:right w:w="108" w:type="dxa"/>
      </w:tblCellMar>
    </w:tblPr>
    <w:tcPr>
      <w:textDirection w:val="lrTb"/>
    </w:tcPr>
  </w:style>
  <w:style w:type="paragraph" w:styleId="4">
    <w:name w:val="Body Text"/>
    <w:basedOn w:val="1"/>
    <w:qFormat/>
    <w:uiPriority w:val="1"/>
    <w:pPr>
      <w:ind w:left="140"/>
    </w:pPr>
    <w:rPr>
      <w:sz w:val="28"/>
      <w:szCs w:val="28"/>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link w:val="35"/>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pPr>
    <w:rPr>
      <w:sz w:val="24"/>
      <w:lang w:val="en-US"/>
    </w:rPr>
  </w:style>
  <w:style w:type="character" w:styleId="9">
    <w:name w:val="Strong"/>
    <w:basedOn w:val="8"/>
    <w:qFormat/>
    <w:uiPriority w:val="0"/>
    <w:rPr>
      <w:b/>
      <w:bdr w:val="single" w:color="888888" w:sz="2" w:space="0"/>
      <w:shd w:val="clear" w:color="020000" w:fill="F2F4F9"/>
    </w:rPr>
  </w:style>
  <w:style w:type="character" w:styleId="10">
    <w:name w:val="FollowedHyperlink"/>
    <w:basedOn w:val="8"/>
    <w:qFormat/>
    <w:uiPriority w:val="0"/>
    <w:rPr>
      <w:color w:val="800080"/>
      <w:u w:val="none"/>
    </w:rPr>
  </w:style>
  <w:style w:type="character" w:styleId="11">
    <w:name w:val="Emphasis"/>
    <w:basedOn w:val="8"/>
    <w:qFormat/>
    <w:uiPriority w:val="0"/>
    <w:rPr/>
  </w:style>
  <w:style w:type="character" w:styleId="12">
    <w:name w:val="HTML Definition"/>
    <w:basedOn w:val="8"/>
    <w:qFormat/>
    <w:uiPriority w:val="0"/>
    <w:rPr/>
  </w:style>
  <w:style w:type="character" w:styleId="13">
    <w:name w:val="HTML Typewriter"/>
    <w:basedOn w:val="8"/>
    <w:qFormat/>
    <w:uiPriority w:val="0"/>
    <w:rPr>
      <w:rFonts w:hint="default" w:ascii="monospace" w:hAnsi="monospace" w:eastAsia="monospace" w:cs="monospace"/>
      <w:sz w:val="20"/>
    </w:rPr>
  </w:style>
  <w:style w:type="character" w:styleId="14">
    <w:name w:val="HTML Acronym"/>
    <w:basedOn w:val="8"/>
    <w:qFormat/>
    <w:uiPriority w:val="0"/>
    <w:rPr/>
  </w:style>
  <w:style w:type="character" w:styleId="15">
    <w:name w:val="HTML Variable"/>
    <w:basedOn w:val="8"/>
    <w:qFormat/>
    <w:uiPriority w:val="0"/>
    <w:rPr/>
  </w:style>
  <w:style w:type="character" w:styleId="16">
    <w:name w:val="Hyperlink"/>
    <w:basedOn w:val="8"/>
    <w:qFormat/>
    <w:uiPriority w:val="0"/>
    <w:rPr>
      <w:color w:val="0000FF"/>
      <w:u w:val="none"/>
    </w:rPr>
  </w:style>
  <w:style w:type="character" w:styleId="17">
    <w:name w:val="HTML Code"/>
    <w:basedOn w:val="8"/>
    <w:qFormat/>
    <w:uiPriority w:val="0"/>
    <w:rPr>
      <w:rFonts w:hint="default" w:ascii="monospace" w:hAnsi="monospace" w:eastAsia="monospace" w:cs="monospace"/>
      <w:sz w:val="20"/>
    </w:rPr>
  </w:style>
  <w:style w:type="character" w:styleId="18">
    <w:name w:val="HTML Cite"/>
    <w:basedOn w:val="8"/>
    <w:qFormat/>
    <w:uiPriority w:val="0"/>
    <w:rPr/>
  </w:style>
  <w:style w:type="character" w:styleId="19">
    <w:name w:val="HTML Keyboard"/>
    <w:basedOn w:val="8"/>
    <w:qFormat/>
    <w:uiPriority w:val="0"/>
    <w:rPr>
      <w:rFonts w:ascii="monospace" w:hAnsi="monospace" w:eastAsia="monospace" w:cs="monospace"/>
      <w:sz w:val="20"/>
    </w:rPr>
  </w:style>
  <w:style w:type="character" w:styleId="20">
    <w:name w:val="HTML Sample"/>
    <w:basedOn w:val="8"/>
    <w:qFormat/>
    <w:uiPriority w:val="0"/>
    <w:rPr>
      <w:rFonts w:hint="default" w:ascii="monospace" w:hAnsi="monospace" w:eastAsia="monospace" w:cs="monospace"/>
    </w:rPr>
  </w:style>
  <w:style w:type="paragraph" w:customStyle="1" w:styleId="22">
    <w:name w:val="列出段落1"/>
    <w:basedOn w:val="1"/>
    <w:qFormat/>
    <w:uiPriority w:val="1"/>
    <w:pPr>
      <w:ind w:left="1417" w:hanging="425"/>
      <w:jc w:val="both"/>
    </w:pPr>
  </w:style>
  <w:style w:type="character" w:customStyle="1" w:styleId="23">
    <w:name w:val="hover18"/>
    <w:basedOn w:val="8"/>
    <w:qFormat/>
    <w:uiPriority w:val="0"/>
    <w:rPr>
      <w:u w:val="none"/>
    </w:rPr>
  </w:style>
  <w:style w:type="character" w:customStyle="1" w:styleId="24">
    <w:name w:val="hover19"/>
    <w:basedOn w:val="8"/>
    <w:qFormat/>
    <w:uiPriority w:val="0"/>
    <w:rPr>
      <w:u w:val="single"/>
    </w:rPr>
  </w:style>
  <w:style w:type="character" w:customStyle="1" w:styleId="25">
    <w:name w:val="w178"/>
    <w:basedOn w:val="8"/>
    <w:qFormat/>
    <w:uiPriority w:val="0"/>
    <w:rPr/>
  </w:style>
  <w:style w:type="character" w:customStyle="1" w:styleId="26">
    <w:name w:val="first-child"/>
    <w:basedOn w:val="8"/>
    <w:qFormat/>
    <w:uiPriority w:val="0"/>
    <w:rPr/>
  </w:style>
  <w:style w:type="character" w:customStyle="1" w:styleId="27">
    <w:name w:val="w200"/>
    <w:basedOn w:val="8"/>
    <w:qFormat/>
    <w:uiPriority w:val="0"/>
    <w:rPr/>
  </w:style>
  <w:style w:type="character" w:customStyle="1" w:styleId="28">
    <w:name w:val="w105"/>
    <w:basedOn w:val="8"/>
    <w:qFormat/>
    <w:uiPriority w:val="0"/>
    <w:rPr/>
  </w:style>
  <w:style w:type="character" w:customStyle="1" w:styleId="29">
    <w:name w:val="hover20"/>
    <w:basedOn w:val="8"/>
    <w:qFormat/>
    <w:uiPriority w:val="0"/>
    <w:rPr>
      <w:u w:val="single"/>
    </w:rPr>
  </w:style>
  <w:style w:type="character" w:customStyle="1" w:styleId="30">
    <w:name w:val="hover1"/>
    <w:basedOn w:val="8"/>
    <w:qFormat/>
    <w:uiPriority w:val="0"/>
    <w:rPr>
      <w:color w:val="2590EB"/>
    </w:rPr>
  </w:style>
  <w:style w:type="character" w:customStyle="1" w:styleId="31">
    <w:name w:val="hover2"/>
    <w:basedOn w:val="8"/>
    <w:qFormat/>
    <w:uiPriority w:val="0"/>
    <w:rPr>
      <w:color w:val="2590EB"/>
    </w:rPr>
  </w:style>
  <w:style w:type="character" w:customStyle="1" w:styleId="32">
    <w:name w:val="hover3"/>
    <w:basedOn w:val="8"/>
    <w:qFormat/>
    <w:uiPriority w:val="0"/>
    <w:rPr/>
  </w:style>
  <w:style w:type="character" w:customStyle="1" w:styleId="33">
    <w:name w:val="hover"/>
    <w:basedOn w:val="8"/>
    <w:qFormat/>
    <w:uiPriority w:val="0"/>
    <w:rPr>
      <w:color w:val="2590EB"/>
    </w:rPr>
  </w:style>
  <w:style w:type="character" w:customStyle="1" w:styleId="34">
    <w:name w:val="mini-outputtext1"/>
    <w:basedOn w:val="8"/>
    <w:qFormat/>
    <w:uiPriority w:val="0"/>
    <w:rPr/>
  </w:style>
  <w:style w:type="character" w:customStyle="1" w:styleId="35">
    <w:name w:val="页眉 Char"/>
    <w:basedOn w:val="8"/>
    <w:link w:val="6"/>
    <w:uiPriority w:val="0"/>
    <w:rPr>
      <w:rFonts w:ascii="新宋体" w:hAnsi="新宋体" w:eastAsia="新宋体" w:cs="新宋体"/>
      <w:sz w:val="18"/>
      <w:szCs w:val="18"/>
      <w:lang w:val="zh-CN" w:bidi="zh-CN"/>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804</Words>
  <Characters>4583</Characters>
  <Lines>38</Lines>
  <Paragraphs>10</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2020-05-08T12:33:00Z</dcterms:created>
  <dc:creator>王龙俊</dc:creator>
  <cp:lastModifiedBy>Administrator</cp:lastModifiedBy>
  <cp:lastPrinted>2023-08-17T06:43:00Z</cp:lastPrinted>
  <dcterms:modified xsi:type="dcterms:W3CDTF">2023-08-17T07:38:22Z</dcterms:modified>
  <dc:title>国有建设用地使用权挂牌出让须知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y fmtid="{D5CDD505-2E9C-101B-9397-08002B2CF9AE}" pid="3" name="ICV">
    <vt:lpwstr>620F0BA815B34B4684444C864E2B4DD7</vt:lpwstr>
  </property>
</Properties>
</file>