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A9DA328">
      <w:pPr>
        <w:pStyle w:val="11"/>
        <w:jc w:val="center"/>
        <w:outlineLvl w:val="2"/>
      </w:pPr>
      <w:bookmarkStart w:id="74" w:name="_GoBack"/>
      <w:bookmarkEnd w:id="74"/>
      <w:r>
        <w:rPr>
          <w:rFonts w:ascii="仿宋_GB2312" w:hAnsi="仿宋_GB2312" w:eastAsia="仿宋_GB2312" w:cs="仿宋_GB2312"/>
          <w:b/>
          <w:sz w:val="28"/>
        </w:rPr>
        <w:t>封面格式(技术商务部分)</w:t>
      </w:r>
    </w:p>
    <w:p w14:paraId="7F401EA7">
      <w:pPr>
        <w:pStyle w:val="11"/>
        <w:jc w:val="center"/>
        <w:outlineLvl w:val="0"/>
      </w:pPr>
      <w:r>
        <w:rPr>
          <w:rFonts w:ascii="仿宋_GB2312" w:hAnsi="仿宋_GB2312" w:eastAsia="仿宋_GB2312" w:cs="仿宋_GB2312"/>
          <w:b/>
          <w:sz w:val="48"/>
        </w:rPr>
        <w:t>福建省政府采购投标文件</w:t>
      </w:r>
    </w:p>
    <w:p w14:paraId="4ADF8A45">
      <w:pPr>
        <w:pStyle w:val="11"/>
        <w:jc w:val="center"/>
        <w:outlineLvl w:val="0"/>
      </w:pPr>
      <w:r>
        <w:rPr>
          <w:rFonts w:ascii="仿宋_GB2312" w:hAnsi="仿宋_GB2312" w:eastAsia="仿宋_GB2312" w:cs="仿宋_GB2312"/>
          <w:b/>
          <w:sz w:val="48"/>
        </w:rPr>
        <w:t>（技术商务部分）</w:t>
      </w:r>
      <w:r>
        <w:br w:type="textWrapping"/>
      </w:r>
      <w:r>
        <w:br w:type="textWrapping"/>
      </w:r>
    </w:p>
    <w:p w14:paraId="01B6B0BD">
      <w:pPr>
        <w:pStyle w:val="11"/>
        <w:jc w:val="center"/>
        <w:outlineLvl w:val="1"/>
      </w:pPr>
      <w:r>
        <w:rPr>
          <w:rFonts w:ascii="仿宋_GB2312" w:hAnsi="仿宋_GB2312" w:eastAsia="仿宋_GB2312" w:cs="仿宋_GB2312"/>
          <w:b/>
          <w:sz w:val="36"/>
        </w:rPr>
        <w:t>（正本）</w:t>
      </w:r>
      <w:r>
        <w:br w:type="textWrapping"/>
      </w:r>
      <w:r>
        <w:br w:type="textWrapping"/>
      </w:r>
      <w:r>
        <w:br w:type="textWrapping"/>
      </w:r>
      <w:r>
        <w:br w:type="textWrapping"/>
      </w:r>
    </w:p>
    <w:p w14:paraId="0CD4D9F4">
      <w:pPr>
        <w:pStyle w:val="7"/>
        <w:keepNext w:val="0"/>
        <w:keepLines w:val="0"/>
        <w:widowControl/>
        <w:suppressLineNumbers w:val="0"/>
        <w:spacing w:before="0" w:beforeAutospacing="0" w:after="0" w:afterAutospacing="0"/>
        <w:ind w:left="0" w:right="0"/>
        <w:jc w:val="center"/>
      </w:pPr>
      <w:r>
        <w:rPr>
          <w:rFonts w:ascii="Helvetica Neue" w:hAnsi="Helvetica Neue" w:eastAsia="Helvetica Neue" w:cs="Helvetica Neue"/>
          <w:b/>
          <w:bCs/>
          <w:kern w:val="0"/>
          <w:sz w:val="26"/>
          <w:szCs w:val="26"/>
          <w:lang w:val="en-US" w:eastAsia="zh-CN" w:bidi="ar"/>
        </w:rPr>
        <w:t>项目名称：泉州市实验小学大兴校区教学仪器购置(三次)</w:t>
      </w:r>
    </w:p>
    <w:p w14:paraId="6973798F">
      <w:pPr>
        <w:pStyle w:val="7"/>
        <w:keepNext w:val="0"/>
        <w:keepLines w:val="0"/>
        <w:widowControl/>
        <w:suppressLineNumbers w:val="0"/>
        <w:spacing w:before="0" w:beforeAutospacing="0" w:after="0" w:afterAutospacing="0"/>
        <w:ind w:left="0" w:right="0"/>
        <w:jc w:val="center"/>
      </w:pPr>
      <w:r>
        <w:rPr>
          <w:rFonts w:ascii="Helvetica Neue" w:hAnsi="Helvetica Neue" w:eastAsia="Helvetica Neue" w:cs="Helvetica Neue"/>
          <w:b/>
          <w:bCs/>
          <w:kern w:val="0"/>
          <w:sz w:val="26"/>
          <w:szCs w:val="26"/>
          <w:lang w:val="en-US" w:eastAsia="zh-CN" w:bidi="ar"/>
        </w:rPr>
        <w:t>备案编号：CGXM-2025-350501-02944[2025]02530</w:t>
      </w:r>
    </w:p>
    <w:p w14:paraId="2B228243">
      <w:pPr>
        <w:pStyle w:val="7"/>
        <w:keepNext w:val="0"/>
        <w:keepLines w:val="0"/>
        <w:widowControl/>
        <w:suppressLineNumbers w:val="0"/>
        <w:spacing w:before="0" w:beforeAutospacing="0" w:after="0" w:afterAutospacing="0"/>
        <w:ind w:left="0" w:right="0"/>
        <w:jc w:val="center"/>
      </w:pPr>
      <w:r>
        <w:rPr>
          <w:rFonts w:ascii="Helvetica Neue" w:hAnsi="Helvetica Neue" w:eastAsia="Helvetica Neue" w:cs="Helvetica Neue"/>
          <w:b/>
          <w:bCs/>
          <w:kern w:val="0"/>
          <w:sz w:val="26"/>
          <w:szCs w:val="26"/>
          <w:lang w:val="en-US" w:eastAsia="zh-CN" w:bidi="ar"/>
        </w:rPr>
        <w:t>项目编号：[350501]HXCG[GK]2025004-2</w:t>
      </w:r>
    </w:p>
    <w:p w14:paraId="2529A5BA">
      <w:pPr>
        <w:pStyle w:val="7"/>
        <w:keepNext w:val="0"/>
        <w:keepLines w:val="0"/>
        <w:widowControl/>
        <w:suppressLineNumbers w:val="0"/>
        <w:spacing w:before="0" w:beforeAutospacing="0" w:after="0" w:afterAutospacing="0"/>
        <w:ind w:left="0" w:right="0"/>
        <w:jc w:val="center"/>
      </w:pPr>
      <w:r>
        <w:rPr>
          <w:rFonts w:ascii="Helvetica Neue" w:hAnsi="Helvetica Neue" w:eastAsia="Helvetica Neue" w:cs="Helvetica Neue"/>
          <w:b/>
          <w:bCs/>
          <w:kern w:val="0"/>
          <w:sz w:val="26"/>
          <w:szCs w:val="26"/>
          <w:lang w:val="en-US" w:eastAsia="zh-CN" w:bidi="ar"/>
        </w:rPr>
        <w:t>所投采购包：采购包1</w:t>
      </w:r>
    </w:p>
    <w:p w14:paraId="1694C89F">
      <w:pPr>
        <w:pStyle w:val="7"/>
        <w:keepNext w:val="0"/>
        <w:keepLines w:val="0"/>
        <w:widowControl/>
        <w:suppressLineNumbers w:val="0"/>
        <w:spacing w:before="0" w:beforeAutospacing="0" w:after="0" w:afterAutospacing="0"/>
        <w:ind w:left="0" w:right="0"/>
        <w:jc w:val="center"/>
        <w:rPr>
          <w:rFonts w:hint="default"/>
          <w:lang w:val="en-US"/>
        </w:rPr>
      </w:pPr>
      <w:r>
        <w:rPr>
          <w:rFonts w:ascii="Helvetica Neue" w:hAnsi="Helvetica Neue" w:eastAsia="Helvetica Neue" w:cs="Helvetica Neue"/>
          <w:b/>
          <w:bCs/>
          <w:kern w:val="0"/>
          <w:sz w:val="26"/>
          <w:szCs w:val="26"/>
          <w:lang w:val="en-US" w:eastAsia="zh-CN" w:bidi="ar"/>
        </w:rPr>
        <w:t>投标人：</w:t>
      </w:r>
      <w:r>
        <w:rPr>
          <w:rFonts w:hint="eastAsia" w:ascii="Helvetica Neue" w:hAnsi="Helvetica Neue" w:eastAsia="Helvetica Neue" w:cs="Helvetica Neue"/>
          <w:b/>
          <w:bCs/>
          <w:kern w:val="0"/>
          <w:sz w:val="26"/>
          <w:szCs w:val="26"/>
          <w:lang w:val="en-US" w:eastAsia="zh-CN" w:bidi="ar"/>
        </w:rPr>
        <w:t>北京科启星科技有限公司</w:t>
      </w:r>
    </w:p>
    <w:p w14:paraId="5702125F">
      <w:pPr>
        <w:pStyle w:val="7"/>
        <w:keepNext w:val="0"/>
        <w:keepLines w:val="0"/>
        <w:widowControl/>
        <w:suppressLineNumbers w:val="0"/>
        <w:spacing w:before="0" w:beforeAutospacing="0" w:after="0" w:afterAutospacing="0"/>
        <w:ind w:left="0" w:right="0"/>
        <w:jc w:val="center"/>
      </w:pPr>
      <w:r>
        <w:rPr>
          <w:rFonts w:ascii="Helvetica Neue" w:hAnsi="Helvetica Neue" w:eastAsia="Helvetica Neue" w:cs="Helvetica Neue"/>
          <w:b/>
          <w:bCs/>
          <w:kern w:val="0"/>
          <w:sz w:val="26"/>
          <w:szCs w:val="26"/>
          <w:lang w:val="en-US" w:eastAsia="zh-CN" w:bidi="ar"/>
        </w:rPr>
        <w:t>2026</w:t>
      </w:r>
      <w:r>
        <w:rPr>
          <w:rFonts w:ascii="helvetica" w:hAnsi="helvetica" w:eastAsia="helvetica" w:cs="helvetica"/>
          <w:b/>
          <w:bCs/>
          <w:kern w:val="0"/>
          <w:sz w:val="26"/>
          <w:szCs w:val="26"/>
          <w:lang w:val="en-US" w:eastAsia="zh-CN" w:bidi="ar"/>
        </w:rPr>
        <w:t>年</w:t>
      </w:r>
      <w:r>
        <w:rPr>
          <w:rFonts w:ascii="Helvetica Neue" w:hAnsi="Helvetica Neue" w:eastAsia="Helvetica Neue" w:cs="Helvetica Neue"/>
          <w:b/>
          <w:bCs/>
          <w:kern w:val="0"/>
          <w:sz w:val="26"/>
          <w:szCs w:val="26"/>
          <w:lang w:val="en-US" w:eastAsia="zh-CN" w:bidi="ar"/>
        </w:rPr>
        <w:t>2</w:t>
      </w:r>
      <w:r>
        <w:rPr>
          <w:rFonts w:ascii="helvetica" w:hAnsi="helvetica" w:eastAsia="helvetica" w:cs="helvetica"/>
          <w:b/>
          <w:bCs/>
          <w:kern w:val="0"/>
          <w:sz w:val="26"/>
          <w:szCs w:val="26"/>
          <w:lang w:val="en-US" w:eastAsia="zh-CN" w:bidi="ar"/>
        </w:rPr>
        <w:t>月</w:t>
      </w:r>
    </w:p>
    <w:p w14:paraId="6A861D94">
      <w:pPr>
        <w:pStyle w:val="11"/>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1E9449D9">
      <w:pPr>
        <w:pStyle w:val="11"/>
        <w:jc w:val="center"/>
        <w:outlineLvl w:val="2"/>
      </w:pPr>
      <w:r>
        <w:rPr>
          <w:rFonts w:ascii="仿宋_GB2312" w:hAnsi="仿宋_GB2312" w:eastAsia="仿宋_GB2312" w:cs="仿宋_GB2312"/>
          <w:b/>
          <w:sz w:val="28"/>
        </w:rPr>
        <w:t>索引</w:t>
      </w:r>
    </w:p>
    <w:p w14:paraId="5F46DDD1">
      <w:pPr>
        <w:pStyle w:val="11"/>
        <w:ind w:firstLine="480"/>
        <w:jc w:val="left"/>
      </w:pPr>
      <w:r>
        <w:rPr>
          <w:rFonts w:ascii="仿宋_GB2312" w:hAnsi="仿宋_GB2312" w:eastAsia="仿宋_GB2312" w:cs="仿宋_GB2312"/>
        </w:rPr>
        <w:t>一、标的说明一览表</w:t>
      </w:r>
    </w:p>
    <w:p w14:paraId="08AE9A17">
      <w:pPr>
        <w:pStyle w:val="11"/>
        <w:ind w:firstLine="480"/>
        <w:jc w:val="left"/>
      </w:pPr>
      <w:r>
        <w:rPr>
          <w:rFonts w:ascii="仿宋_GB2312" w:hAnsi="仿宋_GB2312" w:eastAsia="仿宋_GB2312" w:cs="仿宋_GB2312"/>
        </w:rPr>
        <w:t>二、技术和服务要求响应表</w:t>
      </w:r>
    </w:p>
    <w:p w14:paraId="21F5F1EC">
      <w:pPr>
        <w:pStyle w:val="11"/>
        <w:ind w:firstLine="480"/>
        <w:jc w:val="left"/>
      </w:pPr>
      <w:r>
        <w:rPr>
          <w:rFonts w:ascii="仿宋_GB2312" w:hAnsi="仿宋_GB2312" w:eastAsia="仿宋_GB2312" w:cs="仿宋_GB2312"/>
        </w:rPr>
        <w:t>三、商务条件响应表</w:t>
      </w:r>
    </w:p>
    <w:p w14:paraId="35DE8124">
      <w:pPr>
        <w:pStyle w:val="11"/>
        <w:ind w:firstLine="480"/>
        <w:jc w:val="left"/>
      </w:pPr>
      <w:r>
        <w:rPr>
          <w:rFonts w:ascii="仿宋_GB2312" w:hAnsi="仿宋_GB2312" w:eastAsia="仿宋_GB2312" w:cs="仿宋_GB2312"/>
        </w:rPr>
        <w:t>四、投标人提交的其他资料（若有）</w:t>
      </w:r>
    </w:p>
    <w:p w14:paraId="45F9E82A">
      <w:pPr>
        <w:pStyle w:val="11"/>
        <w:ind w:firstLine="480"/>
        <w:jc w:val="left"/>
      </w:pPr>
      <w:r>
        <w:rPr>
          <w:rFonts w:ascii="仿宋_GB2312" w:hAnsi="仿宋_GB2312" w:eastAsia="仿宋_GB2312" w:cs="仿宋_GB2312"/>
        </w:rPr>
        <w:t>※注意</w:t>
      </w:r>
    </w:p>
    <w:p w14:paraId="2B100BB3">
      <w:pPr>
        <w:pStyle w:val="11"/>
        <w:ind w:firstLine="480"/>
        <w:jc w:val="left"/>
      </w:pPr>
      <w:r>
        <w:rPr>
          <w:rFonts w:ascii="仿宋_GB2312" w:hAnsi="仿宋_GB2312" w:eastAsia="仿宋_GB2312" w:cs="仿宋_GB2312"/>
        </w:rPr>
        <w:t>技术商务部分中不得出现报价部分的全部或部分的投标报价信息（或组成资料），否则符合性审查不合格。</w:t>
      </w:r>
    </w:p>
    <w:p w14:paraId="67C8AF17">
      <w:pPr>
        <w:pStyle w:val="11"/>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7586497F">
      <w:pPr>
        <w:pStyle w:val="11"/>
        <w:jc w:val="center"/>
        <w:outlineLvl w:val="2"/>
      </w:pPr>
      <w:r>
        <w:rPr>
          <w:rFonts w:ascii="仿宋_GB2312" w:hAnsi="仿宋_GB2312" w:eastAsia="仿宋_GB2312" w:cs="仿宋_GB2312"/>
          <w:b/>
          <w:sz w:val="28"/>
        </w:rPr>
        <w:t>一、标的说明一览表</w:t>
      </w:r>
    </w:p>
    <w:p w14:paraId="2F68AC07">
      <w:pPr>
        <w:pStyle w:val="11"/>
        <w:jc w:val="left"/>
        <w:rPr>
          <w:rFonts w:ascii="仿宋_GB2312" w:hAnsi="仿宋_GB2312" w:eastAsia="仿宋_GB2312" w:cs="仿宋_GB2312"/>
        </w:rPr>
      </w:pPr>
      <w:r>
        <w:rPr>
          <w:rFonts w:ascii="仿宋_GB2312" w:hAnsi="仿宋_GB2312" w:eastAsia="仿宋_GB2312" w:cs="仿宋_GB2312"/>
        </w:rPr>
        <w:t>项目编号：[350501]HXCG[GK]2025004-2</w:t>
      </w:r>
    </w:p>
    <w:tbl>
      <w:tblPr>
        <w:tblStyle w:val="9"/>
        <w:tblW w:w="86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11"/>
        <w:gridCol w:w="912"/>
        <w:gridCol w:w="2349"/>
        <w:gridCol w:w="941"/>
        <w:gridCol w:w="2349"/>
        <w:gridCol w:w="1216"/>
      </w:tblGrid>
      <w:tr w14:paraId="6EB3FF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6B10C3">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b/>
                <w:i w:val="0"/>
                <w:iCs w:val="0"/>
                <w:color w:val="000000"/>
                <w:sz w:val="20"/>
                <w:szCs w:val="20"/>
                <w:u w:val="none"/>
              </w:rPr>
            </w:pPr>
            <w:r>
              <w:rPr>
                <w:rFonts w:hint="eastAsia" w:ascii="仿宋" w:hAnsi="仿宋" w:eastAsia="仿宋" w:cs="仿宋"/>
                <w:b/>
                <w:i w:val="0"/>
                <w:iCs w:val="0"/>
                <w:color w:val="000000"/>
                <w:kern w:val="0"/>
                <w:sz w:val="20"/>
                <w:szCs w:val="20"/>
                <w:u w:val="none"/>
                <w:lang w:val="en-US" w:eastAsia="zh-CN" w:bidi="ar"/>
              </w:rPr>
              <w:t>采购包</w:t>
            </w: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5A70B">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b/>
                <w:i w:val="0"/>
                <w:iCs w:val="0"/>
                <w:color w:val="000000"/>
                <w:sz w:val="20"/>
                <w:szCs w:val="20"/>
                <w:u w:val="none"/>
              </w:rPr>
            </w:pPr>
            <w:r>
              <w:rPr>
                <w:rFonts w:hint="eastAsia" w:ascii="仿宋" w:hAnsi="仿宋" w:eastAsia="仿宋" w:cs="仿宋"/>
                <w:b/>
                <w:i w:val="0"/>
                <w:iCs w:val="0"/>
                <w:color w:val="000000"/>
                <w:kern w:val="0"/>
                <w:sz w:val="20"/>
                <w:szCs w:val="20"/>
                <w:u w:val="none"/>
                <w:lang w:val="en-US" w:eastAsia="zh-CN" w:bidi="ar"/>
              </w:rPr>
              <w:t>品目号</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9748FB">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b/>
                <w:i w:val="0"/>
                <w:iCs w:val="0"/>
                <w:color w:val="000000"/>
                <w:sz w:val="20"/>
                <w:szCs w:val="20"/>
                <w:u w:val="none"/>
              </w:rPr>
            </w:pPr>
            <w:r>
              <w:rPr>
                <w:rFonts w:hint="eastAsia" w:ascii="仿宋" w:hAnsi="仿宋" w:eastAsia="仿宋" w:cs="仿宋"/>
                <w:b/>
                <w:i w:val="0"/>
                <w:iCs w:val="0"/>
                <w:color w:val="000000"/>
                <w:kern w:val="0"/>
                <w:sz w:val="20"/>
                <w:szCs w:val="20"/>
                <w:u w:val="none"/>
                <w:lang w:val="en-US" w:eastAsia="zh-CN" w:bidi="ar"/>
              </w:rPr>
              <w:t>投标标的</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E7F5F9">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b/>
                <w:i w:val="0"/>
                <w:iCs w:val="0"/>
                <w:color w:val="000000"/>
                <w:sz w:val="20"/>
                <w:szCs w:val="20"/>
                <w:u w:val="none"/>
              </w:rPr>
            </w:pPr>
            <w:r>
              <w:rPr>
                <w:rFonts w:hint="eastAsia" w:ascii="仿宋" w:hAnsi="仿宋" w:eastAsia="仿宋" w:cs="仿宋"/>
                <w:b/>
                <w:i w:val="0"/>
                <w:iCs w:val="0"/>
                <w:color w:val="000000"/>
                <w:kern w:val="0"/>
                <w:sz w:val="20"/>
                <w:szCs w:val="20"/>
                <w:u w:val="none"/>
                <w:lang w:val="en-US" w:eastAsia="zh-CN" w:bidi="ar"/>
              </w:rPr>
              <w:t>数量</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BD8D97">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b/>
                <w:i w:val="0"/>
                <w:iCs w:val="0"/>
                <w:color w:val="000000"/>
                <w:sz w:val="20"/>
                <w:szCs w:val="20"/>
                <w:u w:val="none"/>
              </w:rPr>
            </w:pPr>
            <w:r>
              <w:rPr>
                <w:rFonts w:hint="eastAsia" w:ascii="仿宋" w:hAnsi="仿宋" w:eastAsia="仿宋" w:cs="仿宋"/>
                <w:b/>
                <w:i w:val="0"/>
                <w:iCs w:val="0"/>
                <w:color w:val="000000"/>
                <w:kern w:val="0"/>
                <w:sz w:val="20"/>
                <w:szCs w:val="20"/>
                <w:u w:val="none"/>
                <w:lang w:val="en-US" w:eastAsia="zh-CN" w:bidi="ar"/>
              </w:rPr>
              <w:t>规格</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14BD6">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b/>
                <w:i w:val="0"/>
                <w:iCs w:val="0"/>
                <w:color w:val="000000"/>
                <w:sz w:val="20"/>
                <w:szCs w:val="20"/>
                <w:u w:val="none"/>
              </w:rPr>
            </w:pPr>
            <w:r>
              <w:rPr>
                <w:rFonts w:hint="eastAsia" w:ascii="仿宋" w:hAnsi="仿宋" w:eastAsia="仿宋" w:cs="仿宋"/>
                <w:b/>
                <w:i w:val="0"/>
                <w:iCs w:val="0"/>
                <w:color w:val="000000"/>
                <w:kern w:val="0"/>
                <w:sz w:val="20"/>
                <w:szCs w:val="20"/>
                <w:u w:val="none"/>
                <w:lang w:val="en-US" w:eastAsia="zh-CN" w:bidi="ar"/>
              </w:rPr>
              <w:t>来源地</w:t>
            </w:r>
          </w:p>
        </w:tc>
      </w:tr>
      <w:tr w14:paraId="595FA8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911"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F28DEE">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包1</w:t>
            </w: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A225C1">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B3A3C">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走过四季</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BC5673">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1台</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383436">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科启星TWSJ0021</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B2B59">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北京</w:t>
            </w:r>
          </w:p>
        </w:tc>
      </w:tr>
      <w:tr w14:paraId="122346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F48194">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BC2591">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2E10A">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月相变化</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8FB45D">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1台</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232002">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科启星TWYX0098</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30017">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北京</w:t>
            </w:r>
          </w:p>
        </w:tc>
      </w:tr>
      <w:tr w14:paraId="30DB84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80F0D">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4F155">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8D9CA">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星座中的恒星分布</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6CEA3F">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1台</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426BC">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科启星TWHX0055</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6B0580">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北京</w:t>
            </w:r>
          </w:p>
        </w:tc>
      </w:tr>
      <w:tr w14:paraId="321720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99A7EF">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A2AECC">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6EE8B">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测量地球的周长</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3E984">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1台</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5ACC68">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科启星TWDQ0036</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07D106">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北京</w:t>
            </w:r>
          </w:p>
        </w:tc>
      </w:tr>
      <w:tr w14:paraId="0BF8E3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326D62">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5FF08D">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3A259">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月球两面</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55D56">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1台</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0C4258">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科启星TWYQ0031</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B7841">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北京</w:t>
            </w:r>
          </w:p>
        </w:tc>
      </w:tr>
      <w:tr w14:paraId="1B5AC5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AB266">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CA2CB2">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3D552">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室内日晷</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DBD85">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1台</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DF5D3">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科启星TWRG0022</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D8C31D">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北京</w:t>
            </w:r>
          </w:p>
        </w:tc>
      </w:tr>
      <w:tr w14:paraId="40B526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671B1">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52FB1">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7</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4EA62">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课程配套资源箱</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BA220">
            <w:pPr>
              <w:keepNext w:val="0"/>
              <w:keepLines w:val="0"/>
              <w:widowControl/>
              <w:suppressLineNumbers w:val="0"/>
              <w:snapToGrid w:val="0"/>
              <w:ind w:left="0" w:leftChars="0" w:right="0" w:rightChars="0" w:firstLine="0" w:firstLineChars="0"/>
              <w:jc w:val="left"/>
              <w:textAlignment w:val="center"/>
              <w:rPr>
                <w:rFonts w:hint="default" w:ascii="仿宋" w:hAnsi="仿宋" w:eastAsia="仿宋" w:cs="仿宋"/>
                <w:i w:val="0"/>
                <w:iCs w:val="0"/>
                <w:color w:val="000000"/>
                <w:sz w:val="20"/>
                <w:szCs w:val="20"/>
                <w:u w:val="none"/>
                <w:lang w:val="en-US"/>
              </w:rPr>
            </w:pPr>
            <w:r>
              <w:rPr>
                <w:rFonts w:hint="eastAsia" w:ascii="仿宋" w:hAnsi="仿宋" w:eastAsia="仿宋" w:cs="仿宋"/>
                <w:i w:val="0"/>
                <w:iCs w:val="0"/>
                <w:color w:val="000000"/>
                <w:kern w:val="0"/>
                <w:sz w:val="20"/>
                <w:szCs w:val="20"/>
                <w:u w:val="none"/>
                <w:lang w:val="en-US" w:eastAsia="zh-CN" w:bidi="ar"/>
              </w:rPr>
              <w:t>15套</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1A90AE">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科启星TQTWZYX</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5AC601">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北京</w:t>
            </w:r>
          </w:p>
        </w:tc>
      </w:tr>
      <w:tr w14:paraId="530E49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E631A3">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518709">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8787F">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VR虚拟体验学习机</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43766">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2套</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4137D8">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科启星A7H10</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4A42D5">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北京</w:t>
            </w:r>
          </w:p>
        </w:tc>
      </w:tr>
      <w:tr w14:paraId="6C73A9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251A6">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BD3080">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9</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36DC8">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VR虚拟体验学习系统</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FAB489">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2套</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864A2">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科启星V1.0</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19C006">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北京</w:t>
            </w:r>
          </w:p>
        </w:tc>
      </w:tr>
      <w:tr w14:paraId="6A865D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01E9C0">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8C59A">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FB6C0">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无线投屏控制器</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71146">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1套</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1E313A">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科启星WP03</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D1EF3D">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北京</w:t>
            </w:r>
          </w:p>
        </w:tc>
      </w:tr>
      <w:tr w14:paraId="427FF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DA37D0">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8EF4CE">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11</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F1B17">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展示柜</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E5D3D5">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1组</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0DBF4A">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育人定制</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4B6C9">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浙江温州</w:t>
            </w:r>
          </w:p>
        </w:tc>
      </w:tr>
      <w:tr w14:paraId="42CD28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4A86C2">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9E265A">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12</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36D1C">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活动桌</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50C894">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16张</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D77EF1">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育人YCY-003</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AAE51">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浙江温州</w:t>
            </w:r>
          </w:p>
        </w:tc>
      </w:tr>
      <w:tr w14:paraId="1AEC33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D1DDCD">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C0148">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13</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289E8">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学生椅</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E58D2">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48张</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05ABF">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育人YCX-005</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E7EA28">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浙江温州</w:t>
            </w:r>
          </w:p>
        </w:tc>
      </w:tr>
      <w:tr w14:paraId="314610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758C0C">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35448C">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14</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86765">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55寸终端互动展示屏</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6682B">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3台</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A8A591">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智勇双全FL5500-B06</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A8D7D5">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四川成都</w:t>
            </w:r>
          </w:p>
        </w:tc>
      </w:tr>
      <w:tr w14:paraId="55002D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8205CB">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C2A1FD">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15</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6676A">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机械传动互动展示墙</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06EC1">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1个</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2A4363">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智勇双全定制</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E1D1DF">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浙江杭州</w:t>
            </w:r>
          </w:p>
        </w:tc>
      </w:tr>
      <w:tr w14:paraId="03833C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0201F6">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3879D">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7D824">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智能互动展示墙</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54362">
            <w:pPr>
              <w:keepNext w:val="0"/>
              <w:keepLines w:val="0"/>
              <w:widowControl/>
              <w:suppressLineNumbers w:val="0"/>
              <w:snapToGrid w:val="0"/>
              <w:ind w:left="0" w:leftChars="0" w:right="0" w:rightChars="0" w:firstLine="0" w:firstLineChars="0"/>
              <w:jc w:val="left"/>
              <w:textAlignment w:val="center"/>
              <w:rPr>
                <w:rFonts w:hint="default" w:ascii="仿宋" w:hAnsi="仿宋" w:eastAsia="仿宋" w:cs="仿宋"/>
                <w:i w:val="0"/>
                <w:iCs w:val="0"/>
                <w:color w:val="000000"/>
                <w:sz w:val="20"/>
                <w:szCs w:val="20"/>
                <w:u w:val="none"/>
                <w:lang w:val="en-US"/>
              </w:rPr>
            </w:pPr>
            <w:r>
              <w:rPr>
                <w:rFonts w:hint="eastAsia" w:ascii="仿宋" w:hAnsi="仿宋" w:eastAsia="仿宋" w:cs="仿宋"/>
                <w:i w:val="0"/>
                <w:iCs w:val="0"/>
                <w:color w:val="000000"/>
                <w:kern w:val="0"/>
                <w:sz w:val="20"/>
                <w:szCs w:val="20"/>
                <w:u w:val="none"/>
                <w:lang w:val="en-US" w:eastAsia="zh-CN" w:bidi="ar"/>
              </w:rPr>
              <w:t>1个</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0BDD86">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智勇双全定制</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75DC26">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浙江杭州</w:t>
            </w:r>
          </w:p>
        </w:tc>
      </w:tr>
      <w:tr w14:paraId="66A8C5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3E8797">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B8FD96">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17</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66ACA">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纸鸢材料包</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8815FC">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100套</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5A7C0">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科启星定制</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63D54">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北京</w:t>
            </w:r>
          </w:p>
        </w:tc>
      </w:tr>
      <w:tr w14:paraId="7B6206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BE622">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E1E4A4">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18</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7A186">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皮影戏道具材料包</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8CC1AE">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100套</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9D98B0">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科启星定制</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A7FBD5">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北京</w:t>
            </w:r>
          </w:p>
        </w:tc>
      </w:tr>
      <w:tr w14:paraId="436401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BE09A5">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78D22">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19</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21FD8">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走马灯材料包</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4D7B33">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100套</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D3808">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科启星定制</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49AB2">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北京</w:t>
            </w:r>
          </w:p>
        </w:tc>
      </w:tr>
      <w:tr w14:paraId="50BBBF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00F62">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D33BDA">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069F9">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中国结材料包</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9DF1EC">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100套</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112366">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科启星定制</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B05238">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北京</w:t>
            </w:r>
          </w:p>
        </w:tc>
      </w:tr>
      <w:tr w14:paraId="62AFED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118C81">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DEF05">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21</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0387D">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纸火箭材料包</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53BB54">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100套</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D59338">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科启星定制</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727398">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北京</w:t>
            </w:r>
          </w:p>
        </w:tc>
      </w:tr>
      <w:tr w14:paraId="0A5FF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AAC828">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69D28">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22</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61E43">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纸杯风铃材料包</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567950">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100套</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06FDAD">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科启星定制</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2B26F">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北京</w:t>
            </w:r>
          </w:p>
        </w:tc>
      </w:tr>
      <w:tr w14:paraId="3CCB00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B40E9D">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1F2CF6">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23</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4E978">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纸风车材料包</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C35A92">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100套</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8E391D">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科启星定制</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799F45">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北京</w:t>
            </w:r>
          </w:p>
        </w:tc>
      </w:tr>
      <w:tr w14:paraId="4FC888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232AD0">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66050">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24</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DB6F4">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不倒翁材料包</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59374E">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100套</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FEBEC">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科启星定制</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66826">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北京</w:t>
            </w:r>
          </w:p>
        </w:tc>
      </w:tr>
      <w:tr w14:paraId="4BC07B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9A76F">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934E8D">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25</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8F5DC">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木质陀螺材料包</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6F3E1">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100套</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5BCCC">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科启星定制</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AAD508">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北京</w:t>
            </w:r>
          </w:p>
        </w:tc>
      </w:tr>
      <w:tr w14:paraId="3DE45A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C4D264">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79571">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26</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DC0E9">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科学小实验探究套装</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556A8">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50套</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B15A8">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科启星RC8002</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C5EEA">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北京</w:t>
            </w:r>
          </w:p>
        </w:tc>
      </w:tr>
      <w:tr w14:paraId="2E8BA5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C0B87">
            <w:pPr>
              <w:snapToGrid w:val="0"/>
              <w:ind w:left="0" w:leftChars="0" w:right="0" w:rightChars="0" w:firstLine="0" w:firstLineChars="0"/>
              <w:jc w:val="center"/>
              <w:rPr>
                <w:rFonts w:hint="eastAsia" w:ascii="仿宋" w:hAnsi="仿宋" w:eastAsia="仿宋" w:cs="仿宋"/>
                <w:i w:val="0"/>
                <w:iCs w:val="0"/>
                <w:color w:val="000000"/>
                <w:sz w:val="20"/>
                <w:szCs w:val="20"/>
                <w:u w:val="none"/>
              </w:rPr>
            </w:pPr>
          </w:p>
        </w:tc>
        <w:tc>
          <w:tcPr>
            <w:tcW w:w="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1E27D">
            <w:pPr>
              <w:keepNext w:val="0"/>
              <w:keepLines w:val="0"/>
              <w:widowControl/>
              <w:suppressLineNumbers w:val="0"/>
              <w:snapToGrid w:val="0"/>
              <w:ind w:left="0" w:leftChars="0" w:right="0" w:rightChars="0" w:firstLine="0" w:firstLineChars="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27</w:t>
            </w:r>
          </w:p>
        </w:tc>
        <w:tc>
          <w:tcPr>
            <w:tcW w:w="23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CB201">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教师讲台</w:t>
            </w:r>
          </w:p>
        </w:tc>
        <w:tc>
          <w:tcPr>
            <w:tcW w:w="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738A5">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1张</w:t>
            </w:r>
          </w:p>
        </w:tc>
        <w:tc>
          <w:tcPr>
            <w:tcW w:w="23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821921">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育人KY-SJS-01</w:t>
            </w:r>
          </w:p>
        </w:tc>
        <w:tc>
          <w:tcPr>
            <w:tcW w:w="1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D2D67">
            <w:pPr>
              <w:keepNext w:val="0"/>
              <w:keepLines w:val="0"/>
              <w:widowControl/>
              <w:suppressLineNumbers w:val="0"/>
              <w:snapToGrid w:val="0"/>
              <w:ind w:left="0" w:leftChars="0" w:right="0" w:rightChars="0" w:firstLine="0" w:firstLineChars="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浙江温州</w:t>
            </w:r>
          </w:p>
        </w:tc>
      </w:tr>
    </w:tbl>
    <w:p w14:paraId="78C63175">
      <w:pPr>
        <w:pStyle w:val="11"/>
        <w:jc w:val="left"/>
        <w:rPr>
          <w:rFonts w:ascii="仿宋_GB2312" w:hAnsi="仿宋_GB2312" w:eastAsia="仿宋_GB2312" w:cs="仿宋_GB2312"/>
        </w:rPr>
      </w:pPr>
    </w:p>
    <w:p w14:paraId="7CECCA8B">
      <w:pPr>
        <w:pStyle w:val="11"/>
        <w:ind w:firstLine="480"/>
        <w:jc w:val="left"/>
      </w:pPr>
      <w:r>
        <w:rPr>
          <w:rFonts w:ascii="仿宋_GB2312" w:hAnsi="仿宋_GB2312" w:eastAsia="仿宋_GB2312" w:cs="仿宋_GB2312"/>
        </w:rPr>
        <w:t>※注意：</w:t>
      </w:r>
    </w:p>
    <w:p w14:paraId="528BB0BF">
      <w:pPr>
        <w:pStyle w:val="11"/>
        <w:ind w:firstLine="480"/>
        <w:jc w:val="left"/>
      </w:pPr>
      <w:r>
        <w:rPr>
          <w:rFonts w:ascii="仿宋_GB2312" w:hAnsi="仿宋_GB2312" w:eastAsia="仿宋_GB2312" w:cs="仿宋_GB2312"/>
        </w:rPr>
        <w:t>1、本表应按照下列规定填写：</w:t>
      </w:r>
    </w:p>
    <w:p w14:paraId="5174F39C">
      <w:pPr>
        <w:pStyle w:val="11"/>
        <w:ind w:firstLine="480"/>
        <w:jc w:val="left"/>
      </w:pPr>
      <w:r>
        <w:rPr>
          <w:rFonts w:ascii="仿宋_GB2312" w:hAnsi="仿宋_GB2312" w:eastAsia="仿宋_GB2312" w:cs="仿宋_GB2312"/>
        </w:rPr>
        <w:t>1.1“采购包”、“品目号”、“投标标的”及“数量”应与招标文件《采购标的一览表》中的有关内容（“采购包”、“品目号”、“采购标的”及“数量”）保持一致。</w:t>
      </w:r>
    </w:p>
    <w:p w14:paraId="7403F1AE">
      <w:pPr>
        <w:pStyle w:val="11"/>
        <w:ind w:firstLine="480"/>
        <w:jc w:val="left"/>
      </w:pPr>
      <w:r>
        <w:rPr>
          <w:rFonts w:ascii="仿宋_GB2312" w:hAnsi="仿宋_GB2312" w:eastAsia="仿宋_GB2312" w:cs="仿宋_GB2312"/>
        </w:rPr>
        <w:t>1.2“投标标的”为货物的：“规格”项下应填写货物制造厂商赋予的品牌（属于节能、环保清单产品的货物，填写的品牌名称应与清单载明的品牌名称保持一致）及具体型号。“来源地”应填写货物的原产地。“备注”项下应填写货物的详细性能说明及供货范围清单（若有），其中供货范围清单包括但不限于：组成货物的主要件和关键件的名称、数量、原产地，专用工具（若有）的名称、数量、原产地，备品备件（若有）的名称、数量、原产地等。</w:t>
      </w:r>
    </w:p>
    <w:p w14:paraId="529F0E33">
      <w:pPr>
        <w:pStyle w:val="11"/>
        <w:ind w:firstLine="480"/>
        <w:jc w:val="left"/>
      </w:pPr>
      <w:r>
        <w:rPr>
          <w:rFonts w:ascii="仿宋_GB2312" w:hAnsi="仿宋_GB2312" w:eastAsia="仿宋_GB2312" w:cs="仿宋_GB2312"/>
        </w:rPr>
        <w:t>1.3“投标标的”为服务的：“规格”项下应填写服务提供者提供的服务标准及品牌（若有）。“来源地”应填写服务提供者的所在地。“备注”项下应填写关于服务标准所涵盖的具体项目或内容的说明等。</w:t>
      </w:r>
    </w:p>
    <w:p w14:paraId="757A7F1D">
      <w:pPr>
        <w:pStyle w:val="11"/>
        <w:ind w:firstLine="480"/>
        <w:jc w:val="left"/>
      </w:pPr>
      <w:r>
        <w:rPr>
          <w:rFonts w:ascii="仿宋_GB2312" w:hAnsi="仿宋_GB2312" w:eastAsia="仿宋_GB2312" w:cs="仿宋_GB2312"/>
        </w:rPr>
        <w:t>2、投标人需要说明的内容若需特殊表达，应先在本表中进行相应说明，再另页应答，但应做好标注说明，方便评委查阅评审。未标注说明可能导致的不利的评审后果由投标人自行承担。</w:t>
      </w:r>
    </w:p>
    <w:p w14:paraId="5D8CE463">
      <w:pPr>
        <w:pStyle w:val="11"/>
        <w:ind w:firstLine="480"/>
        <w:jc w:val="left"/>
      </w:pPr>
      <w:r>
        <w:rPr>
          <w:rFonts w:ascii="仿宋_GB2312" w:hAnsi="仿宋_GB2312" w:eastAsia="仿宋_GB2312" w:cs="仿宋_GB2312"/>
        </w:rPr>
        <w:t>3、电子投标文件中涉及“投标标的”、“数量”、“规格”、“来源地”的内容若不一致，以投标客户端的投标（响应）报价明细表为准。</w:t>
      </w:r>
    </w:p>
    <w:p w14:paraId="7D393DC1">
      <w:pPr>
        <w:pStyle w:val="11"/>
        <w:ind w:firstLine="480"/>
        <w:jc w:val="right"/>
      </w:pPr>
      <w:r>
        <w:rPr>
          <w:rFonts w:ascii="仿宋_GB2312" w:hAnsi="仿宋_GB2312" w:eastAsia="仿宋_GB2312" w:cs="仿宋_GB2312"/>
        </w:rPr>
        <w:t>投标人：</w:t>
      </w:r>
      <w:r>
        <w:rPr>
          <w:rFonts w:hint="eastAsia" w:ascii="仿宋_GB2312" w:hAnsi="仿宋_GB2312" w:eastAsia="仿宋_GB2312" w:cs="仿宋_GB2312"/>
          <w:kern w:val="0"/>
          <w:sz w:val="20"/>
          <w:szCs w:val="20"/>
          <w:lang w:val="en-US" w:eastAsia="zh-CN"/>
        </w:rPr>
        <w:t>北京科启星科技有限公司</w:t>
      </w:r>
    </w:p>
    <w:p w14:paraId="6CCD5648">
      <w:pPr>
        <w:pStyle w:val="11"/>
        <w:ind w:firstLine="480"/>
        <w:jc w:val="right"/>
      </w:pPr>
      <w:r>
        <w:rPr>
          <w:rFonts w:ascii="仿宋_GB2312" w:hAnsi="仿宋_GB2312" w:eastAsia="仿宋_GB2312" w:cs="仿宋_GB2312"/>
        </w:rPr>
        <w:t>日期：</w:t>
      </w:r>
      <w:r>
        <w:rPr>
          <w:rFonts w:ascii="仿宋_GB2312" w:hAnsi="仿宋_GB2312" w:eastAsia="仿宋_GB2312" w:cs="仿宋_GB2312"/>
          <w:u w:val="single"/>
        </w:rPr>
        <w:t>　</w:t>
      </w:r>
      <w:r>
        <w:rPr>
          <w:rFonts w:hint="eastAsia" w:ascii="仿宋_GB2312" w:hAnsi="仿宋_GB2312" w:eastAsia="仿宋_GB2312" w:cs="仿宋_GB2312"/>
          <w:u w:val="single"/>
          <w:lang w:val="en-US" w:eastAsia="zh-CN"/>
        </w:rPr>
        <w:t>2026</w:t>
      </w:r>
      <w:r>
        <w:rPr>
          <w:rFonts w:ascii="仿宋_GB2312" w:hAnsi="仿宋_GB2312" w:eastAsia="仿宋_GB2312" w:cs="仿宋_GB2312"/>
          <w:u w:val="single"/>
        </w:rPr>
        <w:t>　年　</w:t>
      </w:r>
      <w:r>
        <w:rPr>
          <w:rFonts w:hint="eastAsia" w:ascii="仿宋_GB2312" w:hAnsi="仿宋_GB2312" w:eastAsia="仿宋_GB2312" w:cs="仿宋_GB2312"/>
          <w:u w:val="single"/>
          <w:lang w:val="en-US" w:eastAsia="zh-CN"/>
        </w:rPr>
        <w:t>2</w:t>
      </w:r>
      <w:r>
        <w:rPr>
          <w:rFonts w:ascii="仿宋_GB2312" w:hAnsi="仿宋_GB2312" w:eastAsia="仿宋_GB2312" w:cs="仿宋_GB2312"/>
          <w:u w:val="single"/>
        </w:rPr>
        <w:t>　月　</w:t>
      </w:r>
      <w:r>
        <w:rPr>
          <w:rFonts w:hint="eastAsia" w:ascii="仿宋_GB2312" w:hAnsi="仿宋_GB2312" w:eastAsia="仿宋_GB2312" w:cs="仿宋_GB2312"/>
          <w:u w:val="single"/>
          <w:lang w:val="en-US" w:eastAsia="zh-CN"/>
        </w:rPr>
        <w:t>15</w:t>
      </w:r>
      <w:r>
        <w:rPr>
          <w:rFonts w:ascii="仿宋_GB2312" w:hAnsi="仿宋_GB2312" w:eastAsia="仿宋_GB2312" w:cs="仿宋_GB2312"/>
          <w:u w:val="single"/>
        </w:rPr>
        <w:t>　日</w:t>
      </w:r>
    </w:p>
    <w:p w14:paraId="601EDAE9">
      <w:pPr>
        <w:pStyle w:val="11"/>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0D5940D8">
      <w:pPr>
        <w:pStyle w:val="11"/>
        <w:numPr>
          <w:ilvl w:val="0"/>
          <w:numId w:val="1"/>
        </w:numPr>
        <w:jc w:val="left"/>
        <w:outlineLvl w:val="2"/>
        <w:rPr>
          <w:rFonts w:ascii="仿宋_GB2312" w:hAnsi="仿宋_GB2312" w:eastAsia="仿宋_GB2312" w:cs="仿宋_GB2312"/>
          <w:b/>
          <w:sz w:val="28"/>
        </w:rPr>
      </w:pPr>
      <w:r>
        <w:rPr>
          <w:rFonts w:ascii="仿宋_GB2312" w:hAnsi="仿宋_GB2312" w:eastAsia="仿宋_GB2312" w:cs="仿宋_GB2312"/>
          <w:b/>
          <w:sz w:val="28"/>
        </w:rPr>
        <w:t>技术和服务要求响应表</w:t>
      </w:r>
    </w:p>
    <w:p w14:paraId="2C0F13AA">
      <w:pPr>
        <w:pStyle w:val="11"/>
        <w:numPr>
          <w:ilvl w:val="0"/>
          <w:numId w:val="0"/>
        </w:numPr>
        <w:jc w:val="left"/>
        <w:outlineLvl w:val="2"/>
      </w:pPr>
      <w:r>
        <w:rPr>
          <w:rFonts w:ascii="仿宋_GB2312" w:hAnsi="仿宋_GB2312" w:eastAsia="仿宋_GB2312" w:cs="仿宋_GB2312"/>
        </w:rPr>
        <w:t>项目编号：</w:t>
      </w:r>
      <w:r>
        <w:rPr>
          <w:rFonts w:hint="eastAsia" w:ascii="仿宋_GB2312" w:hAnsi="仿宋_GB2312" w:eastAsia="仿宋_GB2312" w:cs="仿宋_GB2312"/>
          <w:sz w:val="20"/>
          <w:szCs w:val="20"/>
        </w:rPr>
        <w:t>[350501]HXCG[GK]2025004-2</w:t>
      </w:r>
    </w:p>
    <w:tbl>
      <w:tblPr>
        <w:tblStyle w:val="9"/>
        <w:tblW w:w="90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819"/>
        <w:gridCol w:w="860"/>
        <w:gridCol w:w="3271"/>
        <w:gridCol w:w="3230"/>
        <w:gridCol w:w="885"/>
      </w:tblGrid>
      <w:tr w14:paraId="18B97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tcMar>
              <w:top w:w="60" w:type="dxa"/>
              <w:left w:w="120" w:type="dxa"/>
              <w:bottom w:w="30" w:type="dxa"/>
              <w:right w:w="120" w:type="dxa"/>
            </w:tcMar>
            <w:vAlign w:val="center"/>
          </w:tcPr>
          <w:p w14:paraId="79A7E9D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采购包</w:t>
            </w:r>
          </w:p>
        </w:tc>
        <w:tc>
          <w:tcPr>
            <w:tcW w:w="860" w:type="dxa"/>
            <w:tcMar>
              <w:top w:w="60" w:type="dxa"/>
              <w:left w:w="120" w:type="dxa"/>
              <w:bottom w:w="30" w:type="dxa"/>
              <w:right w:w="120" w:type="dxa"/>
            </w:tcMar>
            <w:vAlign w:val="center"/>
          </w:tcPr>
          <w:p w14:paraId="17B4B236">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品目号</w:t>
            </w:r>
          </w:p>
        </w:tc>
        <w:tc>
          <w:tcPr>
            <w:tcW w:w="3271" w:type="dxa"/>
            <w:tcMar>
              <w:top w:w="60" w:type="dxa"/>
              <w:left w:w="120" w:type="dxa"/>
              <w:bottom w:w="30" w:type="dxa"/>
              <w:right w:w="120" w:type="dxa"/>
            </w:tcMar>
            <w:vAlign w:val="center"/>
          </w:tcPr>
          <w:p w14:paraId="3595CEBB">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技术和服务要求</w:t>
            </w:r>
          </w:p>
        </w:tc>
        <w:tc>
          <w:tcPr>
            <w:tcW w:w="3230" w:type="dxa"/>
            <w:tcMar>
              <w:top w:w="60" w:type="dxa"/>
              <w:left w:w="120" w:type="dxa"/>
              <w:bottom w:w="30" w:type="dxa"/>
              <w:right w:w="120" w:type="dxa"/>
            </w:tcMar>
            <w:vAlign w:val="center"/>
          </w:tcPr>
          <w:p w14:paraId="0F03A21A">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投标响应</w:t>
            </w:r>
          </w:p>
        </w:tc>
        <w:tc>
          <w:tcPr>
            <w:tcW w:w="885" w:type="dxa"/>
            <w:tcMar>
              <w:top w:w="60" w:type="dxa"/>
              <w:left w:w="120" w:type="dxa"/>
              <w:bottom w:w="30" w:type="dxa"/>
              <w:right w:w="120" w:type="dxa"/>
            </w:tcMar>
            <w:vAlign w:val="center"/>
          </w:tcPr>
          <w:p w14:paraId="12ECDE51">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是否偏离及说明</w:t>
            </w:r>
          </w:p>
        </w:tc>
      </w:tr>
      <w:tr w14:paraId="7382E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restart"/>
            <w:tcMar>
              <w:top w:w="60" w:type="dxa"/>
              <w:left w:w="120" w:type="dxa"/>
              <w:bottom w:w="30" w:type="dxa"/>
              <w:right w:w="120" w:type="dxa"/>
            </w:tcMar>
            <w:vAlign w:val="center"/>
          </w:tcPr>
          <w:p w14:paraId="1BB735BB">
            <w:pPr>
              <w:spacing w:before="120" w:after="120" w:line="288" w:lineRule="auto"/>
              <w:ind w:left="0"/>
              <w:jc w:val="center"/>
              <w:rPr>
                <w:rFonts w:hint="default" w:ascii="仿宋_GB2312" w:hAnsi="仿宋_GB2312" w:eastAsia="仿宋_GB2312" w:cs="仿宋_GB2312"/>
                <w:sz w:val="20"/>
                <w:szCs w:val="20"/>
                <w:lang w:val="en-US" w:eastAsia="zh-CN"/>
              </w:rPr>
            </w:pPr>
            <w:r>
              <w:rPr>
                <w:rFonts w:hint="eastAsia" w:ascii="仿宋_GB2312" w:hAnsi="仿宋_GB2312" w:eastAsia="仿宋_GB2312" w:cs="仿宋_GB2312"/>
                <w:sz w:val="20"/>
                <w:szCs w:val="20"/>
                <w:lang w:val="en-US" w:eastAsia="zh-CN"/>
              </w:rPr>
              <w:t>包1</w:t>
            </w:r>
          </w:p>
        </w:tc>
        <w:tc>
          <w:tcPr>
            <w:tcW w:w="860" w:type="dxa"/>
            <w:tcMar>
              <w:top w:w="60" w:type="dxa"/>
              <w:left w:w="120" w:type="dxa"/>
              <w:bottom w:w="30" w:type="dxa"/>
              <w:right w:w="120" w:type="dxa"/>
            </w:tcMar>
            <w:vAlign w:val="center"/>
          </w:tcPr>
          <w:p w14:paraId="31CE3268">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z w:val="20"/>
                <w:szCs w:val="20"/>
                <w:lang w:val="en-US" w:eastAsia="zh-CN"/>
              </w:rPr>
              <w:t>1、</w:t>
            </w:r>
            <w:r>
              <w:rPr>
                <w:rFonts w:hint="eastAsia" w:ascii="仿宋_GB2312" w:hAnsi="仿宋_GB2312" w:eastAsia="仿宋_GB2312" w:cs="仿宋_GB2312"/>
                <w:kern w:val="2"/>
                <w:sz w:val="20"/>
                <w:szCs w:val="20"/>
                <w:lang w:val="en-US" w:eastAsia="zh-CN" w:bidi="ar-SA"/>
              </w:rPr>
              <w:t>资源类型及具体要求：</w:t>
            </w:r>
          </w:p>
          <w:p w14:paraId="316765A5">
            <w:pPr>
              <w:spacing w:before="120" w:after="120" w:line="288" w:lineRule="auto"/>
              <w:ind w:left="0"/>
              <w:jc w:val="center"/>
              <w:rPr>
                <w:rFonts w:hint="default" w:ascii="仿宋_GB2312" w:hAnsi="仿宋_GB2312" w:eastAsia="仿宋_GB2312" w:cs="仿宋_GB2312"/>
                <w:sz w:val="20"/>
                <w:szCs w:val="20"/>
                <w:lang w:val="en-US" w:eastAsia="zh-CN"/>
              </w:rPr>
            </w:pPr>
          </w:p>
        </w:tc>
        <w:tc>
          <w:tcPr>
            <w:tcW w:w="3271" w:type="dxa"/>
            <w:shd w:val="clear" w:color="auto" w:fill="auto"/>
            <w:tcMar>
              <w:top w:w="60" w:type="dxa"/>
              <w:left w:w="120" w:type="dxa"/>
              <w:bottom w:w="30" w:type="dxa"/>
              <w:right w:w="120" w:type="dxa"/>
            </w:tcMar>
            <w:vAlign w:val="center"/>
          </w:tcPr>
          <w:p w14:paraId="00618043">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（评审项1）（1）课程内容资源</w:t>
            </w:r>
          </w:p>
          <w:p w14:paraId="58D87301">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提供课程配套资源箱课程资源，包含教学课件、学生手册、实验记录表、课程实践活动或场地。</w:t>
            </w:r>
          </w:p>
          <w:p w14:paraId="780670B1">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（评审项2）（2）实践操作资源</w:t>
            </w:r>
          </w:p>
          <w:p w14:paraId="461EDE05">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天文馆包含6种不同主题内容的展教具，28个不同主题的课程配套资源箱；</w:t>
            </w:r>
          </w:p>
          <w:p w14:paraId="20C58C6D">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Stream教室包含科学探究和玩具坊制作的器材及材料包，并符合参与科创类竞赛的比赛需求。</w:t>
            </w:r>
          </w:p>
        </w:tc>
        <w:tc>
          <w:tcPr>
            <w:tcW w:w="3230" w:type="dxa"/>
            <w:shd w:val="clear" w:color="auto" w:fill="auto"/>
            <w:tcMar>
              <w:top w:w="60" w:type="dxa"/>
              <w:left w:w="120" w:type="dxa"/>
              <w:bottom w:w="30" w:type="dxa"/>
              <w:right w:w="120" w:type="dxa"/>
            </w:tcMar>
            <w:vAlign w:val="center"/>
          </w:tcPr>
          <w:p w14:paraId="35A38A3C">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（评审项1）（1）课程内容资源</w:t>
            </w:r>
          </w:p>
          <w:p w14:paraId="2163DDC5">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提供课程配套资源箱课程资源，包含教学课件、学生手册、实验记录表、课程实践活动或场地。</w:t>
            </w:r>
          </w:p>
          <w:p w14:paraId="53B5A23B">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（评审项2）（2）实践操作资源</w:t>
            </w:r>
          </w:p>
          <w:p w14:paraId="4E01D4BA">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天文馆包含6种不同主题内容的展教具，28个不同主题的课程配套资源箱；</w:t>
            </w:r>
          </w:p>
          <w:p w14:paraId="3D8CB59B">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Stream教室包含科学探究和玩具坊制作的器材及材料包，并符合参与科创类竞赛的比赛需求。</w:t>
            </w:r>
          </w:p>
        </w:tc>
        <w:tc>
          <w:tcPr>
            <w:tcW w:w="885" w:type="dxa"/>
            <w:shd w:val="clear" w:color="auto" w:fill="auto"/>
            <w:tcMar>
              <w:top w:w="60" w:type="dxa"/>
              <w:left w:w="120" w:type="dxa"/>
              <w:bottom w:w="30" w:type="dxa"/>
              <w:right w:w="120" w:type="dxa"/>
            </w:tcMar>
            <w:vAlign w:val="center"/>
          </w:tcPr>
          <w:p w14:paraId="7F00AF14">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z w:val="20"/>
                <w:szCs w:val="20"/>
                <w:lang w:val="en-US" w:eastAsia="zh-CN"/>
              </w:rPr>
              <w:t>无偏离</w:t>
            </w:r>
          </w:p>
        </w:tc>
      </w:tr>
      <w:tr w14:paraId="34DE6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28618D31">
            <w:pPr>
              <w:spacing w:before="120" w:after="120" w:line="288" w:lineRule="auto"/>
              <w:ind w:left="0"/>
              <w:jc w:val="center"/>
              <w:rPr>
                <w:rFonts w:hint="eastAsia" w:ascii="仿宋_GB2312" w:hAnsi="仿宋_GB2312" w:eastAsia="仿宋_GB2312" w:cs="仿宋_GB2312"/>
                <w:sz w:val="20"/>
                <w:szCs w:val="20"/>
              </w:rPr>
            </w:pPr>
          </w:p>
        </w:tc>
        <w:tc>
          <w:tcPr>
            <w:tcW w:w="860" w:type="dxa"/>
            <w:vMerge w:val="restart"/>
            <w:tcMar>
              <w:top w:w="60" w:type="dxa"/>
              <w:left w:w="120" w:type="dxa"/>
              <w:bottom w:w="30" w:type="dxa"/>
              <w:right w:w="120" w:type="dxa"/>
            </w:tcMar>
            <w:vAlign w:val="center"/>
          </w:tcPr>
          <w:p w14:paraId="4A371ED8">
            <w:pPr>
              <w:spacing w:before="120" w:after="120" w:line="288" w:lineRule="auto"/>
              <w:ind w:left="0"/>
              <w:jc w:val="center"/>
              <w:rPr>
                <w:rFonts w:hint="default" w:ascii="仿宋_GB2312" w:hAnsi="仿宋_GB2312" w:eastAsia="仿宋_GB2312" w:cs="仿宋_GB2312"/>
                <w:sz w:val="20"/>
                <w:szCs w:val="20"/>
                <w:lang w:val="en-US" w:eastAsia="zh-CN"/>
              </w:rPr>
            </w:pPr>
            <w:r>
              <w:rPr>
                <w:rFonts w:hint="eastAsia" w:ascii="仿宋_GB2312" w:hAnsi="仿宋_GB2312" w:eastAsia="仿宋_GB2312" w:cs="仿宋_GB2312"/>
                <w:sz w:val="20"/>
                <w:szCs w:val="20"/>
                <w:lang w:val="en-US" w:eastAsia="zh-CN"/>
              </w:rPr>
              <w:t>2、技术参数：</w:t>
            </w:r>
          </w:p>
        </w:tc>
        <w:tc>
          <w:tcPr>
            <w:tcW w:w="3271" w:type="dxa"/>
            <w:shd w:val="clear" w:color="auto" w:fill="auto"/>
            <w:tcMar>
              <w:top w:w="60" w:type="dxa"/>
              <w:left w:w="120" w:type="dxa"/>
              <w:bottom w:w="30" w:type="dxa"/>
              <w:right w:w="120" w:type="dxa"/>
            </w:tcMar>
            <w:vAlign w:val="center"/>
          </w:tcPr>
          <w:p w14:paraId="56BA8706">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（一）走过四季：1台</w:t>
            </w:r>
          </w:p>
          <w:p w14:paraId="3ED0B149">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（评审项3）1、展品尺寸：250cm*250cm*150cm</w:t>
            </w:r>
          </w:p>
          <w:p w14:paraId="172063B5">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（评审项4）2、展品用材：</w:t>
            </w:r>
          </w:p>
          <w:p w14:paraId="36EA4D13">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展台：钣金结构，下料-折弯-焊接-打磨-表面处理，表面喷塑。</w:t>
            </w:r>
          </w:p>
          <w:p w14:paraId="5FE75F2A">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 xml:space="preserve">说明牌：亚克力UV。      </w:t>
            </w:r>
          </w:p>
          <w:p w14:paraId="1A74EDF9">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机加工件：下料-成型-表面处理。</w:t>
            </w:r>
          </w:p>
          <w:p w14:paraId="631ACD9B">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 xml:space="preserve">（评审项5）3、主要配置：工作电源：DC12V。         </w:t>
            </w:r>
          </w:p>
          <w:p w14:paraId="20201AE7">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（评审项6）4、能源需求：AC220V</w:t>
            </w:r>
          </w:p>
          <w:p w14:paraId="4E2591C7">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（评审项7）5、展品原理：通过操作展品，学生了解月球、地球、太阳的位置关系；理解四季产生的原因；了解二十四节气等。</w:t>
            </w:r>
          </w:p>
          <w:p w14:paraId="61067BE1">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★6、需配套“四季更替”探究式课程，提供该课程设计、教学课件、学生手册及为学生提供可以进行课程实践的活动或场地。</w:t>
            </w:r>
          </w:p>
        </w:tc>
        <w:tc>
          <w:tcPr>
            <w:tcW w:w="3230" w:type="dxa"/>
            <w:shd w:val="clear" w:color="auto" w:fill="auto"/>
            <w:tcMar>
              <w:top w:w="60" w:type="dxa"/>
              <w:left w:w="120" w:type="dxa"/>
              <w:bottom w:w="30" w:type="dxa"/>
              <w:right w:w="120" w:type="dxa"/>
            </w:tcMar>
            <w:vAlign w:val="center"/>
          </w:tcPr>
          <w:p w14:paraId="6A2AF05F">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（一）走过四季：1台</w:t>
            </w:r>
          </w:p>
          <w:p w14:paraId="3A5DFF8E">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（评审项3）1、展品尺寸：250cm*250cm*150cm</w:t>
            </w:r>
          </w:p>
          <w:p w14:paraId="5F8C2A99">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（评审项4）2、展品用材：</w:t>
            </w:r>
          </w:p>
          <w:p w14:paraId="389EB117">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展台：钣金结构，下料-折弯-焊接-打磨-表面处理，表面喷塑。</w:t>
            </w:r>
          </w:p>
          <w:p w14:paraId="71530BCE">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 xml:space="preserve">说明牌：亚克力UV。      </w:t>
            </w:r>
          </w:p>
          <w:p w14:paraId="238D07CB">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机加工件：下料-成型-表面处理。</w:t>
            </w:r>
          </w:p>
          <w:p w14:paraId="723B0A70">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 xml:space="preserve">（评审项5）3、主要配置：工作电源：DC12V。         </w:t>
            </w:r>
          </w:p>
          <w:p w14:paraId="06432BEB">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（评审项6）4、能源需求：AC220V</w:t>
            </w:r>
          </w:p>
          <w:p w14:paraId="1E6085F0">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（评审项7）5、展品原理：通过操作展品，学生了解月球、地球、太阳的位置关系；理解四季产生的原因；了解二十四节气等。</w:t>
            </w:r>
          </w:p>
          <w:p w14:paraId="4686E326">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★6、需配套“四季更替”探究式课程，提供该课程设计、教学课件、学生手册及为学生提供可以进行课程实践的活动或场地。</w:t>
            </w:r>
          </w:p>
        </w:tc>
        <w:tc>
          <w:tcPr>
            <w:tcW w:w="885" w:type="dxa"/>
            <w:shd w:val="clear" w:color="auto" w:fill="auto"/>
            <w:tcMar>
              <w:top w:w="60" w:type="dxa"/>
              <w:left w:w="120" w:type="dxa"/>
              <w:bottom w:w="30" w:type="dxa"/>
              <w:right w:w="120" w:type="dxa"/>
            </w:tcMar>
            <w:vAlign w:val="center"/>
          </w:tcPr>
          <w:p w14:paraId="24FE5506">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z w:val="20"/>
                <w:szCs w:val="20"/>
                <w:lang w:val="en-US" w:eastAsia="zh-CN"/>
              </w:rPr>
              <w:t>无偏离</w:t>
            </w:r>
          </w:p>
        </w:tc>
      </w:tr>
      <w:tr w14:paraId="5BE5D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2B751AB3">
            <w:pPr>
              <w:spacing w:before="120" w:after="120" w:line="288" w:lineRule="auto"/>
              <w:ind w:left="0"/>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6CFBC1BC">
            <w:pPr>
              <w:spacing w:before="120" w:after="120" w:line="288" w:lineRule="auto"/>
              <w:ind w:left="0"/>
              <w:jc w:val="center"/>
              <w:rPr>
                <w:rFonts w:hint="eastAsia" w:ascii="仿宋_GB2312" w:hAnsi="仿宋_GB2312" w:eastAsia="仿宋_GB2312" w:cs="仿宋_GB2312"/>
                <w:sz w:val="20"/>
                <w:szCs w:val="20"/>
                <w:lang w:val="en-US" w:eastAsia="zh-CN"/>
              </w:rPr>
            </w:pPr>
          </w:p>
        </w:tc>
        <w:tc>
          <w:tcPr>
            <w:tcW w:w="3271" w:type="dxa"/>
            <w:tcMar>
              <w:top w:w="60" w:type="dxa"/>
              <w:left w:w="120" w:type="dxa"/>
              <w:bottom w:w="30" w:type="dxa"/>
              <w:right w:w="120" w:type="dxa"/>
            </w:tcMar>
            <w:vAlign w:val="center"/>
          </w:tcPr>
          <w:p w14:paraId="46796CB8">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（二）月相变化：1台</w:t>
            </w:r>
          </w:p>
          <w:p w14:paraId="61761527">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（评审项8）1、展品尺寸：120cm*120cm*120cm</w:t>
            </w:r>
          </w:p>
          <w:p w14:paraId="4CF97026">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（评审项9）2、展品用材：</w:t>
            </w:r>
          </w:p>
          <w:p w14:paraId="258C9F62">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展台：钣金结构，下料-折弯-焊接-打磨-表面处理，表面喷塑。</w:t>
            </w:r>
          </w:p>
          <w:p w14:paraId="40A70629">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台面：抗倍特板。</w:t>
            </w:r>
          </w:p>
          <w:p w14:paraId="11B016F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说明牌：亚克力UV。</w:t>
            </w:r>
          </w:p>
          <w:p w14:paraId="2183309A">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（评审项10）3、主要配置：工作电源：DC 5V。</w:t>
            </w:r>
          </w:p>
          <w:p w14:paraId="5A22C065">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（评审项11）4、能源需求：AC220V。</w:t>
            </w:r>
          </w:p>
          <w:p w14:paraId="6490C29E">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（评审项12）5、展品原理：通过观察展品，了解不同的月相、月相变化的时间规律；理解产生不同月相的原因。</w:t>
            </w:r>
          </w:p>
          <w:p w14:paraId="49D86456">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★6、需配套“月相变化”探究式课程，提供该课程设计、教学课件、学生手册及为学生提供可以进行课程实践的活动或场地。</w:t>
            </w:r>
          </w:p>
        </w:tc>
        <w:tc>
          <w:tcPr>
            <w:tcW w:w="3230" w:type="dxa"/>
            <w:tcMar>
              <w:top w:w="60" w:type="dxa"/>
              <w:left w:w="120" w:type="dxa"/>
              <w:bottom w:w="30" w:type="dxa"/>
              <w:right w:w="120" w:type="dxa"/>
            </w:tcMar>
            <w:vAlign w:val="center"/>
          </w:tcPr>
          <w:p w14:paraId="085AA6F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（二）月相变化：1台</w:t>
            </w:r>
          </w:p>
          <w:p w14:paraId="5FAD90D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（评审项8）1、展品尺寸：120cm*120cm*120cm</w:t>
            </w:r>
          </w:p>
          <w:p w14:paraId="34A82E43">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（评审项9）2、展品用材：</w:t>
            </w:r>
          </w:p>
          <w:p w14:paraId="31DF1EE5">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展台：钣金结构，下料-折弯-焊接-打磨-表面处理，表面喷塑。</w:t>
            </w:r>
          </w:p>
          <w:p w14:paraId="03AF885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台面：抗倍特板。</w:t>
            </w:r>
          </w:p>
          <w:p w14:paraId="69E7B5A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说明牌：亚克力UV。</w:t>
            </w:r>
          </w:p>
          <w:p w14:paraId="7E22B5C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（评审项10）3、主要配置：工作电源：DC 5V。</w:t>
            </w:r>
          </w:p>
          <w:p w14:paraId="45862F33">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（评审项11）4、能源需求：AC220V。</w:t>
            </w:r>
          </w:p>
          <w:p w14:paraId="2BC8FF02">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（评审项12）5、展品原理：通过观察展品，了解不同的月相、月相变化的时间规律；理解产生不同月相的原因。</w:t>
            </w:r>
          </w:p>
          <w:p w14:paraId="63FE406D">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★6、需配套“月相变化”探究式课程，提供该课程设计、教学课件、学生手册及为学生提供可以进行课程实践的活动或场地。</w:t>
            </w:r>
          </w:p>
        </w:tc>
        <w:tc>
          <w:tcPr>
            <w:tcW w:w="885" w:type="dxa"/>
            <w:tcMar>
              <w:top w:w="60" w:type="dxa"/>
              <w:left w:w="120" w:type="dxa"/>
              <w:bottom w:w="30" w:type="dxa"/>
              <w:right w:w="120" w:type="dxa"/>
            </w:tcMar>
            <w:vAlign w:val="center"/>
          </w:tcPr>
          <w:p w14:paraId="09C1CF16">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401F8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11A2C9A1">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7D8FCA22">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212B107E">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（三）星座中的恒星分布：1台</w:t>
            </w:r>
          </w:p>
          <w:p w14:paraId="5B91A618">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（评审项13）1、展品尺寸：150cm*80cm*140cm</w:t>
            </w:r>
          </w:p>
          <w:p w14:paraId="43E58256">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（评审项14）2、展品用材：</w:t>
            </w:r>
          </w:p>
          <w:p w14:paraId="6D66EC7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展台：钣金结构，下料-折弯-焊接-打磨-表面处理，表面喷塑。</w:t>
            </w:r>
          </w:p>
          <w:p w14:paraId="7503B052">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台面：抗倍特板。</w:t>
            </w:r>
          </w:p>
          <w:p w14:paraId="0C877566">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（评审项15）3、主要配置：工作电源：DC 12V。</w:t>
            </w:r>
          </w:p>
          <w:p w14:paraId="070724E5">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（评审项16）4、能源需求：AC220V。</w:t>
            </w:r>
          </w:p>
          <w:p w14:paraId="3A1B1A7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（评审项17）5、展品原理：通过观察展品，了解北斗七星在宇宙空间中的分布排列方式，理解星座中恒星的空间分布特点。</w:t>
            </w:r>
          </w:p>
        </w:tc>
        <w:tc>
          <w:tcPr>
            <w:tcW w:w="3230" w:type="dxa"/>
            <w:tcMar>
              <w:top w:w="60" w:type="dxa"/>
              <w:left w:w="120" w:type="dxa"/>
              <w:bottom w:w="30" w:type="dxa"/>
              <w:right w:w="120" w:type="dxa"/>
            </w:tcMar>
            <w:vAlign w:val="center"/>
          </w:tcPr>
          <w:p w14:paraId="3087D7B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（三）星座中的恒星分布：1台</w:t>
            </w:r>
          </w:p>
          <w:p w14:paraId="5CC70B87">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（评审项13）1、展品尺寸：150cm*80cm*140cm</w:t>
            </w:r>
          </w:p>
          <w:p w14:paraId="7744A24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（评审项14）2、展品用材：</w:t>
            </w:r>
          </w:p>
          <w:p w14:paraId="16F040B3">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展台：钣金结构，下料-折弯-焊接-打磨-表面处理，表面喷塑。</w:t>
            </w:r>
          </w:p>
          <w:p w14:paraId="019EB37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台面：抗倍特板。</w:t>
            </w:r>
          </w:p>
          <w:p w14:paraId="1BE1B78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（评审项15）3、主要配置：工作电源：DC 12V。</w:t>
            </w:r>
          </w:p>
          <w:p w14:paraId="07D8FFA9">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（评审项16）4、能源需求：AC220V。</w:t>
            </w:r>
          </w:p>
          <w:p w14:paraId="1921603B">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（评审项17）5、展品原理：通过观察展品，了解北斗七星在宇宙空间中的分布排列方式，理解星座中恒星的空间分布特点。</w:t>
            </w:r>
          </w:p>
        </w:tc>
        <w:tc>
          <w:tcPr>
            <w:tcW w:w="885" w:type="dxa"/>
            <w:tcMar>
              <w:top w:w="60" w:type="dxa"/>
              <w:left w:w="120" w:type="dxa"/>
              <w:bottom w:w="30" w:type="dxa"/>
              <w:right w:w="120" w:type="dxa"/>
            </w:tcMar>
            <w:vAlign w:val="center"/>
          </w:tcPr>
          <w:p w14:paraId="67816B6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7AABF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5201561B">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1BD1F98F">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1CF7776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（四）测量地球的周长：1台</w:t>
            </w:r>
          </w:p>
          <w:p w14:paraId="416C321A">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（评审项18）1、展品尺寸：150cm*80cm*200cm</w:t>
            </w:r>
          </w:p>
          <w:p w14:paraId="6CA0BEF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（评审项19）2、展品用材：</w:t>
            </w:r>
          </w:p>
          <w:p w14:paraId="1AE0C30A">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展台：钣金结构，下料-折弯-焊接-打磨-表面处理，表面喷塑。</w:t>
            </w:r>
          </w:p>
          <w:p w14:paraId="71D1AB5D">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台面：抗倍特板。</w:t>
            </w:r>
          </w:p>
          <w:p w14:paraId="6CA46A2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说明牌：亚克力UV。</w:t>
            </w:r>
          </w:p>
          <w:p w14:paraId="2A19C85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（评审项20）3、能源需求：AC220V。</w:t>
            </w:r>
          </w:p>
          <w:p w14:paraId="10A8055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（评审项21）4、展品原理：通过操作展品，了解“世界上十大经典物理实验”之一的埃拉托色尼测量地球圆周实验；理解这一实验中计算地球周长的过程和几何方法。</w:t>
            </w:r>
          </w:p>
          <w:p w14:paraId="6FB2499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★5、需配套“如何测量地球周长”探究式课程，提供该课程设计、教学课件、学生手册等及为学生提供可以进行课程实践的活动或场地。</w:t>
            </w:r>
          </w:p>
        </w:tc>
        <w:tc>
          <w:tcPr>
            <w:tcW w:w="3230" w:type="dxa"/>
            <w:tcMar>
              <w:top w:w="60" w:type="dxa"/>
              <w:left w:w="120" w:type="dxa"/>
              <w:bottom w:w="30" w:type="dxa"/>
              <w:right w:w="120" w:type="dxa"/>
            </w:tcMar>
            <w:vAlign w:val="center"/>
          </w:tcPr>
          <w:p w14:paraId="2A65FA9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（四）测量地球的周长：1台</w:t>
            </w:r>
          </w:p>
          <w:p w14:paraId="43A0E69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（评审项18）1、展品尺寸：150cm*80cm*200cm</w:t>
            </w:r>
          </w:p>
          <w:p w14:paraId="4F09626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（评审项19）2、展品用材：</w:t>
            </w:r>
          </w:p>
          <w:p w14:paraId="5C48997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展台：钣金结构，下料-折弯-焊接-打磨-表面处理，表面喷塑。</w:t>
            </w:r>
          </w:p>
          <w:p w14:paraId="734F629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台面：抗倍特板。</w:t>
            </w:r>
          </w:p>
          <w:p w14:paraId="0778084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说明牌：亚克力UV。</w:t>
            </w:r>
          </w:p>
          <w:p w14:paraId="2711F1B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（评审项20）3、能源需求：AC220V。</w:t>
            </w:r>
          </w:p>
          <w:p w14:paraId="76BA42B3">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（评审项21）4、展品原理：通过操作展品，了解“世界上十大经典物理实验”之一的埃拉托色尼测量地球圆周实验；理解这一实验中计算地球周长的过程和几何方法。</w:t>
            </w:r>
          </w:p>
          <w:p w14:paraId="2DC675E9">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★5、需配套“如何测量地球周长”探究式课程，提供该课程设计、教学课件、学生手册等及为学生提供可以进行课程实践的活动或场地。</w:t>
            </w:r>
          </w:p>
        </w:tc>
        <w:tc>
          <w:tcPr>
            <w:tcW w:w="885" w:type="dxa"/>
            <w:tcMar>
              <w:top w:w="60" w:type="dxa"/>
              <w:left w:w="120" w:type="dxa"/>
              <w:bottom w:w="30" w:type="dxa"/>
              <w:right w:w="120" w:type="dxa"/>
            </w:tcMar>
            <w:vAlign w:val="center"/>
          </w:tcPr>
          <w:p w14:paraId="3AD91FD3">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6AA12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1004FE90">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0BDCAC05">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3EAF02E5">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（五）月球两面：1台</w:t>
            </w:r>
          </w:p>
          <w:p w14:paraId="17C23F9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（评审项22）1、展品尺寸：240cm*120cm*150cm</w:t>
            </w:r>
          </w:p>
          <w:p w14:paraId="262964C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（评审项23）2、展品用材：</w:t>
            </w:r>
          </w:p>
          <w:p w14:paraId="6E40AF6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展台：钣金结构，下料-折弯-焊接-打磨-表面处理，表面喷塑。</w:t>
            </w:r>
          </w:p>
          <w:p w14:paraId="658A2DB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 xml:space="preserve">说明牌：亚克力UV。       </w:t>
            </w:r>
          </w:p>
          <w:p w14:paraId="7685DB9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机加工件：下料-成型-表面处理。</w:t>
            </w:r>
          </w:p>
          <w:p w14:paraId="4E0A1175">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 xml:space="preserve">（评审项24）3、主要配置：工作电源：AC220V。        </w:t>
            </w:r>
          </w:p>
          <w:p w14:paraId="209939D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（评审项25）4、能源需求：AC220V。</w:t>
            </w:r>
          </w:p>
          <w:p w14:paraId="0650571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（评审项26）5、展品原理：通过操作展品，观察展品中月球运转的不同状态，理解月球始终以同一面对着我们的现象及原因。</w:t>
            </w:r>
          </w:p>
          <w:p w14:paraId="57AE33C9">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★6、需配套“为什么看不到月球背面”探究式课程，提供该课程设计、教学课件、学生手册及为学生提供可以进行课程实践的活动或场地。</w:t>
            </w:r>
          </w:p>
        </w:tc>
        <w:tc>
          <w:tcPr>
            <w:tcW w:w="3230" w:type="dxa"/>
            <w:tcMar>
              <w:top w:w="60" w:type="dxa"/>
              <w:left w:w="120" w:type="dxa"/>
              <w:bottom w:w="30" w:type="dxa"/>
              <w:right w:w="120" w:type="dxa"/>
            </w:tcMar>
            <w:vAlign w:val="center"/>
          </w:tcPr>
          <w:p w14:paraId="03D066A8">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（五）月球两面：1台</w:t>
            </w:r>
          </w:p>
          <w:p w14:paraId="5F0D5DD3">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（评审项22）1、展品尺寸：240cm*120cm*150cm</w:t>
            </w:r>
          </w:p>
          <w:p w14:paraId="4DB10F93">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（评审项23）2、展品用材：</w:t>
            </w:r>
          </w:p>
          <w:p w14:paraId="37D6F32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展台：钣金结构，下料-折弯-焊接-打磨-表面处理，表面喷塑。</w:t>
            </w:r>
          </w:p>
          <w:p w14:paraId="4F7326A7">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 xml:space="preserve">说明牌：亚克力UV。       </w:t>
            </w:r>
          </w:p>
          <w:p w14:paraId="4F34A527">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机加工件：下料-成型-表面处理。</w:t>
            </w:r>
          </w:p>
          <w:p w14:paraId="25209F4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 xml:space="preserve">（评审项24）3、主要配置：工作电源：AC220V。        </w:t>
            </w:r>
          </w:p>
          <w:p w14:paraId="6CBF9615">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（评审项25）4、能源需求：AC220V。</w:t>
            </w:r>
          </w:p>
          <w:p w14:paraId="2EA75BCE">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（评审项26）5、展品原理：通过操作展品，观察展品中月球运转的不同状态，理解月球始终以同一面对着我们的现象及原因。</w:t>
            </w:r>
          </w:p>
          <w:p w14:paraId="7C8EDB4E">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★6、需配套“为什么看不到月球背面”探究式课程，提供该课程设计、教学课件、学生手册及为学生提供可以进行课程实践的活动或场地。</w:t>
            </w:r>
          </w:p>
        </w:tc>
        <w:tc>
          <w:tcPr>
            <w:tcW w:w="885" w:type="dxa"/>
            <w:tcMar>
              <w:top w:w="60" w:type="dxa"/>
              <w:left w:w="120" w:type="dxa"/>
              <w:bottom w:w="30" w:type="dxa"/>
              <w:right w:w="120" w:type="dxa"/>
            </w:tcMar>
            <w:vAlign w:val="center"/>
          </w:tcPr>
          <w:p w14:paraId="22D9224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27779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25C13B3F">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6EBA459B">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639F2D4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（六）室内日晷：1台</w:t>
            </w:r>
          </w:p>
          <w:p w14:paraId="49027292">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（评审项27）1、展品尺寸：150cm*150cm*150cm</w:t>
            </w:r>
          </w:p>
          <w:p w14:paraId="0FF7FEE9">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（评审项28）2、展品用材：</w:t>
            </w:r>
          </w:p>
          <w:p w14:paraId="059DD57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展台：钣金结构，下料-折弯-焊接-打磨-表面处理，表面喷塑。</w:t>
            </w:r>
          </w:p>
          <w:p w14:paraId="33BBF64E">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说明牌：亚克力UV。</w:t>
            </w:r>
          </w:p>
          <w:p w14:paraId="519138C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（评审项29）3、主要配置：工作电源：DC5V。</w:t>
            </w:r>
          </w:p>
          <w:p w14:paraId="79166AF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（评审项30）4、展品原理：通过操作展品，了解一年和一天影子的变化；理解日晷的科学原理。</w:t>
            </w:r>
          </w:p>
        </w:tc>
        <w:tc>
          <w:tcPr>
            <w:tcW w:w="3230" w:type="dxa"/>
            <w:tcMar>
              <w:top w:w="60" w:type="dxa"/>
              <w:left w:w="120" w:type="dxa"/>
              <w:bottom w:w="30" w:type="dxa"/>
              <w:right w:w="120" w:type="dxa"/>
            </w:tcMar>
            <w:vAlign w:val="center"/>
          </w:tcPr>
          <w:p w14:paraId="74DEB0B3">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（六）室内日晷：1台</w:t>
            </w:r>
          </w:p>
          <w:p w14:paraId="4AA129D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（评审项27）1、展品尺寸：150cm*150cm*150cm</w:t>
            </w:r>
          </w:p>
          <w:p w14:paraId="0F42B4B7">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（评审项28）2、展品用材：</w:t>
            </w:r>
          </w:p>
          <w:p w14:paraId="646FF403">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展台：钣金结构，下料-折弯-焊接-打磨-表面处理，表面喷塑。</w:t>
            </w:r>
          </w:p>
          <w:p w14:paraId="3B9BAF7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说明牌：亚克力UV。</w:t>
            </w:r>
          </w:p>
          <w:p w14:paraId="730C003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（评审项29）3、主要配置：工作电源：DC5V。</w:t>
            </w:r>
          </w:p>
          <w:p w14:paraId="7B490DE2">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（评审项30）4、展品原理：通过操作展品，了解一年和一天影子的变化；理解日晷的科学原理。</w:t>
            </w:r>
          </w:p>
        </w:tc>
        <w:tc>
          <w:tcPr>
            <w:tcW w:w="885" w:type="dxa"/>
            <w:tcMar>
              <w:top w:w="60" w:type="dxa"/>
              <w:left w:w="120" w:type="dxa"/>
              <w:bottom w:w="30" w:type="dxa"/>
              <w:right w:w="120" w:type="dxa"/>
            </w:tcMar>
            <w:vAlign w:val="center"/>
          </w:tcPr>
          <w:p w14:paraId="2CFE06C1">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0A4A6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4AAE438E">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1F68AB4E">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05AC7D6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（七）课程配套资源箱：15套</w:t>
            </w:r>
          </w:p>
          <w:p w14:paraId="01CFD4F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（评审项31）1、配套资源箱要分为4个阶段，分别是阶段一：认识地球、阶段二：探知宇宙、阶段三：探索太空、阶段四：星际远征；</w:t>
            </w:r>
          </w:p>
          <w:p w14:paraId="4BFCA4D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（评审项32）2、每个阶段包含7个不同主题的主题套件，4个阶段共计要包含28个不同主题套件；</w:t>
            </w:r>
          </w:p>
          <w:p w14:paraId="3258267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（评审项33）3、配套资源箱的每个主题课程要有对应的教案和PPT资料；</w:t>
            </w:r>
          </w:p>
          <w:p w14:paraId="5CBBBBC6">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（评审项34）4、配套资源箱的部分主题器材因包含电动控制，使成品更加生动的表达主题内容；</w:t>
            </w:r>
          </w:p>
          <w:p w14:paraId="13EFB5DA">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（评审项35）5、配套资源箱里要包含以下主题套件，分别是三球仪、日晷、探月车、星座仪、七彩星空灯，提供这5个主题套件省级木质材料检测报告【若有】；</w:t>
            </w:r>
          </w:p>
          <w:p w14:paraId="60919B97">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（评审项36）6、服务周期内，如教育部颁布新的青少年天文课程标准，需要根据新标准进行课程更新迭代，供应商需要提供相应承诺函；</w:t>
            </w:r>
          </w:p>
          <w:p w14:paraId="19AA851A">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（评审项37）7、在学校课程授课期间，供应商需要根据学校需求，至少组织1次馆校或校企合作内容或相对应的实践活动。</w:t>
            </w:r>
          </w:p>
        </w:tc>
        <w:tc>
          <w:tcPr>
            <w:tcW w:w="3230" w:type="dxa"/>
            <w:tcMar>
              <w:top w:w="60" w:type="dxa"/>
              <w:left w:w="120" w:type="dxa"/>
              <w:bottom w:w="30" w:type="dxa"/>
              <w:right w:w="120" w:type="dxa"/>
            </w:tcMar>
            <w:vAlign w:val="center"/>
          </w:tcPr>
          <w:p w14:paraId="6A2EA507">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（七）课程配套资源箱：15套</w:t>
            </w:r>
          </w:p>
          <w:p w14:paraId="2F4EE2ED">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（评审项31）1、配套资源箱要分为4个阶段，分别是阶段一：认识地球、阶段二：探知宇宙、阶段三：探索太空、阶段四：星际远征；</w:t>
            </w:r>
          </w:p>
          <w:p w14:paraId="21920318">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（评审项32）2、每个阶段包含7个不同主题的主题套件，4个阶段共计要包含28个不同主题套件；</w:t>
            </w:r>
          </w:p>
          <w:p w14:paraId="351891DE">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（评审项33）3、配套资源箱的每个主题课程要有对应的教案和PPT资料；</w:t>
            </w:r>
          </w:p>
          <w:p w14:paraId="56F8AE72">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（评审项34）4、配套资源箱的部分主题器材因包含电动控制，使成品更加生动的表达主题内容；</w:t>
            </w:r>
          </w:p>
          <w:p w14:paraId="337A4217">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（评审项35）5、配套资源箱里要包含以下主题套件，分别是三球仪、日晷、探月车、星座仪、七彩星空灯，提供这5个主题套件省级木质材料检测报告【若有】；</w:t>
            </w:r>
          </w:p>
          <w:p w14:paraId="7BAF2806">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（评审项36）6、服务周期内，如教育部颁布新的青少年天文课程标准，需要根据新标准进行课程更新迭代，供应商需要提供相应承诺函；</w:t>
            </w:r>
          </w:p>
          <w:p w14:paraId="5CC2A2F0">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（评审项37）7、在学校课程授课期间，供应商需要根据学校需求，至少组织1次馆校或校企合作内容或相对应的实践活动。</w:t>
            </w:r>
          </w:p>
        </w:tc>
        <w:tc>
          <w:tcPr>
            <w:tcW w:w="885" w:type="dxa"/>
            <w:tcMar>
              <w:top w:w="60" w:type="dxa"/>
              <w:left w:w="120" w:type="dxa"/>
              <w:bottom w:w="30" w:type="dxa"/>
              <w:right w:w="120" w:type="dxa"/>
            </w:tcMar>
            <w:vAlign w:val="center"/>
          </w:tcPr>
          <w:p w14:paraId="5C1C44AF">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48736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339A6DCC">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4EA9E99C">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17C856EE">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（八）VR虚拟体验学习机：2套</w:t>
            </w:r>
          </w:p>
          <w:p w14:paraId="4719D43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（评审项38）1、CPU：高通XR2</w:t>
            </w:r>
          </w:p>
          <w:p w14:paraId="3A7235DA">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（评审项39）2、内存≥6GB，闪存≥128GB</w:t>
            </w:r>
          </w:p>
          <w:p w14:paraId="7EF690C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（评审项40）3、支持：Miracast，支持无线串流Steam VR显示</w:t>
            </w:r>
          </w:p>
          <w:p w14:paraId="0EBC3E42">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（评审项41）4、屏幕≥5.5英寸</w:t>
            </w:r>
          </w:p>
          <w:p w14:paraId="021176CE">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（评审项42）5、分辨率≥3664✕1920，PPI≥773光学</w:t>
            </w:r>
          </w:p>
          <w:p w14:paraId="20B6441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（评审项43）6、视场角≥98°，菲涅尔镜片</w:t>
            </w:r>
          </w:p>
          <w:p w14:paraId="767AFB4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（评审项44）7、护眼模式通过：TUV：低蓝光认证，一键开启防蓝光模式</w:t>
            </w:r>
          </w:p>
          <w:p w14:paraId="6C3428CA">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（评审项45）8、兼容佩戴眼镜，瞳距调节默认位置：63.5mm，三档位物理调节传感器</w:t>
            </w:r>
          </w:p>
          <w:p w14:paraId="26429DB8">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（评审项46）9、头盔：9轴传感器，实现头部精准：6DoF</w:t>
            </w:r>
          </w:p>
          <w:p w14:paraId="0B8B3853">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（评审项47）10、头盔：P-Sensor：人脸佩戴感应，用于屏幕休眠控制</w:t>
            </w:r>
          </w:p>
          <w:p w14:paraId="7A77ABD8">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（评审项48）11、头部空间定位全新自研 Inside-Out 房间级大空间追踪算法</w:t>
            </w:r>
          </w:p>
          <w:p w14:paraId="31F21149">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（评审项49）12、手柄6DoF 体感手柄 ✕2设计与人体工程</w:t>
            </w:r>
          </w:p>
          <w:p w14:paraId="52528053">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（评审项50）13、重量不含绑带 395g；整机 620g</w:t>
            </w:r>
          </w:p>
          <w:p w14:paraId="1D99061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（评审项51）14、自适应松紧，软质侧绑</w:t>
            </w:r>
          </w:p>
          <w:p w14:paraId="1FAA213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（评审项52）15、电池容量5300mAh，连续使用时间 2.5～3 小时</w:t>
            </w:r>
          </w:p>
        </w:tc>
        <w:tc>
          <w:tcPr>
            <w:tcW w:w="3230" w:type="dxa"/>
            <w:tcMar>
              <w:top w:w="60" w:type="dxa"/>
              <w:left w:w="120" w:type="dxa"/>
              <w:bottom w:w="30" w:type="dxa"/>
              <w:right w:w="120" w:type="dxa"/>
            </w:tcMar>
            <w:vAlign w:val="center"/>
          </w:tcPr>
          <w:p w14:paraId="1830DEE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（八）VR虚拟体验学习机：2套</w:t>
            </w:r>
          </w:p>
          <w:p w14:paraId="5DAB714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（评审项38）1、CPU：高通XR2</w:t>
            </w:r>
          </w:p>
          <w:p w14:paraId="0D0EFC53">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（评审项39）2、内存≥6GB，闪存≥128GB</w:t>
            </w:r>
          </w:p>
          <w:p w14:paraId="40BEF87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（评审项40）3、支持：Miracast，支持无线串流Steam VR显示</w:t>
            </w:r>
          </w:p>
          <w:p w14:paraId="1FE8849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（评审项41）4、屏幕≥5.5英寸</w:t>
            </w:r>
          </w:p>
          <w:p w14:paraId="1D9AF2C6">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（评审项42）5、分辨率≥3664✕1920，PPI≥773光学</w:t>
            </w:r>
          </w:p>
          <w:p w14:paraId="531F6C9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（评审项43）6、视场角≥98°，菲涅尔镜片</w:t>
            </w:r>
          </w:p>
          <w:p w14:paraId="0E22D075">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（评审项44）7、护眼模式通过：TUV：低蓝光认证，一键开启防蓝光模式</w:t>
            </w:r>
          </w:p>
          <w:p w14:paraId="066E38A8">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（评审项45）8、兼容佩戴眼镜，瞳距调节默认位置：63.5mm，三档位物理调节传感器</w:t>
            </w:r>
          </w:p>
          <w:p w14:paraId="4E474C73">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（评审项46）9、头盔：9轴传感器，实现头部精准：6DoF</w:t>
            </w:r>
          </w:p>
          <w:p w14:paraId="69F54D9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（评审项47）10、头盔：P-Sensor：人脸佩戴感应，用于屏幕休眠控制</w:t>
            </w:r>
          </w:p>
          <w:p w14:paraId="231CFFA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（评审项48）11、头部空间定位全新自研 Inside-Out 房间级大空间追踪算法</w:t>
            </w:r>
          </w:p>
          <w:p w14:paraId="20CCFE62">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（评审项49）12、手柄6DoF 体感手柄 ✕2设计与人体工程</w:t>
            </w:r>
          </w:p>
          <w:p w14:paraId="2A15B9B5">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（评审项50）13、重量不含绑带 395g；整机 620g</w:t>
            </w:r>
          </w:p>
          <w:p w14:paraId="7DCC4865">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（评审项51）14、自适应松紧，软质侧绑</w:t>
            </w:r>
          </w:p>
          <w:p w14:paraId="19C9814D">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（评审项52）15、电池容量5300mAh，连续使用时间 2.5～3 小时</w:t>
            </w:r>
          </w:p>
        </w:tc>
        <w:tc>
          <w:tcPr>
            <w:tcW w:w="885" w:type="dxa"/>
            <w:tcMar>
              <w:top w:w="60" w:type="dxa"/>
              <w:left w:w="120" w:type="dxa"/>
              <w:bottom w:w="30" w:type="dxa"/>
              <w:right w:w="120" w:type="dxa"/>
            </w:tcMar>
            <w:vAlign w:val="center"/>
          </w:tcPr>
          <w:p w14:paraId="655C9F1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0A05D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54E93566">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62AD8F21">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31622A6A">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（九）VR虚拟体验学习系统：2套</w:t>
            </w:r>
          </w:p>
          <w:p w14:paraId="0EDA761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53）1、内容体验：体验者可以使用该内容学习不少于【登陆月球】、【火箭发射】、【航空航天知识】、【太阳系的奥秘】、【了解空间站】等15节课程，且均有与之相对应的15个简易小图标，分门别类。</w:t>
            </w:r>
          </w:p>
          <w:p w14:paraId="68A0796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（评审项54）2、体验全程为纯净版内容，无广告植入及弹窗，可根据类别进行内容筛选，提供体验引导手册。</w:t>
            </w:r>
          </w:p>
        </w:tc>
        <w:tc>
          <w:tcPr>
            <w:tcW w:w="3230" w:type="dxa"/>
            <w:tcMar>
              <w:top w:w="60" w:type="dxa"/>
              <w:left w:w="120" w:type="dxa"/>
              <w:bottom w:w="30" w:type="dxa"/>
              <w:right w:w="120" w:type="dxa"/>
            </w:tcMar>
            <w:vAlign w:val="center"/>
          </w:tcPr>
          <w:p w14:paraId="189C545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（九）VR虚拟体验学习系统：2套</w:t>
            </w:r>
          </w:p>
          <w:p w14:paraId="1FCAF298">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53）1、内容体验：体验者可以使用该内容学习不少于【登陆月球】、【火箭发射】、【航空航天知识】、【太阳系的奥秘】、【了解空间站】等15节课程，且均有与之相对应的15个简易小图标，分门别类。</w:t>
            </w:r>
          </w:p>
          <w:p w14:paraId="3AF3ECE7">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（评审项54）2、体验全程为纯净版内容，无广告植入及弹窗，可根据类别进行内容筛选，提供体验引导手册。</w:t>
            </w:r>
          </w:p>
        </w:tc>
        <w:tc>
          <w:tcPr>
            <w:tcW w:w="885" w:type="dxa"/>
            <w:tcMar>
              <w:top w:w="60" w:type="dxa"/>
              <w:left w:w="120" w:type="dxa"/>
              <w:bottom w:w="30" w:type="dxa"/>
              <w:right w:w="120" w:type="dxa"/>
            </w:tcMar>
            <w:vAlign w:val="center"/>
          </w:tcPr>
          <w:p w14:paraId="2E2C05B8">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37533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30C33A1F">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79A3992E">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7619FEC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（十）无线投屏控制器：1套</w:t>
            </w:r>
          </w:p>
          <w:p w14:paraId="3FC88A22">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（评审项55）1、无线连接，支持多接口输出，HDMI VGA 3.5mm音频等，4K解码1080高清画质，播放流畅不卡顿，双频切换，更快更稳定，输出稳定抗干扰。</w:t>
            </w:r>
          </w:p>
        </w:tc>
        <w:tc>
          <w:tcPr>
            <w:tcW w:w="3230" w:type="dxa"/>
            <w:tcMar>
              <w:top w:w="60" w:type="dxa"/>
              <w:left w:w="120" w:type="dxa"/>
              <w:bottom w:w="30" w:type="dxa"/>
              <w:right w:w="120" w:type="dxa"/>
            </w:tcMar>
            <w:vAlign w:val="center"/>
          </w:tcPr>
          <w:p w14:paraId="4D4CB216">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（十）无线投屏控制器：1套</w:t>
            </w:r>
          </w:p>
          <w:p w14:paraId="71CFC522">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（评审项55）1、无线连接，支持多接口输出，HDMI VGA 3.5mm音频等，4K解码1080高清画质，播放流畅不卡顿，双频切换，更快更稳定，输出稳定抗干扰。</w:t>
            </w:r>
          </w:p>
        </w:tc>
        <w:tc>
          <w:tcPr>
            <w:tcW w:w="885" w:type="dxa"/>
            <w:tcMar>
              <w:top w:w="60" w:type="dxa"/>
              <w:left w:w="120" w:type="dxa"/>
              <w:bottom w:w="30" w:type="dxa"/>
              <w:right w:w="120" w:type="dxa"/>
            </w:tcMar>
            <w:vAlign w:val="center"/>
          </w:tcPr>
          <w:p w14:paraId="13C3B8AE">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7024B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06A9D28B">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428AC705">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156E6F2A">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（十一）展示柜：1组</w:t>
            </w:r>
          </w:p>
          <w:p w14:paraId="35DA977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（评审项56）1、根据现场定制，预估尺寸300*80*40cm，环保板材，矮柜，四周做圆角处理，根据现场做长度的调整。</w:t>
            </w:r>
          </w:p>
        </w:tc>
        <w:tc>
          <w:tcPr>
            <w:tcW w:w="3230" w:type="dxa"/>
            <w:tcMar>
              <w:top w:w="60" w:type="dxa"/>
              <w:left w:w="120" w:type="dxa"/>
              <w:bottom w:w="30" w:type="dxa"/>
              <w:right w:w="120" w:type="dxa"/>
            </w:tcMar>
            <w:vAlign w:val="center"/>
          </w:tcPr>
          <w:p w14:paraId="40F4B22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（十一）展示柜：1组</w:t>
            </w:r>
          </w:p>
          <w:p w14:paraId="3E468EEC">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（评审项56）1、根据现场定制，预估尺寸300*80*40cm，环保板材，矮柜，四周做圆角处理，根据现场做长度的调整。</w:t>
            </w:r>
          </w:p>
        </w:tc>
        <w:tc>
          <w:tcPr>
            <w:tcW w:w="885" w:type="dxa"/>
            <w:tcMar>
              <w:top w:w="60" w:type="dxa"/>
              <w:left w:w="120" w:type="dxa"/>
              <w:bottom w:w="30" w:type="dxa"/>
              <w:right w:w="120" w:type="dxa"/>
            </w:tcMar>
            <w:vAlign w:val="center"/>
          </w:tcPr>
          <w:p w14:paraId="0C51BA31">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0C3F3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5E1AFA24">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2C0FD662">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57AA397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（十二）活动桌：16张</w:t>
            </w:r>
          </w:p>
          <w:p w14:paraId="105FBDA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（评审项57）1、定制梯形桌、尺寸约120*60*70cm，圆角打磨工艺。</w:t>
            </w:r>
          </w:p>
          <w:p w14:paraId="1780CF8E">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（评审项58）2、桌面采用优质环保PE材质一体成型，经久耐用，边缘人性化设计，耐刮伤，好清理。</w:t>
            </w:r>
          </w:p>
          <w:p w14:paraId="1D9B2C62">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（评审项59）3、可自由组合，搭配不同的形状，可满足儿童的新鲜感和好奇心。</w:t>
            </w:r>
          </w:p>
          <w:p w14:paraId="3FE094BD">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（评审项60）4、桌腿带微调功能，适合不平整的地面。</w:t>
            </w:r>
          </w:p>
        </w:tc>
        <w:tc>
          <w:tcPr>
            <w:tcW w:w="3230" w:type="dxa"/>
            <w:tcMar>
              <w:top w:w="60" w:type="dxa"/>
              <w:left w:w="120" w:type="dxa"/>
              <w:bottom w:w="30" w:type="dxa"/>
              <w:right w:w="120" w:type="dxa"/>
            </w:tcMar>
            <w:vAlign w:val="center"/>
          </w:tcPr>
          <w:p w14:paraId="5F965B2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（十二）活动桌：16张</w:t>
            </w:r>
          </w:p>
          <w:p w14:paraId="7F69817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（评审项57）1、定制梯形桌、尺寸约120*60*70cm，圆角打磨工艺。</w:t>
            </w:r>
          </w:p>
          <w:p w14:paraId="332EC34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（评审项58）2、桌面采用优质环保PE材质一体成型，经久耐用，边缘人性化设计，耐刮伤，好清理。</w:t>
            </w:r>
          </w:p>
          <w:p w14:paraId="485A193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（评审项59）3、可自由组合，搭配不同的形状，可满足儿童的新鲜感和好奇心。</w:t>
            </w:r>
          </w:p>
          <w:p w14:paraId="546A752D">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（评审项60）4、桌腿带微调功能，适合不平整的地面。</w:t>
            </w:r>
          </w:p>
        </w:tc>
        <w:tc>
          <w:tcPr>
            <w:tcW w:w="885" w:type="dxa"/>
            <w:tcMar>
              <w:top w:w="60" w:type="dxa"/>
              <w:left w:w="120" w:type="dxa"/>
              <w:bottom w:w="30" w:type="dxa"/>
              <w:right w:w="120" w:type="dxa"/>
            </w:tcMar>
            <w:vAlign w:val="center"/>
          </w:tcPr>
          <w:p w14:paraId="6B297D83">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495D8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50B9C384">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7FF770D9">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1EC03B2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（十三）学生椅：48张</w:t>
            </w:r>
          </w:p>
          <w:p w14:paraId="57A5CA0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（评审项61）1、人体工程学设计，外观简约大方，弹性靠背及坐垫。椅子高约70cm，座宽约44cm，座高约40cm。</w:t>
            </w:r>
          </w:p>
          <w:p w14:paraId="1F2B5652">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（评审项62）2、优质PP环保材料一体成型，经久耐用不褪色。</w:t>
            </w:r>
          </w:p>
        </w:tc>
        <w:tc>
          <w:tcPr>
            <w:tcW w:w="3230" w:type="dxa"/>
            <w:tcMar>
              <w:top w:w="60" w:type="dxa"/>
              <w:left w:w="120" w:type="dxa"/>
              <w:bottom w:w="30" w:type="dxa"/>
              <w:right w:w="120" w:type="dxa"/>
            </w:tcMar>
            <w:vAlign w:val="center"/>
          </w:tcPr>
          <w:p w14:paraId="56E6A42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（十三）学生椅：48张</w:t>
            </w:r>
          </w:p>
          <w:p w14:paraId="566F93A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（评审项61）1、人体工程学设计，外观简约大方，弹性靠背及坐垫。椅子高约70cm，座宽约44cm，座高约40cm。</w:t>
            </w:r>
          </w:p>
          <w:p w14:paraId="6C6DB6DA">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（评审项62）2、优质PP环保材料一体成型，经久耐用不褪色。</w:t>
            </w:r>
          </w:p>
        </w:tc>
        <w:tc>
          <w:tcPr>
            <w:tcW w:w="885" w:type="dxa"/>
            <w:tcMar>
              <w:top w:w="60" w:type="dxa"/>
              <w:left w:w="120" w:type="dxa"/>
              <w:bottom w:w="30" w:type="dxa"/>
              <w:right w:w="120" w:type="dxa"/>
            </w:tcMar>
            <w:vAlign w:val="center"/>
          </w:tcPr>
          <w:p w14:paraId="0B49B2DF">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3B241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13D88BB4">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505C3EB3">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1740A2FD">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（十四）55寸终端互动展示屏：3台</w:t>
            </w:r>
          </w:p>
          <w:p w14:paraId="51B40CFD">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（评审项63）1、屏幕尺寸:55寸；机身颜色:黑色</w:t>
            </w:r>
          </w:p>
          <w:p w14:paraId="6156798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（评审项64）2、屏幕分辨率:1920*1080p</w:t>
            </w:r>
          </w:p>
          <w:p w14:paraId="444EE6E5">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（评审项65）3、触摸功能:红外触摸</w:t>
            </w:r>
          </w:p>
          <w:p w14:paraId="15306BD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（评审项66）4、运行内存:8G</w:t>
            </w:r>
          </w:p>
          <w:p w14:paraId="7A9AACCA">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（评审项67）5、硬盘:512G</w:t>
            </w:r>
          </w:p>
        </w:tc>
        <w:tc>
          <w:tcPr>
            <w:tcW w:w="3230" w:type="dxa"/>
            <w:tcMar>
              <w:top w:w="60" w:type="dxa"/>
              <w:left w:w="120" w:type="dxa"/>
              <w:bottom w:w="30" w:type="dxa"/>
              <w:right w:w="120" w:type="dxa"/>
            </w:tcMar>
            <w:vAlign w:val="center"/>
          </w:tcPr>
          <w:p w14:paraId="08487D8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（十四）55寸终端互动展示屏：3台</w:t>
            </w:r>
          </w:p>
          <w:p w14:paraId="23AE314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（评审项63）1、屏幕尺寸:55寸；机身颜色:黑色</w:t>
            </w:r>
          </w:p>
          <w:p w14:paraId="3C52EE1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（评审项64）2、屏幕分辨率:1920*1080p</w:t>
            </w:r>
          </w:p>
          <w:p w14:paraId="7C6C272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（评审项65）3、触摸功能:红外触摸</w:t>
            </w:r>
          </w:p>
          <w:p w14:paraId="443BD28E">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（评审项66）4、运行内存:8G</w:t>
            </w:r>
          </w:p>
          <w:p w14:paraId="509BFD12">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（评审项67）5、硬盘:512G</w:t>
            </w:r>
          </w:p>
        </w:tc>
        <w:tc>
          <w:tcPr>
            <w:tcW w:w="885" w:type="dxa"/>
            <w:tcMar>
              <w:top w:w="60" w:type="dxa"/>
              <w:left w:w="120" w:type="dxa"/>
              <w:bottom w:w="30" w:type="dxa"/>
              <w:right w:w="120" w:type="dxa"/>
            </w:tcMar>
            <w:vAlign w:val="center"/>
          </w:tcPr>
          <w:p w14:paraId="5BE09E1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5B373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14A78DDA">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04D3F28B">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1FBA8F16">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（十五）机械传动互动展示墙：1个</w:t>
            </w:r>
          </w:p>
          <w:p w14:paraId="197179C8">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（评审项68）1、尺寸：7000*2400*300mm</w:t>
            </w:r>
          </w:p>
          <w:p w14:paraId="46702DDD">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（评审项69）2、材质：木质板材相纸UV图案，亮面覆膜。其他材质包含：PVC、亚克力、铝型材、ABS塑料、金属铜片、铝片等。</w:t>
            </w:r>
          </w:p>
          <w:p w14:paraId="73629746">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（评审项70）3、包含8种机械传动互动内容。</w:t>
            </w:r>
          </w:p>
        </w:tc>
        <w:tc>
          <w:tcPr>
            <w:tcW w:w="3230" w:type="dxa"/>
            <w:tcMar>
              <w:top w:w="60" w:type="dxa"/>
              <w:left w:w="120" w:type="dxa"/>
              <w:bottom w:w="30" w:type="dxa"/>
              <w:right w:w="120" w:type="dxa"/>
            </w:tcMar>
            <w:vAlign w:val="center"/>
          </w:tcPr>
          <w:p w14:paraId="11F8351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（十五）机械传动互动展示墙：1个</w:t>
            </w:r>
          </w:p>
          <w:p w14:paraId="5AE0471D">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（评审项68）1、尺寸：7000*2400*300mm</w:t>
            </w:r>
          </w:p>
          <w:p w14:paraId="1A275128">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（评审项69）2、材质：木质板材相纸UV图案，亮面覆膜。其他材质包含：PVC、亚克力、铝型材、ABS塑料、金属铜片、铝片等。</w:t>
            </w:r>
          </w:p>
          <w:p w14:paraId="77FBD827">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（评审项70）3、包含8种机械传动互动内容。</w:t>
            </w:r>
          </w:p>
        </w:tc>
        <w:tc>
          <w:tcPr>
            <w:tcW w:w="885" w:type="dxa"/>
            <w:tcMar>
              <w:top w:w="60" w:type="dxa"/>
              <w:left w:w="120" w:type="dxa"/>
              <w:bottom w:w="30" w:type="dxa"/>
              <w:right w:w="120" w:type="dxa"/>
            </w:tcMar>
            <w:vAlign w:val="center"/>
          </w:tcPr>
          <w:p w14:paraId="7D51C2C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57CC0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479FEFC4">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60C28974">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174B3E6E">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（十六）智能互动展示墙：1套</w:t>
            </w:r>
          </w:p>
          <w:p w14:paraId="0D032EF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（评审项71）1、尺寸：7000*2400*300mm</w:t>
            </w:r>
          </w:p>
          <w:p w14:paraId="0E47A1A2">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（评审项72）2、材质：木质板材相纸UV图案，亮面覆膜。其他材质包含：PVC、亚克力、铝型材、ABS塑料、金属铜片、铝片等。</w:t>
            </w:r>
          </w:p>
          <w:p w14:paraId="40C4406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（评审项73）3、包含8种智能互动内容。</w:t>
            </w:r>
          </w:p>
        </w:tc>
        <w:tc>
          <w:tcPr>
            <w:tcW w:w="3230" w:type="dxa"/>
            <w:tcMar>
              <w:top w:w="60" w:type="dxa"/>
              <w:left w:w="120" w:type="dxa"/>
              <w:bottom w:w="30" w:type="dxa"/>
              <w:right w:w="120" w:type="dxa"/>
            </w:tcMar>
            <w:vAlign w:val="center"/>
          </w:tcPr>
          <w:p w14:paraId="74D181B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（十六）智能互动展示墙：1套</w:t>
            </w:r>
          </w:p>
          <w:p w14:paraId="412BDF36">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（评审项71）1、尺寸：7000*2400*300mm</w:t>
            </w:r>
          </w:p>
          <w:p w14:paraId="77D093C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（评审项72）2、材质：木质板材相纸UV图案，亮面覆膜。其他材质包含：PVC、亚克力、铝型材、ABS塑料、金属铜片、铝片等。</w:t>
            </w:r>
          </w:p>
          <w:p w14:paraId="78F9B519">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（评审项73）3、包含8种智能互动内容。</w:t>
            </w:r>
          </w:p>
        </w:tc>
        <w:tc>
          <w:tcPr>
            <w:tcW w:w="885" w:type="dxa"/>
            <w:tcMar>
              <w:top w:w="60" w:type="dxa"/>
              <w:left w:w="120" w:type="dxa"/>
              <w:bottom w:w="30" w:type="dxa"/>
              <w:right w:w="120" w:type="dxa"/>
            </w:tcMar>
            <w:vAlign w:val="center"/>
          </w:tcPr>
          <w:p w14:paraId="235CC6E5">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3036E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47A0CDE4">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68D05F51">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6E1EDAC6">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（十七）纸鸢材料包：100套</w:t>
            </w:r>
          </w:p>
          <w:p w14:paraId="473FE155">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（评审项74）1、纸鸢尺寸：长80cm宽80cm</w:t>
            </w:r>
          </w:p>
          <w:p w14:paraId="759DADC2">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（评审项75）2、材质：竹子、宣纸</w:t>
            </w:r>
          </w:p>
        </w:tc>
        <w:tc>
          <w:tcPr>
            <w:tcW w:w="3230" w:type="dxa"/>
            <w:tcMar>
              <w:top w:w="60" w:type="dxa"/>
              <w:left w:w="120" w:type="dxa"/>
              <w:bottom w:w="30" w:type="dxa"/>
              <w:right w:w="120" w:type="dxa"/>
            </w:tcMar>
            <w:vAlign w:val="center"/>
          </w:tcPr>
          <w:p w14:paraId="66416E9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（十七）纸鸢材料包：100套</w:t>
            </w:r>
          </w:p>
          <w:p w14:paraId="459F6BE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（评审项74）1、纸鸢尺寸：长80cm宽80cm</w:t>
            </w:r>
          </w:p>
          <w:p w14:paraId="334BEFD0">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（评审项75）2、材质：竹子、宣纸</w:t>
            </w:r>
          </w:p>
        </w:tc>
        <w:tc>
          <w:tcPr>
            <w:tcW w:w="885" w:type="dxa"/>
            <w:tcMar>
              <w:top w:w="60" w:type="dxa"/>
              <w:left w:w="120" w:type="dxa"/>
              <w:bottom w:w="30" w:type="dxa"/>
              <w:right w:w="120" w:type="dxa"/>
            </w:tcMar>
            <w:vAlign w:val="center"/>
          </w:tcPr>
          <w:p w14:paraId="79E9D0E4">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16C20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34DA26BF">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6FF49512">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060A837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（十八）皮影戏道具材料包：100套</w:t>
            </w:r>
          </w:p>
          <w:p w14:paraId="485C8098">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（评审项76）1、皮影操作棒20支</w:t>
            </w:r>
          </w:p>
          <w:p w14:paraId="35BCC3E7">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（评审项77）2、仿皮材料10张</w:t>
            </w:r>
          </w:p>
          <w:p w14:paraId="53B8386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（评审项78）3、素材图案10款</w:t>
            </w:r>
          </w:p>
          <w:p w14:paraId="6FC2741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（评审项79）4、打孔器1把</w:t>
            </w:r>
          </w:p>
          <w:p w14:paraId="773DF43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（评审项80）5、12色丙烯颜料1套</w:t>
            </w:r>
          </w:p>
          <w:p w14:paraId="3A4A2A1E">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（评审项81）6、颜料画笔2支</w:t>
            </w:r>
          </w:p>
          <w:p w14:paraId="20A38273">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（评审项82）7、剪刀1把</w:t>
            </w:r>
          </w:p>
          <w:p w14:paraId="71C3F99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（评审项83）8、小圈扣80个</w:t>
            </w:r>
          </w:p>
          <w:p w14:paraId="6170B70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（评审项84）9、两脚钉100颗</w:t>
            </w:r>
          </w:p>
          <w:p w14:paraId="7985A457">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（评审项85）10、黑色勾线笔1支</w:t>
            </w:r>
          </w:p>
          <w:p w14:paraId="100F0D9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（评审项86）11、调色盘1个</w:t>
            </w:r>
          </w:p>
        </w:tc>
        <w:tc>
          <w:tcPr>
            <w:tcW w:w="3230" w:type="dxa"/>
            <w:tcMar>
              <w:top w:w="60" w:type="dxa"/>
              <w:left w:w="120" w:type="dxa"/>
              <w:bottom w:w="30" w:type="dxa"/>
              <w:right w:w="120" w:type="dxa"/>
            </w:tcMar>
            <w:vAlign w:val="center"/>
          </w:tcPr>
          <w:p w14:paraId="35D87CF8">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（十八）皮影戏道具材料包：100套</w:t>
            </w:r>
          </w:p>
          <w:p w14:paraId="4941E4C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（评审项76）1、皮影操作棒20支</w:t>
            </w:r>
          </w:p>
          <w:p w14:paraId="07D59F5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（评审项77）2、仿皮材料10张</w:t>
            </w:r>
          </w:p>
          <w:p w14:paraId="4E613B8A">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（评审项78）3、素材图案10款</w:t>
            </w:r>
          </w:p>
          <w:p w14:paraId="72AFF05E">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（评审项79）4、打孔器1把</w:t>
            </w:r>
          </w:p>
          <w:p w14:paraId="4C55A539">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（评审项80）5、12色丙烯颜料1套</w:t>
            </w:r>
          </w:p>
          <w:p w14:paraId="422CAC8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（评审项81）6、颜料画笔2支</w:t>
            </w:r>
          </w:p>
          <w:p w14:paraId="135D1E33">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（评审项82）7、剪刀1把</w:t>
            </w:r>
          </w:p>
          <w:p w14:paraId="1E13AD93">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（评审项83）8、小圈扣80个</w:t>
            </w:r>
          </w:p>
          <w:p w14:paraId="24DDD12D">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（评审项84）9、两脚钉100颗</w:t>
            </w:r>
          </w:p>
          <w:p w14:paraId="13D2F7B3">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（评审项85）10、黑色勾线笔1支</w:t>
            </w:r>
          </w:p>
          <w:p w14:paraId="0DDCEBB4">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（评审项86）11、调色盘1个</w:t>
            </w:r>
          </w:p>
        </w:tc>
        <w:tc>
          <w:tcPr>
            <w:tcW w:w="885" w:type="dxa"/>
            <w:tcMar>
              <w:top w:w="60" w:type="dxa"/>
              <w:left w:w="120" w:type="dxa"/>
              <w:bottom w:w="30" w:type="dxa"/>
              <w:right w:w="120" w:type="dxa"/>
            </w:tcMar>
            <w:vAlign w:val="center"/>
          </w:tcPr>
          <w:p w14:paraId="070A75F1">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5CF6E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0A105199">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4227B3F1">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29F3795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（十九）走马灯材料包：100套</w:t>
            </w:r>
          </w:p>
          <w:p w14:paraId="435C7CC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（评审项87）1、灯笼架*1</w:t>
            </w:r>
          </w:p>
          <w:p w14:paraId="1F4D6142">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（评审项88）2、提竿*1</w:t>
            </w:r>
          </w:p>
          <w:p w14:paraId="56ADB1FA">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（评审项89）3、绳子*1</w:t>
            </w:r>
          </w:p>
          <w:p w14:paraId="5DD93577">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（评审项90）4、竹条*1</w:t>
            </w:r>
          </w:p>
          <w:p w14:paraId="0684643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（评审项91）5、流苏*1</w:t>
            </w:r>
          </w:p>
          <w:p w14:paraId="229DF70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（评审项92）6、电子灯*1</w:t>
            </w:r>
          </w:p>
          <w:p w14:paraId="5EEA7D67">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（评审项93）7、灯笼纸*1</w:t>
            </w:r>
          </w:p>
          <w:p w14:paraId="2C1B0A0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（评审项94）8、窗格纸*1</w:t>
            </w:r>
          </w:p>
          <w:p w14:paraId="3C758EA2">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（评审项95）9、白胶*1</w:t>
            </w:r>
          </w:p>
          <w:p w14:paraId="3E42DDCE">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（评审项96）10、酒精胶*1</w:t>
            </w:r>
          </w:p>
        </w:tc>
        <w:tc>
          <w:tcPr>
            <w:tcW w:w="3230" w:type="dxa"/>
            <w:tcMar>
              <w:top w:w="60" w:type="dxa"/>
              <w:left w:w="120" w:type="dxa"/>
              <w:bottom w:w="30" w:type="dxa"/>
              <w:right w:w="120" w:type="dxa"/>
            </w:tcMar>
            <w:vAlign w:val="center"/>
          </w:tcPr>
          <w:p w14:paraId="68B5BAB7">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（十九）走马灯材料包：100套</w:t>
            </w:r>
          </w:p>
          <w:p w14:paraId="7609262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（评审项87）1、灯笼架*1</w:t>
            </w:r>
          </w:p>
          <w:p w14:paraId="6360F7F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（评审项88）2、提竿*1</w:t>
            </w:r>
          </w:p>
          <w:p w14:paraId="67A82A89">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（评审项89）3、绳子*1</w:t>
            </w:r>
          </w:p>
          <w:p w14:paraId="56ED959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（评审项90）4、竹条*1</w:t>
            </w:r>
          </w:p>
          <w:p w14:paraId="7CDF4D58">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（评审项91）5、流苏*1</w:t>
            </w:r>
          </w:p>
          <w:p w14:paraId="28098AE7">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（评审项92）6、电子灯*1</w:t>
            </w:r>
          </w:p>
          <w:p w14:paraId="5BFE515E">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（评审项93）7、灯笼纸*1</w:t>
            </w:r>
          </w:p>
          <w:p w14:paraId="6B21C50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（评审项94）8、窗格纸*1</w:t>
            </w:r>
          </w:p>
          <w:p w14:paraId="065171C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（评审项95）9、白胶*1</w:t>
            </w:r>
          </w:p>
          <w:p w14:paraId="0547285C">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（评审项96）10、酒精胶*1</w:t>
            </w:r>
          </w:p>
        </w:tc>
        <w:tc>
          <w:tcPr>
            <w:tcW w:w="885" w:type="dxa"/>
            <w:tcMar>
              <w:top w:w="60" w:type="dxa"/>
              <w:left w:w="120" w:type="dxa"/>
              <w:bottom w:w="30" w:type="dxa"/>
              <w:right w:w="120" w:type="dxa"/>
            </w:tcMar>
            <w:vAlign w:val="center"/>
          </w:tcPr>
          <w:p w14:paraId="4E6EEC34">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1A9FE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46D1920D">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5B5B22F5">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0C66664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（二十）中国结材料包：100套</w:t>
            </w:r>
          </w:p>
          <w:p w14:paraId="7CABB0BA">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（评审项97）1、5号线20米</w:t>
            </w:r>
          </w:p>
          <w:p w14:paraId="62BEDE9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（评审项98）2、铜钱一枚</w:t>
            </w:r>
          </w:p>
          <w:p w14:paraId="5FF18C17">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（评审项99）3、仿真玉片一枚</w:t>
            </w:r>
          </w:p>
          <w:p w14:paraId="52B3B199">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（评审项100）4、12mm陶瓷珠一颗</w:t>
            </w:r>
          </w:p>
          <w:p w14:paraId="0C290CFA">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（评审项101）5、10厘米方形泡沫板</w:t>
            </w:r>
          </w:p>
          <w:p w14:paraId="4FC20299">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（评审项102）6、定位针一盘(40针)</w:t>
            </w:r>
          </w:p>
          <w:p w14:paraId="659A211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（评审项103）7、流苏3条</w:t>
            </w:r>
          </w:p>
          <w:p w14:paraId="738B3F73">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（评审项104）8、穿绳针1根</w:t>
            </w:r>
          </w:p>
        </w:tc>
        <w:tc>
          <w:tcPr>
            <w:tcW w:w="3230" w:type="dxa"/>
            <w:tcMar>
              <w:top w:w="60" w:type="dxa"/>
              <w:left w:w="120" w:type="dxa"/>
              <w:bottom w:w="30" w:type="dxa"/>
              <w:right w:w="120" w:type="dxa"/>
            </w:tcMar>
            <w:vAlign w:val="center"/>
          </w:tcPr>
          <w:p w14:paraId="25384D6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（二十）中国结材料包：100套</w:t>
            </w:r>
          </w:p>
          <w:p w14:paraId="6B14FFE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（评审项97）1、5号线20米</w:t>
            </w:r>
          </w:p>
          <w:p w14:paraId="68FC58A8">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（评审项98）2、铜钱一枚</w:t>
            </w:r>
          </w:p>
          <w:p w14:paraId="56ED6B29">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（评审项99）3、仿真玉片一枚</w:t>
            </w:r>
          </w:p>
          <w:p w14:paraId="5A4637E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（评审项100）4、12mm陶瓷珠一颗</w:t>
            </w:r>
          </w:p>
          <w:p w14:paraId="2A2E465D">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（评审项101）5、10厘米方形泡沫板</w:t>
            </w:r>
          </w:p>
          <w:p w14:paraId="44647427">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（评审项102）6、定位针一盘(40针)</w:t>
            </w:r>
          </w:p>
          <w:p w14:paraId="1F5493A6">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（评审项103）7、流苏3条</w:t>
            </w:r>
          </w:p>
          <w:p w14:paraId="4A131100">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（评审项104）8、穿绳针1根</w:t>
            </w:r>
          </w:p>
        </w:tc>
        <w:tc>
          <w:tcPr>
            <w:tcW w:w="885" w:type="dxa"/>
            <w:tcMar>
              <w:top w:w="60" w:type="dxa"/>
              <w:left w:w="120" w:type="dxa"/>
              <w:bottom w:w="30" w:type="dxa"/>
              <w:right w:w="120" w:type="dxa"/>
            </w:tcMar>
            <w:vAlign w:val="center"/>
          </w:tcPr>
          <w:p w14:paraId="349652F3">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59216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2C1CAA62">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6582C5EC">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5CE325B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（二十一）纸火箭材料包：100套</w:t>
            </w:r>
          </w:p>
          <w:p w14:paraId="7BC209E7">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（评审项105）1、火箭模型1个</w:t>
            </w:r>
          </w:p>
          <w:p w14:paraId="768316D5">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（评审项106）2、灯带1条</w:t>
            </w:r>
          </w:p>
          <w:p w14:paraId="2046D5D2">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（评审项107）3、剪刀1把</w:t>
            </w:r>
          </w:p>
          <w:p w14:paraId="14C882E6">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（评审项108）4、胶水1个</w:t>
            </w:r>
          </w:p>
        </w:tc>
        <w:tc>
          <w:tcPr>
            <w:tcW w:w="3230" w:type="dxa"/>
            <w:tcMar>
              <w:top w:w="60" w:type="dxa"/>
              <w:left w:w="120" w:type="dxa"/>
              <w:bottom w:w="30" w:type="dxa"/>
              <w:right w:w="120" w:type="dxa"/>
            </w:tcMar>
            <w:vAlign w:val="center"/>
          </w:tcPr>
          <w:p w14:paraId="0D74A769">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（二十一）纸火箭材料包：100套</w:t>
            </w:r>
          </w:p>
          <w:p w14:paraId="1071A14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（评审项105）1、火箭模型1个</w:t>
            </w:r>
          </w:p>
          <w:p w14:paraId="193F826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（评审项106）2、灯带1条</w:t>
            </w:r>
          </w:p>
          <w:p w14:paraId="4FA88EF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（评审项107）3、剪刀1把</w:t>
            </w:r>
          </w:p>
          <w:p w14:paraId="71FF1B1E">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（评审项108）4、胶水1个</w:t>
            </w:r>
          </w:p>
        </w:tc>
        <w:tc>
          <w:tcPr>
            <w:tcW w:w="885" w:type="dxa"/>
            <w:tcMar>
              <w:top w:w="60" w:type="dxa"/>
              <w:left w:w="120" w:type="dxa"/>
              <w:bottom w:w="30" w:type="dxa"/>
              <w:right w:w="120" w:type="dxa"/>
            </w:tcMar>
            <w:vAlign w:val="center"/>
          </w:tcPr>
          <w:p w14:paraId="655E6EBE">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700B6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44971AE4">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77F67AB7">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011D6E43">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（二十二）纸杯风铃材料包：100套</w:t>
            </w:r>
          </w:p>
          <w:p w14:paraId="7543C909">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（评审项109）1、杯子X100</w:t>
            </w:r>
          </w:p>
          <w:p w14:paraId="5BA9F9B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（评审项110）2、铃铛X100</w:t>
            </w:r>
          </w:p>
          <w:p w14:paraId="066DD6E5">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（评审项111）3、鱼线X20</w:t>
            </w:r>
          </w:p>
          <w:p w14:paraId="13A9387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（评审项112）4、彩色书签X100</w:t>
            </w:r>
          </w:p>
          <w:p w14:paraId="7FCA747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（评审项113）5、彩色串珠X600</w:t>
            </w:r>
          </w:p>
          <w:p w14:paraId="7CEF155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（评审项114）6、棉绳X20(5m/捆)</w:t>
            </w:r>
          </w:p>
        </w:tc>
        <w:tc>
          <w:tcPr>
            <w:tcW w:w="3230" w:type="dxa"/>
            <w:tcMar>
              <w:top w:w="60" w:type="dxa"/>
              <w:left w:w="120" w:type="dxa"/>
              <w:bottom w:w="30" w:type="dxa"/>
              <w:right w:w="120" w:type="dxa"/>
            </w:tcMar>
            <w:vAlign w:val="center"/>
          </w:tcPr>
          <w:p w14:paraId="4B9FE977">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（二十二）纸杯风铃材料包：100套</w:t>
            </w:r>
          </w:p>
          <w:p w14:paraId="44764E3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（评审项109）1、杯子X100</w:t>
            </w:r>
          </w:p>
          <w:p w14:paraId="1014C8F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（评审项110）2、铃铛X100</w:t>
            </w:r>
          </w:p>
          <w:p w14:paraId="1BF15249">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（评审项111）3、鱼线X20</w:t>
            </w:r>
          </w:p>
          <w:p w14:paraId="256B93D5">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（评审项112）4、彩色书签X100</w:t>
            </w:r>
          </w:p>
          <w:p w14:paraId="572E11AA">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（评审项113）5、彩色串珠X600</w:t>
            </w:r>
          </w:p>
          <w:p w14:paraId="3754F0F9">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（评审项114）6、棉绳X20(5m/捆)</w:t>
            </w:r>
          </w:p>
        </w:tc>
        <w:tc>
          <w:tcPr>
            <w:tcW w:w="885" w:type="dxa"/>
            <w:tcMar>
              <w:top w:w="60" w:type="dxa"/>
              <w:left w:w="120" w:type="dxa"/>
              <w:bottom w:w="30" w:type="dxa"/>
              <w:right w:w="120" w:type="dxa"/>
            </w:tcMar>
            <w:vAlign w:val="center"/>
          </w:tcPr>
          <w:p w14:paraId="4F83DCA4">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54457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751EEDB8">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57B8CDCF">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3D175057">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（二十三）纸风车材料包：100套</w:t>
            </w:r>
          </w:p>
          <w:p w14:paraId="32E2573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（评审项115）1、25cm4叶纸1张</w:t>
            </w:r>
          </w:p>
          <w:p w14:paraId="03B15988">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（评审项116）2、30cm空心杆1个</w:t>
            </w:r>
          </w:p>
        </w:tc>
        <w:tc>
          <w:tcPr>
            <w:tcW w:w="3230" w:type="dxa"/>
            <w:tcMar>
              <w:top w:w="60" w:type="dxa"/>
              <w:left w:w="120" w:type="dxa"/>
              <w:bottom w:w="30" w:type="dxa"/>
              <w:right w:w="120" w:type="dxa"/>
            </w:tcMar>
            <w:vAlign w:val="center"/>
          </w:tcPr>
          <w:p w14:paraId="76DC9FC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（二十三）纸风车材料包：100套</w:t>
            </w:r>
          </w:p>
          <w:p w14:paraId="33506A9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（评审项115）1、25cm4叶纸1张</w:t>
            </w:r>
          </w:p>
          <w:p w14:paraId="401BDF13">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（评审项116）2、30cm空心杆1个</w:t>
            </w:r>
          </w:p>
        </w:tc>
        <w:tc>
          <w:tcPr>
            <w:tcW w:w="885" w:type="dxa"/>
            <w:tcMar>
              <w:top w:w="60" w:type="dxa"/>
              <w:left w:w="120" w:type="dxa"/>
              <w:bottom w:w="30" w:type="dxa"/>
              <w:right w:w="120" w:type="dxa"/>
            </w:tcMar>
            <w:vAlign w:val="center"/>
          </w:tcPr>
          <w:p w14:paraId="09DC7DE1">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015CD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36AD0652">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76EE8C27">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6DD72EB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（二十四）不倒翁材料包：100套</w:t>
            </w:r>
          </w:p>
          <w:p w14:paraId="69388E8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（评审项117）1、尺寸：塑料4cm高6cm</w:t>
            </w:r>
          </w:p>
          <w:p w14:paraId="00FB0383">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（评审项118）2、材质：熟料</w:t>
            </w:r>
          </w:p>
        </w:tc>
        <w:tc>
          <w:tcPr>
            <w:tcW w:w="3230" w:type="dxa"/>
            <w:tcMar>
              <w:top w:w="60" w:type="dxa"/>
              <w:left w:w="120" w:type="dxa"/>
              <w:bottom w:w="30" w:type="dxa"/>
              <w:right w:w="120" w:type="dxa"/>
            </w:tcMar>
            <w:vAlign w:val="center"/>
          </w:tcPr>
          <w:p w14:paraId="3E4BD6F2">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（二十四）不倒翁材料包：100套</w:t>
            </w:r>
          </w:p>
          <w:p w14:paraId="08C55FB9">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（评审项117）1、尺寸：塑料4cm高6cm</w:t>
            </w:r>
          </w:p>
          <w:p w14:paraId="7035EAA0">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（评审项118）2、材质：熟料</w:t>
            </w:r>
          </w:p>
        </w:tc>
        <w:tc>
          <w:tcPr>
            <w:tcW w:w="885" w:type="dxa"/>
            <w:tcMar>
              <w:top w:w="60" w:type="dxa"/>
              <w:left w:w="120" w:type="dxa"/>
              <w:bottom w:w="30" w:type="dxa"/>
              <w:right w:w="120" w:type="dxa"/>
            </w:tcMar>
            <w:vAlign w:val="center"/>
          </w:tcPr>
          <w:p w14:paraId="376BB200">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57C1A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7E082177">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019D8DCC">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790B457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（二十五）木质陀螺材料包：100套</w:t>
            </w:r>
          </w:p>
          <w:p w14:paraId="4DCF7CE7">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（评审项119）1、成品尺寸：6.4cm*7cm</w:t>
            </w:r>
          </w:p>
          <w:p w14:paraId="72CEB9E7">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（评审项120）2、材质：木质</w:t>
            </w:r>
          </w:p>
        </w:tc>
        <w:tc>
          <w:tcPr>
            <w:tcW w:w="3230" w:type="dxa"/>
            <w:tcMar>
              <w:top w:w="60" w:type="dxa"/>
              <w:left w:w="120" w:type="dxa"/>
              <w:bottom w:w="30" w:type="dxa"/>
              <w:right w:w="120" w:type="dxa"/>
            </w:tcMar>
            <w:vAlign w:val="center"/>
          </w:tcPr>
          <w:p w14:paraId="2A9E03B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（二十五）木质陀螺材料包：100套</w:t>
            </w:r>
          </w:p>
          <w:p w14:paraId="06802B4A">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（评审项119）1、成品尺寸：6.4cm*7cm</w:t>
            </w:r>
          </w:p>
          <w:p w14:paraId="46CC0D28">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（评审项120）2、材质：木质</w:t>
            </w:r>
          </w:p>
        </w:tc>
        <w:tc>
          <w:tcPr>
            <w:tcW w:w="885" w:type="dxa"/>
            <w:tcMar>
              <w:top w:w="60" w:type="dxa"/>
              <w:left w:w="120" w:type="dxa"/>
              <w:bottom w:w="30" w:type="dxa"/>
              <w:right w:w="120" w:type="dxa"/>
            </w:tcMar>
            <w:vAlign w:val="center"/>
          </w:tcPr>
          <w:p w14:paraId="2369C49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5559F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2482AC0F">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2C2D3F4D">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174850F2">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（二十六）科学小实验探究套装：50套</w:t>
            </w:r>
          </w:p>
          <w:p w14:paraId="02162DC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（评审项121）1、包装尺寸：长42cm宽30cm高10.5cm</w:t>
            </w:r>
          </w:p>
          <w:p w14:paraId="322B5548">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（评审项122）2、材质：ABS</w:t>
            </w:r>
          </w:p>
          <w:p w14:paraId="6C36EDB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（评审项123）3、可搭建造型数：44款</w:t>
            </w:r>
          </w:p>
        </w:tc>
        <w:tc>
          <w:tcPr>
            <w:tcW w:w="3230" w:type="dxa"/>
            <w:tcMar>
              <w:top w:w="60" w:type="dxa"/>
              <w:left w:w="120" w:type="dxa"/>
              <w:bottom w:w="30" w:type="dxa"/>
              <w:right w:w="120" w:type="dxa"/>
            </w:tcMar>
            <w:vAlign w:val="center"/>
          </w:tcPr>
          <w:p w14:paraId="16E6A5C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（二十六）科学小实验探究套装：50套</w:t>
            </w:r>
          </w:p>
          <w:p w14:paraId="3340577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（评审项121）1、包装尺寸：长42cm宽30cm高10.5cm</w:t>
            </w:r>
          </w:p>
          <w:p w14:paraId="39B480CA">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（评审项122）2、材质：ABS</w:t>
            </w:r>
          </w:p>
          <w:p w14:paraId="0DAC26A7">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（评审项123）3、可搭建造型数：44款</w:t>
            </w:r>
          </w:p>
        </w:tc>
        <w:tc>
          <w:tcPr>
            <w:tcW w:w="885" w:type="dxa"/>
            <w:tcMar>
              <w:top w:w="60" w:type="dxa"/>
              <w:left w:w="120" w:type="dxa"/>
              <w:bottom w:w="30" w:type="dxa"/>
              <w:right w:w="120" w:type="dxa"/>
            </w:tcMar>
            <w:vAlign w:val="center"/>
          </w:tcPr>
          <w:p w14:paraId="5502B3C7">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1C725A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819" w:type="dxa"/>
            <w:vMerge w:val="continue"/>
            <w:tcMar>
              <w:top w:w="60" w:type="dxa"/>
              <w:left w:w="120" w:type="dxa"/>
              <w:bottom w:w="30" w:type="dxa"/>
              <w:right w:w="120" w:type="dxa"/>
            </w:tcMar>
            <w:vAlign w:val="center"/>
          </w:tcPr>
          <w:p w14:paraId="3E0C5B21">
            <w:pPr>
              <w:jc w:val="center"/>
              <w:rPr>
                <w:rFonts w:hint="eastAsia" w:ascii="仿宋_GB2312" w:hAnsi="仿宋_GB2312" w:eastAsia="仿宋_GB2312" w:cs="仿宋_GB2312"/>
                <w:sz w:val="20"/>
                <w:szCs w:val="20"/>
              </w:rPr>
            </w:pPr>
          </w:p>
        </w:tc>
        <w:tc>
          <w:tcPr>
            <w:tcW w:w="860" w:type="dxa"/>
            <w:vMerge w:val="continue"/>
            <w:tcMar>
              <w:top w:w="60" w:type="dxa"/>
              <w:left w:w="120" w:type="dxa"/>
              <w:bottom w:w="30" w:type="dxa"/>
              <w:right w:w="120" w:type="dxa"/>
            </w:tcMar>
            <w:vAlign w:val="center"/>
          </w:tcPr>
          <w:p w14:paraId="52495C1E">
            <w:pPr>
              <w:spacing w:before="120" w:after="120" w:line="288" w:lineRule="auto"/>
              <w:ind w:left="0"/>
              <w:jc w:val="center"/>
              <w:rPr>
                <w:rFonts w:hint="eastAsia" w:ascii="仿宋_GB2312" w:hAnsi="仿宋_GB2312" w:eastAsia="仿宋_GB2312" w:cs="仿宋_GB2312"/>
                <w:sz w:val="20"/>
                <w:szCs w:val="20"/>
              </w:rPr>
            </w:pPr>
          </w:p>
        </w:tc>
        <w:tc>
          <w:tcPr>
            <w:tcW w:w="3271" w:type="dxa"/>
            <w:tcMar>
              <w:top w:w="60" w:type="dxa"/>
              <w:left w:w="120" w:type="dxa"/>
              <w:bottom w:w="30" w:type="dxa"/>
              <w:right w:w="120" w:type="dxa"/>
            </w:tcMar>
            <w:vAlign w:val="center"/>
          </w:tcPr>
          <w:p w14:paraId="6F7CF005">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（二十七）教师讲台：1张</w:t>
            </w:r>
          </w:p>
          <w:p w14:paraId="0EF21AF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（评审项124）1、尺寸：2400（长）×700（宽）×850mm（高）。</w:t>
            </w:r>
          </w:p>
          <w:p w14:paraId="768A54C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（评审项125）2、结构：整体结构设计合理，预留电脑主机、键盘托、实物展台、教师电源位置。</w:t>
            </w:r>
          </w:p>
          <w:p w14:paraId="1EDEB3B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（评审项126）3、台面：38mm厚橡胶木实木板，木质颜色自然，四周边缘机械精打磨没有棱角，台面需刷三层环保透明油漆。</w:t>
            </w:r>
          </w:p>
          <w:p w14:paraId="1507E4E3">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（评审项127）4、桌体：采用1.0mm优质镀锌钢板，CO2保护焊焊接，打磨处理，表面经耐酸碱粉末经过喷塑后高温处理而成。</w:t>
            </w:r>
          </w:p>
          <w:p w14:paraId="5A95B31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（评审项128）5、滑轨：三节重型滚珠滑轨，承重性强，滑动性能良好，无噪音。</w:t>
            </w:r>
          </w:p>
          <w:p w14:paraId="1DAB27D6">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（评审项129）6、铰链：采用自动型110°大伸展角度，锌合金铰链。</w:t>
            </w:r>
          </w:p>
          <w:p w14:paraId="4CFC6905">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（评审项130）7、拉手：采用桥型金属拉手。</w:t>
            </w:r>
          </w:p>
          <w:p w14:paraId="456116A6">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（评审项131）8、脚垫：采用柜体内置可调ABS脚垫，保证桌面平整，防水防潮。</w:t>
            </w:r>
          </w:p>
        </w:tc>
        <w:tc>
          <w:tcPr>
            <w:tcW w:w="3230" w:type="dxa"/>
            <w:tcMar>
              <w:top w:w="60" w:type="dxa"/>
              <w:left w:w="120" w:type="dxa"/>
              <w:bottom w:w="30" w:type="dxa"/>
              <w:right w:w="120" w:type="dxa"/>
            </w:tcMar>
            <w:vAlign w:val="center"/>
          </w:tcPr>
          <w:p w14:paraId="2BBE16F5">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（二十七）教师讲台：1张</w:t>
            </w:r>
          </w:p>
          <w:p w14:paraId="60B51273">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（评审项124）1、尺寸：2400（长）×700（宽）×850mm（高）。</w:t>
            </w:r>
          </w:p>
          <w:p w14:paraId="19F7909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（评审项125）2、结构：整体结构设计合理，预留电脑主机、键盘托、实物展台、教师电源位置。</w:t>
            </w:r>
          </w:p>
          <w:p w14:paraId="50E35F4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（评审项126）3、台面：38mm厚橡胶木实木板，木质颜色自然，四周边缘机械精打磨没有棱角，台面需刷三层环保透明油漆。</w:t>
            </w:r>
          </w:p>
          <w:p w14:paraId="7A50DA4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（评审项127）4、桌体：采用1.0mm优质镀锌钢板，CO2保护焊焊接，打磨处理，表面经耐酸碱粉末经过喷塑后高温处理而成。</w:t>
            </w:r>
          </w:p>
          <w:p w14:paraId="7599512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（评审项128）5、滑轨：三节重型滚珠滑轨，承重性强，滑动性能良好，无噪音。</w:t>
            </w:r>
          </w:p>
          <w:p w14:paraId="1264122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（评审项129）6、铰链：采用自动型110°大伸展角度，锌合金铰链。</w:t>
            </w:r>
          </w:p>
          <w:p w14:paraId="183C9646">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（评审项130）7、拉手：采用桥型金属拉手。</w:t>
            </w:r>
          </w:p>
          <w:p w14:paraId="38FEBE7F">
            <w:pPr>
              <w:spacing w:before="120" w:after="120" w:line="288" w:lineRule="auto"/>
              <w:ind w:left="0" w:leftChars="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（评审项131）8、脚垫：采用柜体内置可调ABS脚垫，保证桌面平整，防水防潮。</w:t>
            </w:r>
          </w:p>
        </w:tc>
        <w:tc>
          <w:tcPr>
            <w:tcW w:w="885" w:type="dxa"/>
            <w:tcMar>
              <w:top w:w="60" w:type="dxa"/>
              <w:left w:w="120" w:type="dxa"/>
              <w:bottom w:w="30" w:type="dxa"/>
              <w:right w:w="120" w:type="dxa"/>
            </w:tcMar>
            <w:vAlign w:val="center"/>
          </w:tcPr>
          <w:p w14:paraId="4A75492B">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bl>
    <w:p w14:paraId="38AA6FBE">
      <w:pPr>
        <w:pStyle w:val="11"/>
        <w:jc w:val="left"/>
        <w:rPr>
          <w:rFonts w:ascii="仿宋_GB2312" w:hAnsi="仿宋_GB2312" w:eastAsia="仿宋_GB2312" w:cs="仿宋_GB2312"/>
        </w:rPr>
      </w:pPr>
    </w:p>
    <w:p w14:paraId="41D7E0DB">
      <w:pPr>
        <w:pStyle w:val="11"/>
        <w:ind w:firstLine="480"/>
        <w:jc w:val="left"/>
      </w:pPr>
      <w:r>
        <w:rPr>
          <w:rFonts w:ascii="仿宋_GB2312" w:hAnsi="仿宋_GB2312" w:eastAsia="仿宋_GB2312" w:cs="仿宋_GB2312"/>
        </w:rPr>
        <w:t>※注意：</w:t>
      </w:r>
    </w:p>
    <w:p w14:paraId="570D9153">
      <w:pPr>
        <w:pStyle w:val="11"/>
        <w:ind w:firstLine="480"/>
        <w:jc w:val="left"/>
      </w:pPr>
      <w:r>
        <w:rPr>
          <w:rFonts w:ascii="仿宋_GB2312" w:hAnsi="仿宋_GB2312" w:eastAsia="仿宋_GB2312" w:cs="仿宋_GB2312"/>
        </w:rPr>
        <w:t>1、本表应按照下列规定填写：</w:t>
      </w:r>
    </w:p>
    <w:p w14:paraId="58944D3B">
      <w:pPr>
        <w:pStyle w:val="11"/>
        <w:ind w:firstLine="480"/>
        <w:jc w:val="left"/>
      </w:pPr>
      <w:r>
        <w:rPr>
          <w:rFonts w:ascii="仿宋_GB2312" w:hAnsi="仿宋_GB2312" w:eastAsia="仿宋_GB2312" w:cs="仿宋_GB2312"/>
        </w:rPr>
        <w:t>1.1“技术和服务要求”项下填写的内容应与招标文件第五章“技术和服务要求”的内容保持一致。</w:t>
      </w:r>
    </w:p>
    <w:p w14:paraId="68500D9A">
      <w:pPr>
        <w:pStyle w:val="11"/>
        <w:ind w:firstLine="480"/>
        <w:jc w:val="left"/>
      </w:pPr>
      <w:r>
        <w:rPr>
          <w:rFonts w:ascii="仿宋_GB2312" w:hAnsi="仿宋_GB2312" w:eastAsia="仿宋_GB2312" w:cs="仿宋_GB2312"/>
        </w:rPr>
        <w:t>1.2“投标响应”项下应填写具体的响应内容并与“技术和服务要求”项下填写的内容逐项对应；对招标文件“技术和服务要求”项下涉及“≥或＞”、“≤或＜”及某个区间值范围内的内容，投标响应应填写具体的数值，但技术指标只能以范围作响应的除外。</w:t>
      </w:r>
    </w:p>
    <w:p w14:paraId="37CEDF1A">
      <w:pPr>
        <w:pStyle w:val="11"/>
        <w:ind w:firstLine="480"/>
        <w:jc w:val="left"/>
      </w:pPr>
      <w:r>
        <w:rPr>
          <w:rFonts w:ascii="仿宋_GB2312" w:hAnsi="仿宋_GB2312" w:eastAsia="仿宋_GB2312" w:cs="仿宋_GB2312"/>
        </w:rPr>
        <w:t>1.3“是否偏离及说明”项下应按下列规定填写：优于的，填写“正偏离”；符合的，填写“无偏离”；低于的，填写“负偏离”。</w:t>
      </w:r>
    </w:p>
    <w:p w14:paraId="0A0A799D">
      <w:pPr>
        <w:pStyle w:val="11"/>
        <w:ind w:firstLine="480"/>
        <w:jc w:val="left"/>
      </w:pPr>
      <w:r>
        <w:rPr>
          <w:rFonts w:ascii="仿宋_GB2312" w:hAnsi="仿宋_GB2312" w:eastAsia="仿宋_GB2312" w:cs="仿宋_GB2312"/>
        </w:rPr>
        <w:t>2、投标人需要说明的内容若需特殊表达，应先在本表中进行相应说明，再另页应答，但应做好标注说明，方便评委查阅评审。未标注说明可能导致的不利的评审后果由投标人自行承担。</w:t>
      </w:r>
    </w:p>
    <w:p w14:paraId="0BACCF94">
      <w:pPr>
        <w:pStyle w:val="11"/>
        <w:ind w:firstLine="480"/>
        <w:jc w:val="right"/>
      </w:pPr>
      <w:r>
        <w:rPr>
          <w:rFonts w:ascii="仿宋_GB2312" w:hAnsi="仿宋_GB2312" w:eastAsia="仿宋_GB2312" w:cs="仿宋_GB2312"/>
        </w:rPr>
        <w:t>投标人：</w:t>
      </w:r>
      <w:r>
        <w:rPr>
          <w:rFonts w:hint="eastAsia" w:ascii="仿宋_GB2312" w:hAnsi="仿宋_GB2312" w:eastAsia="仿宋_GB2312" w:cs="仿宋_GB2312"/>
          <w:kern w:val="0"/>
          <w:sz w:val="20"/>
          <w:szCs w:val="20"/>
          <w:lang w:val="en-US" w:eastAsia="zh-CN"/>
        </w:rPr>
        <w:t>北京科启星科技有限公司</w:t>
      </w:r>
    </w:p>
    <w:p w14:paraId="7D77D3AC">
      <w:pPr>
        <w:pStyle w:val="11"/>
        <w:ind w:firstLine="480"/>
        <w:jc w:val="right"/>
      </w:pPr>
      <w:r>
        <w:rPr>
          <w:rFonts w:ascii="仿宋_GB2312" w:hAnsi="仿宋_GB2312" w:eastAsia="仿宋_GB2312" w:cs="仿宋_GB2312"/>
        </w:rPr>
        <w:t>日期：</w:t>
      </w:r>
      <w:r>
        <w:rPr>
          <w:rFonts w:ascii="仿宋_GB2312" w:hAnsi="仿宋_GB2312" w:eastAsia="仿宋_GB2312" w:cs="仿宋_GB2312"/>
          <w:u w:val="single"/>
        </w:rPr>
        <w:t>　</w:t>
      </w:r>
      <w:r>
        <w:rPr>
          <w:rFonts w:hint="eastAsia" w:ascii="仿宋_GB2312" w:hAnsi="仿宋_GB2312" w:eastAsia="仿宋_GB2312" w:cs="仿宋_GB2312"/>
          <w:u w:val="single"/>
          <w:lang w:val="en-US" w:eastAsia="zh-CN"/>
        </w:rPr>
        <w:t>2026</w:t>
      </w:r>
      <w:r>
        <w:rPr>
          <w:rFonts w:ascii="仿宋_GB2312" w:hAnsi="仿宋_GB2312" w:eastAsia="仿宋_GB2312" w:cs="仿宋_GB2312"/>
          <w:u w:val="single"/>
        </w:rPr>
        <w:t>　年　</w:t>
      </w:r>
      <w:r>
        <w:rPr>
          <w:rFonts w:hint="eastAsia" w:ascii="仿宋_GB2312" w:hAnsi="仿宋_GB2312" w:eastAsia="仿宋_GB2312" w:cs="仿宋_GB2312"/>
          <w:u w:val="single"/>
          <w:lang w:val="en-US" w:eastAsia="zh-CN"/>
        </w:rPr>
        <w:t>2</w:t>
      </w:r>
      <w:r>
        <w:rPr>
          <w:rFonts w:ascii="仿宋_GB2312" w:hAnsi="仿宋_GB2312" w:eastAsia="仿宋_GB2312" w:cs="仿宋_GB2312"/>
          <w:u w:val="single"/>
        </w:rPr>
        <w:t>　月　</w:t>
      </w:r>
      <w:r>
        <w:rPr>
          <w:rFonts w:hint="eastAsia" w:ascii="仿宋_GB2312" w:hAnsi="仿宋_GB2312" w:eastAsia="仿宋_GB2312" w:cs="仿宋_GB2312"/>
          <w:u w:val="single"/>
          <w:lang w:val="en-US" w:eastAsia="zh-CN"/>
        </w:rPr>
        <w:t>15</w:t>
      </w:r>
      <w:r>
        <w:rPr>
          <w:rFonts w:ascii="仿宋_GB2312" w:hAnsi="仿宋_GB2312" w:eastAsia="仿宋_GB2312" w:cs="仿宋_GB2312"/>
          <w:u w:val="single"/>
        </w:rPr>
        <w:t>　日</w:t>
      </w:r>
    </w:p>
    <w:p w14:paraId="10AA594E">
      <w:pPr>
        <w:pStyle w:val="11"/>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31827EF1">
      <w:pPr>
        <w:pStyle w:val="11"/>
        <w:jc w:val="left"/>
        <w:outlineLvl w:val="2"/>
      </w:pPr>
      <w:r>
        <w:rPr>
          <w:rFonts w:ascii="仿宋_GB2312" w:hAnsi="仿宋_GB2312" w:eastAsia="仿宋_GB2312" w:cs="仿宋_GB2312"/>
          <w:b/>
          <w:sz w:val="28"/>
        </w:rPr>
        <w:t>三、商务条件响应表</w:t>
      </w:r>
    </w:p>
    <w:p w14:paraId="77811BC4">
      <w:pPr>
        <w:pStyle w:val="11"/>
        <w:jc w:val="both"/>
      </w:pPr>
      <w:r>
        <w:rPr>
          <w:rFonts w:ascii="仿宋_GB2312" w:hAnsi="仿宋_GB2312" w:eastAsia="仿宋_GB2312" w:cs="仿宋_GB2312"/>
        </w:rPr>
        <w:t>项目编号：[350501]HXCG[GK]2025004-2</w:t>
      </w:r>
    </w:p>
    <w:tbl>
      <w:tblPr>
        <w:tblStyle w:val="9"/>
        <w:tblW w:w="89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7"/>
        <w:gridCol w:w="456"/>
        <w:gridCol w:w="2937"/>
        <w:gridCol w:w="4153"/>
        <w:gridCol w:w="927"/>
      </w:tblGrid>
      <w:tr w14:paraId="136C1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457" w:type="dxa"/>
            <w:shd w:val="clear" w:color="auto" w:fill="auto"/>
            <w:vAlign w:val="center"/>
          </w:tcPr>
          <w:p w14:paraId="1C29B7E7">
            <w:pPr>
              <w:keepNext w:val="0"/>
              <w:keepLines w:val="0"/>
              <w:widowControl/>
              <w:suppressLineNumbers w:val="0"/>
              <w:snapToGrid w:val="0"/>
              <w:ind w:left="0" w:leftChars="0" w:right="0" w:rightChars="0" w:firstLine="0" w:firstLineChars="0"/>
              <w:jc w:val="center"/>
              <w:textAlignment w:val="top"/>
              <w:rPr>
                <w:rFonts w:hint="eastAsia" w:ascii="仿宋_GB2312" w:hAnsi="仿宋_GB2312" w:eastAsia="仿宋_GB2312" w:cs="仿宋_GB2312"/>
                <w:b/>
                <w:bCs w:val="0"/>
                <w:i w:val="0"/>
                <w:iCs w:val="0"/>
                <w:color w:val="000000"/>
                <w:sz w:val="20"/>
                <w:szCs w:val="20"/>
                <w:u w:val="none"/>
              </w:rPr>
            </w:pPr>
            <w:r>
              <w:rPr>
                <w:rFonts w:hint="eastAsia" w:ascii="仿宋_GB2312" w:hAnsi="仿宋_GB2312" w:eastAsia="仿宋_GB2312" w:cs="仿宋_GB2312"/>
                <w:b/>
                <w:bCs w:val="0"/>
                <w:i w:val="0"/>
                <w:iCs w:val="0"/>
                <w:color w:val="000000"/>
                <w:kern w:val="0"/>
                <w:sz w:val="20"/>
                <w:szCs w:val="20"/>
                <w:u w:val="none"/>
                <w:lang w:val="en-US" w:eastAsia="zh-CN" w:bidi="ar"/>
              </w:rPr>
              <w:t>采购包</w:t>
            </w:r>
          </w:p>
        </w:tc>
        <w:tc>
          <w:tcPr>
            <w:tcW w:w="456" w:type="dxa"/>
            <w:shd w:val="clear" w:color="auto" w:fill="auto"/>
            <w:vAlign w:val="center"/>
          </w:tcPr>
          <w:p w14:paraId="1A043CD2">
            <w:pPr>
              <w:keepNext w:val="0"/>
              <w:keepLines w:val="0"/>
              <w:widowControl/>
              <w:suppressLineNumbers w:val="0"/>
              <w:snapToGrid w:val="0"/>
              <w:ind w:left="0" w:leftChars="0" w:right="0" w:rightChars="0" w:firstLine="0" w:firstLineChars="0"/>
              <w:jc w:val="center"/>
              <w:textAlignment w:val="top"/>
              <w:rPr>
                <w:rFonts w:hint="eastAsia" w:ascii="仿宋_GB2312" w:hAnsi="仿宋_GB2312" w:eastAsia="仿宋_GB2312" w:cs="仿宋_GB2312"/>
                <w:b/>
                <w:bCs w:val="0"/>
                <w:i w:val="0"/>
                <w:iCs w:val="0"/>
                <w:color w:val="000000"/>
                <w:sz w:val="20"/>
                <w:szCs w:val="20"/>
                <w:u w:val="none"/>
              </w:rPr>
            </w:pPr>
            <w:r>
              <w:rPr>
                <w:rFonts w:hint="eastAsia" w:ascii="仿宋_GB2312" w:hAnsi="仿宋_GB2312" w:eastAsia="仿宋_GB2312" w:cs="仿宋_GB2312"/>
                <w:b/>
                <w:bCs w:val="0"/>
                <w:i w:val="0"/>
                <w:iCs w:val="0"/>
                <w:color w:val="000000"/>
                <w:kern w:val="0"/>
                <w:sz w:val="20"/>
                <w:szCs w:val="20"/>
                <w:u w:val="none"/>
                <w:lang w:val="en-US" w:eastAsia="zh-CN" w:bidi="ar"/>
              </w:rPr>
              <w:t>品目号</w:t>
            </w:r>
          </w:p>
        </w:tc>
        <w:tc>
          <w:tcPr>
            <w:tcW w:w="2937" w:type="dxa"/>
            <w:shd w:val="clear" w:color="auto" w:fill="auto"/>
            <w:vAlign w:val="center"/>
          </w:tcPr>
          <w:p w14:paraId="04F6F4A1">
            <w:pPr>
              <w:keepNext w:val="0"/>
              <w:keepLines w:val="0"/>
              <w:widowControl/>
              <w:suppressLineNumbers w:val="0"/>
              <w:snapToGrid w:val="0"/>
              <w:ind w:left="0" w:leftChars="0" w:right="0" w:rightChars="0" w:firstLine="0" w:firstLineChars="0"/>
              <w:jc w:val="center"/>
              <w:textAlignment w:val="top"/>
              <w:rPr>
                <w:rFonts w:hint="eastAsia" w:ascii="仿宋_GB2312" w:hAnsi="仿宋_GB2312" w:eastAsia="仿宋_GB2312" w:cs="仿宋_GB2312"/>
                <w:b/>
                <w:i w:val="0"/>
                <w:iCs w:val="0"/>
                <w:color w:val="000000"/>
                <w:sz w:val="20"/>
                <w:szCs w:val="20"/>
                <w:u w:val="none"/>
              </w:rPr>
            </w:pPr>
            <w:r>
              <w:rPr>
                <w:rFonts w:hint="eastAsia" w:ascii="仿宋_GB2312" w:hAnsi="仿宋_GB2312" w:eastAsia="仿宋_GB2312" w:cs="仿宋_GB2312"/>
                <w:b/>
                <w:i w:val="0"/>
                <w:iCs w:val="0"/>
                <w:color w:val="000000"/>
                <w:kern w:val="0"/>
                <w:sz w:val="20"/>
                <w:szCs w:val="20"/>
                <w:u w:val="none"/>
                <w:lang w:val="en-US" w:eastAsia="zh-CN" w:bidi="ar"/>
              </w:rPr>
              <w:t>商务条件</w:t>
            </w:r>
          </w:p>
        </w:tc>
        <w:tc>
          <w:tcPr>
            <w:tcW w:w="4153" w:type="dxa"/>
            <w:shd w:val="clear" w:color="auto" w:fill="auto"/>
            <w:vAlign w:val="center"/>
          </w:tcPr>
          <w:p w14:paraId="5D4B7E1E">
            <w:pPr>
              <w:keepNext w:val="0"/>
              <w:keepLines w:val="0"/>
              <w:widowControl/>
              <w:suppressLineNumbers w:val="0"/>
              <w:snapToGrid w:val="0"/>
              <w:ind w:left="0" w:leftChars="0" w:right="0" w:rightChars="0" w:firstLine="0" w:firstLineChars="0"/>
              <w:jc w:val="center"/>
              <w:textAlignment w:val="top"/>
              <w:rPr>
                <w:rFonts w:hint="eastAsia" w:ascii="仿宋_GB2312" w:hAnsi="仿宋_GB2312" w:eastAsia="仿宋_GB2312" w:cs="仿宋_GB2312"/>
                <w:b/>
                <w:i w:val="0"/>
                <w:iCs w:val="0"/>
                <w:color w:val="000000"/>
                <w:sz w:val="20"/>
                <w:szCs w:val="20"/>
                <w:u w:val="none"/>
              </w:rPr>
            </w:pPr>
            <w:r>
              <w:rPr>
                <w:rFonts w:hint="eastAsia" w:ascii="仿宋_GB2312" w:hAnsi="仿宋_GB2312" w:eastAsia="仿宋_GB2312" w:cs="仿宋_GB2312"/>
                <w:b/>
                <w:i w:val="0"/>
                <w:iCs w:val="0"/>
                <w:color w:val="000000"/>
                <w:kern w:val="0"/>
                <w:sz w:val="20"/>
                <w:szCs w:val="20"/>
                <w:u w:val="none"/>
                <w:lang w:val="en-US" w:eastAsia="zh-CN" w:bidi="ar"/>
              </w:rPr>
              <w:t>投标响应</w:t>
            </w:r>
          </w:p>
        </w:tc>
        <w:tc>
          <w:tcPr>
            <w:tcW w:w="927" w:type="dxa"/>
            <w:shd w:val="clear" w:color="auto" w:fill="auto"/>
            <w:vAlign w:val="center"/>
          </w:tcPr>
          <w:p w14:paraId="051B2173">
            <w:pPr>
              <w:keepNext w:val="0"/>
              <w:keepLines w:val="0"/>
              <w:widowControl/>
              <w:suppressLineNumbers w:val="0"/>
              <w:snapToGrid w:val="0"/>
              <w:ind w:left="0" w:leftChars="0" w:right="0" w:rightChars="0" w:firstLine="0" w:firstLineChars="0"/>
              <w:jc w:val="center"/>
              <w:textAlignment w:val="top"/>
              <w:rPr>
                <w:rFonts w:hint="eastAsia" w:ascii="仿宋_GB2312" w:hAnsi="仿宋_GB2312" w:eastAsia="仿宋_GB2312" w:cs="仿宋_GB2312"/>
                <w:b/>
                <w:i w:val="0"/>
                <w:iCs w:val="0"/>
                <w:color w:val="000000"/>
                <w:sz w:val="20"/>
                <w:szCs w:val="20"/>
                <w:u w:val="none"/>
              </w:rPr>
            </w:pPr>
            <w:r>
              <w:rPr>
                <w:rFonts w:hint="eastAsia" w:ascii="仿宋_GB2312" w:hAnsi="仿宋_GB2312" w:eastAsia="仿宋_GB2312" w:cs="仿宋_GB2312"/>
                <w:b/>
                <w:i w:val="0"/>
                <w:iCs w:val="0"/>
                <w:color w:val="000000"/>
                <w:kern w:val="0"/>
                <w:sz w:val="20"/>
                <w:szCs w:val="20"/>
                <w:u w:val="none"/>
                <w:lang w:val="en-US" w:eastAsia="zh-CN" w:bidi="ar"/>
              </w:rPr>
              <w:t>是否偏离及说明</w:t>
            </w:r>
          </w:p>
        </w:tc>
      </w:tr>
      <w:tr w14:paraId="00B51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457" w:type="dxa"/>
            <w:vMerge w:val="restart"/>
            <w:shd w:val="clear" w:color="auto" w:fill="auto"/>
            <w:vAlign w:val="center"/>
          </w:tcPr>
          <w:p w14:paraId="72A9396F">
            <w:pPr>
              <w:keepNext w:val="0"/>
              <w:keepLines w:val="0"/>
              <w:widowControl/>
              <w:suppressLineNumbers w:val="0"/>
              <w:snapToGrid w:val="0"/>
              <w:ind w:left="0" w:leftChars="0" w:right="0" w:rightChars="0" w:firstLine="0" w:firstLineChars="0"/>
              <w:jc w:val="center"/>
              <w:textAlignment w:val="top"/>
              <w:rPr>
                <w:rFonts w:hint="default" w:ascii="仿宋_GB2312" w:hAnsi="仿宋_GB2312" w:eastAsia="仿宋_GB2312" w:cs="仿宋_GB2312"/>
                <w:b w:val="0"/>
                <w:bCs/>
                <w:i w:val="0"/>
                <w:iCs w:val="0"/>
                <w:color w:val="000000"/>
                <w:kern w:val="0"/>
                <w:sz w:val="20"/>
                <w:szCs w:val="20"/>
                <w:u w:val="none"/>
                <w:lang w:val="en-US" w:eastAsia="zh-CN" w:bidi="ar"/>
              </w:rPr>
            </w:pPr>
            <w:r>
              <w:rPr>
                <w:rFonts w:hint="eastAsia" w:ascii="仿宋_GB2312" w:hAnsi="仿宋_GB2312" w:eastAsia="仿宋_GB2312" w:cs="仿宋_GB2312"/>
                <w:b w:val="0"/>
                <w:bCs/>
                <w:i w:val="0"/>
                <w:iCs w:val="0"/>
                <w:color w:val="000000"/>
                <w:kern w:val="0"/>
                <w:sz w:val="20"/>
                <w:szCs w:val="20"/>
                <w:u w:val="none"/>
                <w:lang w:val="en-US" w:eastAsia="zh-CN" w:bidi="ar"/>
              </w:rPr>
              <w:t>包1</w:t>
            </w:r>
          </w:p>
        </w:tc>
        <w:tc>
          <w:tcPr>
            <w:tcW w:w="456" w:type="dxa"/>
            <w:shd w:val="clear" w:color="auto" w:fill="auto"/>
            <w:vAlign w:val="center"/>
          </w:tcPr>
          <w:p w14:paraId="0B614307">
            <w:pPr>
              <w:keepNext w:val="0"/>
              <w:keepLines w:val="0"/>
              <w:widowControl/>
              <w:suppressLineNumbers w:val="0"/>
              <w:snapToGrid w:val="0"/>
              <w:ind w:left="0" w:leftChars="0" w:right="0" w:rightChars="0" w:firstLine="0" w:firstLineChars="0"/>
              <w:jc w:val="center"/>
              <w:textAlignment w:val="top"/>
              <w:rPr>
                <w:rFonts w:hint="default" w:ascii="仿宋_GB2312" w:hAnsi="仿宋_GB2312" w:eastAsia="仿宋_GB2312" w:cs="仿宋_GB2312"/>
                <w:b w:val="0"/>
                <w:bCs/>
                <w:i w:val="0"/>
                <w:iCs w:val="0"/>
                <w:color w:val="000000"/>
                <w:kern w:val="0"/>
                <w:sz w:val="20"/>
                <w:szCs w:val="20"/>
                <w:u w:val="none"/>
                <w:lang w:val="en-US" w:eastAsia="zh-CN" w:bidi="ar"/>
              </w:rPr>
            </w:pPr>
            <w:r>
              <w:rPr>
                <w:rFonts w:hint="eastAsia" w:ascii="仿宋_GB2312" w:hAnsi="仿宋_GB2312" w:eastAsia="仿宋_GB2312" w:cs="仿宋_GB2312"/>
                <w:b w:val="0"/>
                <w:bCs/>
                <w:i w:val="0"/>
                <w:iCs w:val="0"/>
                <w:color w:val="000000"/>
                <w:kern w:val="0"/>
                <w:sz w:val="20"/>
                <w:szCs w:val="20"/>
                <w:u w:val="none"/>
                <w:lang w:val="en-US" w:eastAsia="zh-CN" w:bidi="ar"/>
              </w:rPr>
              <w:t>1</w:t>
            </w:r>
          </w:p>
        </w:tc>
        <w:tc>
          <w:tcPr>
            <w:tcW w:w="2937" w:type="dxa"/>
            <w:shd w:val="clear" w:color="auto" w:fill="auto"/>
            <w:vAlign w:val="center"/>
          </w:tcPr>
          <w:p w14:paraId="4EB567AE">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交货时间：合同签订之日起60个日历天内安装调试完毕。</w:t>
            </w:r>
          </w:p>
        </w:tc>
        <w:tc>
          <w:tcPr>
            <w:tcW w:w="4153" w:type="dxa"/>
            <w:shd w:val="clear" w:color="auto" w:fill="auto"/>
            <w:vAlign w:val="center"/>
          </w:tcPr>
          <w:p w14:paraId="60A795DC">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交货时间：合同签订之日起60个日历天内安装调试完毕。</w:t>
            </w:r>
          </w:p>
        </w:tc>
        <w:tc>
          <w:tcPr>
            <w:tcW w:w="927" w:type="dxa"/>
            <w:shd w:val="clear" w:color="auto" w:fill="auto"/>
            <w:vAlign w:val="center"/>
          </w:tcPr>
          <w:p w14:paraId="370A4CDC">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z w:val="20"/>
                <w:szCs w:val="20"/>
              </w:rPr>
              <w:t>无偏离</w:t>
            </w:r>
          </w:p>
        </w:tc>
      </w:tr>
      <w:tr w14:paraId="3212F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blHeader/>
          <w:jc w:val="center"/>
        </w:trPr>
        <w:tc>
          <w:tcPr>
            <w:tcW w:w="457" w:type="dxa"/>
            <w:vMerge w:val="continue"/>
            <w:shd w:val="clear" w:color="auto" w:fill="auto"/>
            <w:vAlign w:val="center"/>
          </w:tcPr>
          <w:p w14:paraId="4C2FD3EB">
            <w:pPr>
              <w:keepNext w:val="0"/>
              <w:keepLines w:val="0"/>
              <w:widowControl/>
              <w:suppressLineNumbers w:val="0"/>
              <w:snapToGrid w:val="0"/>
              <w:ind w:left="0" w:leftChars="0" w:right="0" w:rightChars="0" w:firstLine="0" w:firstLineChars="0"/>
              <w:jc w:val="center"/>
              <w:textAlignment w:val="top"/>
              <w:rPr>
                <w:rFonts w:hint="eastAsia" w:ascii="仿宋_GB2312" w:hAnsi="仿宋_GB2312" w:eastAsia="仿宋_GB2312" w:cs="仿宋_GB2312"/>
                <w:b w:val="0"/>
                <w:bCs/>
                <w:i w:val="0"/>
                <w:iCs w:val="0"/>
                <w:color w:val="000000"/>
                <w:kern w:val="0"/>
                <w:sz w:val="20"/>
                <w:szCs w:val="20"/>
                <w:u w:val="none"/>
                <w:lang w:val="en-US" w:eastAsia="zh-CN" w:bidi="ar"/>
              </w:rPr>
            </w:pPr>
          </w:p>
        </w:tc>
        <w:tc>
          <w:tcPr>
            <w:tcW w:w="456" w:type="dxa"/>
            <w:shd w:val="clear" w:color="auto" w:fill="auto"/>
            <w:vAlign w:val="center"/>
          </w:tcPr>
          <w:p w14:paraId="30021112">
            <w:pPr>
              <w:keepNext w:val="0"/>
              <w:keepLines w:val="0"/>
              <w:widowControl/>
              <w:suppressLineNumbers w:val="0"/>
              <w:snapToGrid w:val="0"/>
              <w:ind w:left="0" w:leftChars="0" w:right="0" w:rightChars="0" w:firstLine="0" w:firstLineChars="0"/>
              <w:jc w:val="center"/>
              <w:textAlignment w:val="top"/>
              <w:rPr>
                <w:rFonts w:hint="default" w:ascii="仿宋_GB2312" w:hAnsi="仿宋_GB2312" w:eastAsia="仿宋_GB2312" w:cs="仿宋_GB2312"/>
                <w:b w:val="0"/>
                <w:bCs/>
                <w:i w:val="0"/>
                <w:iCs w:val="0"/>
                <w:color w:val="000000"/>
                <w:kern w:val="0"/>
                <w:sz w:val="20"/>
                <w:szCs w:val="20"/>
                <w:u w:val="none"/>
                <w:lang w:val="en-US" w:eastAsia="zh-CN" w:bidi="ar"/>
              </w:rPr>
            </w:pPr>
            <w:r>
              <w:rPr>
                <w:rFonts w:hint="eastAsia" w:ascii="仿宋_GB2312" w:hAnsi="仿宋_GB2312" w:eastAsia="仿宋_GB2312" w:cs="仿宋_GB2312"/>
                <w:b w:val="0"/>
                <w:bCs/>
                <w:i w:val="0"/>
                <w:iCs w:val="0"/>
                <w:color w:val="000000"/>
                <w:kern w:val="0"/>
                <w:sz w:val="20"/>
                <w:szCs w:val="20"/>
                <w:u w:val="none"/>
                <w:lang w:val="en-US" w:eastAsia="zh-CN" w:bidi="ar"/>
              </w:rPr>
              <w:t>2</w:t>
            </w:r>
          </w:p>
        </w:tc>
        <w:tc>
          <w:tcPr>
            <w:tcW w:w="2937" w:type="dxa"/>
            <w:shd w:val="clear" w:color="auto" w:fill="auto"/>
            <w:vAlign w:val="center"/>
          </w:tcPr>
          <w:p w14:paraId="6EA7B950">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z w:val="20"/>
                <w:szCs w:val="20"/>
              </w:rPr>
              <w:t>交付地点：福建省泉州市采购人指定地点。</w:t>
            </w:r>
          </w:p>
        </w:tc>
        <w:tc>
          <w:tcPr>
            <w:tcW w:w="4153" w:type="dxa"/>
            <w:shd w:val="clear" w:color="auto" w:fill="auto"/>
            <w:vAlign w:val="center"/>
          </w:tcPr>
          <w:p w14:paraId="2BE4F2E3">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z w:val="20"/>
                <w:szCs w:val="20"/>
              </w:rPr>
              <w:t>交付地点：福建省泉州市采购人指定地点。</w:t>
            </w:r>
          </w:p>
        </w:tc>
        <w:tc>
          <w:tcPr>
            <w:tcW w:w="927" w:type="dxa"/>
            <w:shd w:val="clear" w:color="auto" w:fill="auto"/>
            <w:vAlign w:val="center"/>
          </w:tcPr>
          <w:p w14:paraId="7CEA4C51">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z w:val="20"/>
                <w:szCs w:val="20"/>
              </w:rPr>
              <w:t>无偏离</w:t>
            </w:r>
          </w:p>
        </w:tc>
      </w:tr>
      <w:tr w14:paraId="1E513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457" w:type="dxa"/>
            <w:vMerge w:val="continue"/>
            <w:shd w:val="clear" w:color="auto" w:fill="auto"/>
            <w:vAlign w:val="center"/>
          </w:tcPr>
          <w:p w14:paraId="468BE3BC">
            <w:pPr>
              <w:keepNext w:val="0"/>
              <w:keepLines w:val="0"/>
              <w:widowControl/>
              <w:suppressLineNumbers w:val="0"/>
              <w:snapToGrid w:val="0"/>
              <w:ind w:left="0" w:leftChars="0" w:right="0" w:rightChars="0" w:firstLine="0" w:firstLineChars="0"/>
              <w:jc w:val="center"/>
              <w:textAlignment w:val="top"/>
              <w:rPr>
                <w:rFonts w:hint="eastAsia" w:ascii="仿宋_GB2312" w:hAnsi="仿宋_GB2312" w:eastAsia="仿宋_GB2312" w:cs="仿宋_GB2312"/>
                <w:b w:val="0"/>
                <w:bCs/>
                <w:i w:val="0"/>
                <w:iCs w:val="0"/>
                <w:color w:val="000000"/>
                <w:kern w:val="0"/>
                <w:sz w:val="20"/>
                <w:szCs w:val="20"/>
                <w:u w:val="none"/>
                <w:lang w:val="en-US" w:eastAsia="zh-CN" w:bidi="ar"/>
              </w:rPr>
            </w:pPr>
          </w:p>
        </w:tc>
        <w:tc>
          <w:tcPr>
            <w:tcW w:w="456" w:type="dxa"/>
            <w:shd w:val="clear" w:color="auto" w:fill="auto"/>
            <w:vAlign w:val="center"/>
          </w:tcPr>
          <w:p w14:paraId="3FD1B3D4">
            <w:pPr>
              <w:keepNext w:val="0"/>
              <w:keepLines w:val="0"/>
              <w:widowControl/>
              <w:suppressLineNumbers w:val="0"/>
              <w:snapToGrid w:val="0"/>
              <w:ind w:left="0" w:leftChars="0" w:right="0" w:rightChars="0" w:firstLine="0" w:firstLineChars="0"/>
              <w:jc w:val="center"/>
              <w:textAlignment w:val="top"/>
              <w:rPr>
                <w:rFonts w:hint="default" w:ascii="仿宋_GB2312" w:hAnsi="仿宋_GB2312" w:eastAsia="仿宋_GB2312" w:cs="仿宋_GB2312"/>
                <w:b w:val="0"/>
                <w:bCs/>
                <w:i w:val="0"/>
                <w:iCs w:val="0"/>
                <w:color w:val="000000"/>
                <w:kern w:val="0"/>
                <w:sz w:val="20"/>
                <w:szCs w:val="20"/>
                <w:u w:val="none"/>
                <w:lang w:val="en-US" w:eastAsia="zh-CN" w:bidi="ar"/>
              </w:rPr>
            </w:pPr>
            <w:r>
              <w:rPr>
                <w:rFonts w:hint="eastAsia" w:ascii="仿宋_GB2312" w:hAnsi="仿宋_GB2312" w:eastAsia="仿宋_GB2312" w:cs="仿宋_GB2312"/>
                <w:b w:val="0"/>
                <w:bCs/>
                <w:i w:val="0"/>
                <w:iCs w:val="0"/>
                <w:color w:val="000000"/>
                <w:kern w:val="0"/>
                <w:sz w:val="20"/>
                <w:szCs w:val="20"/>
                <w:u w:val="none"/>
                <w:lang w:val="en-US" w:eastAsia="zh-CN" w:bidi="ar"/>
              </w:rPr>
              <w:t>3</w:t>
            </w:r>
          </w:p>
        </w:tc>
        <w:tc>
          <w:tcPr>
            <w:tcW w:w="2937" w:type="dxa"/>
            <w:shd w:val="clear" w:color="auto" w:fill="auto"/>
            <w:vAlign w:val="center"/>
          </w:tcPr>
          <w:p w14:paraId="2C91723E">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交货条件：经采购人验收合格后交付使用。</w:t>
            </w:r>
          </w:p>
        </w:tc>
        <w:tc>
          <w:tcPr>
            <w:tcW w:w="4153" w:type="dxa"/>
            <w:shd w:val="clear" w:color="auto" w:fill="auto"/>
            <w:vAlign w:val="center"/>
          </w:tcPr>
          <w:p w14:paraId="464C7A18">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交货条件：经采购人验收合格后交付使用。</w:t>
            </w:r>
          </w:p>
        </w:tc>
        <w:tc>
          <w:tcPr>
            <w:tcW w:w="927" w:type="dxa"/>
            <w:shd w:val="clear" w:color="auto" w:fill="auto"/>
            <w:vAlign w:val="center"/>
          </w:tcPr>
          <w:p w14:paraId="0626B9DB">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z w:val="20"/>
                <w:szCs w:val="20"/>
              </w:rPr>
              <w:t>无偏离</w:t>
            </w:r>
          </w:p>
        </w:tc>
      </w:tr>
      <w:tr w14:paraId="1C7D1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457" w:type="dxa"/>
            <w:vMerge w:val="continue"/>
            <w:shd w:val="clear" w:color="auto" w:fill="auto"/>
            <w:vAlign w:val="center"/>
          </w:tcPr>
          <w:p w14:paraId="5786B5B7">
            <w:pPr>
              <w:keepNext w:val="0"/>
              <w:keepLines w:val="0"/>
              <w:widowControl/>
              <w:suppressLineNumbers w:val="0"/>
              <w:snapToGrid w:val="0"/>
              <w:ind w:left="0" w:leftChars="0" w:right="0" w:rightChars="0" w:firstLine="0" w:firstLineChars="0"/>
              <w:jc w:val="center"/>
              <w:textAlignment w:val="top"/>
              <w:rPr>
                <w:rFonts w:hint="eastAsia" w:ascii="仿宋_GB2312" w:hAnsi="仿宋_GB2312" w:eastAsia="仿宋_GB2312" w:cs="仿宋_GB2312"/>
                <w:b w:val="0"/>
                <w:bCs/>
                <w:i w:val="0"/>
                <w:iCs w:val="0"/>
                <w:color w:val="000000"/>
                <w:kern w:val="0"/>
                <w:sz w:val="20"/>
                <w:szCs w:val="20"/>
                <w:u w:val="none"/>
                <w:lang w:val="en-US" w:eastAsia="zh-CN" w:bidi="ar"/>
              </w:rPr>
            </w:pPr>
          </w:p>
        </w:tc>
        <w:tc>
          <w:tcPr>
            <w:tcW w:w="456" w:type="dxa"/>
            <w:shd w:val="clear" w:color="auto" w:fill="auto"/>
            <w:vAlign w:val="center"/>
          </w:tcPr>
          <w:p w14:paraId="3A6D17B5">
            <w:pPr>
              <w:keepNext w:val="0"/>
              <w:keepLines w:val="0"/>
              <w:widowControl/>
              <w:suppressLineNumbers w:val="0"/>
              <w:snapToGrid w:val="0"/>
              <w:ind w:left="0" w:leftChars="0" w:right="0" w:rightChars="0" w:firstLine="0" w:firstLineChars="0"/>
              <w:jc w:val="center"/>
              <w:textAlignment w:val="top"/>
              <w:rPr>
                <w:rFonts w:hint="default" w:ascii="仿宋_GB2312" w:hAnsi="仿宋_GB2312" w:eastAsia="仿宋_GB2312" w:cs="仿宋_GB2312"/>
                <w:b w:val="0"/>
                <w:bCs/>
                <w:i w:val="0"/>
                <w:iCs w:val="0"/>
                <w:color w:val="000000"/>
                <w:kern w:val="0"/>
                <w:sz w:val="20"/>
                <w:szCs w:val="20"/>
                <w:u w:val="none"/>
                <w:lang w:val="en-US" w:eastAsia="zh-CN" w:bidi="ar"/>
              </w:rPr>
            </w:pPr>
            <w:r>
              <w:rPr>
                <w:rFonts w:hint="eastAsia" w:ascii="仿宋_GB2312" w:hAnsi="仿宋_GB2312" w:eastAsia="仿宋_GB2312" w:cs="仿宋_GB2312"/>
                <w:b w:val="0"/>
                <w:bCs/>
                <w:i w:val="0"/>
                <w:iCs w:val="0"/>
                <w:color w:val="000000"/>
                <w:kern w:val="0"/>
                <w:sz w:val="20"/>
                <w:szCs w:val="20"/>
                <w:u w:val="none"/>
                <w:lang w:val="en-US" w:eastAsia="zh-CN" w:bidi="ar"/>
              </w:rPr>
              <w:t>4</w:t>
            </w:r>
          </w:p>
        </w:tc>
        <w:tc>
          <w:tcPr>
            <w:tcW w:w="2937" w:type="dxa"/>
            <w:shd w:val="clear" w:color="auto" w:fill="auto"/>
            <w:vAlign w:val="center"/>
          </w:tcPr>
          <w:p w14:paraId="224F66B6">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是否邀请投标人验收：不邀请投标人验收</w:t>
            </w:r>
          </w:p>
        </w:tc>
        <w:tc>
          <w:tcPr>
            <w:tcW w:w="4153" w:type="dxa"/>
            <w:shd w:val="clear" w:color="auto" w:fill="auto"/>
            <w:vAlign w:val="center"/>
          </w:tcPr>
          <w:p w14:paraId="07FE9ED2">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是否邀请投标人验收：不邀请投标人验收</w:t>
            </w:r>
          </w:p>
        </w:tc>
        <w:tc>
          <w:tcPr>
            <w:tcW w:w="927" w:type="dxa"/>
            <w:shd w:val="clear" w:color="auto" w:fill="auto"/>
            <w:vAlign w:val="center"/>
          </w:tcPr>
          <w:p w14:paraId="672003BE">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z w:val="20"/>
                <w:szCs w:val="20"/>
              </w:rPr>
              <w:t>无偏离</w:t>
            </w:r>
          </w:p>
        </w:tc>
      </w:tr>
      <w:tr w14:paraId="4A65B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blHeader/>
          <w:jc w:val="center"/>
        </w:trPr>
        <w:tc>
          <w:tcPr>
            <w:tcW w:w="457" w:type="dxa"/>
            <w:vMerge w:val="continue"/>
            <w:shd w:val="clear" w:color="auto" w:fill="auto"/>
            <w:vAlign w:val="center"/>
          </w:tcPr>
          <w:p w14:paraId="306E2724">
            <w:pPr>
              <w:keepNext w:val="0"/>
              <w:keepLines w:val="0"/>
              <w:widowControl/>
              <w:suppressLineNumbers w:val="0"/>
              <w:snapToGrid w:val="0"/>
              <w:ind w:left="0" w:leftChars="0" w:right="0" w:rightChars="0" w:firstLine="0" w:firstLineChars="0"/>
              <w:jc w:val="center"/>
              <w:textAlignment w:val="top"/>
              <w:rPr>
                <w:rFonts w:hint="eastAsia" w:ascii="仿宋_GB2312" w:hAnsi="仿宋_GB2312" w:eastAsia="仿宋_GB2312" w:cs="仿宋_GB2312"/>
                <w:b w:val="0"/>
                <w:bCs/>
                <w:i w:val="0"/>
                <w:iCs w:val="0"/>
                <w:color w:val="000000"/>
                <w:kern w:val="0"/>
                <w:sz w:val="20"/>
                <w:szCs w:val="20"/>
                <w:u w:val="none"/>
                <w:lang w:val="en-US" w:eastAsia="zh-CN" w:bidi="ar"/>
              </w:rPr>
            </w:pPr>
          </w:p>
        </w:tc>
        <w:tc>
          <w:tcPr>
            <w:tcW w:w="456" w:type="dxa"/>
            <w:shd w:val="clear" w:color="auto" w:fill="auto"/>
            <w:vAlign w:val="center"/>
          </w:tcPr>
          <w:p w14:paraId="75E88136">
            <w:pPr>
              <w:keepNext w:val="0"/>
              <w:keepLines w:val="0"/>
              <w:widowControl/>
              <w:suppressLineNumbers w:val="0"/>
              <w:snapToGrid w:val="0"/>
              <w:ind w:left="0" w:leftChars="0" w:right="0" w:rightChars="0" w:firstLine="0" w:firstLineChars="0"/>
              <w:jc w:val="center"/>
              <w:textAlignment w:val="top"/>
              <w:rPr>
                <w:rFonts w:hint="default" w:ascii="仿宋_GB2312" w:hAnsi="仿宋_GB2312" w:eastAsia="仿宋_GB2312" w:cs="仿宋_GB2312"/>
                <w:b w:val="0"/>
                <w:bCs/>
                <w:i w:val="0"/>
                <w:iCs w:val="0"/>
                <w:color w:val="000000"/>
                <w:kern w:val="0"/>
                <w:sz w:val="20"/>
                <w:szCs w:val="20"/>
                <w:u w:val="none"/>
                <w:lang w:val="en-US" w:eastAsia="zh-CN" w:bidi="ar"/>
              </w:rPr>
            </w:pPr>
            <w:r>
              <w:rPr>
                <w:rFonts w:hint="eastAsia" w:ascii="仿宋_GB2312" w:hAnsi="仿宋_GB2312" w:eastAsia="仿宋_GB2312" w:cs="仿宋_GB2312"/>
                <w:b w:val="0"/>
                <w:bCs/>
                <w:i w:val="0"/>
                <w:iCs w:val="0"/>
                <w:color w:val="000000"/>
                <w:kern w:val="0"/>
                <w:sz w:val="20"/>
                <w:szCs w:val="20"/>
                <w:u w:val="none"/>
                <w:lang w:val="en-US" w:eastAsia="zh-CN" w:bidi="ar"/>
              </w:rPr>
              <w:t>5</w:t>
            </w:r>
          </w:p>
        </w:tc>
        <w:tc>
          <w:tcPr>
            <w:tcW w:w="2937" w:type="dxa"/>
            <w:shd w:val="clear" w:color="auto" w:fill="auto"/>
            <w:vAlign w:val="center"/>
          </w:tcPr>
          <w:p w14:paraId="4AD3E426">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履约验收方式：1、期次1，说明：按招标文件、投标文件以及国家和行业验收规范要求及合同中的相关条款进行验收。</w:t>
            </w:r>
          </w:p>
        </w:tc>
        <w:tc>
          <w:tcPr>
            <w:tcW w:w="4153" w:type="dxa"/>
            <w:shd w:val="clear" w:color="auto" w:fill="auto"/>
            <w:vAlign w:val="center"/>
          </w:tcPr>
          <w:p w14:paraId="21A32D9D">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履约验收方式：1、期次1，说明：按招标文件、投标文件以及国家和行业验收规范要求及合同中的相关条款进行验收。</w:t>
            </w:r>
          </w:p>
        </w:tc>
        <w:tc>
          <w:tcPr>
            <w:tcW w:w="927" w:type="dxa"/>
            <w:shd w:val="clear" w:color="auto" w:fill="auto"/>
            <w:vAlign w:val="center"/>
          </w:tcPr>
          <w:p w14:paraId="5BCE45FD">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z w:val="20"/>
                <w:szCs w:val="20"/>
              </w:rPr>
              <w:t>无偏离</w:t>
            </w:r>
          </w:p>
        </w:tc>
      </w:tr>
      <w:tr w14:paraId="167218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457" w:type="dxa"/>
            <w:vMerge w:val="continue"/>
            <w:shd w:val="clear" w:color="auto" w:fill="auto"/>
            <w:vAlign w:val="center"/>
          </w:tcPr>
          <w:p w14:paraId="44EC2A16">
            <w:pPr>
              <w:keepNext w:val="0"/>
              <w:keepLines w:val="0"/>
              <w:widowControl/>
              <w:suppressLineNumbers w:val="0"/>
              <w:snapToGrid w:val="0"/>
              <w:ind w:left="0" w:leftChars="0" w:right="0" w:rightChars="0" w:firstLine="0" w:firstLineChars="0"/>
              <w:jc w:val="center"/>
              <w:textAlignment w:val="top"/>
              <w:rPr>
                <w:rFonts w:hint="eastAsia" w:ascii="仿宋_GB2312" w:hAnsi="仿宋_GB2312" w:eastAsia="仿宋_GB2312" w:cs="仿宋_GB2312"/>
                <w:b w:val="0"/>
                <w:bCs/>
                <w:i w:val="0"/>
                <w:iCs w:val="0"/>
                <w:color w:val="000000"/>
                <w:kern w:val="0"/>
                <w:sz w:val="20"/>
                <w:szCs w:val="20"/>
                <w:u w:val="none"/>
                <w:lang w:val="en-US" w:eastAsia="zh-CN" w:bidi="ar"/>
              </w:rPr>
            </w:pPr>
          </w:p>
        </w:tc>
        <w:tc>
          <w:tcPr>
            <w:tcW w:w="456" w:type="dxa"/>
            <w:shd w:val="clear" w:color="auto" w:fill="auto"/>
            <w:vAlign w:val="center"/>
          </w:tcPr>
          <w:p w14:paraId="6BA4BE4C">
            <w:pPr>
              <w:keepNext w:val="0"/>
              <w:keepLines w:val="0"/>
              <w:widowControl/>
              <w:suppressLineNumbers w:val="0"/>
              <w:snapToGrid w:val="0"/>
              <w:ind w:left="0" w:leftChars="0" w:right="0" w:rightChars="0" w:firstLine="0" w:firstLineChars="0"/>
              <w:jc w:val="center"/>
              <w:textAlignment w:val="top"/>
              <w:rPr>
                <w:rFonts w:hint="default" w:ascii="仿宋_GB2312" w:hAnsi="仿宋_GB2312" w:eastAsia="仿宋_GB2312" w:cs="仿宋_GB2312"/>
                <w:b w:val="0"/>
                <w:bCs/>
                <w:i w:val="0"/>
                <w:iCs w:val="0"/>
                <w:color w:val="000000"/>
                <w:kern w:val="0"/>
                <w:sz w:val="20"/>
                <w:szCs w:val="20"/>
                <w:u w:val="none"/>
                <w:lang w:val="en-US" w:eastAsia="zh-CN" w:bidi="ar"/>
              </w:rPr>
            </w:pPr>
            <w:r>
              <w:rPr>
                <w:rFonts w:hint="eastAsia" w:ascii="仿宋_GB2312" w:hAnsi="仿宋_GB2312" w:eastAsia="仿宋_GB2312" w:cs="仿宋_GB2312"/>
                <w:b w:val="0"/>
                <w:bCs/>
                <w:i w:val="0"/>
                <w:iCs w:val="0"/>
                <w:color w:val="000000"/>
                <w:kern w:val="0"/>
                <w:sz w:val="20"/>
                <w:szCs w:val="20"/>
                <w:u w:val="none"/>
                <w:lang w:val="en-US" w:eastAsia="zh-CN" w:bidi="ar"/>
              </w:rPr>
              <w:t>6</w:t>
            </w:r>
          </w:p>
        </w:tc>
        <w:tc>
          <w:tcPr>
            <w:tcW w:w="2937" w:type="dxa"/>
            <w:shd w:val="clear" w:color="auto" w:fill="auto"/>
            <w:vAlign w:val="center"/>
          </w:tcPr>
          <w:p w14:paraId="660C4D35">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合同支付方式：1、所有货物运至采购人指定地点安装并调试完毕，经采购人验收合格后，中标人提供增值税专用发票，达到付款条件起30日内，支付合同总金额的100.00%</w:t>
            </w:r>
          </w:p>
        </w:tc>
        <w:tc>
          <w:tcPr>
            <w:tcW w:w="4153" w:type="dxa"/>
            <w:shd w:val="clear" w:color="auto" w:fill="auto"/>
            <w:vAlign w:val="center"/>
          </w:tcPr>
          <w:p w14:paraId="1E7B537A">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合同支付方式：1、所有货物运至采购人指定地点安装并调试完毕，经采购人验收合格后，中标人提供增值税专用发票，达到付款条件起30日内，支付合同总金额的100.00%</w:t>
            </w:r>
          </w:p>
        </w:tc>
        <w:tc>
          <w:tcPr>
            <w:tcW w:w="927" w:type="dxa"/>
            <w:shd w:val="clear" w:color="auto" w:fill="auto"/>
            <w:vAlign w:val="center"/>
          </w:tcPr>
          <w:p w14:paraId="2921D899">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z w:val="20"/>
                <w:szCs w:val="20"/>
              </w:rPr>
              <w:t>无偏离</w:t>
            </w:r>
          </w:p>
        </w:tc>
      </w:tr>
      <w:tr w14:paraId="15247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blHeader/>
          <w:jc w:val="center"/>
        </w:trPr>
        <w:tc>
          <w:tcPr>
            <w:tcW w:w="457" w:type="dxa"/>
            <w:vMerge w:val="continue"/>
            <w:shd w:val="clear" w:color="auto" w:fill="auto"/>
            <w:vAlign w:val="center"/>
          </w:tcPr>
          <w:p w14:paraId="36CB7ABC">
            <w:pPr>
              <w:keepNext w:val="0"/>
              <w:keepLines w:val="0"/>
              <w:widowControl/>
              <w:suppressLineNumbers w:val="0"/>
              <w:snapToGrid w:val="0"/>
              <w:ind w:left="0" w:leftChars="0" w:right="0" w:rightChars="0" w:firstLine="0" w:firstLineChars="0"/>
              <w:jc w:val="center"/>
              <w:textAlignment w:val="top"/>
              <w:rPr>
                <w:rFonts w:hint="eastAsia" w:ascii="仿宋_GB2312" w:hAnsi="仿宋_GB2312" w:eastAsia="仿宋_GB2312" w:cs="仿宋_GB2312"/>
                <w:b w:val="0"/>
                <w:bCs/>
                <w:i w:val="0"/>
                <w:iCs w:val="0"/>
                <w:color w:val="000000"/>
                <w:kern w:val="0"/>
                <w:sz w:val="20"/>
                <w:szCs w:val="20"/>
                <w:u w:val="none"/>
                <w:lang w:val="en-US" w:eastAsia="zh-CN" w:bidi="ar"/>
              </w:rPr>
            </w:pPr>
          </w:p>
        </w:tc>
        <w:tc>
          <w:tcPr>
            <w:tcW w:w="456" w:type="dxa"/>
            <w:shd w:val="clear" w:color="auto" w:fill="auto"/>
            <w:vAlign w:val="center"/>
          </w:tcPr>
          <w:p w14:paraId="59E26244">
            <w:pPr>
              <w:keepNext w:val="0"/>
              <w:keepLines w:val="0"/>
              <w:widowControl/>
              <w:suppressLineNumbers w:val="0"/>
              <w:snapToGrid w:val="0"/>
              <w:ind w:left="0" w:leftChars="0" w:right="0" w:rightChars="0" w:firstLine="0" w:firstLineChars="0"/>
              <w:jc w:val="center"/>
              <w:textAlignment w:val="top"/>
              <w:rPr>
                <w:rFonts w:hint="default" w:ascii="仿宋_GB2312" w:hAnsi="仿宋_GB2312" w:eastAsia="仿宋_GB2312" w:cs="仿宋_GB2312"/>
                <w:b w:val="0"/>
                <w:bCs/>
                <w:i w:val="0"/>
                <w:iCs w:val="0"/>
                <w:color w:val="000000"/>
                <w:kern w:val="0"/>
                <w:sz w:val="20"/>
                <w:szCs w:val="20"/>
                <w:u w:val="none"/>
                <w:lang w:val="en-US" w:eastAsia="zh-CN" w:bidi="ar"/>
              </w:rPr>
            </w:pPr>
            <w:r>
              <w:rPr>
                <w:rFonts w:hint="eastAsia" w:ascii="仿宋_GB2312" w:hAnsi="仿宋_GB2312" w:eastAsia="仿宋_GB2312" w:cs="仿宋_GB2312"/>
                <w:b w:val="0"/>
                <w:bCs/>
                <w:i w:val="0"/>
                <w:iCs w:val="0"/>
                <w:color w:val="000000"/>
                <w:kern w:val="0"/>
                <w:sz w:val="20"/>
                <w:szCs w:val="20"/>
                <w:u w:val="none"/>
                <w:lang w:val="en-US" w:eastAsia="zh-CN" w:bidi="ar"/>
              </w:rPr>
              <w:t>7</w:t>
            </w:r>
          </w:p>
        </w:tc>
        <w:tc>
          <w:tcPr>
            <w:tcW w:w="2937" w:type="dxa"/>
            <w:shd w:val="clear" w:color="auto" w:fill="auto"/>
            <w:vAlign w:val="center"/>
          </w:tcPr>
          <w:p w14:paraId="357522DD">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履约保证金：不缴纳</w:t>
            </w:r>
          </w:p>
          <w:p w14:paraId="398ABA02">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缴纳方式：无</w:t>
            </w:r>
          </w:p>
        </w:tc>
        <w:tc>
          <w:tcPr>
            <w:tcW w:w="4153" w:type="dxa"/>
            <w:shd w:val="clear" w:color="auto" w:fill="auto"/>
            <w:vAlign w:val="center"/>
          </w:tcPr>
          <w:p w14:paraId="1E7611CA">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履约保证金：不缴纳</w:t>
            </w:r>
          </w:p>
          <w:p w14:paraId="0746FEF3">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缴纳方式：无</w:t>
            </w:r>
          </w:p>
        </w:tc>
        <w:tc>
          <w:tcPr>
            <w:tcW w:w="927" w:type="dxa"/>
            <w:shd w:val="clear" w:color="auto" w:fill="auto"/>
            <w:vAlign w:val="center"/>
          </w:tcPr>
          <w:p w14:paraId="20204BF1">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z w:val="20"/>
                <w:szCs w:val="20"/>
              </w:rPr>
              <w:t>无偏离</w:t>
            </w:r>
          </w:p>
        </w:tc>
      </w:tr>
      <w:tr w14:paraId="1A74B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blHeader/>
          <w:jc w:val="center"/>
        </w:trPr>
        <w:tc>
          <w:tcPr>
            <w:tcW w:w="457" w:type="dxa"/>
            <w:vMerge w:val="continue"/>
            <w:shd w:val="clear" w:color="auto" w:fill="auto"/>
            <w:vAlign w:val="center"/>
          </w:tcPr>
          <w:p w14:paraId="0AE469A3">
            <w:pPr>
              <w:keepNext w:val="0"/>
              <w:keepLines w:val="0"/>
              <w:widowControl/>
              <w:suppressLineNumbers w:val="0"/>
              <w:snapToGrid w:val="0"/>
              <w:ind w:left="0" w:leftChars="0" w:right="0" w:rightChars="0" w:firstLine="0" w:firstLineChars="0"/>
              <w:jc w:val="center"/>
              <w:textAlignment w:val="top"/>
              <w:rPr>
                <w:rFonts w:hint="eastAsia" w:ascii="仿宋_GB2312" w:hAnsi="仿宋_GB2312" w:eastAsia="仿宋_GB2312" w:cs="仿宋_GB2312"/>
                <w:b w:val="0"/>
                <w:bCs/>
                <w:i w:val="0"/>
                <w:iCs w:val="0"/>
                <w:color w:val="000000"/>
                <w:kern w:val="0"/>
                <w:sz w:val="20"/>
                <w:szCs w:val="20"/>
                <w:u w:val="none"/>
                <w:lang w:val="en-US" w:eastAsia="zh-CN" w:bidi="ar"/>
              </w:rPr>
            </w:pPr>
          </w:p>
        </w:tc>
        <w:tc>
          <w:tcPr>
            <w:tcW w:w="456" w:type="dxa"/>
            <w:vMerge w:val="restart"/>
            <w:shd w:val="clear" w:color="auto" w:fill="auto"/>
            <w:vAlign w:val="center"/>
          </w:tcPr>
          <w:p w14:paraId="680E9311">
            <w:pPr>
              <w:keepNext w:val="0"/>
              <w:keepLines w:val="0"/>
              <w:widowControl/>
              <w:suppressLineNumbers w:val="0"/>
              <w:snapToGrid w:val="0"/>
              <w:ind w:left="0" w:leftChars="0" w:right="0" w:rightChars="0" w:firstLine="0" w:firstLineChars="0"/>
              <w:jc w:val="center"/>
              <w:textAlignment w:val="top"/>
              <w:rPr>
                <w:rFonts w:hint="default" w:ascii="仿宋_GB2312" w:hAnsi="仿宋_GB2312" w:eastAsia="仿宋_GB2312" w:cs="仿宋_GB2312"/>
                <w:b w:val="0"/>
                <w:bCs/>
                <w:i w:val="0"/>
                <w:iCs w:val="0"/>
                <w:color w:val="000000"/>
                <w:kern w:val="0"/>
                <w:sz w:val="20"/>
                <w:szCs w:val="20"/>
                <w:u w:val="none"/>
                <w:lang w:val="en-US" w:eastAsia="zh-CN" w:bidi="ar"/>
              </w:rPr>
            </w:pPr>
            <w:r>
              <w:rPr>
                <w:rFonts w:ascii="仿宋_GB2312" w:hAnsi="仿宋_GB2312" w:eastAsia="仿宋_GB2312" w:cs="仿宋_GB2312"/>
              </w:rPr>
              <w:t>其他商务要求</w:t>
            </w:r>
          </w:p>
        </w:tc>
        <w:tc>
          <w:tcPr>
            <w:tcW w:w="2937" w:type="dxa"/>
            <w:shd w:val="clear" w:color="auto" w:fill="auto"/>
            <w:vAlign w:val="center"/>
          </w:tcPr>
          <w:p w14:paraId="39F2CDE0">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1.安装、调试及培训要求</w:t>
            </w:r>
          </w:p>
          <w:p w14:paraId="661BF870">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1.1中标人负责所有货物的运输、安装和调试工作。</w:t>
            </w:r>
          </w:p>
          <w:p w14:paraId="2A14BA54">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1.2中标人在项目实施前应派人员进行实地勘察，设计安装调试方案，确保有关线路设计合理、运行可靠、维护方便。</w:t>
            </w:r>
          </w:p>
          <w:p w14:paraId="1A63AE58">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1.3中标人在用户安装现场所发生的一切费用由中标人承担。</w:t>
            </w:r>
          </w:p>
          <w:p w14:paraId="0CD4DFF0">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1.4中标人负责设备使用、维护的培训工作（包括其他现场的前期培训和安装、调试完毕后的现场培训），费用均含在本次投标报价内。</w:t>
            </w:r>
          </w:p>
          <w:p w14:paraId="2848C449">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1.5中标人在安装现场所产生的垃圾需自行清理至政府指定垃圾场所，并做好现场卫生交付给采购人使用。</w:t>
            </w:r>
          </w:p>
        </w:tc>
        <w:tc>
          <w:tcPr>
            <w:tcW w:w="4153" w:type="dxa"/>
            <w:shd w:val="clear" w:color="auto" w:fill="auto"/>
            <w:vAlign w:val="center"/>
          </w:tcPr>
          <w:p w14:paraId="23909EBD">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1.安装、调试及培训要求</w:t>
            </w:r>
          </w:p>
          <w:p w14:paraId="09846D6C">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1.1中标人负责所有货物的运输、安装和调试工作。</w:t>
            </w:r>
          </w:p>
          <w:p w14:paraId="4E7DFD41">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1.2中标人在项目实施前应派人员进行实地勘察，设计安装调试方案，确保有关线路设计合理、运行可靠、维护方便。</w:t>
            </w:r>
          </w:p>
          <w:p w14:paraId="2591C687">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1.3中标人在用户安装现场所发生的一切费用由中标人承担。</w:t>
            </w:r>
          </w:p>
          <w:p w14:paraId="72C948C9">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1.4中标人负责设备使用、维护的培训工作（包括其他现场的前期培训和安装、调试完毕后的现场培训），费用均含在本次投标报价内。</w:t>
            </w:r>
          </w:p>
          <w:p w14:paraId="76A69EFC">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1.5中标人在安装现场所产生的垃圾需自行清理至政府指定垃圾场所，并做好现场卫生交付给采购人使用。</w:t>
            </w:r>
          </w:p>
        </w:tc>
        <w:tc>
          <w:tcPr>
            <w:tcW w:w="927" w:type="dxa"/>
            <w:shd w:val="clear" w:color="auto" w:fill="auto"/>
            <w:vAlign w:val="center"/>
          </w:tcPr>
          <w:p w14:paraId="38766F68">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z w:val="20"/>
                <w:szCs w:val="20"/>
              </w:rPr>
              <w:t>无偏离</w:t>
            </w:r>
          </w:p>
        </w:tc>
      </w:tr>
      <w:tr w14:paraId="51142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blHeader/>
          <w:jc w:val="center"/>
        </w:trPr>
        <w:tc>
          <w:tcPr>
            <w:tcW w:w="457" w:type="dxa"/>
            <w:vMerge w:val="continue"/>
            <w:shd w:val="clear" w:color="auto" w:fill="auto"/>
            <w:vAlign w:val="center"/>
          </w:tcPr>
          <w:p w14:paraId="233B92DE">
            <w:pPr>
              <w:keepNext w:val="0"/>
              <w:keepLines w:val="0"/>
              <w:widowControl/>
              <w:suppressLineNumbers w:val="0"/>
              <w:snapToGrid w:val="0"/>
              <w:ind w:left="0" w:leftChars="0" w:right="0" w:rightChars="0" w:firstLine="0" w:firstLineChars="0"/>
              <w:jc w:val="center"/>
              <w:textAlignment w:val="top"/>
              <w:rPr>
                <w:rFonts w:hint="eastAsia" w:ascii="仿宋_GB2312" w:hAnsi="仿宋_GB2312" w:eastAsia="仿宋_GB2312" w:cs="仿宋_GB2312"/>
                <w:b w:val="0"/>
                <w:bCs/>
                <w:i w:val="0"/>
                <w:iCs w:val="0"/>
                <w:color w:val="000000"/>
                <w:kern w:val="0"/>
                <w:sz w:val="20"/>
                <w:szCs w:val="20"/>
                <w:u w:val="none"/>
                <w:lang w:val="en-US" w:eastAsia="zh-CN" w:bidi="ar"/>
              </w:rPr>
            </w:pPr>
          </w:p>
        </w:tc>
        <w:tc>
          <w:tcPr>
            <w:tcW w:w="456" w:type="dxa"/>
            <w:vMerge w:val="continue"/>
            <w:shd w:val="clear" w:color="auto" w:fill="auto"/>
            <w:vAlign w:val="center"/>
          </w:tcPr>
          <w:p w14:paraId="13781C86">
            <w:pPr>
              <w:keepNext w:val="0"/>
              <w:keepLines w:val="0"/>
              <w:widowControl/>
              <w:suppressLineNumbers w:val="0"/>
              <w:snapToGrid w:val="0"/>
              <w:ind w:left="0" w:leftChars="0" w:right="0" w:rightChars="0" w:firstLine="0" w:firstLineChars="0"/>
              <w:jc w:val="center"/>
              <w:textAlignment w:val="top"/>
              <w:rPr>
                <w:rFonts w:hint="default" w:ascii="仿宋_GB2312" w:hAnsi="仿宋_GB2312" w:eastAsia="仿宋_GB2312" w:cs="仿宋_GB2312"/>
                <w:b w:val="0"/>
                <w:bCs/>
                <w:i w:val="0"/>
                <w:iCs w:val="0"/>
                <w:color w:val="000000"/>
                <w:kern w:val="0"/>
                <w:sz w:val="20"/>
                <w:szCs w:val="20"/>
                <w:u w:val="none"/>
                <w:lang w:val="en-US" w:eastAsia="zh-CN" w:bidi="ar"/>
              </w:rPr>
            </w:pPr>
          </w:p>
        </w:tc>
        <w:tc>
          <w:tcPr>
            <w:tcW w:w="2937" w:type="dxa"/>
            <w:shd w:val="clear" w:color="auto" w:fill="auto"/>
            <w:vAlign w:val="center"/>
          </w:tcPr>
          <w:p w14:paraId="57F30FFC">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2.验收要求</w:t>
            </w:r>
          </w:p>
          <w:p w14:paraId="18EFB1CF">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2.1中标人必须为使用单位设计、安装、调试、使用、维修提供足够的技术资料和技术保障。提供有关证明，如产地、出厂合格证、质量保证书和测试合格证等。如发现“三无产品”（即在设备上无中文标明的产品名称、生产厂厂名和厂址的标牌）、翻新或以次充好的产品，采购人有权拒绝接收。</w:t>
            </w:r>
          </w:p>
          <w:p w14:paraId="5047C5BE">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2.2中标人必须派技术人员到现场安装调试，安装完毕派专业人员检查安装质量。若产品验收时有关技术参数不能满足招标文件技术要求，使用单位有权要求更换，同时有权要求索赔，所产生的一切费用（含所有检验费用）由中标人全部承担。</w:t>
            </w:r>
          </w:p>
          <w:p w14:paraId="36BEDF61">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2.3系统安装完成后，由采购人进行设备和软件测试，中标人必须给予充分的配合。测试完成后由采购人组织相关人员进行验收，要求所有设备技术参数、功能符合招标文件要求并能正常使用。</w:t>
            </w:r>
          </w:p>
        </w:tc>
        <w:tc>
          <w:tcPr>
            <w:tcW w:w="4153" w:type="dxa"/>
            <w:shd w:val="clear" w:color="auto" w:fill="auto"/>
            <w:vAlign w:val="center"/>
          </w:tcPr>
          <w:p w14:paraId="0083F39D">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2.验收要求</w:t>
            </w:r>
          </w:p>
          <w:p w14:paraId="305275CD">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2.1中标人必须为使用单位设计、安装、调试、使用、维修提供足够的技术资料和技术保障。提供有关证明，如产地、出厂合格证、质量保证书和测试合格证等。如发现“三无产品”（即在设备上无中文标明的产品名称、生产厂厂名和厂址的标牌）、翻新或以次充好的产品，采购人有权拒绝接收。</w:t>
            </w:r>
          </w:p>
          <w:p w14:paraId="46F2B4C6">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2.2中标人必须派技术人员到现场安装调试，安装完毕派专业人员检查安装质量。若产品验收时有关技术参数不能满足招标文件技术要求，使用单位有权要求更换，同时有权要求索赔，所产生的一切费用（含所有检验费用）由中标人全部承担。</w:t>
            </w:r>
          </w:p>
          <w:p w14:paraId="73EA8DF3">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2.3系统安装完成后，由采购人进行设备和软件测试，中标人必须给予充分的配合。测试完成后由采购人组织相关人员进行验收，要求所有设备技术参数、功能符合招标文件要求并能正常使用。</w:t>
            </w:r>
          </w:p>
        </w:tc>
        <w:tc>
          <w:tcPr>
            <w:tcW w:w="927" w:type="dxa"/>
            <w:shd w:val="clear" w:color="auto" w:fill="auto"/>
            <w:vAlign w:val="center"/>
          </w:tcPr>
          <w:p w14:paraId="70E9879A">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z w:val="20"/>
                <w:szCs w:val="20"/>
              </w:rPr>
              <w:t>无偏离</w:t>
            </w:r>
          </w:p>
        </w:tc>
      </w:tr>
      <w:tr w14:paraId="33823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457" w:type="dxa"/>
            <w:vMerge w:val="continue"/>
            <w:shd w:val="clear" w:color="auto" w:fill="auto"/>
            <w:vAlign w:val="center"/>
          </w:tcPr>
          <w:p w14:paraId="4AE5A325">
            <w:pPr>
              <w:keepNext w:val="0"/>
              <w:keepLines w:val="0"/>
              <w:widowControl/>
              <w:suppressLineNumbers w:val="0"/>
              <w:snapToGrid w:val="0"/>
              <w:ind w:left="0" w:leftChars="0" w:right="0" w:rightChars="0" w:firstLine="0" w:firstLineChars="0"/>
              <w:jc w:val="center"/>
              <w:textAlignment w:val="top"/>
              <w:rPr>
                <w:rFonts w:hint="eastAsia" w:ascii="仿宋_GB2312" w:hAnsi="仿宋_GB2312" w:eastAsia="仿宋_GB2312" w:cs="仿宋_GB2312"/>
                <w:b w:val="0"/>
                <w:bCs/>
                <w:i w:val="0"/>
                <w:iCs w:val="0"/>
                <w:color w:val="000000"/>
                <w:kern w:val="0"/>
                <w:sz w:val="20"/>
                <w:szCs w:val="20"/>
                <w:u w:val="none"/>
                <w:lang w:val="en-US" w:eastAsia="zh-CN" w:bidi="ar"/>
              </w:rPr>
            </w:pPr>
          </w:p>
        </w:tc>
        <w:tc>
          <w:tcPr>
            <w:tcW w:w="456" w:type="dxa"/>
            <w:vMerge w:val="continue"/>
            <w:shd w:val="clear" w:color="auto" w:fill="auto"/>
            <w:vAlign w:val="center"/>
          </w:tcPr>
          <w:p w14:paraId="7E709C54">
            <w:pPr>
              <w:keepNext w:val="0"/>
              <w:keepLines w:val="0"/>
              <w:widowControl/>
              <w:suppressLineNumbers w:val="0"/>
              <w:snapToGrid w:val="0"/>
              <w:ind w:left="0" w:leftChars="0" w:right="0" w:rightChars="0" w:firstLine="0" w:firstLineChars="0"/>
              <w:jc w:val="center"/>
              <w:textAlignment w:val="top"/>
              <w:rPr>
                <w:rFonts w:hint="default" w:ascii="仿宋_GB2312" w:hAnsi="仿宋_GB2312" w:eastAsia="仿宋_GB2312" w:cs="仿宋_GB2312"/>
                <w:b w:val="0"/>
                <w:bCs/>
                <w:i w:val="0"/>
                <w:iCs w:val="0"/>
                <w:color w:val="000000"/>
                <w:kern w:val="0"/>
                <w:sz w:val="20"/>
                <w:szCs w:val="20"/>
                <w:u w:val="none"/>
                <w:lang w:val="en-US" w:eastAsia="zh-CN" w:bidi="ar"/>
              </w:rPr>
            </w:pPr>
          </w:p>
        </w:tc>
        <w:tc>
          <w:tcPr>
            <w:tcW w:w="2937" w:type="dxa"/>
            <w:shd w:val="clear" w:color="auto" w:fill="auto"/>
            <w:vAlign w:val="center"/>
          </w:tcPr>
          <w:p w14:paraId="11314246">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3.维保服务要求</w:t>
            </w:r>
          </w:p>
          <w:p w14:paraId="65F22F3D">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3.1维保服务期：自验收合格之日起2年。</w:t>
            </w:r>
          </w:p>
          <w:p w14:paraId="0C0D76E7">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3.2维保服务期内：系统硬件设备若发生故障，要求中标人3个小时内到现场维修响应，中标人到现场响应后，应在8小时内完成设备的维修，如果故障无法在24小时之内排除，中标人应提供与该设备型号、规格及技术指标相一致的备品或更新的兼容产品，并到现场完成设备更换，以保证系统的正常运行。</w:t>
            </w:r>
          </w:p>
          <w:p w14:paraId="763FD644">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3.3维保服务期后：中标人提供设备有偿上门维修服务，硬件故障只收取相应的配件费用。</w:t>
            </w:r>
          </w:p>
          <w:p w14:paraId="7A253B57">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3.4售后服务：</w:t>
            </w:r>
          </w:p>
          <w:p w14:paraId="48AC57A9">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提供至少1年的技术支持服务，且不额外收取费用；包括故障响应、问题排查、版本更新等；</w:t>
            </w:r>
          </w:p>
          <w:p w14:paraId="509EA3B6">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提供至少1场线下师资培训，且不额外收取费用；覆盖课程使用、教学设备器材使用。</w:t>
            </w:r>
          </w:p>
          <w:p w14:paraId="69165BAE">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须提供承诺函（格式自拟）并加盖投标人公章。</w:t>
            </w:r>
          </w:p>
        </w:tc>
        <w:tc>
          <w:tcPr>
            <w:tcW w:w="4153" w:type="dxa"/>
            <w:shd w:val="clear" w:color="auto" w:fill="auto"/>
            <w:vAlign w:val="center"/>
          </w:tcPr>
          <w:p w14:paraId="4B8DBAE5">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3.维保服务要求</w:t>
            </w:r>
          </w:p>
          <w:p w14:paraId="61E7AD48">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3.1维保服务期：自验收合格之日起2年。</w:t>
            </w:r>
          </w:p>
          <w:p w14:paraId="61B66B01">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3.2维保服务期内：系统硬件设备若发生故障，要求中标人3个小时内到现场维修响应，中标人到现场响应后，应在8小时内完成设备的维修，如果故障无法在24小时之内排除，中标人应提供与该设备型号、规格及技术指标相一致的备品或更新的兼容产品，并到现场完成设备更换，以保证系统的正常运行。</w:t>
            </w:r>
          </w:p>
          <w:p w14:paraId="45262D90">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3.3维保服务期后：中标人提供设备有偿上门维修服务，硬件故障只收取相应的配件费用。</w:t>
            </w:r>
          </w:p>
          <w:p w14:paraId="2A4FC794">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3.4售后服务：</w:t>
            </w:r>
          </w:p>
          <w:p w14:paraId="5788DA8E">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提供至少1年的技术支持服务，且不额外收取费用；包括故障响应、问题排查、版本更新等；</w:t>
            </w:r>
          </w:p>
          <w:p w14:paraId="3E0C08AD">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提供至少1场线下师资培训，且不额外收取费用；覆盖课程使用、教学设备器材使用。</w:t>
            </w:r>
          </w:p>
          <w:p w14:paraId="7D912A57">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须提供承诺函（格式自拟）并加盖投标人公章。</w:t>
            </w:r>
          </w:p>
        </w:tc>
        <w:tc>
          <w:tcPr>
            <w:tcW w:w="927" w:type="dxa"/>
            <w:shd w:val="clear" w:color="auto" w:fill="auto"/>
            <w:vAlign w:val="center"/>
          </w:tcPr>
          <w:p w14:paraId="6153D2B2">
            <w:pPr>
              <w:spacing w:before="120" w:after="120" w:line="288" w:lineRule="auto"/>
              <w:ind w:left="0" w:leftChars="0"/>
              <w:jc w:val="center"/>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sz w:val="20"/>
                <w:szCs w:val="20"/>
              </w:rPr>
              <w:t>无偏离</w:t>
            </w:r>
          </w:p>
        </w:tc>
      </w:tr>
      <w:tr w14:paraId="0D394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457" w:type="dxa"/>
            <w:vMerge w:val="continue"/>
            <w:shd w:val="clear" w:color="auto" w:fill="auto"/>
            <w:vAlign w:val="center"/>
          </w:tcPr>
          <w:p w14:paraId="1CE6E42E">
            <w:pPr>
              <w:keepNext w:val="0"/>
              <w:keepLines w:val="0"/>
              <w:widowControl/>
              <w:suppressLineNumbers w:val="0"/>
              <w:snapToGrid w:val="0"/>
              <w:ind w:left="0" w:leftChars="0" w:right="0" w:rightChars="0" w:firstLine="0" w:firstLineChars="0"/>
              <w:jc w:val="center"/>
              <w:textAlignment w:val="top"/>
              <w:rPr>
                <w:rFonts w:hint="eastAsia" w:ascii="仿宋_GB2312" w:hAnsi="仿宋_GB2312" w:eastAsia="仿宋_GB2312" w:cs="仿宋_GB2312"/>
                <w:b w:val="0"/>
                <w:bCs/>
                <w:i w:val="0"/>
                <w:iCs w:val="0"/>
                <w:color w:val="000000"/>
                <w:kern w:val="0"/>
                <w:sz w:val="20"/>
                <w:szCs w:val="20"/>
                <w:u w:val="none"/>
                <w:lang w:val="en-US" w:eastAsia="zh-CN" w:bidi="ar"/>
              </w:rPr>
            </w:pPr>
          </w:p>
        </w:tc>
        <w:tc>
          <w:tcPr>
            <w:tcW w:w="456" w:type="dxa"/>
            <w:vMerge w:val="continue"/>
            <w:shd w:val="clear" w:color="auto" w:fill="auto"/>
            <w:vAlign w:val="center"/>
          </w:tcPr>
          <w:p w14:paraId="3A7237F2">
            <w:pPr>
              <w:keepNext w:val="0"/>
              <w:keepLines w:val="0"/>
              <w:widowControl/>
              <w:suppressLineNumbers w:val="0"/>
              <w:snapToGrid w:val="0"/>
              <w:ind w:left="0" w:leftChars="0" w:right="0" w:rightChars="0" w:firstLine="0" w:firstLineChars="0"/>
              <w:jc w:val="center"/>
              <w:textAlignment w:val="top"/>
              <w:rPr>
                <w:rFonts w:hint="eastAsia" w:ascii="仿宋_GB2312" w:hAnsi="仿宋_GB2312" w:eastAsia="仿宋_GB2312" w:cs="仿宋_GB2312"/>
                <w:b w:val="0"/>
                <w:bCs/>
                <w:i w:val="0"/>
                <w:iCs w:val="0"/>
                <w:color w:val="000000"/>
                <w:kern w:val="0"/>
                <w:sz w:val="20"/>
                <w:szCs w:val="20"/>
                <w:u w:val="none"/>
                <w:lang w:val="en-US" w:eastAsia="zh-CN" w:bidi="ar"/>
              </w:rPr>
            </w:pPr>
          </w:p>
        </w:tc>
        <w:tc>
          <w:tcPr>
            <w:tcW w:w="2937" w:type="dxa"/>
            <w:shd w:val="clear" w:color="auto" w:fill="auto"/>
            <w:vAlign w:val="center"/>
          </w:tcPr>
          <w:p w14:paraId="3C0D849E">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4.技术资料要求</w:t>
            </w:r>
          </w:p>
          <w:p w14:paraId="26BA1499">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设备验收前，中标人须提供完整的技术资料。中标人应向用户方提供以下原包装箱内的所有原厂资料及附件1套，其费用包括在投标价格中：</w:t>
            </w:r>
          </w:p>
          <w:p w14:paraId="2B7B0483">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4.1 技术说明书；</w:t>
            </w:r>
          </w:p>
          <w:p w14:paraId="6ABFC36E">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4.2 使用说明书；</w:t>
            </w:r>
          </w:p>
          <w:p w14:paraId="3F737C50">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4.3 安装、维修及操作手册；</w:t>
            </w:r>
          </w:p>
          <w:p w14:paraId="0DDA520E">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4.4 合同中要求的其他文件资料。</w:t>
            </w:r>
          </w:p>
        </w:tc>
        <w:tc>
          <w:tcPr>
            <w:tcW w:w="4153" w:type="dxa"/>
            <w:shd w:val="clear" w:color="auto" w:fill="auto"/>
            <w:vAlign w:val="center"/>
          </w:tcPr>
          <w:p w14:paraId="19C0E9EF">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4.技术资料要求</w:t>
            </w:r>
          </w:p>
          <w:p w14:paraId="2BA10545">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设备验收前，中标人须提供完整的技术资料。中标人应向用户方提供以下原包装箱内的所有原厂资料及附件1套，其费用包括在投标价格中：</w:t>
            </w:r>
          </w:p>
          <w:p w14:paraId="3A1EA26E">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4.1 技术说明书；</w:t>
            </w:r>
          </w:p>
          <w:p w14:paraId="0EBA5DF2">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4.2 使用说明书；</w:t>
            </w:r>
          </w:p>
          <w:p w14:paraId="118C2C61">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4.3 安装、维修及操作手册；</w:t>
            </w:r>
          </w:p>
          <w:p w14:paraId="7B58C826">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4.4 合同中要求的其他文件资料。</w:t>
            </w:r>
          </w:p>
        </w:tc>
        <w:tc>
          <w:tcPr>
            <w:tcW w:w="927" w:type="dxa"/>
            <w:shd w:val="clear" w:color="auto" w:fill="auto"/>
            <w:vAlign w:val="center"/>
          </w:tcPr>
          <w:p w14:paraId="4FFD962C">
            <w:pPr>
              <w:spacing w:before="120" w:after="120" w:line="288" w:lineRule="auto"/>
              <w:ind w:left="0" w:leftChars="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34DDF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blHeader/>
          <w:jc w:val="center"/>
        </w:trPr>
        <w:tc>
          <w:tcPr>
            <w:tcW w:w="457" w:type="dxa"/>
            <w:vMerge w:val="continue"/>
            <w:shd w:val="clear" w:color="auto" w:fill="auto"/>
            <w:vAlign w:val="center"/>
          </w:tcPr>
          <w:p w14:paraId="0ED775D3">
            <w:pPr>
              <w:keepNext w:val="0"/>
              <w:keepLines w:val="0"/>
              <w:widowControl/>
              <w:suppressLineNumbers w:val="0"/>
              <w:snapToGrid w:val="0"/>
              <w:ind w:left="0" w:leftChars="0" w:right="0" w:rightChars="0" w:firstLine="0" w:firstLineChars="0"/>
              <w:jc w:val="center"/>
              <w:textAlignment w:val="top"/>
              <w:rPr>
                <w:rFonts w:hint="eastAsia" w:ascii="仿宋_GB2312" w:hAnsi="仿宋_GB2312" w:eastAsia="仿宋_GB2312" w:cs="仿宋_GB2312"/>
                <w:b w:val="0"/>
                <w:bCs/>
                <w:i w:val="0"/>
                <w:iCs w:val="0"/>
                <w:color w:val="000000"/>
                <w:kern w:val="0"/>
                <w:sz w:val="20"/>
                <w:szCs w:val="20"/>
                <w:u w:val="none"/>
                <w:lang w:val="en-US" w:eastAsia="zh-CN" w:bidi="ar"/>
              </w:rPr>
            </w:pPr>
          </w:p>
        </w:tc>
        <w:tc>
          <w:tcPr>
            <w:tcW w:w="456" w:type="dxa"/>
            <w:vMerge w:val="continue"/>
            <w:shd w:val="clear" w:color="auto" w:fill="auto"/>
            <w:vAlign w:val="center"/>
          </w:tcPr>
          <w:p w14:paraId="56C9CD17">
            <w:pPr>
              <w:keepNext w:val="0"/>
              <w:keepLines w:val="0"/>
              <w:widowControl/>
              <w:suppressLineNumbers w:val="0"/>
              <w:snapToGrid w:val="0"/>
              <w:ind w:left="0" w:leftChars="0" w:right="0" w:rightChars="0" w:firstLine="0" w:firstLineChars="0"/>
              <w:jc w:val="center"/>
              <w:textAlignment w:val="top"/>
              <w:rPr>
                <w:rFonts w:hint="eastAsia" w:ascii="仿宋_GB2312" w:hAnsi="仿宋_GB2312" w:eastAsia="仿宋_GB2312" w:cs="仿宋_GB2312"/>
                <w:b w:val="0"/>
                <w:bCs/>
                <w:i w:val="0"/>
                <w:iCs w:val="0"/>
                <w:color w:val="000000"/>
                <w:kern w:val="0"/>
                <w:sz w:val="20"/>
                <w:szCs w:val="20"/>
                <w:u w:val="none"/>
                <w:lang w:val="en-US" w:eastAsia="zh-CN" w:bidi="ar"/>
              </w:rPr>
            </w:pPr>
          </w:p>
        </w:tc>
        <w:tc>
          <w:tcPr>
            <w:tcW w:w="2937" w:type="dxa"/>
            <w:shd w:val="clear" w:color="auto" w:fill="auto"/>
            <w:vAlign w:val="center"/>
          </w:tcPr>
          <w:p w14:paraId="41EDAFEA">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5．违约责任</w:t>
            </w:r>
          </w:p>
          <w:p w14:paraId="2F621CBA">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5.1中标人逾期履行服务的，中标人应按逾期交付总额每日3‰向采购人支付违约金，由采购人从待付货款中扣除。中标人无正当理由逾期超过约定日期30日仍不能交付的，视为“中标人不按合同约定履约”；</w:t>
            </w:r>
          </w:p>
          <w:p w14:paraId="1BB6DA5B">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5.2中标人所交付的产品不符合合同规定及《采购文件》规定标准的，采购人有权拒收，中标人愿意更换产品但逾期交货的，按中标人逾期交货处理。中标人拒绝更换产品的，视为“中标人不按合同约定履约”；</w:t>
            </w:r>
          </w:p>
          <w:p w14:paraId="7A7D0729">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5.3中标人不按合同约定履约的，采购人可以解除采购合同，并对中标人已缴纳的履约保证金作“不予退还”处理。同时，中标人还须按合同金额的30%向采购人支付违约金。</w:t>
            </w:r>
          </w:p>
        </w:tc>
        <w:tc>
          <w:tcPr>
            <w:tcW w:w="4153" w:type="dxa"/>
            <w:shd w:val="clear" w:color="auto" w:fill="auto"/>
            <w:vAlign w:val="center"/>
          </w:tcPr>
          <w:p w14:paraId="6EB4F8DE">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5．违约责任</w:t>
            </w:r>
          </w:p>
          <w:p w14:paraId="30CB81E0">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5.1中标人逾期履行服务的，中标人应按逾期交付总额每日3‰向采购人支付违约金，由采购人从待付货款中扣除。中标人无正当理由逾期超过约定日期30日仍不能交付的，视为“中标人不按合同约定履约”；</w:t>
            </w:r>
          </w:p>
          <w:p w14:paraId="161B84B8">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5.2中标人所交付的产品不符合合同规定及《采购文件》规定标准的，采购人有权拒收，中标人愿意更换产品但逾期交货的，按中标人逾期交货处理。中标人拒绝更换产品的，视为“中标人不按合同约定履约”；</w:t>
            </w:r>
          </w:p>
          <w:p w14:paraId="5DCF9ED5">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5.3中标人不按合同约定履约的，采购人可以解除采购合同，并对中标人已缴纳的履约保证金作“不予退还”处理。同时，中标人还须按合同金额的30%向采购人支付违约金。</w:t>
            </w:r>
          </w:p>
        </w:tc>
        <w:tc>
          <w:tcPr>
            <w:tcW w:w="927" w:type="dxa"/>
            <w:shd w:val="clear" w:color="auto" w:fill="auto"/>
            <w:vAlign w:val="center"/>
          </w:tcPr>
          <w:p w14:paraId="777BCE8B">
            <w:pPr>
              <w:spacing w:before="120" w:after="120" w:line="288" w:lineRule="auto"/>
              <w:ind w:left="0" w:leftChars="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r w14:paraId="71953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457" w:type="dxa"/>
            <w:vMerge w:val="continue"/>
            <w:shd w:val="clear" w:color="auto" w:fill="auto"/>
            <w:vAlign w:val="center"/>
          </w:tcPr>
          <w:p w14:paraId="413A87D8">
            <w:pPr>
              <w:keepNext w:val="0"/>
              <w:keepLines w:val="0"/>
              <w:widowControl/>
              <w:suppressLineNumbers w:val="0"/>
              <w:snapToGrid w:val="0"/>
              <w:ind w:left="0" w:leftChars="0" w:right="0" w:rightChars="0" w:firstLine="0" w:firstLineChars="0"/>
              <w:jc w:val="center"/>
              <w:textAlignment w:val="top"/>
              <w:rPr>
                <w:rFonts w:hint="eastAsia" w:ascii="仿宋_GB2312" w:hAnsi="仿宋_GB2312" w:eastAsia="仿宋_GB2312" w:cs="仿宋_GB2312"/>
                <w:b w:val="0"/>
                <w:bCs/>
                <w:i w:val="0"/>
                <w:iCs w:val="0"/>
                <w:color w:val="000000"/>
                <w:kern w:val="0"/>
                <w:sz w:val="20"/>
                <w:szCs w:val="20"/>
                <w:u w:val="none"/>
                <w:lang w:val="en-US" w:eastAsia="zh-CN" w:bidi="ar"/>
              </w:rPr>
            </w:pPr>
          </w:p>
        </w:tc>
        <w:tc>
          <w:tcPr>
            <w:tcW w:w="456" w:type="dxa"/>
            <w:vMerge w:val="continue"/>
            <w:shd w:val="clear" w:color="auto" w:fill="auto"/>
            <w:vAlign w:val="center"/>
          </w:tcPr>
          <w:p w14:paraId="6D359D0B">
            <w:pPr>
              <w:keepNext w:val="0"/>
              <w:keepLines w:val="0"/>
              <w:widowControl/>
              <w:suppressLineNumbers w:val="0"/>
              <w:snapToGrid w:val="0"/>
              <w:ind w:left="0" w:leftChars="0" w:right="0" w:rightChars="0" w:firstLine="0" w:firstLineChars="0"/>
              <w:jc w:val="center"/>
              <w:textAlignment w:val="top"/>
              <w:rPr>
                <w:rFonts w:hint="eastAsia" w:ascii="仿宋_GB2312" w:hAnsi="仿宋_GB2312" w:eastAsia="仿宋_GB2312" w:cs="仿宋_GB2312"/>
                <w:b w:val="0"/>
                <w:bCs/>
                <w:i w:val="0"/>
                <w:iCs w:val="0"/>
                <w:color w:val="000000"/>
                <w:kern w:val="0"/>
                <w:sz w:val="20"/>
                <w:szCs w:val="20"/>
                <w:u w:val="none"/>
                <w:lang w:val="en-US" w:eastAsia="zh-CN" w:bidi="ar"/>
              </w:rPr>
            </w:pPr>
          </w:p>
        </w:tc>
        <w:tc>
          <w:tcPr>
            <w:tcW w:w="2937" w:type="dxa"/>
            <w:shd w:val="clear" w:color="auto" w:fill="auto"/>
            <w:vAlign w:val="center"/>
          </w:tcPr>
          <w:p w14:paraId="1BFF8D5C">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6.其他要求</w:t>
            </w:r>
          </w:p>
          <w:p w14:paraId="49CF2A62">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本招标文件明确的约定事项或条款，是采购人与中标人签订合同时的合同条款。招标文件未明确的其它约定事项或条款，待采购人与中标人签订合同时，由双方协商订立。</w:t>
            </w:r>
          </w:p>
        </w:tc>
        <w:tc>
          <w:tcPr>
            <w:tcW w:w="4153" w:type="dxa"/>
            <w:shd w:val="clear" w:color="auto" w:fill="auto"/>
            <w:vAlign w:val="center"/>
          </w:tcPr>
          <w:p w14:paraId="5B241D01">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6.其他要求</w:t>
            </w:r>
          </w:p>
          <w:p w14:paraId="3AB6F092">
            <w:pPr>
              <w:spacing w:before="120" w:after="120" w:line="288" w:lineRule="auto"/>
              <w:ind w:left="0" w:leftChars="0"/>
              <w:jc w:val="left"/>
              <w:rPr>
                <w:rFonts w:hint="eastAsia" w:ascii="仿宋_GB2312" w:hAnsi="仿宋_GB2312" w:eastAsia="仿宋_GB2312" w:cs="仿宋_GB2312"/>
                <w:kern w:val="2"/>
                <w:sz w:val="20"/>
                <w:szCs w:val="20"/>
                <w:lang w:val="en-US" w:eastAsia="zh-CN" w:bidi="ar-SA"/>
              </w:rPr>
            </w:pPr>
            <w:r>
              <w:rPr>
                <w:rFonts w:hint="eastAsia" w:ascii="仿宋_GB2312" w:hAnsi="仿宋_GB2312" w:eastAsia="仿宋_GB2312" w:cs="仿宋_GB2312"/>
                <w:kern w:val="2"/>
                <w:sz w:val="20"/>
                <w:szCs w:val="20"/>
                <w:lang w:val="en-US" w:eastAsia="zh-CN" w:bidi="ar-SA"/>
              </w:rPr>
              <w:t>本招标文件明确的约定事项或条款，是采购人与中标人签订合同时的合同条款。招标文件未明确的其它约定事项或条款，待采购人与中标人签订合同时，由双方协商订立。</w:t>
            </w:r>
          </w:p>
        </w:tc>
        <w:tc>
          <w:tcPr>
            <w:tcW w:w="927" w:type="dxa"/>
            <w:shd w:val="clear" w:color="auto" w:fill="auto"/>
            <w:vAlign w:val="center"/>
          </w:tcPr>
          <w:p w14:paraId="6338DE89">
            <w:pPr>
              <w:spacing w:before="120" w:after="120" w:line="288" w:lineRule="auto"/>
              <w:ind w:left="0" w:leftChars="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无偏离</w:t>
            </w:r>
          </w:p>
        </w:tc>
      </w:tr>
    </w:tbl>
    <w:p w14:paraId="15CE4C1E">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本商务条件响应表所有“无偏离”均表示我方完全满足采购文件对应的商务条件，无任何正偏离或负偏离；2、 相关佐证材料（营业执照、资质文件、诚信履约承诺函等）将随投标文件一并提交，确保真实有效；3、 我方承诺，响应表中所有商务响应内容均真实、准确，若存在虚假响应，自愿承担由此产生的一切法律责任及后果。</w:t>
      </w:r>
    </w:p>
    <w:p w14:paraId="185F3B9A">
      <w:pPr>
        <w:pStyle w:val="11"/>
        <w:jc w:val="left"/>
        <w:rPr>
          <w:rFonts w:ascii="仿宋_GB2312" w:hAnsi="仿宋_GB2312" w:eastAsia="仿宋_GB2312" w:cs="仿宋_GB2312"/>
        </w:rPr>
      </w:pPr>
    </w:p>
    <w:p w14:paraId="320BC68A">
      <w:pPr>
        <w:pStyle w:val="11"/>
        <w:ind w:firstLine="480"/>
        <w:jc w:val="left"/>
      </w:pPr>
      <w:r>
        <w:rPr>
          <w:rFonts w:ascii="仿宋_GB2312" w:hAnsi="仿宋_GB2312" w:eastAsia="仿宋_GB2312" w:cs="仿宋_GB2312"/>
        </w:rPr>
        <w:t>※注意：</w:t>
      </w:r>
    </w:p>
    <w:p w14:paraId="4777E5AB">
      <w:pPr>
        <w:pStyle w:val="11"/>
        <w:ind w:firstLine="480"/>
        <w:jc w:val="left"/>
      </w:pPr>
      <w:r>
        <w:rPr>
          <w:rFonts w:ascii="仿宋_GB2312" w:hAnsi="仿宋_GB2312" w:eastAsia="仿宋_GB2312" w:cs="仿宋_GB2312"/>
        </w:rPr>
        <w:t>1、本表应按照下列规定填写：</w:t>
      </w:r>
    </w:p>
    <w:p w14:paraId="306DA19D">
      <w:pPr>
        <w:pStyle w:val="11"/>
        <w:ind w:firstLine="480"/>
        <w:jc w:val="left"/>
      </w:pPr>
      <w:r>
        <w:rPr>
          <w:rFonts w:ascii="仿宋_GB2312" w:hAnsi="仿宋_GB2312" w:eastAsia="仿宋_GB2312" w:cs="仿宋_GB2312"/>
        </w:rPr>
        <w:t>1.1“商务条件”项下填写的内容应与招标文件第五章“商务条件”的内容保持一致。</w:t>
      </w:r>
    </w:p>
    <w:p w14:paraId="6EEE2EEB">
      <w:pPr>
        <w:pStyle w:val="11"/>
        <w:ind w:firstLine="480"/>
        <w:jc w:val="left"/>
      </w:pPr>
      <w:r>
        <w:rPr>
          <w:rFonts w:ascii="仿宋_GB2312" w:hAnsi="仿宋_GB2312" w:eastAsia="仿宋_GB2312" w:cs="仿宋_GB2312"/>
        </w:rPr>
        <w:t>1.2“投标响应”项下应填写具体的响应内容并与“商务条件”项下填写的内容逐项对应；对“商务条件”项下涉及“≥或＞”、“≤或＜”及某个区间值范围内的内容，应填写具体的数值。</w:t>
      </w:r>
    </w:p>
    <w:p w14:paraId="467315A1">
      <w:pPr>
        <w:pStyle w:val="11"/>
        <w:ind w:firstLine="480"/>
        <w:jc w:val="left"/>
      </w:pPr>
      <w:r>
        <w:rPr>
          <w:rFonts w:ascii="仿宋_GB2312" w:hAnsi="仿宋_GB2312" w:eastAsia="仿宋_GB2312" w:cs="仿宋_GB2312"/>
        </w:rPr>
        <w:t>1.3“是否偏离及说明”项下应按下列规定填写：优于的，填写“正偏离”；符合的，填写“无偏离”；低于的，填写“负偏离”。</w:t>
      </w:r>
    </w:p>
    <w:p w14:paraId="4EC2A49C">
      <w:pPr>
        <w:pStyle w:val="11"/>
        <w:ind w:firstLine="480"/>
        <w:jc w:val="left"/>
      </w:pPr>
      <w:r>
        <w:rPr>
          <w:rFonts w:ascii="仿宋_GB2312" w:hAnsi="仿宋_GB2312" w:eastAsia="仿宋_GB2312" w:cs="仿宋_GB2312"/>
        </w:rPr>
        <w:t>2、投标人需要说明的内容若需特殊表达，应先在本表中进行相应说明，再另页应答，但应做好标注说明，方便评委查阅评审。未标注说明可能导致的不利的评审后果由投标人自行承担。</w:t>
      </w:r>
    </w:p>
    <w:p w14:paraId="31CA0499">
      <w:pPr>
        <w:pStyle w:val="11"/>
        <w:ind w:firstLine="480"/>
        <w:jc w:val="right"/>
      </w:pPr>
      <w:r>
        <w:rPr>
          <w:rFonts w:ascii="仿宋_GB2312" w:hAnsi="仿宋_GB2312" w:eastAsia="仿宋_GB2312" w:cs="仿宋_GB2312"/>
        </w:rPr>
        <w:t>投标人：</w:t>
      </w:r>
      <w:r>
        <w:rPr>
          <w:rFonts w:hint="eastAsia" w:ascii="仿宋_GB2312" w:hAnsi="仿宋_GB2312" w:eastAsia="仿宋_GB2312" w:cs="仿宋_GB2312"/>
          <w:kern w:val="0"/>
          <w:sz w:val="20"/>
          <w:szCs w:val="20"/>
          <w:lang w:val="en-US" w:eastAsia="zh-CN"/>
        </w:rPr>
        <w:t>北京科启星科技有限公司</w:t>
      </w:r>
    </w:p>
    <w:p w14:paraId="5E53896C">
      <w:pPr>
        <w:pStyle w:val="11"/>
        <w:ind w:firstLine="480"/>
        <w:jc w:val="right"/>
      </w:pPr>
      <w:r>
        <w:rPr>
          <w:rFonts w:ascii="仿宋_GB2312" w:hAnsi="仿宋_GB2312" w:eastAsia="仿宋_GB2312" w:cs="仿宋_GB2312"/>
        </w:rPr>
        <w:t>日期：</w:t>
      </w:r>
      <w:r>
        <w:rPr>
          <w:rFonts w:ascii="仿宋_GB2312" w:hAnsi="仿宋_GB2312" w:eastAsia="仿宋_GB2312" w:cs="仿宋_GB2312"/>
          <w:u w:val="single"/>
        </w:rPr>
        <w:t>　</w:t>
      </w:r>
      <w:r>
        <w:rPr>
          <w:rFonts w:hint="eastAsia" w:ascii="仿宋_GB2312" w:hAnsi="仿宋_GB2312" w:eastAsia="仿宋_GB2312" w:cs="仿宋_GB2312"/>
          <w:u w:val="single"/>
          <w:lang w:val="en-US" w:eastAsia="zh-CN"/>
        </w:rPr>
        <w:t>2026</w:t>
      </w:r>
      <w:r>
        <w:rPr>
          <w:rFonts w:ascii="仿宋_GB2312" w:hAnsi="仿宋_GB2312" w:eastAsia="仿宋_GB2312" w:cs="仿宋_GB2312"/>
          <w:u w:val="single"/>
        </w:rPr>
        <w:t>　年　</w:t>
      </w:r>
      <w:r>
        <w:rPr>
          <w:rFonts w:hint="eastAsia" w:ascii="仿宋_GB2312" w:hAnsi="仿宋_GB2312" w:eastAsia="仿宋_GB2312" w:cs="仿宋_GB2312"/>
          <w:u w:val="single"/>
          <w:lang w:val="en-US" w:eastAsia="zh-CN"/>
        </w:rPr>
        <w:t>2</w:t>
      </w:r>
      <w:r>
        <w:rPr>
          <w:rFonts w:ascii="仿宋_GB2312" w:hAnsi="仿宋_GB2312" w:eastAsia="仿宋_GB2312" w:cs="仿宋_GB2312"/>
          <w:u w:val="single"/>
        </w:rPr>
        <w:t>　月　</w:t>
      </w:r>
      <w:r>
        <w:rPr>
          <w:rFonts w:hint="eastAsia" w:ascii="仿宋_GB2312" w:hAnsi="仿宋_GB2312" w:eastAsia="仿宋_GB2312" w:cs="仿宋_GB2312"/>
          <w:u w:val="single"/>
          <w:lang w:val="en-US" w:eastAsia="zh-CN"/>
        </w:rPr>
        <w:t>15</w:t>
      </w:r>
      <w:r>
        <w:rPr>
          <w:rFonts w:ascii="仿宋_GB2312" w:hAnsi="仿宋_GB2312" w:eastAsia="仿宋_GB2312" w:cs="仿宋_GB2312"/>
          <w:u w:val="single"/>
        </w:rPr>
        <w:t>　日</w:t>
      </w:r>
    </w:p>
    <w:p w14:paraId="33EBD1BF">
      <w:pPr>
        <w:pStyle w:val="11"/>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5D3DC7CB">
      <w:pPr>
        <w:pStyle w:val="11"/>
        <w:jc w:val="center"/>
        <w:outlineLvl w:val="2"/>
      </w:pPr>
      <w:r>
        <w:rPr>
          <w:rFonts w:ascii="仿宋_GB2312" w:hAnsi="仿宋_GB2312" w:eastAsia="仿宋_GB2312" w:cs="仿宋_GB2312"/>
          <w:b/>
          <w:sz w:val="28"/>
        </w:rPr>
        <w:t>四、投标人提交的其他资料（若有）</w:t>
      </w:r>
    </w:p>
    <w:p w14:paraId="5C91A0BF">
      <w:pPr>
        <w:pStyle w:val="11"/>
        <w:ind w:firstLine="480"/>
        <w:jc w:val="center"/>
      </w:pPr>
      <w:r>
        <w:rPr>
          <w:rFonts w:ascii="仿宋_GB2312" w:hAnsi="仿宋_GB2312" w:eastAsia="仿宋_GB2312" w:cs="仿宋_GB2312"/>
        </w:rPr>
        <w:t>编制说明</w:t>
      </w:r>
    </w:p>
    <w:p w14:paraId="7E431308">
      <w:pPr>
        <w:pStyle w:val="11"/>
        <w:ind w:firstLine="480"/>
        <w:jc w:val="left"/>
      </w:pPr>
      <w:r>
        <w:rPr>
          <w:rFonts w:ascii="仿宋_GB2312" w:hAnsi="仿宋_GB2312" w:eastAsia="仿宋_GB2312" w:cs="仿宋_GB2312"/>
        </w:rPr>
        <w:t>1、招标文件要求提交的除“资格及资信证明部分”、“报价部分”外的其他证明材料或资料加盖投标人的单位公章后应在此项下提交。</w:t>
      </w:r>
    </w:p>
    <w:p w14:paraId="2EC9D16F">
      <w:pPr>
        <w:pStyle w:val="11"/>
        <w:ind w:firstLine="480"/>
        <w:jc w:val="left"/>
      </w:pPr>
      <w:r>
        <w:rPr>
          <w:rFonts w:ascii="仿宋_GB2312" w:hAnsi="仿宋_GB2312" w:eastAsia="仿宋_GB2312" w:cs="仿宋_GB2312"/>
        </w:rPr>
        <w:t>2、招标文件要求投标人提供方案（包括但不限于：组织、实施、技术、服务方案等）的，投标人应在此项下提交。</w:t>
      </w:r>
    </w:p>
    <w:p w14:paraId="4805AD62">
      <w:pPr>
        <w:pStyle w:val="11"/>
        <w:ind w:firstLine="480"/>
        <w:jc w:val="left"/>
      </w:pPr>
      <w:r>
        <w:rPr>
          <w:rFonts w:ascii="仿宋_GB2312" w:hAnsi="仿宋_GB2312" w:eastAsia="仿宋_GB2312" w:cs="仿宋_GB2312"/>
        </w:rPr>
        <w:t>3、除招标文件另有规定外，投标人认为需要提交的其他证明材料或资料加盖投标人的单位公章后应在此项下提交。</w:t>
      </w:r>
    </w:p>
    <w:p w14:paraId="7040FCC6">
      <w:r>
        <w:br w:type="page"/>
      </w:r>
    </w:p>
    <w:p w14:paraId="581B74CB">
      <w:pPr>
        <w:pStyle w:val="11"/>
        <w:ind w:firstLine="480"/>
        <w:jc w:val="center"/>
        <w:rPr>
          <w:rFonts w:hint="eastAsia" w:ascii="仿宋_GB2312" w:hAnsi="仿宋_GB2312" w:eastAsia="仿宋_GB2312" w:cs="仿宋_GB2312"/>
          <w:lang w:val="en-US" w:eastAsia="zh-CN"/>
        </w:rPr>
      </w:pPr>
      <w:r>
        <w:rPr>
          <w:rFonts w:hint="eastAsia" w:ascii="仿宋_GB2312" w:hAnsi="仿宋_GB2312" w:eastAsia="仿宋_GB2312" w:cs="仿宋_GB2312"/>
          <w:sz w:val="28"/>
          <w:szCs w:val="28"/>
          <w:lang w:val="en-US" w:eastAsia="zh-CN"/>
        </w:rPr>
        <w:t>售后服务承诺函</w:t>
      </w:r>
    </w:p>
    <w:p w14:paraId="6BBA722F">
      <w:pPr>
        <w:pStyle w:val="11"/>
        <w:ind w:firstLine="480"/>
        <w:jc w:val="left"/>
        <w:rPr>
          <w:rFonts w:hint="eastAsia" w:ascii="仿宋_GB2312" w:hAnsi="仿宋_GB2312" w:eastAsia="仿宋_GB2312" w:cs="仿宋_GB2312"/>
          <w:lang w:val="en-US" w:eastAsia="zh-CN"/>
        </w:rPr>
      </w:pPr>
    </w:p>
    <w:p w14:paraId="6C81C095">
      <w:pPr>
        <w:pStyle w:val="11"/>
        <w:ind w:firstLine="480"/>
        <w:jc w:val="left"/>
        <w:rPr>
          <w:rFonts w:hint="eastAsia" w:ascii="仿宋_GB2312" w:hAnsi="仿宋_GB2312" w:eastAsia="仿宋_GB2312" w:cs="仿宋_GB2312"/>
          <w:lang w:val="en-US" w:eastAsia="zh-CN"/>
        </w:rPr>
      </w:pPr>
    </w:p>
    <w:p w14:paraId="642E5115">
      <w:pPr>
        <w:pStyle w:val="11"/>
        <w:ind w:firstLine="480"/>
        <w:jc w:val="left"/>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致：福建恒信工程咨询有限公司</w:t>
      </w:r>
    </w:p>
    <w:p w14:paraId="793D0100">
      <w:pPr>
        <w:pStyle w:val="11"/>
        <w:ind w:firstLine="480"/>
        <w:jc w:val="left"/>
        <w:rPr>
          <w:rFonts w:hint="eastAsia" w:ascii="仿宋_GB2312" w:hAnsi="仿宋_GB2312" w:eastAsia="仿宋_GB2312" w:cs="仿宋_GB2312"/>
          <w:lang w:val="en-US" w:eastAsia="zh-CN"/>
        </w:rPr>
      </w:pPr>
    </w:p>
    <w:p w14:paraId="4AABE841">
      <w:pPr>
        <w:pStyle w:val="11"/>
        <w:ind w:firstLine="480"/>
        <w:jc w:val="left"/>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我方公司（北京科启星科技有限公司）针对参与的采购活动项目名称：泉州市实验小学大兴校区教学仪器购置（三次）（项目编号：</w:t>
      </w:r>
      <w:r>
        <w:rPr>
          <w:rFonts w:hint="eastAsia" w:ascii="仿宋_GB2312" w:hAnsi="仿宋_GB2312" w:eastAsia="仿宋_GB2312" w:cs="仿宋_GB2312"/>
          <w:sz w:val="20"/>
          <w:szCs w:val="20"/>
        </w:rPr>
        <w:t>[350501]HXCG[GK]2025004-2</w:t>
      </w:r>
      <w:r>
        <w:rPr>
          <w:rFonts w:hint="eastAsia" w:ascii="仿宋_GB2312" w:hAnsi="仿宋_GB2312" w:eastAsia="仿宋_GB2312" w:cs="仿宋_GB2312"/>
          <w:lang w:val="en-US" w:eastAsia="zh-CN"/>
        </w:rPr>
        <w:t>）做出如下售后服务承诺：</w:t>
      </w:r>
    </w:p>
    <w:p w14:paraId="53A6F8E4">
      <w:pPr>
        <w:pStyle w:val="11"/>
        <w:ind w:firstLine="480"/>
        <w:jc w:val="left"/>
        <w:rPr>
          <w:rFonts w:hint="eastAsia" w:ascii="仿宋_GB2312" w:hAnsi="仿宋_GB2312" w:eastAsia="仿宋_GB2312" w:cs="仿宋_GB2312"/>
          <w:lang w:val="en-US" w:eastAsia="zh-CN"/>
        </w:rPr>
      </w:pPr>
    </w:p>
    <w:p w14:paraId="4446F0C2">
      <w:pPr>
        <w:pStyle w:val="11"/>
        <w:ind w:firstLine="480"/>
        <w:jc w:val="left"/>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提供1年的技术支持服务，且不额外收取费用；包括故障响应、问题排查、版本更新等；</w:t>
      </w:r>
    </w:p>
    <w:p w14:paraId="517A73D3">
      <w:pPr>
        <w:pStyle w:val="11"/>
        <w:ind w:firstLine="480"/>
        <w:jc w:val="left"/>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提供1场线下师资培训，且不额外收取费用；覆盖课程使用、教学设备器材使用。</w:t>
      </w:r>
    </w:p>
    <w:p w14:paraId="263F8B10">
      <w:pPr>
        <w:pStyle w:val="11"/>
        <w:ind w:firstLine="480"/>
        <w:jc w:val="left"/>
        <w:rPr>
          <w:rFonts w:hint="eastAsia" w:ascii="仿宋_GB2312" w:hAnsi="仿宋_GB2312" w:eastAsia="仿宋_GB2312" w:cs="仿宋_GB2312"/>
          <w:lang w:val="en-US" w:eastAsia="zh-CN"/>
        </w:rPr>
      </w:pPr>
    </w:p>
    <w:p w14:paraId="18DA55A1">
      <w:pPr>
        <w:pStyle w:val="11"/>
        <w:ind w:firstLine="480"/>
        <w:jc w:val="right"/>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承诺公司名称：北京科启星科技有限公司</w:t>
      </w:r>
    </w:p>
    <w:p w14:paraId="111428A7">
      <w:pPr>
        <w:pStyle w:val="11"/>
        <w:ind w:firstLine="480"/>
        <w:jc w:val="right"/>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时间：2026年2月15日</w:t>
      </w:r>
    </w:p>
    <w:p w14:paraId="0572A3FD">
      <w:pP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br w:type="page"/>
      </w:r>
    </w:p>
    <w:p w14:paraId="02A240FC">
      <w:pPr>
        <w:spacing w:before="480" w:after="480" w:line="288" w:lineRule="auto"/>
        <w:ind w:left="0"/>
        <w:jc w:val="center"/>
        <w:rPr>
          <w:rFonts w:hint="eastAsia" w:ascii="仿宋_GB2312" w:hAnsi="仿宋_GB2312" w:eastAsia="仿宋_GB2312" w:cs="仿宋_GB2312"/>
          <w:b/>
          <w:sz w:val="36"/>
          <w:szCs w:val="36"/>
        </w:rPr>
      </w:pPr>
      <w:r>
        <w:rPr>
          <w:rFonts w:hint="eastAsia" w:ascii="仿宋_GB2312" w:hAnsi="仿宋_GB2312" w:eastAsia="仿宋_GB2312" w:cs="仿宋_GB2312"/>
          <w:b/>
          <w:sz w:val="36"/>
          <w:szCs w:val="36"/>
        </w:rPr>
        <w:t>泉州市实验小学大兴校区教学仪器购置(三次)</w:t>
      </w:r>
    </w:p>
    <w:p w14:paraId="45BFFD79">
      <w:pPr>
        <w:spacing w:before="480" w:after="480" w:line="288" w:lineRule="auto"/>
        <w:ind w:left="0"/>
        <w:jc w:val="center"/>
        <w:rPr>
          <w:rFonts w:hint="eastAsia" w:ascii="仿宋_GB2312" w:hAnsi="仿宋_GB2312" w:eastAsia="仿宋_GB2312" w:cs="仿宋_GB2312"/>
          <w:sz w:val="36"/>
          <w:szCs w:val="36"/>
        </w:rPr>
      </w:pPr>
      <w:r>
        <w:rPr>
          <w:rFonts w:hint="eastAsia" w:ascii="仿宋_GB2312" w:hAnsi="仿宋_GB2312" w:eastAsia="仿宋_GB2312" w:cs="仿宋_GB2312"/>
          <w:b/>
          <w:sz w:val="36"/>
          <w:szCs w:val="36"/>
        </w:rPr>
        <w:t>项目管理及实施方案</w:t>
      </w:r>
    </w:p>
    <w:p w14:paraId="05CEB612">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项目编号</w:t>
      </w:r>
      <w:r>
        <w:rPr>
          <w:rFonts w:hint="eastAsia" w:ascii="仿宋_GB2312" w:hAnsi="仿宋_GB2312" w:eastAsia="仿宋_GB2312" w:cs="仿宋_GB2312"/>
          <w:sz w:val="20"/>
          <w:szCs w:val="20"/>
        </w:rPr>
        <w:t>：[350501]HXCG[GK]2025004-2</w:t>
      </w:r>
    </w:p>
    <w:p w14:paraId="5BA4261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备案编号</w:t>
      </w:r>
      <w:r>
        <w:rPr>
          <w:rFonts w:hint="eastAsia" w:ascii="仿宋_GB2312" w:hAnsi="仿宋_GB2312" w:eastAsia="仿宋_GB2312" w:cs="仿宋_GB2312"/>
          <w:sz w:val="20"/>
          <w:szCs w:val="20"/>
        </w:rPr>
        <w:t>：CGXM-2025-350501-02944[2025]02530</w:t>
      </w:r>
    </w:p>
    <w:p w14:paraId="6F68729D">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采购包</w:t>
      </w:r>
      <w:r>
        <w:rPr>
          <w:rFonts w:hint="eastAsia" w:ascii="仿宋_GB2312" w:hAnsi="仿宋_GB2312" w:eastAsia="仿宋_GB2312" w:cs="仿宋_GB2312"/>
          <w:sz w:val="20"/>
          <w:szCs w:val="20"/>
        </w:rPr>
        <w:t>：1</w:t>
      </w:r>
    </w:p>
    <w:p w14:paraId="47A356C2">
      <w:pPr>
        <w:spacing w:before="120" w:after="120" w:line="288" w:lineRule="auto"/>
        <w:ind w:left="0"/>
        <w:jc w:val="left"/>
        <w:rPr>
          <w:rFonts w:hint="default" w:ascii="仿宋_GB2312" w:hAnsi="仿宋_GB2312" w:eastAsia="仿宋_GB2312" w:cs="仿宋_GB2312"/>
          <w:sz w:val="20"/>
          <w:szCs w:val="20"/>
          <w:lang w:val="en-US" w:eastAsia="zh-CN"/>
        </w:rPr>
      </w:pPr>
      <w:r>
        <w:rPr>
          <w:rFonts w:hint="eastAsia" w:ascii="仿宋_GB2312" w:hAnsi="仿宋_GB2312" w:eastAsia="仿宋_GB2312" w:cs="仿宋_GB2312"/>
          <w:b/>
          <w:sz w:val="20"/>
          <w:szCs w:val="20"/>
        </w:rPr>
        <w:t>实施单位</w:t>
      </w:r>
      <w:r>
        <w:rPr>
          <w:rFonts w:hint="eastAsia" w:ascii="仿宋_GB2312" w:hAnsi="仿宋_GB2312" w:eastAsia="仿宋_GB2312" w:cs="仿宋_GB2312"/>
          <w:sz w:val="20"/>
          <w:szCs w:val="20"/>
        </w:rPr>
        <w:t>：</w:t>
      </w:r>
      <w:r>
        <w:rPr>
          <w:rFonts w:hint="eastAsia" w:ascii="仿宋_GB2312" w:hAnsi="仿宋_GB2312" w:eastAsia="仿宋_GB2312" w:cs="仿宋_GB2312"/>
          <w:sz w:val="20"/>
          <w:szCs w:val="20"/>
          <w:lang w:val="en-US" w:eastAsia="zh-CN"/>
        </w:rPr>
        <w:t>北京科启星科技有限公司</w:t>
      </w:r>
    </w:p>
    <w:p w14:paraId="029090C1">
      <w:pPr>
        <w:spacing w:before="120" w:after="120" w:line="288" w:lineRule="auto"/>
        <w:ind w:left="0"/>
        <w:jc w:val="left"/>
        <w:rPr>
          <w:rFonts w:hint="default" w:ascii="仿宋_GB2312" w:hAnsi="仿宋_GB2312" w:eastAsia="仿宋_GB2312" w:cs="仿宋_GB2312"/>
          <w:sz w:val="20"/>
          <w:szCs w:val="20"/>
          <w:lang w:val="en-US" w:eastAsia="zh-CN"/>
        </w:rPr>
      </w:pPr>
      <w:r>
        <w:rPr>
          <w:rFonts w:hint="eastAsia" w:ascii="仿宋_GB2312" w:hAnsi="仿宋_GB2312" w:eastAsia="仿宋_GB2312" w:cs="仿宋_GB2312"/>
          <w:b/>
          <w:sz w:val="20"/>
          <w:szCs w:val="20"/>
        </w:rPr>
        <w:t>编制日期</w:t>
      </w:r>
      <w:r>
        <w:rPr>
          <w:rFonts w:hint="eastAsia" w:ascii="仿宋_GB2312" w:hAnsi="仿宋_GB2312" w:eastAsia="仿宋_GB2312" w:cs="仿宋_GB2312"/>
          <w:sz w:val="20"/>
          <w:szCs w:val="20"/>
        </w:rPr>
        <w:t>：</w:t>
      </w:r>
      <w:r>
        <w:rPr>
          <w:rFonts w:hint="eastAsia" w:ascii="仿宋_GB2312" w:hAnsi="仿宋_GB2312" w:eastAsia="仿宋_GB2312" w:cs="仿宋_GB2312"/>
          <w:sz w:val="20"/>
          <w:szCs w:val="20"/>
          <w:lang w:val="en-US" w:eastAsia="zh-CN"/>
        </w:rPr>
        <w:t>2026年2月15日</w:t>
      </w:r>
    </w:p>
    <w:p w14:paraId="6539D391">
      <w:pPr>
        <w:spacing w:before="320" w:after="120" w:line="288" w:lineRule="auto"/>
        <w:ind w:left="0"/>
        <w:jc w:val="left"/>
        <w:outlineLvl w:val="1"/>
        <w:rPr>
          <w:rFonts w:hint="eastAsia" w:ascii="仿宋_GB2312" w:hAnsi="仿宋_GB2312" w:eastAsia="仿宋_GB2312" w:cs="仿宋_GB2312"/>
          <w:sz w:val="20"/>
          <w:szCs w:val="20"/>
        </w:rPr>
      </w:pPr>
      <w:bookmarkStart w:id="0" w:name="heading_0"/>
      <w:r>
        <w:rPr>
          <w:rFonts w:hint="eastAsia" w:ascii="仿宋_GB2312" w:hAnsi="仿宋_GB2312" w:eastAsia="仿宋_GB2312" w:cs="仿宋_GB2312"/>
          <w:b/>
          <w:sz w:val="20"/>
          <w:szCs w:val="20"/>
        </w:rPr>
        <w:t>一、项目概述与整体理解</w:t>
      </w:r>
      <w:bookmarkEnd w:id="0"/>
    </w:p>
    <w:p w14:paraId="5D03A386">
      <w:pPr>
        <w:spacing w:before="300" w:after="120" w:line="288" w:lineRule="auto"/>
        <w:ind w:left="0"/>
        <w:jc w:val="left"/>
        <w:outlineLvl w:val="2"/>
        <w:rPr>
          <w:rFonts w:hint="eastAsia" w:ascii="仿宋_GB2312" w:hAnsi="仿宋_GB2312" w:eastAsia="仿宋_GB2312" w:cs="仿宋_GB2312"/>
          <w:sz w:val="20"/>
          <w:szCs w:val="20"/>
        </w:rPr>
      </w:pPr>
      <w:bookmarkStart w:id="1" w:name="heading_1"/>
      <w:r>
        <w:rPr>
          <w:rFonts w:hint="eastAsia" w:ascii="仿宋_GB2312" w:hAnsi="仿宋_GB2312" w:eastAsia="仿宋_GB2312" w:cs="仿宋_GB2312"/>
          <w:b/>
          <w:sz w:val="20"/>
          <w:szCs w:val="20"/>
        </w:rPr>
        <w:t>1.1 项目建设目标</w:t>
      </w:r>
      <w:bookmarkEnd w:id="1"/>
    </w:p>
    <w:p w14:paraId="40EDEDBE">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本项目为泉州市实验小学大兴校区教学仪器购置及配套服务项目，核心目标是通过配置72项兼具教学性、互动性、安全性的教学仪器与课程资源，打造集</w:t>
      </w:r>
      <w:r>
        <w:rPr>
          <w:rFonts w:hint="eastAsia" w:ascii="仿宋_GB2312" w:hAnsi="仿宋_GB2312" w:eastAsia="仿宋_GB2312" w:cs="仿宋_GB2312"/>
          <w:b/>
          <w:sz w:val="20"/>
          <w:szCs w:val="20"/>
        </w:rPr>
        <w:t>天文观测、科学探究、科创实践、文化传承</w:t>
      </w:r>
      <w:r>
        <w:rPr>
          <w:rFonts w:hint="eastAsia" w:ascii="仿宋_GB2312" w:hAnsi="仿宋_GB2312" w:eastAsia="仿宋_GB2312" w:cs="仿宋_GB2312"/>
          <w:sz w:val="20"/>
          <w:szCs w:val="20"/>
        </w:rPr>
        <w:t>于一体的现代化教学空间（天文馆+Stream教室），对接小学科学课程标准，为学生提供沉浸式、探究式的科学教育体验，提升校园科学教育教学质量与水平。</w:t>
      </w:r>
    </w:p>
    <w:p w14:paraId="794EE66A">
      <w:pPr>
        <w:spacing w:before="300" w:after="120" w:line="288" w:lineRule="auto"/>
        <w:ind w:left="0"/>
        <w:jc w:val="left"/>
        <w:outlineLvl w:val="2"/>
        <w:rPr>
          <w:rFonts w:hint="eastAsia" w:ascii="仿宋_GB2312" w:hAnsi="仿宋_GB2312" w:eastAsia="仿宋_GB2312" w:cs="仿宋_GB2312"/>
          <w:sz w:val="20"/>
          <w:szCs w:val="20"/>
        </w:rPr>
      </w:pPr>
      <w:bookmarkStart w:id="2" w:name="heading_2"/>
      <w:r>
        <w:rPr>
          <w:rFonts w:hint="eastAsia" w:ascii="仿宋_GB2312" w:hAnsi="仿宋_GB2312" w:eastAsia="仿宋_GB2312" w:cs="仿宋_GB2312"/>
          <w:b/>
          <w:sz w:val="20"/>
          <w:szCs w:val="20"/>
        </w:rPr>
        <w:t>1.2 项目核心内容</w:t>
      </w:r>
      <w:bookmarkEnd w:id="2"/>
    </w:p>
    <w:p w14:paraId="65B1303B">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本项目涵盖天文馆、Stream教室两大教学区域的硬件设备采购、安装调试及配套软件、课程资源、技术服务等，核心内容包括：</w:t>
      </w:r>
    </w:p>
    <w:p w14:paraId="7EF7FED7">
      <w:pPr>
        <w:numPr>
          <w:ilvl w:val="0"/>
          <w:numId w:val="2"/>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硬件设备</w:t>
      </w:r>
      <w:r>
        <w:rPr>
          <w:rFonts w:hint="eastAsia" w:ascii="仿宋_GB2312" w:hAnsi="仿宋_GB2312" w:eastAsia="仿宋_GB2312" w:cs="仿宋_GB2312"/>
          <w:sz w:val="20"/>
          <w:szCs w:val="20"/>
        </w:rPr>
        <w:t>：天文展教具（走过四季、月相变化等）、VR虚拟体验学习机、机械传动互动展示墙、实验家具、多媒体教学设备、编程/3D打印/科学探究实验套装等72项货物；</w:t>
      </w:r>
    </w:p>
    <w:p w14:paraId="51D2B71D">
      <w:pPr>
        <w:numPr>
          <w:ilvl w:val="0"/>
          <w:numId w:val="3"/>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课程资源</w:t>
      </w:r>
      <w:r>
        <w:rPr>
          <w:rFonts w:hint="eastAsia" w:ascii="仿宋_GB2312" w:hAnsi="仿宋_GB2312" w:eastAsia="仿宋_GB2312" w:cs="仿宋_GB2312"/>
          <w:sz w:val="20"/>
          <w:szCs w:val="20"/>
        </w:rPr>
        <w:t>：配套天文探究系列课程、科创课程、跨区域融合课程等全套教学资源，含教案、课件、学生手册、实验记录表等；</w:t>
      </w:r>
    </w:p>
    <w:p w14:paraId="1394982A">
      <w:pPr>
        <w:numPr>
          <w:ilvl w:val="0"/>
          <w:numId w:val="4"/>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配套服务</w:t>
      </w:r>
      <w:r>
        <w:rPr>
          <w:rFonts w:hint="eastAsia" w:ascii="仿宋_GB2312" w:hAnsi="仿宋_GB2312" w:eastAsia="仿宋_GB2312" w:cs="仿宋_GB2312"/>
          <w:sz w:val="20"/>
          <w:szCs w:val="20"/>
        </w:rPr>
        <w:t>：设备现场安装调试、师资专项培训、2年免费质保、售后技术支持、设备校准、课程融合设计等全流程服务。</w:t>
      </w:r>
    </w:p>
    <w:p w14:paraId="5A4E4D3B">
      <w:pPr>
        <w:spacing w:before="300" w:after="120" w:line="288" w:lineRule="auto"/>
        <w:ind w:left="0"/>
        <w:jc w:val="left"/>
        <w:outlineLvl w:val="2"/>
        <w:rPr>
          <w:rFonts w:hint="eastAsia" w:ascii="仿宋_GB2312" w:hAnsi="仿宋_GB2312" w:eastAsia="仿宋_GB2312" w:cs="仿宋_GB2312"/>
          <w:sz w:val="20"/>
          <w:szCs w:val="20"/>
        </w:rPr>
      </w:pPr>
      <w:bookmarkStart w:id="3" w:name="heading_3"/>
      <w:r>
        <w:rPr>
          <w:rFonts w:hint="eastAsia" w:ascii="仿宋_GB2312" w:hAnsi="仿宋_GB2312" w:eastAsia="仿宋_GB2312" w:cs="仿宋_GB2312"/>
          <w:b/>
          <w:sz w:val="20"/>
          <w:szCs w:val="20"/>
        </w:rPr>
        <w:t>1.3 项目建设意义</w:t>
      </w:r>
      <w:bookmarkEnd w:id="3"/>
    </w:p>
    <w:p w14:paraId="47DBD9EC">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项目建成后将填补校区天文与科创特色教育硬件空白，构建“知识+实践+互动”的三维教学模式，实现从传统课堂到沉浸式探究课堂的升级，培养学生的科学探究能力、动手操作能力和创新思维，同时为教师提供专业的教学设备与课程资源，助力校园特色教育体系建设。</w:t>
      </w:r>
    </w:p>
    <w:p w14:paraId="0D9E7496">
      <w:pPr>
        <w:spacing w:before="320" w:after="120" w:line="288" w:lineRule="auto"/>
        <w:ind w:left="0"/>
        <w:jc w:val="left"/>
        <w:outlineLvl w:val="1"/>
        <w:rPr>
          <w:rFonts w:hint="eastAsia" w:ascii="仿宋_GB2312" w:hAnsi="仿宋_GB2312" w:eastAsia="仿宋_GB2312" w:cs="仿宋_GB2312"/>
          <w:sz w:val="20"/>
          <w:szCs w:val="20"/>
        </w:rPr>
      </w:pPr>
      <w:bookmarkStart w:id="4" w:name="heading_4"/>
      <w:r>
        <w:rPr>
          <w:rFonts w:hint="eastAsia" w:ascii="仿宋_GB2312" w:hAnsi="仿宋_GB2312" w:eastAsia="仿宋_GB2312" w:cs="仿宋_GB2312"/>
          <w:b/>
          <w:sz w:val="20"/>
          <w:szCs w:val="20"/>
        </w:rPr>
        <w:t>二、项目重难点分析与应对策略</w:t>
      </w:r>
      <w:bookmarkEnd w:id="4"/>
    </w:p>
    <w:p w14:paraId="477272CF">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结合项目需求与现场实施特点，梳理核心重难点并制定针对性应对策略，确保项目高效、高质量推进：</w:t>
      </w:r>
    </w:p>
    <w:tbl>
      <w:tblPr>
        <w:tblStyle w:val="9"/>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79"/>
        <w:gridCol w:w="1684"/>
        <w:gridCol w:w="5717"/>
      </w:tblGrid>
      <w:tr w14:paraId="4F2B162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79" w:type="dxa"/>
            <w:tcMar>
              <w:top w:w="60" w:type="dxa"/>
              <w:left w:w="120" w:type="dxa"/>
              <w:bottom w:w="30" w:type="dxa"/>
              <w:right w:w="120" w:type="dxa"/>
            </w:tcMar>
            <w:vAlign w:val="center"/>
          </w:tcPr>
          <w:p w14:paraId="3A9E0719">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序号</w:t>
            </w:r>
          </w:p>
        </w:tc>
        <w:tc>
          <w:tcPr>
            <w:tcW w:w="1684" w:type="dxa"/>
            <w:tcMar>
              <w:top w:w="60" w:type="dxa"/>
              <w:left w:w="120" w:type="dxa"/>
              <w:bottom w:w="30" w:type="dxa"/>
              <w:right w:w="120" w:type="dxa"/>
            </w:tcMar>
            <w:vAlign w:val="center"/>
          </w:tcPr>
          <w:p w14:paraId="7F11CE0A">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项目重难点</w:t>
            </w:r>
          </w:p>
        </w:tc>
        <w:tc>
          <w:tcPr>
            <w:tcW w:w="5717" w:type="dxa"/>
            <w:tcMar>
              <w:top w:w="60" w:type="dxa"/>
              <w:left w:w="120" w:type="dxa"/>
              <w:bottom w:w="30" w:type="dxa"/>
              <w:right w:w="120" w:type="dxa"/>
            </w:tcMar>
            <w:vAlign w:val="center"/>
          </w:tcPr>
          <w:p w14:paraId="73507E61">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核心应对策略</w:t>
            </w:r>
          </w:p>
        </w:tc>
      </w:tr>
      <w:tr w14:paraId="050DCE6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79" w:type="dxa"/>
            <w:tcMar>
              <w:top w:w="60" w:type="dxa"/>
              <w:left w:w="120" w:type="dxa"/>
              <w:bottom w:w="30" w:type="dxa"/>
              <w:right w:w="120" w:type="dxa"/>
            </w:tcMar>
            <w:vAlign w:val="center"/>
          </w:tcPr>
          <w:p w14:paraId="41625C3F">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w:t>
            </w:r>
          </w:p>
        </w:tc>
        <w:tc>
          <w:tcPr>
            <w:tcW w:w="1684" w:type="dxa"/>
            <w:tcMar>
              <w:top w:w="60" w:type="dxa"/>
              <w:left w:w="120" w:type="dxa"/>
              <w:bottom w:w="30" w:type="dxa"/>
              <w:right w:w="120" w:type="dxa"/>
            </w:tcMar>
            <w:vAlign w:val="center"/>
          </w:tcPr>
          <w:p w14:paraId="0A80DEC8">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多品类多厂商设备集成复杂度高，需保障系统兼容性与功能联动</w:t>
            </w:r>
          </w:p>
        </w:tc>
        <w:tc>
          <w:tcPr>
            <w:tcW w:w="5717" w:type="dxa"/>
            <w:tcMar>
              <w:top w:w="60" w:type="dxa"/>
              <w:left w:w="120" w:type="dxa"/>
              <w:bottom w:w="30" w:type="dxa"/>
              <w:right w:w="120" w:type="dxa"/>
            </w:tcMar>
            <w:vAlign w:val="center"/>
          </w:tcPr>
          <w:p w14:paraId="7ECD311D">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成立专业技术组，提前核对所有设备技术参数，制定统一的系统集成方案；2. 对VR系统、互动屏、多媒体终端等核心电子设备进行出厂前联调测试；3. 现场安装后开展全系统联调，确保各设备、各系统间无缝对接、功能正常联动。</w:t>
            </w:r>
          </w:p>
        </w:tc>
      </w:tr>
      <w:tr w14:paraId="52399FD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79" w:type="dxa"/>
            <w:tcMar>
              <w:top w:w="60" w:type="dxa"/>
              <w:left w:w="120" w:type="dxa"/>
              <w:bottom w:w="30" w:type="dxa"/>
              <w:right w:w="120" w:type="dxa"/>
            </w:tcMar>
            <w:vAlign w:val="center"/>
          </w:tcPr>
          <w:p w14:paraId="2B771C0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2</w:t>
            </w:r>
          </w:p>
        </w:tc>
        <w:tc>
          <w:tcPr>
            <w:tcW w:w="1684" w:type="dxa"/>
            <w:tcMar>
              <w:top w:w="60" w:type="dxa"/>
              <w:left w:w="120" w:type="dxa"/>
              <w:bottom w:w="30" w:type="dxa"/>
              <w:right w:w="120" w:type="dxa"/>
            </w:tcMar>
            <w:vAlign w:val="center"/>
          </w:tcPr>
          <w:p w14:paraId="52EFE55F">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课程资源配套要求高，需对接小学科学课标且具备强可操作性</w:t>
            </w:r>
          </w:p>
        </w:tc>
        <w:tc>
          <w:tcPr>
            <w:tcW w:w="5717" w:type="dxa"/>
            <w:tcMar>
              <w:top w:w="60" w:type="dxa"/>
              <w:left w:w="120" w:type="dxa"/>
              <w:bottom w:w="30" w:type="dxa"/>
              <w:right w:w="120" w:type="dxa"/>
            </w:tcMar>
            <w:vAlign w:val="center"/>
          </w:tcPr>
          <w:p w14:paraId="30C51B0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依托配套的《青少年天文探究系列课程体系》，结合校区教学实际优化课程内容，确保完全对接2022年小学科学课标；2. 提供课程设计说明书、教学课件、学生手册、实验记录表等全套资源，配套学生资源箱、实验材料包；3. 安排课程研发人员与校方教师一对一沟通，根据教学需求定制化调整课程内容。</w:t>
            </w:r>
          </w:p>
        </w:tc>
      </w:tr>
      <w:tr w14:paraId="64F3582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79" w:type="dxa"/>
            <w:tcMar>
              <w:top w:w="60" w:type="dxa"/>
              <w:left w:w="120" w:type="dxa"/>
              <w:bottom w:w="30" w:type="dxa"/>
              <w:right w:w="120" w:type="dxa"/>
            </w:tcMar>
            <w:vAlign w:val="center"/>
          </w:tcPr>
          <w:p w14:paraId="43D07E6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3</w:t>
            </w:r>
          </w:p>
        </w:tc>
        <w:tc>
          <w:tcPr>
            <w:tcW w:w="1684" w:type="dxa"/>
            <w:tcMar>
              <w:top w:w="60" w:type="dxa"/>
              <w:left w:w="120" w:type="dxa"/>
              <w:bottom w:w="30" w:type="dxa"/>
              <w:right w:w="120" w:type="dxa"/>
            </w:tcMar>
            <w:vAlign w:val="center"/>
          </w:tcPr>
          <w:p w14:paraId="62D4C76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安装调试时间紧，合同签订后60天内需完成全部交付验收</w:t>
            </w:r>
          </w:p>
        </w:tc>
        <w:tc>
          <w:tcPr>
            <w:tcW w:w="5717" w:type="dxa"/>
            <w:tcMar>
              <w:top w:w="60" w:type="dxa"/>
              <w:left w:w="120" w:type="dxa"/>
              <w:bottom w:w="30" w:type="dxa"/>
              <w:right w:w="120" w:type="dxa"/>
            </w:tcMar>
            <w:vAlign w:val="center"/>
          </w:tcPr>
          <w:p w14:paraId="682DE4A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制定精细化《项目实施计划表》，明确各阶段时间节点、责任人及交付成果，倒排工期、挂图作战；2. 分区域、分批次开展设备安装调试（天文馆、Stream教室同步推进），避免现场工序冲突；3. 提前协调供应商按计划分批次发货，确保设备按期到场，减少物流等待时间。</w:t>
            </w:r>
          </w:p>
        </w:tc>
      </w:tr>
      <w:tr w14:paraId="2E4E5FB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79" w:type="dxa"/>
            <w:tcMar>
              <w:top w:w="60" w:type="dxa"/>
              <w:left w:w="120" w:type="dxa"/>
              <w:bottom w:w="30" w:type="dxa"/>
              <w:right w:w="120" w:type="dxa"/>
            </w:tcMar>
            <w:vAlign w:val="center"/>
          </w:tcPr>
          <w:p w14:paraId="4858F1BB">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4</w:t>
            </w:r>
          </w:p>
        </w:tc>
        <w:tc>
          <w:tcPr>
            <w:tcW w:w="1684" w:type="dxa"/>
            <w:tcMar>
              <w:top w:w="60" w:type="dxa"/>
              <w:left w:w="120" w:type="dxa"/>
              <w:bottom w:w="30" w:type="dxa"/>
              <w:right w:w="120" w:type="dxa"/>
            </w:tcMar>
            <w:vAlign w:val="center"/>
          </w:tcPr>
          <w:p w14:paraId="1EADAF4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部分设备需现场定制化安装（如工具墙、互动展示墙等），对勘察设计要求高</w:t>
            </w:r>
          </w:p>
        </w:tc>
        <w:tc>
          <w:tcPr>
            <w:tcW w:w="5717" w:type="dxa"/>
            <w:tcMar>
              <w:top w:w="60" w:type="dxa"/>
              <w:left w:w="120" w:type="dxa"/>
              <w:bottom w:w="30" w:type="dxa"/>
              <w:right w:w="120" w:type="dxa"/>
            </w:tcMar>
            <w:vAlign w:val="center"/>
          </w:tcPr>
          <w:p w14:paraId="10DA864A">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项目启动后3个工作日内完成现场精准勘察，绘制1:1安装布局图，确认定制设备尺寸、安装位置及现场基础设施条件（电源、网络、空间等）；2. 定制设备生产过程中安排专人跟踪，确保尺寸、工艺与现场需求完全匹配；3. 现场安装前再次复核尺寸，配备专业安装团队进行定制化施工，确保安装精度。</w:t>
            </w:r>
          </w:p>
        </w:tc>
      </w:tr>
      <w:tr w14:paraId="33FED1C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79" w:type="dxa"/>
            <w:tcMar>
              <w:top w:w="60" w:type="dxa"/>
              <w:left w:w="120" w:type="dxa"/>
              <w:bottom w:w="30" w:type="dxa"/>
              <w:right w:w="120" w:type="dxa"/>
            </w:tcMar>
            <w:vAlign w:val="center"/>
          </w:tcPr>
          <w:p w14:paraId="4B22F77F">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5</w:t>
            </w:r>
          </w:p>
        </w:tc>
        <w:tc>
          <w:tcPr>
            <w:tcW w:w="1684" w:type="dxa"/>
            <w:tcMar>
              <w:top w:w="60" w:type="dxa"/>
              <w:left w:w="120" w:type="dxa"/>
              <w:bottom w:w="30" w:type="dxa"/>
              <w:right w:w="120" w:type="dxa"/>
            </w:tcMar>
            <w:vAlign w:val="center"/>
          </w:tcPr>
          <w:p w14:paraId="5E77945F">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教学设备使用频率高，需保障售后服务快速响应，不影响正常教学</w:t>
            </w:r>
          </w:p>
        </w:tc>
        <w:tc>
          <w:tcPr>
            <w:tcW w:w="5717" w:type="dxa"/>
            <w:tcMar>
              <w:top w:w="60" w:type="dxa"/>
              <w:left w:w="120" w:type="dxa"/>
              <w:bottom w:w="30" w:type="dxa"/>
              <w:right w:w="120" w:type="dxa"/>
            </w:tcMar>
            <w:vAlign w:val="center"/>
          </w:tcPr>
          <w:p w14:paraId="36591E6D">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建立7×24小时专属售后响应机制，质保期内3小时内响应、8小时内现场维修；2. 在泉州本地配备全套常用备品备件，24小时内无法修复的立即更换备品；3. 每月开展设备主动回访，每半年进行一次免费校准，每年两次全面巡检，提前排查设备隐患。</w:t>
            </w:r>
          </w:p>
        </w:tc>
      </w:tr>
      <w:tr w14:paraId="2EA9F89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79" w:type="dxa"/>
            <w:tcMar>
              <w:top w:w="60" w:type="dxa"/>
              <w:left w:w="120" w:type="dxa"/>
              <w:bottom w:w="30" w:type="dxa"/>
              <w:right w:w="120" w:type="dxa"/>
            </w:tcMar>
            <w:vAlign w:val="center"/>
          </w:tcPr>
          <w:p w14:paraId="77317023">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6</w:t>
            </w:r>
          </w:p>
        </w:tc>
        <w:tc>
          <w:tcPr>
            <w:tcW w:w="1684" w:type="dxa"/>
            <w:tcMar>
              <w:top w:w="60" w:type="dxa"/>
              <w:left w:w="120" w:type="dxa"/>
              <w:bottom w:w="30" w:type="dxa"/>
              <w:right w:w="120" w:type="dxa"/>
            </w:tcMar>
            <w:vAlign w:val="center"/>
          </w:tcPr>
          <w:p w14:paraId="50660D69">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需实现天文馆与Stream教室课程深度融合，打造一体化教学体系</w:t>
            </w:r>
          </w:p>
        </w:tc>
        <w:tc>
          <w:tcPr>
            <w:tcW w:w="5717" w:type="dxa"/>
            <w:tcMar>
              <w:top w:w="60" w:type="dxa"/>
              <w:left w:w="120" w:type="dxa"/>
              <w:bottom w:w="30" w:type="dxa"/>
              <w:right w:w="120" w:type="dxa"/>
            </w:tcMar>
            <w:vAlign w:val="center"/>
          </w:tcPr>
          <w:p w14:paraId="03BDB029">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组建教研专项组，设计天文+科创跨区域融合课程方案，开发不少于8节融合课程教案；2. 开展融合课程专项培训，指导教师掌握跨区域教学方法；3. 为校方提供课程融合实施指导，协助组织天文+科创实践活动，实现两大教学区域的教学联动。</w:t>
            </w:r>
          </w:p>
        </w:tc>
      </w:tr>
    </w:tbl>
    <w:p w14:paraId="22DEB287">
      <w:pPr>
        <w:spacing w:before="320" w:after="120" w:line="288" w:lineRule="auto"/>
        <w:ind w:left="0"/>
        <w:jc w:val="left"/>
        <w:outlineLvl w:val="1"/>
        <w:rPr>
          <w:rFonts w:hint="eastAsia" w:ascii="仿宋_GB2312" w:hAnsi="仿宋_GB2312" w:eastAsia="仿宋_GB2312" w:cs="仿宋_GB2312"/>
          <w:sz w:val="20"/>
          <w:szCs w:val="20"/>
        </w:rPr>
      </w:pPr>
      <w:bookmarkStart w:id="5" w:name="heading_5"/>
      <w:r>
        <w:rPr>
          <w:rFonts w:hint="eastAsia" w:ascii="仿宋_GB2312" w:hAnsi="仿宋_GB2312" w:eastAsia="仿宋_GB2312" w:cs="仿宋_GB2312"/>
          <w:b/>
          <w:sz w:val="20"/>
          <w:szCs w:val="20"/>
        </w:rPr>
        <w:t>三、项目组织管理</w:t>
      </w:r>
      <w:bookmarkEnd w:id="5"/>
    </w:p>
    <w:p w14:paraId="75173BF9">
      <w:pPr>
        <w:spacing w:before="300" w:after="120" w:line="288" w:lineRule="auto"/>
        <w:ind w:left="0"/>
        <w:jc w:val="left"/>
        <w:outlineLvl w:val="2"/>
        <w:rPr>
          <w:rFonts w:hint="eastAsia" w:ascii="仿宋_GB2312" w:hAnsi="仿宋_GB2312" w:eastAsia="仿宋_GB2312" w:cs="仿宋_GB2312"/>
          <w:sz w:val="20"/>
          <w:szCs w:val="20"/>
        </w:rPr>
      </w:pPr>
      <w:bookmarkStart w:id="6" w:name="heading_6"/>
      <w:r>
        <w:rPr>
          <w:rFonts w:hint="eastAsia" w:ascii="仿宋_GB2312" w:hAnsi="仿宋_GB2312" w:eastAsia="仿宋_GB2312" w:cs="仿宋_GB2312"/>
          <w:b/>
          <w:sz w:val="20"/>
          <w:szCs w:val="20"/>
        </w:rPr>
        <w:t>3.1 项目组织架构</w:t>
      </w:r>
      <w:bookmarkEnd w:id="6"/>
    </w:p>
    <w:p w14:paraId="67A6C6CD">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为保障项目顺利实施，成立</w:t>
      </w:r>
      <w:r>
        <w:rPr>
          <w:rFonts w:hint="eastAsia" w:ascii="仿宋_GB2312" w:hAnsi="仿宋_GB2312" w:eastAsia="仿宋_GB2312" w:cs="仿宋_GB2312"/>
          <w:b/>
          <w:sz w:val="20"/>
          <w:szCs w:val="20"/>
        </w:rPr>
        <w:t>专项项目组</w:t>
      </w:r>
      <w:r>
        <w:rPr>
          <w:rFonts w:hint="eastAsia" w:ascii="仿宋_GB2312" w:hAnsi="仿宋_GB2312" w:eastAsia="仿宋_GB2312" w:cs="仿宋_GB2312"/>
          <w:sz w:val="20"/>
          <w:szCs w:val="20"/>
        </w:rPr>
        <w:t>，实行项目经理负责制，团队成员均具备同类教育设备项目实施经验，明确各岗位职责，做到分工明确、责任到人、高效协同。</w:t>
      </w:r>
    </w:p>
    <w:tbl>
      <w:tblPr>
        <w:tblStyle w:val="9"/>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280"/>
      </w:tblGrid>
      <w:tr w14:paraId="367BD770">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shd w:val="clear" w:color="auto" w:fill="F5F6F7"/>
            <w:tcMar>
              <w:top w:w="60" w:type="dxa"/>
              <w:left w:w="120" w:type="dxa"/>
              <w:bottom w:w="30" w:type="dxa"/>
              <w:right w:w="120" w:type="dxa"/>
            </w:tcMar>
          </w:tcPr>
          <w:p w14:paraId="718EF704">
            <w:pPr>
              <w:spacing w:before="120" w:after="120" w:line="288" w:lineRule="auto"/>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专项项目组</w:t>
            </w:r>
            <w:r>
              <w:rPr>
                <w:rFonts w:hint="eastAsia" w:ascii="仿宋_GB2312" w:hAnsi="仿宋_GB2312" w:eastAsia="仿宋_GB2312" w:cs="仿宋_GB2312"/>
                <w:sz w:val="20"/>
                <w:szCs w:val="20"/>
              </w:rPr>
              <w:br w:type="textWrapping"/>
            </w:r>
            <w:r>
              <w:rPr>
                <w:rFonts w:hint="eastAsia" w:ascii="仿宋_GB2312" w:hAnsi="仿宋_GB2312" w:eastAsia="仿宋_GB2312" w:cs="仿宋_GB2312"/>
                <w:sz w:val="20"/>
                <w:szCs w:val="20"/>
              </w:rPr>
              <w:t xml:space="preserve"> 项目经理（1名）：统筹项目全流程，对接校方及各供应商，把控进度、质量、成本</w:t>
            </w:r>
            <w:r>
              <w:rPr>
                <w:rFonts w:hint="eastAsia" w:ascii="仿宋_GB2312" w:hAnsi="仿宋_GB2312" w:eastAsia="仿宋_GB2312" w:cs="仿宋_GB2312"/>
                <w:sz w:val="20"/>
                <w:szCs w:val="20"/>
              </w:rPr>
              <w:br w:type="textWrapping"/>
            </w:r>
            <w:r>
              <w:rPr>
                <w:rFonts w:hint="eastAsia" w:ascii="仿宋_GB2312" w:hAnsi="仿宋_GB2312" w:eastAsia="仿宋_GB2312" w:cs="仿宋_GB2312"/>
                <w:sz w:val="20"/>
                <w:szCs w:val="20"/>
              </w:rPr>
              <w:t>技术负责人（1名）：负责技术方案设计、设备集成、安装调试指导、系统联调</w:t>
            </w:r>
            <w:r>
              <w:rPr>
                <w:rFonts w:hint="eastAsia" w:ascii="仿宋_GB2312" w:hAnsi="仿宋_GB2312" w:eastAsia="仿宋_GB2312" w:cs="仿宋_GB2312"/>
                <w:sz w:val="20"/>
                <w:szCs w:val="20"/>
              </w:rPr>
              <w:br w:type="textWrapping"/>
            </w:r>
            <w:r>
              <w:rPr>
                <w:rFonts w:hint="eastAsia" w:ascii="仿宋_GB2312" w:hAnsi="仿宋_GB2312" w:eastAsia="仿宋_GB2312" w:cs="仿宋_GB2312"/>
                <w:sz w:val="20"/>
                <w:szCs w:val="20"/>
              </w:rPr>
              <w:t>安装组长（2名）：分区域负责设备现场安装、施工管理、现场安全</w:t>
            </w:r>
            <w:r>
              <w:rPr>
                <w:rFonts w:hint="eastAsia" w:ascii="仿宋_GB2312" w:hAnsi="仿宋_GB2312" w:eastAsia="仿宋_GB2312" w:cs="仿宋_GB2312"/>
                <w:sz w:val="20"/>
                <w:szCs w:val="20"/>
              </w:rPr>
              <w:br w:type="textWrapping"/>
            </w:r>
            <w:r>
              <w:rPr>
                <w:rFonts w:hint="eastAsia" w:ascii="仿宋_GB2312" w:hAnsi="仿宋_GB2312" w:eastAsia="仿宋_GB2312" w:cs="仿宋_GB2312"/>
                <w:sz w:val="20"/>
                <w:szCs w:val="20"/>
              </w:rPr>
              <w:t>培训讲师（2名）：负责师资培训、课程讲解、操作指导（天文+科创专业）</w:t>
            </w:r>
            <w:r>
              <w:rPr>
                <w:rFonts w:hint="eastAsia" w:ascii="仿宋_GB2312" w:hAnsi="仿宋_GB2312" w:eastAsia="仿宋_GB2312" w:cs="仿宋_GB2312"/>
                <w:sz w:val="20"/>
                <w:szCs w:val="20"/>
              </w:rPr>
              <w:br w:type="textWrapping"/>
            </w:r>
            <w:r>
              <w:rPr>
                <w:rFonts w:hint="eastAsia" w:ascii="仿宋_GB2312" w:hAnsi="仿宋_GB2312" w:eastAsia="仿宋_GB2312" w:cs="仿宋_GB2312"/>
                <w:sz w:val="20"/>
                <w:szCs w:val="20"/>
              </w:rPr>
              <w:t>质量管理员（1名）：负责设备到货验收、安装过程质量把控、验收资料审核</w:t>
            </w:r>
            <w:r>
              <w:rPr>
                <w:rFonts w:hint="eastAsia" w:ascii="仿宋_GB2312" w:hAnsi="仿宋_GB2312" w:eastAsia="仿宋_GB2312" w:cs="仿宋_GB2312"/>
                <w:sz w:val="20"/>
                <w:szCs w:val="20"/>
              </w:rPr>
              <w:br w:type="textWrapping"/>
            </w:r>
            <w:r>
              <w:rPr>
                <w:rFonts w:hint="eastAsia" w:ascii="仿宋_GB2312" w:hAnsi="仿宋_GB2312" w:eastAsia="仿宋_GB2312" w:cs="仿宋_GB2312"/>
                <w:sz w:val="20"/>
                <w:szCs w:val="20"/>
              </w:rPr>
              <w:t xml:space="preserve"> 售后专员（1名）：负责现场售后对接、设备维保、故障处理、定期回访</w:t>
            </w:r>
            <w:r>
              <w:rPr>
                <w:rFonts w:hint="eastAsia" w:ascii="仿宋_GB2312" w:hAnsi="仿宋_GB2312" w:eastAsia="仿宋_GB2312" w:cs="仿宋_GB2312"/>
                <w:sz w:val="20"/>
                <w:szCs w:val="20"/>
              </w:rPr>
              <w:br w:type="textWrapping"/>
            </w:r>
            <w:r>
              <w:rPr>
                <w:rFonts w:hint="eastAsia" w:ascii="仿宋_GB2312" w:hAnsi="仿宋_GB2312" w:eastAsia="仿宋_GB2312" w:cs="仿宋_GB2312"/>
                <w:sz w:val="20"/>
                <w:szCs w:val="20"/>
              </w:rPr>
              <w:t>行政资料员（1名）：负责项目档案整理、资料交付、进度记录、会议纪要</w:t>
            </w:r>
          </w:p>
        </w:tc>
      </w:tr>
    </w:tbl>
    <w:p w14:paraId="2FFA9BB0">
      <w:pPr>
        <w:spacing w:before="300" w:after="120" w:line="288" w:lineRule="auto"/>
        <w:ind w:left="0"/>
        <w:jc w:val="left"/>
        <w:outlineLvl w:val="2"/>
        <w:rPr>
          <w:rFonts w:hint="eastAsia" w:ascii="仿宋_GB2312" w:hAnsi="仿宋_GB2312" w:eastAsia="仿宋_GB2312" w:cs="仿宋_GB2312"/>
          <w:sz w:val="20"/>
          <w:szCs w:val="20"/>
        </w:rPr>
      </w:pPr>
      <w:bookmarkStart w:id="7" w:name="heading_7"/>
      <w:r>
        <w:rPr>
          <w:rFonts w:hint="eastAsia" w:ascii="仿宋_GB2312" w:hAnsi="仿宋_GB2312" w:eastAsia="仿宋_GB2312" w:cs="仿宋_GB2312"/>
          <w:b/>
          <w:sz w:val="20"/>
          <w:szCs w:val="20"/>
        </w:rPr>
        <w:t>3.2 核心岗位职责</w:t>
      </w:r>
      <w:bookmarkEnd w:id="7"/>
    </w:p>
    <w:p w14:paraId="758471A3">
      <w:pPr>
        <w:numPr>
          <w:ilvl w:val="0"/>
          <w:numId w:val="5"/>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项目经理</w:t>
      </w:r>
      <w:r>
        <w:rPr>
          <w:rFonts w:hint="eastAsia" w:ascii="仿宋_GB2312" w:hAnsi="仿宋_GB2312" w:eastAsia="仿宋_GB2312" w:cs="仿宋_GB2312"/>
          <w:sz w:val="20"/>
          <w:szCs w:val="20"/>
        </w:rPr>
        <w:t>：作为项目第一责任人，全面负责项目策划、进度管控、各方沟通协调，解决项目实施过程中的各类问题，确保项目按计划、按标准交付；</w:t>
      </w:r>
    </w:p>
    <w:p w14:paraId="2D2405FC">
      <w:pPr>
        <w:numPr>
          <w:ilvl w:val="0"/>
          <w:numId w:val="6"/>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技术负责人</w:t>
      </w:r>
      <w:r>
        <w:rPr>
          <w:rFonts w:hint="eastAsia" w:ascii="仿宋_GB2312" w:hAnsi="仿宋_GB2312" w:eastAsia="仿宋_GB2312" w:cs="仿宋_GB2312"/>
          <w:sz w:val="20"/>
          <w:szCs w:val="20"/>
        </w:rPr>
        <w:t>：制定设备安装调试方案、系统集成方案，审核技术图纸，指导现场技术施工，负责设备联调与功能测试，保障所有设备技术指标达标；</w:t>
      </w:r>
    </w:p>
    <w:p w14:paraId="08056AE8">
      <w:pPr>
        <w:numPr>
          <w:ilvl w:val="0"/>
          <w:numId w:val="7"/>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安装组长</w:t>
      </w:r>
      <w:r>
        <w:rPr>
          <w:rFonts w:hint="eastAsia" w:ascii="仿宋_GB2312" w:hAnsi="仿宋_GB2312" w:eastAsia="仿宋_GB2312" w:cs="仿宋_GB2312"/>
          <w:sz w:val="20"/>
          <w:szCs w:val="20"/>
        </w:rPr>
        <w:t>：严格按照安装规范和布局图开展现场安装，管理安装施工人员，保障现场施工安全和施工质量，完成安装后做好现场初步清理；</w:t>
      </w:r>
    </w:p>
    <w:p w14:paraId="79B84E53">
      <w:pPr>
        <w:numPr>
          <w:ilvl w:val="0"/>
          <w:numId w:val="8"/>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培训讲师</w:t>
      </w:r>
      <w:r>
        <w:rPr>
          <w:rFonts w:hint="eastAsia" w:ascii="仿宋_GB2312" w:hAnsi="仿宋_GB2312" w:eastAsia="仿宋_GB2312" w:cs="仿宋_GB2312"/>
          <w:sz w:val="20"/>
          <w:szCs w:val="20"/>
        </w:rPr>
        <w:t>：根据校方需求定制培训方案，开展设备操作、课程实施、维护保养等专项培训，提供现场实操指导，编制培训资料并进行培训效果考核；</w:t>
      </w:r>
    </w:p>
    <w:p w14:paraId="35FB6274">
      <w:pPr>
        <w:numPr>
          <w:ilvl w:val="0"/>
          <w:numId w:val="9"/>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质量管理员</w:t>
      </w:r>
      <w:r>
        <w:rPr>
          <w:rFonts w:hint="eastAsia" w:ascii="仿宋_GB2312" w:hAnsi="仿宋_GB2312" w:eastAsia="仿宋_GB2312" w:cs="仿宋_GB2312"/>
          <w:sz w:val="20"/>
          <w:szCs w:val="20"/>
        </w:rPr>
        <w:t>：建立全过程质量管控体系，对设备到货、安装、调试、培训等各环节进行质量检查，留存质量记录，确保项目整体质量符合招标文件要求；</w:t>
      </w:r>
    </w:p>
    <w:p w14:paraId="3391A2E8">
      <w:pPr>
        <w:numPr>
          <w:ilvl w:val="0"/>
          <w:numId w:val="10"/>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售后专员</w:t>
      </w:r>
      <w:r>
        <w:rPr>
          <w:rFonts w:hint="eastAsia" w:ascii="仿宋_GB2312" w:hAnsi="仿宋_GB2312" w:eastAsia="仿宋_GB2312" w:cs="仿宋_GB2312"/>
          <w:sz w:val="20"/>
          <w:szCs w:val="20"/>
        </w:rPr>
        <w:t>：建立项目售后档案，负责质保期内设备故障处理、定期校准与巡检，对接校方日常售后需求，提供7×24小时技术支持；</w:t>
      </w:r>
    </w:p>
    <w:p w14:paraId="06968167">
      <w:pPr>
        <w:numPr>
          <w:ilvl w:val="0"/>
          <w:numId w:val="11"/>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行政资料员</w:t>
      </w:r>
      <w:r>
        <w:rPr>
          <w:rFonts w:hint="eastAsia" w:ascii="仿宋_GB2312" w:hAnsi="仿宋_GB2312" w:eastAsia="仿宋_GB2312" w:cs="仿宋_GB2312"/>
          <w:sz w:val="20"/>
          <w:szCs w:val="20"/>
        </w:rPr>
        <w:t>：收集、整理、归档项目全过程资料（设备清单、检测报告、安装记录、培训资料、验收报告等），及时记录项目实施进度，编制项目各类文档。</w:t>
      </w:r>
    </w:p>
    <w:p w14:paraId="2B79122A">
      <w:pPr>
        <w:spacing w:before="300" w:after="120" w:line="288" w:lineRule="auto"/>
        <w:ind w:left="0"/>
        <w:jc w:val="left"/>
        <w:outlineLvl w:val="2"/>
        <w:rPr>
          <w:rFonts w:hint="eastAsia" w:ascii="仿宋_GB2312" w:hAnsi="仿宋_GB2312" w:eastAsia="仿宋_GB2312" w:cs="仿宋_GB2312"/>
          <w:sz w:val="20"/>
          <w:szCs w:val="20"/>
        </w:rPr>
      </w:pPr>
      <w:bookmarkStart w:id="8" w:name="heading_8"/>
      <w:r>
        <w:rPr>
          <w:rFonts w:hint="eastAsia" w:ascii="仿宋_GB2312" w:hAnsi="仿宋_GB2312" w:eastAsia="仿宋_GB2312" w:cs="仿宋_GB2312"/>
          <w:b/>
          <w:sz w:val="20"/>
          <w:szCs w:val="20"/>
        </w:rPr>
        <w:t>3.3 项目沟通机制</w:t>
      </w:r>
      <w:bookmarkEnd w:id="8"/>
    </w:p>
    <w:p w14:paraId="3A0353E1">
      <w:pPr>
        <w:numPr>
          <w:ilvl w:val="0"/>
          <w:numId w:val="12"/>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定期沟通</w:t>
      </w:r>
      <w:r>
        <w:rPr>
          <w:rFonts w:hint="eastAsia" w:ascii="仿宋_GB2312" w:hAnsi="仿宋_GB2312" w:eastAsia="仿宋_GB2312" w:cs="仿宋_GB2312"/>
          <w:sz w:val="20"/>
          <w:szCs w:val="20"/>
        </w:rPr>
        <w:t>：每周与校方召开项目进度沟通会，汇报项目实施情况，同步解决校方提出的需求和问题，形成会议纪要并签字确认；</w:t>
      </w:r>
    </w:p>
    <w:p w14:paraId="4AFD28A5">
      <w:pPr>
        <w:numPr>
          <w:ilvl w:val="0"/>
          <w:numId w:val="13"/>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即时沟通</w:t>
      </w:r>
      <w:r>
        <w:rPr>
          <w:rFonts w:hint="eastAsia" w:ascii="仿宋_GB2312" w:hAnsi="仿宋_GB2312" w:eastAsia="仿宋_GB2312" w:cs="仿宋_GB2312"/>
          <w:sz w:val="20"/>
          <w:szCs w:val="20"/>
        </w:rPr>
        <w:t>：建立项目专属沟通群（校方+项目组），实现日常需求、问题的即时反馈与处理，确保沟通高效、信息对称；</w:t>
      </w:r>
    </w:p>
    <w:p w14:paraId="37049288">
      <w:pPr>
        <w:numPr>
          <w:ilvl w:val="0"/>
          <w:numId w:val="14"/>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书面沟通</w:t>
      </w:r>
      <w:r>
        <w:rPr>
          <w:rFonts w:hint="eastAsia" w:ascii="仿宋_GB2312" w:hAnsi="仿宋_GB2312" w:eastAsia="仿宋_GB2312" w:cs="仿宋_GB2312"/>
          <w:sz w:val="20"/>
          <w:szCs w:val="20"/>
        </w:rPr>
        <w:t>：项目实施过程中的重要变更、技术方案确认、进度调整等，均以书面形式送达校方，经确认后执行，留存书面记录。</w:t>
      </w:r>
    </w:p>
    <w:p w14:paraId="15280B8D">
      <w:pPr>
        <w:spacing w:before="320" w:after="120" w:line="288" w:lineRule="auto"/>
        <w:ind w:left="0"/>
        <w:jc w:val="left"/>
        <w:outlineLvl w:val="1"/>
        <w:rPr>
          <w:rFonts w:hint="eastAsia" w:ascii="仿宋_GB2312" w:hAnsi="仿宋_GB2312" w:eastAsia="仿宋_GB2312" w:cs="仿宋_GB2312"/>
          <w:sz w:val="20"/>
          <w:szCs w:val="20"/>
        </w:rPr>
      </w:pPr>
      <w:bookmarkStart w:id="9" w:name="heading_9"/>
      <w:r>
        <w:rPr>
          <w:rFonts w:hint="eastAsia" w:ascii="仿宋_GB2312" w:hAnsi="仿宋_GB2312" w:eastAsia="仿宋_GB2312" w:cs="仿宋_GB2312"/>
          <w:b/>
          <w:sz w:val="20"/>
          <w:szCs w:val="20"/>
        </w:rPr>
        <w:t>四、项目实施整体流程与详细计划</w:t>
      </w:r>
      <w:bookmarkEnd w:id="9"/>
    </w:p>
    <w:p w14:paraId="6823D144">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本项目实施周期为</w:t>
      </w:r>
      <w:r>
        <w:rPr>
          <w:rFonts w:hint="eastAsia" w:ascii="仿宋_GB2312" w:hAnsi="仿宋_GB2312" w:eastAsia="仿宋_GB2312" w:cs="仿宋_GB2312"/>
          <w:b/>
          <w:sz w:val="20"/>
          <w:szCs w:val="20"/>
        </w:rPr>
        <w:t>合同签订后60天内</w:t>
      </w:r>
      <w:r>
        <w:rPr>
          <w:rFonts w:hint="eastAsia" w:ascii="仿宋_GB2312" w:hAnsi="仿宋_GB2312" w:eastAsia="仿宋_GB2312" w:cs="仿宋_GB2312"/>
          <w:sz w:val="20"/>
          <w:szCs w:val="20"/>
        </w:rPr>
        <w:t>，整体分为</w:t>
      </w:r>
      <w:r>
        <w:rPr>
          <w:rFonts w:hint="eastAsia" w:ascii="仿宋_GB2312" w:hAnsi="仿宋_GB2312" w:eastAsia="仿宋_GB2312" w:cs="仿宋_GB2312"/>
          <w:b/>
          <w:sz w:val="20"/>
          <w:szCs w:val="20"/>
        </w:rPr>
        <w:t>6个阶段</w:t>
      </w:r>
      <w:r>
        <w:rPr>
          <w:rFonts w:hint="eastAsia" w:ascii="仿宋_GB2312" w:hAnsi="仿宋_GB2312" w:eastAsia="仿宋_GB2312" w:cs="仿宋_GB2312"/>
          <w:sz w:val="20"/>
          <w:szCs w:val="20"/>
        </w:rPr>
        <w:t>，各阶段无缝衔接、有序推进，每个阶段明确核心工作、时间节点、责任人及交付成果，确保项目按期、高质量完成。</w:t>
      </w:r>
    </w:p>
    <w:p w14:paraId="5D18813C">
      <w:pPr>
        <w:spacing w:before="300" w:after="120" w:line="288" w:lineRule="auto"/>
        <w:ind w:left="0"/>
        <w:jc w:val="left"/>
        <w:outlineLvl w:val="2"/>
        <w:rPr>
          <w:rFonts w:hint="eastAsia" w:ascii="仿宋_GB2312" w:hAnsi="仿宋_GB2312" w:eastAsia="仿宋_GB2312" w:cs="仿宋_GB2312"/>
          <w:sz w:val="20"/>
          <w:szCs w:val="20"/>
        </w:rPr>
      </w:pPr>
      <w:bookmarkStart w:id="10" w:name="heading_10"/>
      <w:r>
        <w:rPr>
          <w:rFonts w:hint="eastAsia" w:ascii="仿宋_GB2312" w:hAnsi="仿宋_GB2312" w:eastAsia="仿宋_GB2312" w:cs="仿宋_GB2312"/>
          <w:b/>
          <w:sz w:val="20"/>
          <w:szCs w:val="20"/>
        </w:rPr>
        <w:t>4.1 项目启动阶段（合同签订后1-3天）</w:t>
      </w:r>
      <w:bookmarkEnd w:id="10"/>
    </w:p>
    <w:p w14:paraId="04A23CFE">
      <w:pPr>
        <w:spacing w:before="260" w:after="120" w:line="288" w:lineRule="auto"/>
        <w:ind w:left="0"/>
        <w:jc w:val="left"/>
        <w:outlineLvl w:val="3"/>
        <w:rPr>
          <w:rFonts w:hint="eastAsia" w:ascii="仿宋_GB2312" w:hAnsi="仿宋_GB2312" w:eastAsia="仿宋_GB2312" w:cs="仿宋_GB2312"/>
          <w:sz w:val="20"/>
          <w:szCs w:val="20"/>
        </w:rPr>
      </w:pPr>
      <w:bookmarkStart w:id="11" w:name="heading_11"/>
      <w:r>
        <w:rPr>
          <w:rFonts w:hint="eastAsia" w:ascii="仿宋_GB2312" w:hAnsi="仿宋_GB2312" w:eastAsia="仿宋_GB2312" w:cs="仿宋_GB2312"/>
          <w:b/>
          <w:sz w:val="20"/>
          <w:szCs w:val="20"/>
        </w:rPr>
        <w:t>核心工作</w:t>
      </w:r>
      <w:bookmarkEnd w:id="11"/>
    </w:p>
    <w:p w14:paraId="1857C37E">
      <w:pPr>
        <w:numPr>
          <w:ilvl w:val="0"/>
          <w:numId w:val="15"/>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正式成立专项项目组，明确各成员岗位职责，组织项目组内部交底，解读招标文件、项目需求及实施标准；</w:t>
      </w:r>
    </w:p>
    <w:p w14:paraId="1843B11B">
      <w:pPr>
        <w:numPr>
          <w:ilvl w:val="0"/>
          <w:numId w:val="16"/>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与校方召开项目启动会，对接校方项目负责人、教学负责人，确认校方需求、安装场地要求、基础设施条件（电源、网络、排水等）；</w:t>
      </w:r>
    </w:p>
    <w:p w14:paraId="05ED2107">
      <w:pPr>
        <w:numPr>
          <w:ilvl w:val="0"/>
          <w:numId w:val="17"/>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办理项目现场施工相关手续，确定现场施工时间、进出通道、物料堆放区域，制定现场施工安全规范。</w:t>
      </w:r>
    </w:p>
    <w:p w14:paraId="215DCAB8">
      <w:pPr>
        <w:spacing w:before="260" w:after="120" w:line="288" w:lineRule="auto"/>
        <w:ind w:left="0"/>
        <w:jc w:val="left"/>
        <w:outlineLvl w:val="3"/>
        <w:rPr>
          <w:rFonts w:hint="eastAsia" w:ascii="仿宋_GB2312" w:hAnsi="仿宋_GB2312" w:eastAsia="仿宋_GB2312" w:cs="仿宋_GB2312"/>
          <w:sz w:val="20"/>
          <w:szCs w:val="20"/>
        </w:rPr>
      </w:pPr>
      <w:bookmarkStart w:id="12" w:name="heading_12"/>
      <w:r>
        <w:rPr>
          <w:rFonts w:hint="eastAsia" w:ascii="仿宋_GB2312" w:hAnsi="仿宋_GB2312" w:eastAsia="仿宋_GB2312" w:cs="仿宋_GB2312"/>
          <w:b/>
          <w:sz w:val="20"/>
          <w:szCs w:val="20"/>
        </w:rPr>
        <w:t>交付成果</w:t>
      </w:r>
      <w:bookmarkEnd w:id="12"/>
    </w:p>
    <w:p w14:paraId="4022CAD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《项目组织架构及岗位职责表》、《项目启动会会议纪要》、《现场施工安全规范》、《项目对接人员清单》</w:t>
      </w:r>
    </w:p>
    <w:p w14:paraId="131DA427">
      <w:pPr>
        <w:spacing w:before="300" w:after="120" w:line="288" w:lineRule="auto"/>
        <w:ind w:left="0"/>
        <w:jc w:val="left"/>
        <w:outlineLvl w:val="2"/>
        <w:rPr>
          <w:rFonts w:hint="eastAsia" w:ascii="仿宋_GB2312" w:hAnsi="仿宋_GB2312" w:eastAsia="仿宋_GB2312" w:cs="仿宋_GB2312"/>
          <w:sz w:val="20"/>
          <w:szCs w:val="20"/>
        </w:rPr>
      </w:pPr>
      <w:bookmarkStart w:id="13" w:name="heading_13"/>
      <w:r>
        <w:rPr>
          <w:rFonts w:hint="eastAsia" w:ascii="仿宋_GB2312" w:hAnsi="仿宋_GB2312" w:eastAsia="仿宋_GB2312" w:cs="仿宋_GB2312"/>
          <w:b/>
          <w:sz w:val="20"/>
          <w:szCs w:val="20"/>
        </w:rPr>
        <w:t>4.2 详细设计与现场勘察阶段（合同签订后4-7天）</w:t>
      </w:r>
      <w:bookmarkEnd w:id="13"/>
    </w:p>
    <w:p w14:paraId="028660C3">
      <w:pPr>
        <w:spacing w:before="260" w:after="120" w:line="288" w:lineRule="auto"/>
        <w:ind w:left="0"/>
        <w:jc w:val="left"/>
        <w:outlineLvl w:val="3"/>
        <w:rPr>
          <w:rFonts w:hint="eastAsia" w:ascii="仿宋_GB2312" w:hAnsi="仿宋_GB2312" w:eastAsia="仿宋_GB2312" w:cs="仿宋_GB2312"/>
          <w:sz w:val="20"/>
          <w:szCs w:val="20"/>
        </w:rPr>
      </w:pPr>
      <w:bookmarkStart w:id="14" w:name="heading_14"/>
      <w:r>
        <w:rPr>
          <w:rFonts w:hint="eastAsia" w:ascii="仿宋_GB2312" w:hAnsi="仿宋_GB2312" w:eastAsia="仿宋_GB2312" w:cs="仿宋_GB2312"/>
          <w:b/>
          <w:sz w:val="20"/>
          <w:szCs w:val="20"/>
        </w:rPr>
        <w:t>核心工作</w:t>
      </w:r>
      <w:bookmarkEnd w:id="14"/>
    </w:p>
    <w:p w14:paraId="6491FE0C">
      <w:pPr>
        <w:numPr>
          <w:ilvl w:val="0"/>
          <w:numId w:val="18"/>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制定精细化《项目实施计划表》，明确各阶段时间节点、核心工作、责任人及交付成果，报校方审核确认；</w:t>
      </w:r>
    </w:p>
    <w:p w14:paraId="4BAA1946">
      <w:pPr>
        <w:numPr>
          <w:ilvl w:val="0"/>
          <w:numId w:val="19"/>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组织技术、安装团队完成现场精准勘察，测绘场地尺寸，确认天文馆、Stream教室各设备安装位置、电源接口、网络点位，绘制</w:t>
      </w:r>
      <w:r>
        <w:rPr>
          <w:rFonts w:hint="eastAsia" w:ascii="仿宋_GB2312" w:hAnsi="仿宋_GB2312" w:eastAsia="仿宋_GB2312" w:cs="仿宋_GB2312"/>
          <w:b/>
          <w:sz w:val="20"/>
          <w:szCs w:val="20"/>
        </w:rPr>
        <w:t>1:1设备安装布局图</w:t>
      </w:r>
      <w:r>
        <w:rPr>
          <w:rFonts w:hint="eastAsia" w:ascii="仿宋_GB2312" w:hAnsi="仿宋_GB2312" w:eastAsia="仿宋_GB2312" w:cs="仿宋_GB2312"/>
          <w:sz w:val="20"/>
          <w:szCs w:val="20"/>
        </w:rPr>
        <w:t>；</w:t>
      </w:r>
    </w:p>
    <w:p w14:paraId="1E319509">
      <w:pPr>
        <w:numPr>
          <w:ilvl w:val="0"/>
          <w:numId w:val="20"/>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完成所有设备清单核对、技术参数复核，编制《设备安装调试方案》《课程资源交付计划》《师资培训方案》，报校方审核；</w:t>
      </w:r>
    </w:p>
    <w:p w14:paraId="06632AD0">
      <w:pPr>
        <w:numPr>
          <w:ilvl w:val="0"/>
          <w:numId w:val="21"/>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确认定制化设备（工具墙、互动展示墙等）的生产尺寸、工艺要求，下达生产订单并明确交期。</w:t>
      </w:r>
    </w:p>
    <w:p w14:paraId="53EA0BF3">
      <w:pPr>
        <w:spacing w:before="260" w:after="120" w:line="288" w:lineRule="auto"/>
        <w:ind w:left="0"/>
        <w:jc w:val="left"/>
        <w:outlineLvl w:val="3"/>
        <w:rPr>
          <w:rFonts w:hint="eastAsia" w:ascii="仿宋_GB2312" w:hAnsi="仿宋_GB2312" w:eastAsia="仿宋_GB2312" w:cs="仿宋_GB2312"/>
          <w:sz w:val="20"/>
          <w:szCs w:val="20"/>
        </w:rPr>
      </w:pPr>
      <w:bookmarkStart w:id="15" w:name="heading_15"/>
      <w:r>
        <w:rPr>
          <w:rFonts w:hint="eastAsia" w:ascii="仿宋_GB2312" w:hAnsi="仿宋_GB2312" w:eastAsia="仿宋_GB2312" w:cs="仿宋_GB2312"/>
          <w:b/>
          <w:sz w:val="20"/>
          <w:szCs w:val="20"/>
        </w:rPr>
        <w:t>交付成果</w:t>
      </w:r>
      <w:bookmarkEnd w:id="15"/>
    </w:p>
    <w:p w14:paraId="1ADE519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《项目实施计划表》、《现场勘察报告》、《设备安装布局图》、《设备安装调试方案》、《课程资源交付计划》、《师资培训方案》</w:t>
      </w:r>
    </w:p>
    <w:p w14:paraId="387DEBA1">
      <w:pPr>
        <w:spacing w:before="300" w:after="120" w:line="288" w:lineRule="auto"/>
        <w:ind w:left="0"/>
        <w:jc w:val="left"/>
        <w:outlineLvl w:val="2"/>
        <w:rPr>
          <w:rFonts w:hint="eastAsia" w:ascii="仿宋_GB2312" w:hAnsi="仿宋_GB2312" w:eastAsia="仿宋_GB2312" w:cs="仿宋_GB2312"/>
          <w:sz w:val="20"/>
          <w:szCs w:val="20"/>
        </w:rPr>
      </w:pPr>
      <w:bookmarkStart w:id="16" w:name="heading_16"/>
      <w:r>
        <w:rPr>
          <w:rFonts w:hint="eastAsia" w:ascii="仿宋_GB2312" w:hAnsi="仿宋_GB2312" w:eastAsia="仿宋_GB2312" w:cs="仿宋_GB2312"/>
          <w:b/>
          <w:sz w:val="20"/>
          <w:szCs w:val="20"/>
        </w:rPr>
        <w:t>4.3 采购与生产配送阶段（合同签订后8-25天，与勘察设计阶段部分并行）</w:t>
      </w:r>
      <w:bookmarkEnd w:id="16"/>
    </w:p>
    <w:p w14:paraId="6C5BBCEA">
      <w:pPr>
        <w:spacing w:before="260" w:after="120" w:line="288" w:lineRule="auto"/>
        <w:ind w:left="0"/>
        <w:jc w:val="left"/>
        <w:outlineLvl w:val="3"/>
        <w:rPr>
          <w:rFonts w:hint="eastAsia" w:ascii="仿宋_GB2312" w:hAnsi="仿宋_GB2312" w:eastAsia="仿宋_GB2312" w:cs="仿宋_GB2312"/>
          <w:sz w:val="20"/>
          <w:szCs w:val="20"/>
        </w:rPr>
      </w:pPr>
      <w:bookmarkStart w:id="17" w:name="heading_17"/>
      <w:r>
        <w:rPr>
          <w:rFonts w:hint="eastAsia" w:ascii="仿宋_GB2312" w:hAnsi="仿宋_GB2312" w:eastAsia="仿宋_GB2312" w:cs="仿宋_GB2312"/>
          <w:b/>
          <w:sz w:val="20"/>
          <w:szCs w:val="20"/>
        </w:rPr>
        <w:t>核心工作</w:t>
      </w:r>
      <w:bookmarkEnd w:id="17"/>
    </w:p>
    <w:p w14:paraId="25DF999D">
      <w:pPr>
        <w:numPr>
          <w:ilvl w:val="0"/>
          <w:numId w:val="22"/>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协调各供应商按照《项目实施计划表》分批次生产、发货，对常规设备进行出厂前质量抽检，对核心设备（VR系统、互动展示墙、天文望远镜等）进行出厂前预测试和联调；</w:t>
      </w:r>
    </w:p>
    <w:p w14:paraId="4DD0CE28">
      <w:pPr>
        <w:numPr>
          <w:ilvl w:val="0"/>
          <w:numId w:val="23"/>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安排专人跟踪定制化设备生产进度，定期检查生产质量，确保尺寸、工艺与现场需求完全匹配；</w:t>
      </w:r>
    </w:p>
    <w:p w14:paraId="72608E4B">
      <w:pPr>
        <w:numPr>
          <w:ilvl w:val="0"/>
          <w:numId w:val="24"/>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制定设备物流配送计划，选择具备教育设备运输经验的物流商，做好设备包装防护（防震、防压、防潮），确保设备安全运输至项目现场；</w:t>
      </w:r>
    </w:p>
    <w:p w14:paraId="6BADE91D">
      <w:pPr>
        <w:numPr>
          <w:ilvl w:val="0"/>
          <w:numId w:val="25"/>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设备到货前1天通知校方，协调校方安排人员配合到货验收。</w:t>
      </w:r>
    </w:p>
    <w:p w14:paraId="4536DB95">
      <w:pPr>
        <w:spacing w:before="260" w:after="120" w:line="288" w:lineRule="auto"/>
        <w:ind w:left="0"/>
        <w:jc w:val="left"/>
        <w:outlineLvl w:val="3"/>
        <w:rPr>
          <w:rFonts w:hint="eastAsia" w:ascii="仿宋_GB2312" w:hAnsi="仿宋_GB2312" w:eastAsia="仿宋_GB2312" w:cs="仿宋_GB2312"/>
          <w:sz w:val="20"/>
          <w:szCs w:val="20"/>
        </w:rPr>
      </w:pPr>
      <w:bookmarkStart w:id="18" w:name="heading_18"/>
      <w:r>
        <w:rPr>
          <w:rFonts w:hint="eastAsia" w:ascii="仿宋_GB2312" w:hAnsi="仿宋_GB2312" w:eastAsia="仿宋_GB2312" w:cs="仿宋_GB2312"/>
          <w:b/>
          <w:sz w:val="20"/>
          <w:szCs w:val="20"/>
        </w:rPr>
        <w:t>交付成果</w:t>
      </w:r>
      <w:bookmarkEnd w:id="18"/>
    </w:p>
    <w:p w14:paraId="62D6207A">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《设备出厂检测报告》、《定制设备生产进度跟踪记录》、《设备物流配送计划》、设备出厂合格证及相关质量证明文件</w:t>
      </w:r>
    </w:p>
    <w:p w14:paraId="7C4D6392">
      <w:pPr>
        <w:spacing w:before="300" w:after="120" w:line="288" w:lineRule="auto"/>
        <w:ind w:left="0"/>
        <w:jc w:val="left"/>
        <w:outlineLvl w:val="2"/>
        <w:rPr>
          <w:rFonts w:hint="eastAsia" w:ascii="仿宋_GB2312" w:hAnsi="仿宋_GB2312" w:eastAsia="仿宋_GB2312" w:cs="仿宋_GB2312"/>
          <w:sz w:val="20"/>
          <w:szCs w:val="20"/>
        </w:rPr>
      </w:pPr>
      <w:bookmarkStart w:id="19" w:name="heading_19"/>
      <w:r>
        <w:rPr>
          <w:rFonts w:hint="eastAsia" w:ascii="仿宋_GB2312" w:hAnsi="仿宋_GB2312" w:eastAsia="仿宋_GB2312" w:cs="仿宋_GB2312"/>
          <w:b/>
          <w:sz w:val="20"/>
          <w:szCs w:val="20"/>
        </w:rPr>
        <w:t>4.4 现场安装与调试阶段（合同签订后26-45天，共20天）</w:t>
      </w:r>
      <w:bookmarkEnd w:id="19"/>
    </w:p>
    <w:p w14:paraId="11BF3FE8">
      <w:pPr>
        <w:spacing w:before="260" w:after="120" w:line="288" w:lineRule="auto"/>
        <w:ind w:left="0"/>
        <w:jc w:val="left"/>
        <w:outlineLvl w:val="3"/>
        <w:rPr>
          <w:rFonts w:hint="eastAsia" w:ascii="仿宋_GB2312" w:hAnsi="仿宋_GB2312" w:eastAsia="仿宋_GB2312" w:cs="仿宋_GB2312"/>
          <w:sz w:val="20"/>
          <w:szCs w:val="20"/>
        </w:rPr>
      </w:pPr>
      <w:bookmarkStart w:id="20" w:name="heading_20"/>
      <w:r>
        <w:rPr>
          <w:rFonts w:hint="eastAsia" w:ascii="仿宋_GB2312" w:hAnsi="仿宋_GB2312" w:eastAsia="仿宋_GB2312" w:cs="仿宋_GB2312"/>
          <w:b/>
          <w:sz w:val="20"/>
          <w:szCs w:val="20"/>
        </w:rPr>
        <w:t>核心工作</w:t>
      </w:r>
      <w:bookmarkEnd w:id="20"/>
    </w:p>
    <w:p w14:paraId="0117C401">
      <w:pPr>
        <w:numPr>
          <w:ilvl w:val="0"/>
          <w:numId w:val="26"/>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设备到货验收</w:t>
      </w:r>
      <w:r>
        <w:rPr>
          <w:rFonts w:hint="eastAsia" w:ascii="仿宋_GB2312" w:hAnsi="仿宋_GB2312" w:eastAsia="仿宋_GB2312" w:cs="仿宋_GB2312"/>
          <w:sz w:val="20"/>
          <w:szCs w:val="20"/>
        </w:rPr>
        <w:t>：设备到场后，联合校方对设备数量、型号、外观、配件进行全面核对，核对合格后签署《设备到货验收单》，不合格设备立即退换货；</w:t>
      </w:r>
    </w:p>
    <w:p w14:paraId="738B28F0">
      <w:pPr>
        <w:numPr>
          <w:ilvl w:val="0"/>
          <w:numId w:val="27"/>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分区域安装</w:t>
      </w:r>
      <w:r>
        <w:rPr>
          <w:rFonts w:hint="eastAsia" w:ascii="仿宋_GB2312" w:hAnsi="仿宋_GB2312" w:eastAsia="仿宋_GB2312" w:cs="仿宋_GB2312"/>
          <w:sz w:val="20"/>
          <w:szCs w:val="20"/>
        </w:rPr>
        <w:t>：按照“天文馆、Stream教室同步推进，先大型固定设备、后小型移动设备，先硬件、后软件”的原则分批次安装，严格执行《设备安装规范》和安装布局图，确保安装牢固、美观、安全，安装人员持证上岗；</w:t>
      </w:r>
    </w:p>
    <w:p w14:paraId="7319F7D1">
      <w:pPr>
        <w:numPr>
          <w:ilvl w:val="0"/>
          <w:numId w:val="28"/>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设备单机调试</w:t>
      </w:r>
      <w:r>
        <w:rPr>
          <w:rFonts w:hint="eastAsia" w:ascii="仿宋_GB2312" w:hAnsi="仿宋_GB2312" w:eastAsia="仿宋_GB2312" w:cs="仿宋_GB2312"/>
          <w:sz w:val="20"/>
          <w:szCs w:val="20"/>
        </w:rPr>
        <w:t>：每台设备安装完成后，立即开展单机调试，检查设备各项功能是否正常，参数是否达标，对调试不合格的设备及时维修或更换；</w:t>
      </w:r>
    </w:p>
    <w:p w14:paraId="18B6F9CF">
      <w:pPr>
        <w:numPr>
          <w:ilvl w:val="0"/>
          <w:numId w:val="29"/>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系统联调</w:t>
      </w:r>
      <w:r>
        <w:rPr>
          <w:rFonts w:hint="eastAsia" w:ascii="仿宋_GB2312" w:hAnsi="仿宋_GB2312" w:eastAsia="仿宋_GB2312" w:cs="仿宋_GB2312"/>
          <w:sz w:val="20"/>
          <w:szCs w:val="20"/>
        </w:rPr>
        <w:t>：所有硬件设备安装调试完成后，开展全系统联调，测试VR系统、互动屏、多媒体终端、灯光系统等设备间的兼容性和联动性，确保各系统无缝对接、正常运行；</w:t>
      </w:r>
    </w:p>
    <w:p w14:paraId="2573FE8B">
      <w:pPr>
        <w:numPr>
          <w:ilvl w:val="0"/>
          <w:numId w:val="30"/>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现场初步清理</w:t>
      </w:r>
      <w:r>
        <w:rPr>
          <w:rFonts w:hint="eastAsia" w:ascii="仿宋_GB2312" w:hAnsi="仿宋_GB2312" w:eastAsia="仿宋_GB2312" w:cs="仿宋_GB2312"/>
          <w:sz w:val="20"/>
          <w:szCs w:val="20"/>
        </w:rPr>
        <w:t>：安装调试过程中及时清理施工垃圾，安装完成后对现场进行全面清洁，确保教学场地整洁无杂物。</w:t>
      </w:r>
    </w:p>
    <w:p w14:paraId="1DD5E108">
      <w:pPr>
        <w:spacing w:before="260" w:after="120" w:line="288" w:lineRule="auto"/>
        <w:ind w:left="0"/>
        <w:jc w:val="left"/>
        <w:outlineLvl w:val="3"/>
        <w:rPr>
          <w:rFonts w:hint="eastAsia" w:ascii="仿宋_GB2312" w:hAnsi="仿宋_GB2312" w:eastAsia="仿宋_GB2312" w:cs="仿宋_GB2312"/>
          <w:sz w:val="20"/>
          <w:szCs w:val="20"/>
        </w:rPr>
      </w:pPr>
      <w:bookmarkStart w:id="21" w:name="heading_21"/>
      <w:r>
        <w:rPr>
          <w:rFonts w:hint="eastAsia" w:ascii="仿宋_GB2312" w:hAnsi="仿宋_GB2312" w:eastAsia="仿宋_GB2312" w:cs="仿宋_GB2312"/>
          <w:b/>
          <w:sz w:val="20"/>
          <w:szCs w:val="20"/>
        </w:rPr>
        <w:t>交付成果</w:t>
      </w:r>
      <w:bookmarkEnd w:id="21"/>
    </w:p>
    <w:p w14:paraId="5A1ACB2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《设备到货验收单》、《设备安装记录》、《设备单机调试报告》、《系统联调报告》、现场安装调试照片及视频资料</w:t>
      </w:r>
    </w:p>
    <w:p w14:paraId="208CF492">
      <w:pPr>
        <w:spacing w:before="300" w:after="120" w:line="288" w:lineRule="auto"/>
        <w:ind w:left="0"/>
        <w:jc w:val="left"/>
        <w:outlineLvl w:val="2"/>
        <w:rPr>
          <w:rFonts w:hint="eastAsia" w:ascii="仿宋_GB2312" w:hAnsi="仿宋_GB2312" w:eastAsia="仿宋_GB2312" w:cs="仿宋_GB2312"/>
          <w:sz w:val="20"/>
          <w:szCs w:val="20"/>
        </w:rPr>
      </w:pPr>
      <w:bookmarkStart w:id="22" w:name="heading_22"/>
      <w:r>
        <w:rPr>
          <w:rFonts w:hint="eastAsia" w:ascii="仿宋_GB2312" w:hAnsi="仿宋_GB2312" w:eastAsia="仿宋_GB2312" w:cs="仿宋_GB2312"/>
          <w:b/>
          <w:sz w:val="20"/>
          <w:szCs w:val="20"/>
        </w:rPr>
        <w:t>4.5 课程交付与师资培训阶段（合同签订后46-55天，与安装调试阶段后期并行）</w:t>
      </w:r>
      <w:bookmarkEnd w:id="22"/>
    </w:p>
    <w:p w14:paraId="31CBA249">
      <w:pPr>
        <w:spacing w:before="260" w:after="120" w:line="288" w:lineRule="auto"/>
        <w:ind w:left="0"/>
        <w:jc w:val="left"/>
        <w:outlineLvl w:val="3"/>
        <w:rPr>
          <w:rFonts w:hint="eastAsia" w:ascii="仿宋_GB2312" w:hAnsi="仿宋_GB2312" w:eastAsia="仿宋_GB2312" w:cs="仿宋_GB2312"/>
          <w:sz w:val="20"/>
          <w:szCs w:val="20"/>
        </w:rPr>
      </w:pPr>
      <w:bookmarkStart w:id="23" w:name="heading_23"/>
      <w:r>
        <w:rPr>
          <w:rFonts w:hint="eastAsia" w:ascii="仿宋_GB2312" w:hAnsi="仿宋_GB2312" w:eastAsia="仿宋_GB2312" w:cs="仿宋_GB2312"/>
          <w:b/>
          <w:sz w:val="20"/>
          <w:szCs w:val="20"/>
        </w:rPr>
        <w:t>核心工作</w:t>
      </w:r>
      <w:bookmarkEnd w:id="23"/>
    </w:p>
    <w:p w14:paraId="71C67B12">
      <w:pPr>
        <w:numPr>
          <w:ilvl w:val="0"/>
          <w:numId w:val="31"/>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课程资源交付</w:t>
      </w:r>
      <w:r>
        <w:rPr>
          <w:rFonts w:hint="eastAsia" w:ascii="仿宋_GB2312" w:hAnsi="仿宋_GB2312" w:eastAsia="仿宋_GB2312" w:cs="仿宋_GB2312"/>
          <w:sz w:val="20"/>
          <w:szCs w:val="20"/>
        </w:rPr>
        <w:t>：向校方交付全套课程资源，包括天文探究系列课程、科创课程、融合课程的教案、PPT课件、学生手册、实验记录表、教学视频等，配套学生资源箱、实验材料包等实物资源，签署《课程资源交付单》；</w:t>
      </w:r>
    </w:p>
    <w:p w14:paraId="13BE4E0C">
      <w:pPr>
        <w:numPr>
          <w:ilvl w:val="0"/>
          <w:numId w:val="32"/>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师资专项培训</w:t>
      </w:r>
      <w:r>
        <w:rPr>
          <w:rFonts w:hint="eastAsia" w:ascii="仿宋_GB2312" w:hAnsi="仿宋_GB2312" w:eastAsia="仿宋_GB2312" w:cs="仿宋_GB2312"/>
          <w:sz w:val="20"/>
          <w:szCs w:val="20"/>
        </w:rPr>
        <w:t>：按照《师资培训方案》开展2场线下集中培训（每场≥3小时，覆盖全体相关教师），培训内容包括设备操作与维护、课程实施与教学设计、安全注意事项与应急处理、融合课程教学方法等，采用“理论讲解+现场实操+答疑解惑”的模式；</w:t>
      </w:r>
    </w:p>
    <w:p w14:paraId="4293C78D">
      <w:pPr>
        <w:numPr>
          <w:ilvl w:val="0"/>
          <w:numId w:val="33"/>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培训效果考核</w:t>
      </w:r>
      <w:r>
        <w:rPr>
          <w:rFonts w:hint="eastAsia" w:ascii="仿宋_GB2312" w:hAnsi="仿宋_GB2312" w:eastAsia="仿宋_GB2312" w:cs="仿宋_GB2312"/>
          <w:sz w:val="20"/>
          <w:szCs w:val="20"/>
        </w:rPr>
        <w:t>：培训结束后开展现场考核，确保教师能独立操作设备、开展课程教学，对考核未通过的教师进行一对一补课；</w:t>
      </w:r>
    </w:p>
    <w:p w14:paraId="3DB6665A">
      <w:pPr>
        <w:numPr>
          <w:ilvl w:val="0"/>
          <w:numId w:val="34"/>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试运行与优化</w:t>
      </w:r>
      <w:r>
        <w:rPr>
          <w:rFonts w:hint="eastAsia" w:ascii="仿宋_GB2312" w:hAnsi="仿宋_GB2312" w:eastAsia="仿宋_GB2312" w:cs="仿宋_GB2312"/>
          <w:sz w:val="20"/>
          <w:szCs w:val="20"/>
        </w:rPr>
        <w:t>：安排5天的设备与课程试运行期，收集校方教师、学生的使用反馈，对设备参数、课程内容进行微调优化，确保完全贴合校方教学需求。</w:t>
      </w:r>
    </w:p>
    <w:p w14:paraId="4AF2C66A">
      <w:pPr>
        <w:spacing w:before="260" w:after="120" w:line="288" w:lineRule="auto"/>
        <w:ind w:left="0"/>
        <w:jc w:val="left"/>
        <w:outlineLvl w:val="3"/>
        <w:rPr>
          <w:rFonts w:hint="eastAsia" w:ascii="仿宋_GB2312" w:hAnsi="仿宋_GB2312" w:eastAsia="仿宋_GB2312" w:cs="仿宋_GB2312"/>
          <w:sz w:val="20"/>
          <w:szCs w:val="20"/>
        </w:rPr>
      </w:pPr>
      <w:bookmarkStart w:id="24" w:name="heading_24"/>
      <w:r>
        <w:rPr>
          <w:rFonts w:hint="eastAsia" w:ascii="仿宋_GB2312" w:hAnsi="仿宋_GB2312" w:eastAsia="仿宋_GB2312" w:cs="仿宋_GB2312"/>
          <w:b/>
          <w:sz w:val="20"/>
          <w:szCs w:val="20"/>
        </w:rPr>
        <w:t>交付成果</w:t>
      </w:r>
      <w:bookmarkEnd w:id="24"/>
    </w:p>
    <w:p w14:paraId="0DE68461">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《课程资源交付单》、全套课程资源（电子档+纸质档）、《师资培训资料》、《师资培训签到表》、《培训效果考核表》、《试运行反馈表》、《设备与课程优化调整记录》</w:t>
      </w:r>
    </w:p>
    <w:p w14:paraId="00EF1244">
      <w:pPr>
        <w:spacing w:before="300" w:after="120" w:line="288" w:lineRule="auto"/>
        <w:ind w:left="0"/>
        <w:jc w:val="left"/>
        <w:outlineLvl w:val="2"/>
        <w:rPr>
          <w:rFonts w:hint="eastAsia" w:ascii="仿宋_GB2312" w:hAnsi="仿宋_GB2312" w:eastAsia="仿宋_GB2312" w:cs="仿宋_GB2312"/>
          <w:sz w:val="20"/>
          <w:szCs w:val="20"/>
        </w:rPr>
      </w:pPr>
      <w:bookmarkStart w:id="25" w:name="heading_25"/>
      <w:r>
        <w:rPr>
          <w:rFonts w:hint="eastAsia" w:ascii="仿宋_GB2312" w:hAnsi="仿宋_GB2312" w:eastAsia="仿宋_GB2312" w:cs="仿宋_GB2312"/>
          <w:b/>
          <w:sz w:val="20"/>
          <w:szCs w:val="20"/>
        </w:rPr>
        <w:t>4.6 验收与交付阶段（合同签订后56-60天）</w:t>
      </w:r>
      <w:bookmarkEnd w:id="25"/>
    </w:p>
    <w:p w14:paraId="01B40602">
      <w:pPr>
        <w:spacing w:before="260" w:after="120" w:line="288" w:lineRule="auto"/>
        <w:ind w:left="0"/>
        <w:jc w:val="left"/>
        <w:outlineLvl w:val="3"/>
        <w:rPr>
          <w:rFonts w:hint="eastAsia" w:ascii="仿宋_GB2312" w:hAnsi="仿宋_GB2312" w:eastAsia="仿宋_GB2312" w:cs="仿宋_GB2312"/>
          <w:sz w:val="20"/>
          <w:szCs w:val="20"/>
        </w:rPr>
      </w:pPr>
      <w:bookmarkStart w:id="26" w:name="heading_26"/>
      <w:r>
        <w:rPr>
          <w:rFonts w:hint="eastAsia" w:ascii="仿宋_GB2312" w:hAnsi="仿宋_GB2312" w:eastAsia="仿宋_GB2312" w:cs="仿宋_GB2312"/>
          <w:b/>
          <w:sz w:val="20"/>
          <w:szCs w:val="20"/>
        </w:rPr>
        <w:t>核心工作</w:t>
      </w:r>
      <w:bookmarkEnd w:id="26"/>
    </w:p>
    <w:p w14:paraId="2707E1A4">
      <w:pPr>
        <w:numPr>
          <w:ilvl w:val="0"/>
          <w:numId w:val="35"/>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验收资料整理</w:t>
      </w:r>
      <w:r>
        <w:rPr>
          <w:rFonts w:hint="eastAsia" w:ascii="仿宋_GB2312" w:hAnsi="仿宋_GB2312" w:eastAsia="仿宋_GB2312" w:cs="仿宋_GB2312"/>
          <w:sz w:val="20"/>
          <w:szCs w:val="20"/>
        </w:rPr>
        <w:t>：整理全套项目验收资料，包括设备清单、质量证明文件、安装调试记录、培训记录、课程资源清单、售后方案等，装订成册报校方审核；</w:t>
      </w:r>
    </w:p>
    <w:p w14:paraId="770018A0">
      <w:pPr>
        <w:numPr>
          <w:ilvl w:val="0"/>
          <w:numId w:val="36"/>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分项与整体验收</w:t>
      </w:r>
      <w:r>
        <w:rPr>
          <w:rFonts w:hint="eastAsia" w:ascii="仿宋_GB2312" w:hAnsi="仿宋_GB2312" w:eastAsia="仿宋_GB2312" w:cs="仿宋_GB2312"/>
          <w:sz w:val="20"/>
          <w:szCs w:val="20"/>
        </w:rPr>
        <w:t>：配合校方开展分项验收（设备、课程、培训）和整体验收，按照招标文件验收标准对设备运行状态、课程资源完整性、培训效果进行全面检查，对验收中发现的问题立即整改；</w:t>
      </w:r>
    </w:p>
    <w:p w14:paraId="5F47CA86">
      <w:pPr>
        <w:numPr>
          <w:ilvl w:val="0"/>
          <w:numId w:val="37"/>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现场最终清理</w:t>
      </w:r>
      <w:r>
        <w:rPr>
          <w:rFonts w:hint="eastAsia" w:ascii="仿宋_GB2312" w:hAnsi="仿宋_GB2312" w:eastAsia="仿宋_GB2312" w:cs="仿宋_GB2312"/>
          <w:sz w:val="20"/>
          <w:szCs w:val="20"/>
        </w:rPr>
        <w:t>：验收合格后，对教学场地进行最终全面清洁，确保设备摆放整齐、场地整洁，符合教学使用要求；</w:t>
      </w:r>
    </w:p>
    <w:p w14:paraId="688A3CB0">
      <w:pPr>
        <w:numPr>
          <w:ilvl w:val="0"/>
          <w:numId w:val="38"/>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项目移交与资料交付</w:t>
      </w:r>
      <w:r>
        <w:rPr>
          <w:rFonts w:hint="eastAsia" w:ascii="仿宋_GB2312" w:hAnsi="仿宋_GB2312" w:eastAsia="仿宋_GB2312" w:cs="仿宋_GB2312"/>
          <w:sz w:val="20"/>
          <w:szCs w:val="20"/>
        </w:rPr>
        <w:t>：与校方签署《项目验收确认书》，完成设备、课程资源、技术资料的正式移交，建立项目售后档案，向校方告知售后对接方式和质保服务内容。</w:t>
      </w:r>
    </w:p>
    <w:p w14:paraId="1BAD2308">
      <w:pPr>
        <w:spacing w:before="260" w:after="120" w:line="288" w:lineRule="auto"/>
        <w:ind w:left="0"/>
        <w:jc w:val="left"/>
        <w:outlineLvl w:val="3"/>
        <w:rPr>
          <w:rFonts w:hint="eastAsia" w:ascii="仿宋_GB2312" w:hAnsi="仿宋_GB2312" w:eastAsia="仿宋_GB2312" w:cs="仿宋_GB2312"/>
          <w:sz w:val="20"/>
          <w:szCs w:val="20"/>
        </w:rPr>
      </w:pPr>
      <w:bookmarkStart w:id="27" w:name="heading_27"/>
      <w:r>
        <w:rPr>
          <w:rFonts w:hint="eastAsia" w:ascii="仿宋_GB2312" w:hAnsi="仿宋_GB2312" w:eastAsia="仿宋_GB2312" w:cs="仿宋_GB2312"/>
          <w:b/>
          <w:sz w:val="20"/>
          <w:szCs w:val="20"/>
        </w:rPr>
        <w:t>交付成果</w:t>
      </w:r>
      <w:bookmarkEnd w:id="27"/>
    </w:p>
    <w:p w14:paraId="5117325D">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全套《项目验收资料汇编》、《项目验收确认书》、《项目移交清单》、《项目售后档案》、《质保服务告知书》</w:t>
      </w:r>
    </w:p>
    <w:p w14:paraId="4A805614">
      <w:pPr>
        <w:spacing w:before="320" w:after="120" w:line="288" w:lineRule="auto"/>
        <w:ind w:left="0"/>
        <w:jc w:val="left"/>
        <w:outlineLvl w:val="1"/>
        <w:rPr>
          <w:rFonts w:hint="eastAsia" w:ascii="仿宋_GB2312" w:hAnsi="仿宋_GB2312" w:eastAsia="仿宋_GB2312" w:cs="仿宋_GB2312"/>
          <w:sz w:val="20"/>
          <w:szCs w:val="20"/>
        </w:rPr>
      </w:pPr>
      <w:bookmarkStart w:id="28" w:name="heading_28"/>
      <w:r>
        <w:rPr>
          <w:rFonts w:hint="eastAsia" w:ascii="仿宋_GB2312" w:hAnsi="仿宋_GB2312" w:eastAsia="仿宋_GB2312" w:cs="仿宋_GB2312"/>
          <w:b/>
          <w:sz w:val="20"/>
          <w:szCs w:val="20"/>
        </w:rPr>
        <w:t>五、项目质量保证与全程控制措施</w:t>
      </w:r>
      <w:bookmarkEnd w:id="28"/>
    </w:p>
    <w:p w14:paraId="6823C110">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本项目严格遵循“全过程、全方位、全要素”的质量管控原则，建立</w:t>
      </w:r>
      <w:r>
        <w:rPr>
          <w:rFonts w:hint="eastAsia" w:ascii="仿宋_GB2312" w:hAnsi="仿宋_GB2312" w:eastAsia="仿宋_GB2312" w:cs="仿宋_GB2312"/>
          <w:b/>
          <w:sz w:val="20"/>
          <w:szCs w:val="20"/>
        </w:rPr>
        <w:t>事前预防、事中控制、事后验收</w:t>
      </w:r>
      <w:r>
        <w:rPr>
          <w:rFonts w:hint="eastAsia" w:ascii="仿宋_GB2312" w:hAnsi="仿宋_GB2312" w:eastAsia="仿宋_GB2312" w:cs="仿宋_GB2312"/>
          <w:sz w:val="20"/>
          <w:szCs w:val="20"/>
        </w:rPr>
        <w:t>的三级质量保证体系，设立多个质量检查点，确保项目整体质量符合招标文件及国家相关标准要求。</w:t>
      </w:r>
    </w:p>
    <w:p w14:paraId="07E584D7">
      <w:pPr>
        <w:spacing w:before="300" w:after="120" w:line="288" w:lineRule="auto"/>
        <w:ind w:left="0"/>
        <w:jc w:val="left"/>
        <w:outlineLvl w:val="2"/>
        <w:rPr>
          <w:rFonts w:hint="eastAsia" w:ascii="仿宋_GB2312" w:hAnsi="仿宋_GB2312" w:eastAsia="仿宋_GB2312" w:cs="仿宋_GB2312"/>
          <w:sz w:val="20"/>
          <w:szCs w:val="20"/>
        </w:rPr>
      </w:pPr>
      <w:bookmarkStart w:id="29" w:name="heading_29"/>
      <w:r>
        <w:rPr>
          <w:rFonts w:hint="eastAsia" w:ascii="仿宋_GB2312" w:hAnsi="仿宋_GB2312" w:eastAsia="仿宋_GB2312" w:cs="仿宋_GB2312"/>
          <w:b/>
          <w:sz w:val="20"/>
          <w:szCs w:val="20"/>
        </w:rPr>
        <w:t>5.1 质量管理体系建立</w:t>
      </w:r>
      <w:bookmarkEnd w:id="29"/>
    </w:p>
    <w:p w14:paraId="207C70F3">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成立以质量管理员为核心的质量管控小组，制定《项目质量管控手册》，明确各环节质量标准、检查方法、验收要求，所有质量检查均留存书面记录，确保项目质量可追溯、可核查。</w:t>
      </w:r>
    </w:p>
    <w:p w14:paraId="00F0E0ED">
      <w:pPr>
        <w:spacing w:before="300" w:after="120" w:line="288" w:lineRule="auto"/>
        <w:ind w:left="0"/>
        <w:jc w:val="left"/>
        <w:outlineLvl w:val="2"/>
        <w:rPr>
          <w:rFonts w:hint="eastAsia" w:ascii="仿宋_GB2312" w:hAnsi="仿宋_GB2312" w:eastAsia="仿宋_GB2312" w:cs="仿宋_GB2312"/>
          <w:sz w:val="20"/>
          <w:szCs w:val="20"/>
        </w:rPr>
      </w:pPr>
      <w:bookmarkStart w:id="30" w:name="heading_30"/>
      <w:r>
        <w:rPr>
          <w:rFonts w:hint="eastAsia" w:ascii="仿宋_GB2312" w:hAnsi="仿宋_GB2312" w:eastAsia="仿宋_GB2312" w:cs="仿宋_GB2312"/>
          <w:b/>
          <w:sz w:val="20"/>
          <w:szCs w:val="20"/>
        </w:rPr>
        <w:t>5.2 事前质量预防措施</w:t>
      </w:r>
      <w:bookmarkEnd w:id="30"/>
    </w:p>
    <w:p w14:paraId="55852F3E">
      <w:pPr>
        <w:numPr>
          <w:ilvl w:val="0"/>
          <w:numId w:val="39"/>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供应商筛选与管控</w:t>
      </w:r>
      <w:r>
        <w:rPr>
          <w:rFonts w:hint="eastAsia" w:ascii="仿宋_GB2312" w:hAnsi="仿宋_GB2312" w:eastAsia="仿宋_GB2312" w:cs="仿宋_GB2312"/>
          <w:sz w:val="20"/>
          <w:szCs w:val="20"/>
        </w:rPr>
        <w:t>：所有设备供应商均为合规制造商，具备相关资质证书，设备均符合国家质量标准、节能标准和环保标准；</w:t>
      </w:r>
    </w:p>
    <w:p w14:paraId="39C8E4B9">
      <w:pPr>
        <w:numPr>
          <w:ilvl w:val="0"/>
          <w:numId w:val="40"/>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技术方案审核</w:t>
      </w:r>
      <w:r>
        <w:rPr>
          <w:rFonts w:hint="eastAsia" w:ascii="仿宋_GB2312" w:hAnsi="仿宋_GB2312" w:eastAsia="仿宋_GB2312" w:cs="仿宋_GB2312"/>
          <w:sz w:val="20"/>
          <w:szCs w:val="20"/>
        </w:rPr>
        <w:t>：所有安装调试方案、课程设计方案均经技术负责人审核后报校方确认，确保方案科学、可行、符合项目需求；</w:t>
      </w:r>
    </w:p>
    <w:p w14:paraId="4F094B1E">
      <w:pPr>
        <w:numPr>
          <w:ilvl w:val="0"/>
          <w:numId w:val="41"/>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人员岗前培训</w:t>
      </w:r>
      <w:r>
        <w:rPr>
          <w:rFonts w:hint="eastAsia" w:ascii="仿宋_GB2312" w:hAnsi="仿宋_GB2312" w:eastAsia="仿宋_GB2312" w:cs="仿宋_GB2312"/>
          <w:sz w:val="20"/>
          <w:szCs w:val="20"/>
        </w:rPr>
        <w:t>：安装、培训、技术等所有项目人员均进行岗前培训，考核合格后方可上岗，确保具备相应的专业能力和操作水平；</w:t>
      </w:r>
    </w:p>
    <w:p w14:paraId="044D3898">
      <w:pPr>
        <w:numPr>
          <w:ilvl w:val="0"/>
          <w:numId w:val="42"/>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设备出厂检验</w:t>
      </w:r>
      <w:r>
        <w:rPr>
          <w:rFonts w:hint="eastAsia" w:ascii="仿宋_GB2312" w:hAnsi="仿宋_GB2312" w:eastAsia="仿宋_GB2312" w:cs="仿宋_GB2312"/>
          <w:sz w:val="20"/>
          <w:szCs w:val="20"/>
        </w:rPr>
        <w:t>：所有设备出厂前均由供应商进行质量检测，核心设备由我方技术人员到场进行预测试，确保设备质量达标、功能正常。</w:t>
      </w:r>
    </w:p>
    <w:p w14:paraId="49F25EA8">
      <w:pPr>
        <w:spacing w:before="300" w:after="120" w:line="288" w:lineRule="auto"/>
        <w:ind w:left="0"/>
        <w:jc w:val="left"/>
        <w:outlineLvl w:val="2"/>
        <w:rPr>
          <w:rFonts w:hint="eastAsia" w:ascii="仿宋_GB2312" w:hAnsi="仿宋_GB2312" w:eastAsia="仿宋_GB2312" w:cs="仿宋_GB2312"/>
          <w:sz w:val="20"/>
          <w:szCs w:val="20"/>
        </w:rPr>
      </w:pPr>
      <w:bookmarkStart w:id="31" w:name="heading_31"/>
      <w:r>
        <w:rPr>
          <w:rFonts w:hint="eastAsia" w:ascii="仿宋_GB2312" w:hAnsi="仿宋_GB2312" w:eastAsia="仿宋_GB2312" w:cs="仿宋_GB2312"/>
          <w:b/>
          <w:sz w:val="20"/>
          <w:szCs w:val="20"/>
        </w:rPr>
        <w:t>5.3 事中质量控制措施</w:t>
      </w:r>
      <w:bookmarkEnd w:id="31"/>
    </w:p>
    <w:p w14:paraId="6785D6D5">
      <w:pPr>
        <w:numPr>
          <w:ilvl w:val="0"/>
          <w:numId w:val="43"/>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设备到货质量控制</w:t>
      </w:r>
      <w:r>
        <w:rPr>
          <w:rFonts w:hint="eastAsia" w:ascii="仿宋_GB2312" w:hAnsi="仿宋_GB2312" w:eastAsia="仿宋_GB2312" w:cs="仿宋_GB2312"/>
          <w:sz w:val="20"/>
          <w:szCs w:val="20"/>
        </w:rPr>
        <w:t>：设备到场后，联合校方对设备的数量、型号、外观、配件、质量证明文件（出厂合格证、检测报告等）进行全面核对，缺一不可，不合格设备立即退换货，严禁不合格设备进入安装环节；</w:t>
      </w:r>
    </w:p>
    <w:p w14:paraId="12F59CCA">
      <w:pPr>
        <w:numPr>
          <w:ilvl w:val="0"/>
          <w:numId w:val="44"/>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安装过程质量控制</w:t>
      </w:r>
      <w:r>
        <w:rPr>
          <w:rFonts w:hint="eastAsia" w:ascii="仿宋_GB2312" w:hAnsi="仿宋_GB2312" w:eastAsia="仿宋_GB2312" w:cs="仿宋_GB2312"/>
          <w:sz w:val="20"/>
          <w:szCs w:val="20"/>
        </w:rPr>
        <w:t>：安装人员严格按照安装规范、安装布局图施工，使用专用工具与检测设备，质量管理员对安装过程进行全程监督，重点检查设备安装牢固度、精度、安全性，发现问题立即停工整改；</w:t>
      </w:r>
    </w:p>
    <w:p w14:paraId="561F4056">
      <w:pPr>
        <w:numPr>
          <w:ilvl w:val="0"/>
          <w:numId w:val="45"/>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调试过程质量控制</w:t>
      </w:r>
      <w:r>
        <w:rPr>
          <w:rFonts w:hint="eastAsia" w:ascii="仿宋_GB2312" w:hAnsi="仿宋_GB2312" w:eastAsia="仿宋_GB2312" w:cs="仿宋_GB2312"/>
          <w:sz w:val="20"/>
          <w:szCs w:val="20"/>
        </w:rPr>
        <w:t>：单机调试和系统联调均由技术负责人全程指导，做好调试记录，所有设备的功能、参数均需达到招标文件要求，未达标设备不得进入下一环节；</w:t>
      </w:r>
    </w:p>
    <w:p w14:paraId="3A7C9406">
      <w:pPr>
        <w:numPr>
          <w:ilvl w:val="0"/>
          <w:numId w:val="46"/>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培训过程质量控制</w:t>
      </w:r>
      <w:r>
        <w:rPr>
          <w:rFonts w:hint="eastAsia" w:ascii="仿宋_GB2312" w:hAnsi="仿宋_GB2312" w:eastAsia="仿宋_GB2312" w:cs="仿宋_GB2312"/>
          <w:sz w:val="20"/>
          <w:szCs w:val="20"/>
        </w:rPr>
        <w:t>：培训讲师严格按照培训方案开展培训，质量管理员对培训内容、培训效果进行监督，确保培训覆盖全体相关教师，教师能独立操作设备和开展课程教学；</w:t>
      </w:r>
    </w:p>
    <w:p w14:paraId="27CF8CB8">
      <w:pPr>
        <w:numPr>
          <w:ilvl w:val="0"/>
          <w:numId w:val="47"/>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现场施工质量控制</w:t>
      </w:r>
      <w:r>
        <w:rPr>
          <w:rFonts w:hint="eastAsia" w:ascii="仿宋_GB2312" w:hAnsi="仿宋_GB2312" w:eastAsia="仿宋_GB2312" w:cs="仿宋_GB2312"/>
          <w:sz w:val="20"/>
          <w:szCs w:val="20"/>
        </w:rPr>
        <w:t>：严格遵守现场施工安全规范，做好现场防护，避免损坏校园设施，安装过程中做到文明施工、规范施工。</w:t>
      </w:r>
    </w:p>
    <w:p w14:paraId="59D6D96E">
      <w:pPr>
        <w:spacing w:before="300" w:after="120" w:line="288" w:lineRule="auto"/>
        <w:ind w:left="0"/>
        <w:jc w:val="left"/>
        <w:outlineLvl w:val="2"/>
        <w:rPr>
          <w:rFonts w:hint="eastAsia" w:ascii="仿宋_GB2312" w:hAnsi="仿宋_GB2312" w:eastAsia="仿宋_GB2312" w:cs="仿宋_GB2312"/>
          <w:sz w:val="20"/>
          <w:szCs w:val="20"/>
        </w:rPr>
      </w:pPr>
      <w:bookmarkStart w:id="32" w:name="heading_32"/>
      <w:r>
        <w:rPr>
          <w:rFonts w:hint="eastAsia" w:ascii="仿宋_GB2312" w:hAnsi="仿宋_GB2312" w:eastAsia="仿宋_GB2312" w:cs="仿宋_GB2312"/>
          <w:b/>
          <w:sz w:val="20"/>
          <w:szCs w:val="20"/>
        </w:rPr>
        <w:t>5.4 事后质量验收措施</w:t>
      </w:r>
      <w:bookmarkEnd w:id="32"/>
    </w:p>
    <w:p w14:paraId="6D198909">
      <w:pPr>
        <w:numPr>
          <w:ilvl w:val="0"/>
          <w:numId w:val="48"/>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分项验收</w:t>
      </w:r>
      <w:r>
        <w:rPr>
          <w:rFonts w:hint="eastAsia" w:ascii="仿宋_GB2312" w:hAnsi="仿宋_GB2312" w:eastAsia="仿宋_GB2312" w:cs="仿宋_GB2312"/>
          <w:sz w:val="20"/>
          <w:szCs w:val="20"/>
        </w:rPr>
        <w:t>：分别对设备、课程资源、师资培训开展分项验收，每项验收均制定明确的验收标准，验收合格后签署分项验收单，不合格项立即整改并重新验收；</w:t>
      </w:r>
    </w:p>
    <w:p w14:paraId="17D33D43">
      <w:pPr>
        <w:numPr>
          <w:ilvl w:val="0"/>
          <w:numId w:val="49"/>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整体验收</w:t>
      </w:r>
      <w:r>
        <w:rPr>
          <w:rFonts w:hint="eastAsia" w:ascii="仿宋_GB2312" w:hAnsi="仿宋_GB2312" w:eastAsia="仿宋_GB2312" w:cs="仿宋_GB2312"/>
          <w:sz w:val="20"/>
          <w:szCs w:val="20"/>
        </w:rPr>
        <w:t>：分项验收全部合格后，开展项目整体验收，由校方组织全面检查，确保项目整体符合招标文件所有要求，验收合格后签署《项目验收确认书》；</w:t>
      </w:r>
    </w:p>
    <w:p w14:paraId="713B8458">
      <w:pPr>
        <w:numPr>
          <w:ilvl w:val="0"/>
          <w:numId w:val="50"/>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质量追溯</w:t>
      </w:r>
      <w:r>
        <w:rPr>
          <w:rFonts w:hint="eastAsia" w:ascii="仿宋_GB2312" w:hAnsi="仿宋_GB2312" w:eastAsia="仿宋_GB2312" w:cs="仿宋_GB2312"/>
          <w:sz w:val="20"/>
          <w:szCs w:val="20"/>
        </w:rPr>
        <w:t>：建立完整的《项目档案》，包含设备清单、安装记录、调试报告、培训记录、验收报告、质量检查记录等所有资料，电子档+纸质档双重保存，确保项目质量全程可追溯。</w:t>
      </w:r>
    </w:p>
    <w:p w14:paraId="7798C09A">
      <w:pPr>
        <w:spacing w:before="300" w:after="120" w:line="288" w:lineRule="auto"/>
        <w:ind w:left="0"/>
        <w:jc w:val="left"/>
        <w:outlineLvl w:val="2"/>
        <w:rPr>
          <w:rFonts w:hint="eastAsia" w:ascii="仿宋_GB2312" w:hAnsi="仿宋_GB2312" w:eastAsia="仿宋_GB2312" w:cs="仿宋_GB2312"/>
          <w:sz w:val="20"/>
          <w:szCs w:val="20"/>
        </w:rPr>
      </w:pPr>
      <w:bookmarkStart w:id="33" w:name="heading_33"/>
      <w:r>
        <w:rPr>
          <w:rFonts w:hint="eastAsia" w:ascii="仿宋_GB2312" w:hAnsi="仿宋_GB2312" w:eastAsia="仿宋_GB2312" w:cs="仿宋_GB2312"/>
          <w:b/>
          <w:sz w:val="20"/>
          <w:szCs w:val="20"/>
        </w:rPr>
        <w:t>5.5 关键设备质量保障</w:t>
      </w:r>
      <w:bookmarkEnd w:id="33"/>
    </w:p>
    <w:p w14:paraId="40F93172">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对VR虚拟体验学习机、机械传动互动展示墙、天文望远镜、互动展示屏等核心关键设备，额外采取专项质量保障措施：</w:t>
      </w:r>
    </w:p>
    <w:p w14:paraId="239F5D15">
      <w:pPr>
        <w:numPr>
          <w:ilvl w:val="0"/>
          <w:numId w:val="51"/>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出厂前进行72小时连续运行测试，确保设备稳定性；</w:t>
      </w:r>
    </w:p>
    <w:p w14:paraId="23909D4C">
      <w:pPr>
        <w:numPr>
          <w:ilvl w:val="0"/>
          <w:numId w:val="52"/>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现场安装后进行48小时不间断试运行，检查设备运行状态；</w:t>
      </w:r>
    </w:p>
    <w:p w14:paraId="27984BA9">
      <w:pPr>
        <w:numPr>
          <w:ilvl w:val="0"/>
          <w:numId w:val="53"/>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质保期内优先配备备品备件，确保设备故障能快速修复。</w:t>
      </w:r>
    </w:p>
    <w:p w14:paraId="76B97C21">
      <w:pPr>
        <w:spacing w:before="320" w:after="120" w:line="288" w:lineRule="auto"/>
        <w:ind w:left="0"/>
        <w:jc w:val="left"/>
        <w:outlineLvl w:val="1"/>
        <w:rPr>
          <w:rFonts w:hint="eastAsia" w:ascii="仿宋_GB2312" w:hAnsi="仿宋_GB2312" w:eastAsia="仿宋_GB2312" w:cs="仿宋_GB2312"/>
          <w:sz w:val="20"/>
          <w:szCs w:val="20"/>
        </w:rPr>
      </w:pPr>
      <w:bookmarkStart w:id="34" w:name="heading_34"/>
      <w:r>
        <w:rPr>
          <w:rFonts w:hint="eastAsia" w:ascii="仿宋_GB2312" w:hAnsi="仿宋_GB2312" w:eastAsia="仿宋_GB2312" w:cs="仿宋_GB2312"/>
          <w:b/>
          <w:sz w:val="20"/>
          <w:szCs w:val="20"/>
        </w:rPr>
        <w:t>六、课程资源交付与师资培训方案</w:t>
      </w:r>
      <w:bookmarkEnd w:id="34"/>
    </w:p>
    <w:p w14:paraId="5CDF18BD">
      <w:pPr>
        <w:spacing w:before="300" w:after="120" w:line="288" w:lineRule="auto"/>
        <w:ind w:left="0"/>
        <w:jc w:val="left"/>
        <w:outlineLvl w:val="2"/>
        <w:rPr>
          <w:rFonts w:hint="eastAsia" w:ascii="仿宋_GB2312" w:hAnsi="仿宋_GB2312" w:eastAsia="仿宋_GB2312" w:cs="仿宋_GB2312"/>
          <w:sz w:val="20"/>
          <w:szCs w:val="20"/>
        </w:rPr>
      </w:pPr>
      <w:bookmarkStart w:id="35" w:name="heading_35"/>
      <w:r>
        <w:rPr>
          <w:rFonts w:hint="eastAsia" w:ascii="仿宋_GB2312" w:hAnsi="仿宋_GB2312" w:eastAsia="仿宋_GB2312" w:cs="仿宋_GB2312"/>
          <w:b/>
          <w:sz w:val="20"/>
          <w:szCs w:val="20"/>
        </w:rPr>
        <w:t>6.1 课程资源交付</w:t>
      </w:r>
      <w:bookmarkEnd w:id="35"/>
    </w:p>
    <w:p w14:paraId="06561797">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本次项目交付的课程资源以《青少年天文探究系列课程体系》为核心，结合校区教学实际优化设计，完全对接2022年小学科学课标，实现天文馆与Stream教室课程深度融合，</w:t>
      </w:r>
      <w:r>
        <w:rPr>
          <w:rFonts w:hint="eastAsia" w:ascii="仿宋_GB2312" w:hAnsi="仿宋_GB2312" w:eastAsia="仿宋_GB2312" w:cs="仿宋_GB2312"/>
          <w:b/>
          <w:sz w:val="20"/>
          <w:szCs w:val="20"/>
        </w:rPr>
        <w:t>全套课程资源均提供电子档（U盘/网盘）+纸质档</w:t>
      </w:r>
      <w:r>
        <w:rPr>
          <w:rFonts w:hint="eastAsia" w:ascii="仿宋_GB2312" w:hAnsi="仿宋_GB2312" w:eastAsia="仿宋_GB2312" w:cs="仿宋_GB2312"/>
          <w:sz w:val="20"/>
          <w:szCs w:val="20"/>
        </w:rPr>
        <w:t>，便于校方日常教学使用。</w:t>
      </w:r>
    </w:p>
    <w:p w14:paraId="7C2A3257">
      <w:pPr>
        <w:spacing w:before="260" w:after="120" w:line="288" w:lineRule="auto"/>
        <w:ind w:left="0"/>
        <w:jc w:val="left"/>
        <w:outlineLvl w:val="3"/>
        <w:rPr>
          <w:rFonts w:hint="eastAsia" w:ascii="仿宋_GB2312" w:hAnsi="仿宋_GB2312" w:eastAsia="仿宋_GB2312" w:cs="仿宋_GB2312"/>
          <w:sz w:val="20"/>
          <w:szCs w:val="20"/>
        </w:rPr>
      </w:pPr>
      <w:bookmarkStart w:id="36" w:name="heading_36"/>
      <w:r>
        <w:rPr>
          <w:rFonts w:hint="eastAsia" w:ascii="仿宋_GB2312" w:hAnsi="仿宋_GB2312" w:eastAsia="仿宋_GB2312" w:cs="仿宋_GB2312"/>
          <w:b/>
          <w:sz w:val="20"/>
          <w:szCs w:val="20"/>
        </w:rPr>
        <w:t>6.1.1 课程资源核心构成</w:t>
      </w:r>
      <w:bookmarkEnd w:id="36"/>
    </w:p>
    <w:p w14:paraId="7C9DB52C">
      <w:pPr>
        <w:numPr>
          <w:ilvl w:val="0"/>
          <w:numId w:val="54"/>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天文探究系列课程</w:t>
      </w:r>
      <w:r>
        <w:rPr>
          <w:rFonts w:hint="eastAsia" w:ascii="仿宋_GB2312" w:hAnsi="仿宋_GB2312" w:eastAsia="仿宋_GB2312" w:cs="仿宋_GB2312"/>
          <w:sz w:val="20"/>
          <w:szCs w:val="20"/>
        </w:rPr>
        <w:t>：6大单元、56课时，涵盖太阳篇、日地篇、地球篇、月亮篇、太阳系篇、星系篇，配套课程设计说明书、PPT课件、学生手册、实验记录表；</w:t>
      </w:r>
    </w:p>
    <w:p w14:paraId="3850ABBF">
      <w:pPr>
        <w:numPr>
          <w:ilvl w:val="0"/>
          <w:numId w:val="55"/>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重点探究式课程</w:t>
      </w:r>
      <w:r>
        <w:rPr>
          <w:rFonts w:hint="eastAsia" w:ascii="仿宋_GB2312" w:hAnsi="仿宋_GB2312" w:eastAsia="仿宋_GB2312" w:cs="仿宋_GB2312"/>
          <w:sz w:val="20"/>
          <w:szCs w:val="20"/>
        </w:rPr>
        <w:t>：走过四季、月相变化、为什么看不到月球背面、测量地球的周长、太阳有什么秘密等核心课程，配套专属实验材料包、模型制作工具；</w:t>
      </w:r>
    </w:p>
    <w:p w14:paraId="63AAEB81">
      <w:pPr>
        <w:numPr>
          <w:ilvl w:val="0"/>
          <w:numId w:val="56"/>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科创课程</w:t>
      </w:r>
      <w:r>
        <w:rPr>
          <w:rFonts w:hint="eastAsia" w:ascii="仿宋_GB2312" w:hAnsi="仿宋_GB2312" w:eastAsia="仿宋_GB2312" w:cs="仿宋_GB2312"/>
          <w:sz w:val="20"/>
          <w:szCs w:val="20"/>
        </w:rPr>
        <w:t>：编程、3D打印、科学探究、机械传动等科创课程，配套教案、课件、实验指导手册；</w:t>
      </w:r>
    </w:p>
    <w:p w14:paraId="74C1B266">
      <w:pPr>
        <w:numPr>
          <w:ilvl w:val="0"/>
          <w:numId w:val="57"/>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跨区域融合课程</w:t>
      </w:r>
      <w:r>
        <w:rPr>
          <w:rFonts w:hint="eastAsia" w:ascii="仿宋_GB2312" w:hAnsi="仿宋_GB2312" w:eastAsia="仿宋_GB2312" w:cs="仿宋_GB2312"/>
          <w:sz w:val="20"/>
          <w:szCs w:val="20"/>
        </w:rPr>
        <w:t>：8节天文+科创融合课程教案、课件及实施指南，实现天文馆与Stream教室教学联动；</w:t>
      </w:r>
    </w:p>
    <w:p w14:paraId="09F4FBDE">
      <w:pPr>
        <w:numPr>
          <w:ilvl w:val="0"/>
          <w:numId w:val="58"/>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配套教学资源</w:t>
      </w:r>
      <w:r>
        <w:rPr>
          <w:rFonts w:hint="eastAsia" w:ascii="仿宋_GB2312" w:hAnsi="仿宋_GB2312" w:eastAsia="仿宋_GB2312" w:cs="仿宋_GB2312"/>
          <w:sz w:val="20"/>
          <w:szCs w:val="20"/>
        </w:rPr>
        <w:t>：天文科普视频、实验操作视频、设备操作教程、教学案例参考等。</w:t>
      </w:r>
    </w:p>
    <w:p w14:paraId="2522ACC6">
      <w:pPr>
        <w:spacing w:before="260" w:after="120" w:line="288" w:lineRule="auto"/>
        <w:ind w:left="0"/>
        <w:jc w:val="left"/>
        <w:outlineLvl w:val="3"/>
        <w:rPr>
          <w:rFonts w:hint="eastAsia" w:ascii="仿宋_GB2312" w:hAnsi="仿宋_GB2312" w:eastAsia="仿宋_GB2312" w:cs="仿宋_GB2312"/>
          <w:sz w:val="20"/>
          <w:szCs w:val="20"/>
        </w:rPr>
      </w:pPr>
      <w:bookmarkStart w:id="37" w:name="heading_37"/>
      <w:r>
        <w:rPr>
          <w:rFonts w:hint="eastAsia" w:ascii="仿宋_GB2312" w:hAnsi="仿宋_GB2312" w:eastAsia="仿宋_GB2312" w:cs="仿宋_GB2312"/>
          <w:b/>
          <w:sz w:val="20"/>
          <w:szCs w:val="20"/>
        </w:rPr>
        <w:t>6.1.2 实物教学资源交付</w:t>
      </w:r>
      <w:bookmarkEnd w:id="37"/>
    </w:p>
    <w:p w14:paraId="28DCC87F">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为每位教师配备</w:t>
      </w:r>
      <w:r>
        <w:rPr>
          <w:rFonts w:hint="eastAsia" w:ascii="仿宋_GB2312" w:hAnsi="仿宋_GB2312" w:eastAsia="仿宋_GB2312" w:cs="仿宋_GB2312"/>
          <w:b/>
          <w:sz w:val="20"/>
          <w:szCs w:val="20"/>
        </w:rPr>
        <w:t>教师资源包</w:t>
      </w:r>
      <w:r>
        <w:rPr>
          <w:rFonts w:hint="eastAsia" w:ascii="仿宋_GB2312" w:hAnsi="仿宋_GB2312" w:eastAsia="仿宋_GB2312" w:cs="仿宋_GB2312"/>
          <w:sz w:val="20"/>
          <w:szCs w:val="20"/>
        </w:rPr>
        <w:t>（含教师指导手册、课程资料汇编），为学生配备</w:t>
      </w:r>
      <w:r>
        <w:rPr>
          <w:rFonts w:hint="eastAsia" w:ascii="仿宋_GB2312" w:hAnsi="仿宋_GB2312" w:eastAsia="仿宋_GB2312" w:cs="仿宋_GB2312"/>
          <w:b/>
          <w:sz w:val="20"/>
          <w:szCs w:val="20"/>
        </w:rPr>
        <w:t>天文资源箱</w:t>
      </w:r>
      <w:r>
        <w:rPr>
          <w:rFonts w:hint="eastAsia" w:ascii="仿宋_GB2312" w:hAnsi="仿宋_GB2312" w:eastAsia="仿宋_GB2312" w:cs="仿宋_GB2312"/>
          <w:sz w:val="20"/>
          <w:szCs w:val="20"/>
        </w:rPr>
        <w:t>（含24件木质天文模型、10余个小实验材料包）、实验记录表、学生手册等，确保教学实操需求。</w:t>
      </w:r>
    </w:p>
    <w:p w14:paraId="54742113">
      <w:pPr>
        <w:spacing w:before="300" w:after="120" w:line="288" w:lineRule="auto"/>
        <w:ind w:left="0"/>
        <w:jc w:val="left"/>
        <w:outlineLvl w:val="2"/>
        <w:rPr>
          <w:rFonts w:hint="eastAsia" w:ascii="仿宋_GB2312" w:hAnsi="仿宋_GB2312" w:eastAsia="仿宋_GB2312" w:cs="仿宋_GB2312"/>
          <w:sz w:val="20"/>
          <w:szCs w:val="20"/>
        </w:rPr>
      </w:pPr>
      <w:bookmarkStart w:id="38" w:name="heading_38"/>
      <w:r>
        <w:rPr>
          <w:rFonts w:hint="eastAsia" w:ascii="仿宋_GB2312" w:hAnsi="仿宋_GB2312" w:eastAsia="仿宋_GB2312" w:cs="仿宋_GB2312"/>
          <w:b/>
          <w:sz w:val="20"/>
          <w:szCs w:val="20"/>
        </w:rPr>
        <w:t>6.2 师资培训方案</w:t>
      </w:r>
      <w:bookmarkEnd w:id="38"/>
    </w:p>
    <w:p w14:paraId="26756403">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针对本次项目的设备操作和课程教学需求，制定</w:t>
      </w:r>
      <w:r>
        <w:rPr>
          <w:rFonts w:hint="eastAsia" w:ascii="仿宋_GB2312" w:hAnsi="仿宋_GB2312" w:eastAsia="仿宋_GB2312" w:cs="仿宋_GB2312"/>
          <w:b/>
          <w:sz w:val="20"/>
          <w:szCs w:val="20"/>
        </w:rPr>
        <w:t>定制化、实操性强</w:t>
      </w:r>
      <w:r>
        <w:rPr>
          <w:rFonts w:hint="eastAsia" w:ascii="仿宋_GB2312" w:hAnsi="仿宋_GB2312" w:eastAsia="仿宋_GB2312" w:cs="仿宋_GB2312"/>
          <w:sz w:val="20"/>
          <w:szCs w:val="20"/>
        </w:rPr>
        <w:t>的师资培训方案，确保参训教师能独立操作所有设备、开展课程教学和融合课程设计。</w:t>
      </w:r>
    </w:p>
    <w:p w14:paraId="685BB94E">
      <w:pPr>
        <w:spacing w:before="260" w:after="120" w:line="288" w:lineRule="auto"/>
        <w:ind w:left="0"/>
        <w:jc w:val="left"/>
        <w:outlineLvl w:val="3"/>
        <w:rPr>
          <w:rFonts w:hint="eastAsia" w:ascii="仿宋_GB2312" w:hAnsi="仿宋_GB2312" w:eastAsia="仿宋_GB2312" w:cs="仿宋_GB2312"/>
          <w:sz w:val="20"/>
          <w:szCs w:val="20"/>
        </w:rPr>
      </w:pPr>
      <w:bookmarkStart w:id="39" w:name="heading_39"/>
      <w:r>
        <w:rPr>
          <w:rFonts w:hint="eastAsia" w:ascii="仿宋_GB2312" w:hAnsi="仿宋_GB2312" w:eastAsia="仿宋_GB2312" w:cs="仿宋_GB2312"/>
          <w:b/>
          <w:sz w:val="20"/>
          <w:szCs w:val="20"/>
        </w:rPr>
        <w:t>6.2.1 培训对象</w:t>
      </w:r>
      <w:bookmarkEnd w:id="39"/>
    </w:p>
    <w:p w14:paraId="78ADC902">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泉州市实验小学大兴校区天文、科学、科创等相关学科教师、实验室管理员。</w:t>
      </w:r>
    </w:p>
    <w:p w14:paraId="63AA3C17">
      <w:pPr>
        <w:spacing w:before="260" w:after="120" w:line="288" w:lineRule="auto"/>
        <w:ind w:left="0"/>
        <w:jc w:val="left"/>
        <w:outlineLvl w:val="3"/>
        <w:rPr>
          <w:rFonts w:hint="eastAsia" w:ascii="仿宋_GB2312" w:hAnsi="仿宋_GB2312" w:eastAsia="仿宋_GB2312" w:cs="仿宋_GB2312"/>
          <w:sz w:val="20"/>
          <w:szCs w:val="20"/>
        </w:rPr>
      </w:pPr>
      <w:bookmarkStart w:id="40" w:name="heading_40"/>
      <w:r>
        <w:rPr>
          <w:rFonts w:hint="eastAsia" w:ascii="仿宋_GB2312" w:hAnsi="仿宋_GB2312" w:eastAsia="仿宋_GB2312" w:cs="仿宋_GB2312"/>
          <w:b/>
          <w:sz w:val="20"/>
          <w:szCs w:val="20"/>
        </w:rPr>
        <w:t>6.2.2 培训目标</w:t>
      </w:r>
      <w:bookmarkEnd w:id="40"/>
    </w:p>
    <w:p w14:paraId="0663B9D2">
      <w:pPr>
        <w:numPr>
          <w:ilvl w:val="0"/>
          <w:numId w:val="59"/>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让教师熟练掌握所有教学设备的操作方法、日常维护保养要点及常见故障应急处理；</w:t>
      </w:r>
    </w:p>
    <w:p w14:paraId="261544BD">
      <w:pPr>
        <w:numPr>
          <w:ilvl w:val="0"/>
          <w:numId w:val="60"/>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让教师理解课程设计理念，能独立使用配套课程资源开展探究式教学；</w:t>
      </w:r>
    </w:p>
    <w:p w14:paraId="4FEEE4B1">
      <w:pPr>
        <w:numPr>
          <w:ilvl w:val="0"/>
          <w:numId w:val="61"/>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让教师掌握天文+科创融合课程的教学设计与实施方法；</w:t>
      </w:r>
    </w:p>
    <w:p w14:paraId="676E4216">
      <w:pPr>
        <w:numPr>
          <w:ilvl w:val="0"/>
          <w:numId w:val="62"/>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让实验室管理员掌握设备的日常管理、校准、维护方法。</w:t>
      </w:r>
    </w:p>
    <w:p w14:paraId="6F822796">
      <w:pPr>
        <w:spacing w:before="260" w:after="120" w:line="288" w:lineRule="auto"/>
        <w:ind w:left="0"/>
        <w:jc w:val="left"/>
        <w:outlineLvl w:val="3"/>
        <w:rPr>
          <w:rFonts w:hint="eastAsia" w:ascii="仿宋_GB2312" w:hAnsi="仿宋_GB2312" w:eastAsia="仿宋_GB2312" w:cs="仿宋_GB2312"/>
          <w:sz w:val="20"/>
          <w:szCs w:val="20"/>
        </w:rPr>
      </w:pPr>
      <w:bookmarkStart w:id="41" w:name="heading_41"/>
      <w:r>
        <w:rPr>
          <w:rFonts w:hint="eastAsia" w:ascii="仿宋_GB2312" w:hAnsi="仿宋_GB2312" w:eastAsia="仿宋_GB2312" w:cs="仿宋_GB2312"/>
          <w:b/>
          <w:sz w:val="20"/>
          <w:szCs w:val="20"/>
        </w:rPr>
        <w:t>6.2.3 培训内容</w:t>
      </w:r>
      <w:bookmarkEnd w:id="41"/>
    </w:p>
    <w:tbl>
      <w:tblPr>
        <w:tblStyle w:val="9"/>
        <w:tblW w:w="9226" w:type="dxa"/>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3000"/>
        <w:gridCol w:w="6226"/>
      </w:tblGrid>
      <w:tr w14:paraId="01E4C18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vAlign w:val="center"/>
          </w:tcPr>
          <w:p w14:paraId="4468B2E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培训模块</w:t>
            </w:r>
          </w:p>
        </w:tc>
        <w:tc>
          <w:tcPr>
            <w:tcW w:w="6226" w:type="dxa"/>
            <w:tcMar>
              <w:top w:w="60" w:type="dxa"/>
              <w:left w:w="120" w:type="dxa"/>
              <w:bottom w:w="30" w:type="dxa"/>
              <w:right w:w="120" w:type="dxa"/>
            </w:tcMar>
            <w:vAlign w:val="center"/>
          </w:tcPr>
          <w:p w14:paraId="055E472E">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核心培训内容</w:t>
            </w:r>
          </w:p>
        </w:tc>
      </w:tr>
      <w:tr w14:paraId="5E7F496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vAlign w:val="center"/>
          </w:tcPr>
          <w:p w14:paraId="75AD0DE1">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设备操作与维护</w:t>
            </w:r>
          </w:p>
        </w:tc>
        <w:tc>
          <w:tcPr>
            <w:tcW w:w="6226" w:type="dxa"/>
            <w:tcMar>
              <w:top w:w="60" w:type="dxa"/>
              <w:left w:w="120" w:type="dxa"/>
              <w:bottom w:w="30" w:type="dxa"/>
              <w:right w:w="120" w:type="dxa"/>
            </w:tcMar>
            <w:vAlign w:val="center"/>
          </w:tcPr>
          <w:p w14:paraId="0FB0E097">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天文展教具、VR系统、互动展示墙、天文望远镜、多媒体设备、实验套装等所有设备的操作方法、参数设置、日常清洁、保养要点、常见故障排查与应急处理；</w:t>
            </w:r>
          </w:p>
        </w:tc>
      </w:tr>
      <w:tr w14:paraId="26494DD7">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vAlign w:val="center"/>
          </w:tcPr>
          <w:p w14:paraId="7D89F9B7">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课程实施与教学设计</w:t>
            </w:r>
          </w:p>
        </w:tc>
        <w:tc>
          <w:tcPr>
            <w:tcW w:w="6226" w:type="dxa"/>
            <w:tcMar>
              <w:top w:w="60" w:type="dxa"/>
              <w:left w:w="120" w:type="dxa"/>
              <w:bottom w:w="30" w:type="dxa"/>
              <w:right w:w="120" w:type="dxa"/>
            </w:tcMar>
            <w:vAlign w:val="center"/>
          </w:tcPr>
          <w:p w14:paraId="3A157BC8">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天文探究课程、科创课程的设计理念、教学流程、探究式教学方法；课程资源（教案、课件、学生手册）的使用技巧；根据学生特点调整教学内容的方法；</w:t>
            </w:r>
          </w:p>
        </w:tc>
      </w:tr>
      <w:tr w14:paraId="04993B2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vAlign w:val="center"/>
          </w:tcPr>
          <w:p w14:paraId="2A9507AE">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融合课程教学</w:t>
            </w:r>
          </w:p>
        </w:tc>
        <w:tc>
          <w:tcPr>
            <w:tcW w:w="6226" w:type="dxa"/>
            <w:tcMar>
              <w:top w:w="60" w:type="dxa"/>
              <w:left w:w="120" w:type="dxa"/>
              <w:bottom w:w="30" w:type="dxa"/>
              <w:right w:w="120" w:type="dxa"/>
            </w:tcMar>
            <w:vAlign w:val="center"/>
          </w:tcPr>
          <w:p w14:paraId="0A1DDBB8">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天文+科创融合课程的设计思路、实施步骤、教学联动技巧；融合课程实践活动的组织方法；</w:t>
            </w:r>
          </w:p>
        </w:tc>
      </w:tr>
      <w:tr w14:paraId="1120D81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vAlign w:val="center"/>
          </w:tcPr>
          <w:p w14:paraId="321040C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安全注意事项</w:t>
            </w:r>
          </w:p>
        </w:tc>
        <w:tc>
          <w:tcPr>
            <w:tcW w:w="6226" w:type="dxa"/>
            <w:tcMar>
              <w:top w:w="60" w:type="dxa"/>
              <w:left w:w="120" w:type="dxa"/>
              <w:bottom w:w="30" w:type="dxa"/>
              <w:right w:w="120" w:type="dxa"/>
            </w:tcMar>
            <w:vAlign w:val="center"/>
          </w:tcPr>
          <w:p w14:paraId="75B852E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设备操作安全规范、实验材料使用安全、户外天文观测安全、应急处理流程；</w:t>
            </w:r>
          </w:p>
        </w:tc>
      </w:tr>
      <w:tr w14:paraId="406A57C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3000" w:type="dxa"/>
            <w:tcMar>
              <w:top w:w="60" w:type="dxa"/>
              <w:left w:w="120" w:type="dxa"/>
              <w:bottom w:w="30" w:type="dxa"/>
              <w:right w:w="120" w:type="dxa"/>
            </w:tcMar>
            <w:vAlign w:val="center"/>
          </w:tcPr>
          <w:p w14:paraId="5BF0F073">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设备管理与校准</w:t>
            </w:r>
          </w:p>
        </w:tc>
        <w:tc>
          <w:tcPr>
            <w:tcW w:w="6226" w:type="dxa"/>
            <w:tcMar>
              <w:top w:w="60" w:type="dxa"/>
              <w:left w:w="120" w:type="dxa"/>
              <w:bottom w:w="30" w:type="dxa"/>
              <w:right w:w="120" w:type="dxa"/>
            </w:tcMar>
            <w:vAlign w:val="center"/>
          </w:tcPr>
          <w:p w14:paraId="53001D8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实验室设备的日常管理方法、设备校准流程、备品备件管理、设备档案建立；</w:t>
            </w:r>
          </w:p>
        </w:tc>
      </w:tr>
    </w:tbl>
    <w:p w14:paraId="096AA732">
      <w:pPr>
        <w:spacing w:before="260" w:after="120" w:line="288" w:lineRule="auto"/>
        <w:ind w:left="0"/>
        <w:jc w:val="left"/>
        <w:outlineLvl w:val="3"/>
        <w:rPr>
          <w:rFonts w:hint="eastAsia" w:ascii="仿宋_GB2312" w:hAnsi="仿宋_GB2312" w:eastAsia="仿宋_GB2312" w:cs="仿宋_GB2312"/>
          <w:sz w:val="20"/>
          <w:szCs w:val="20"/>
        </w:rPr>
      </w:pPr>
      <w:bookmarkStart w:id="42" w:name="heading_42"/>
      <w:r>
        <w:rPr>
          <w:rFonts w:hint="eastAsia" w:ascii="仿宋_GB2312" w:hAnsi="仿宋_GB2312" w:eastAsia="仿宋_GB2312" w:cs="仿宋_GB2312"/>
          <w:b/>
          <w:sz w:val="20"/>
          <w:szCs w:val="20"/>
        </w:rPr>
        <w:t>6.2.4 培训方式</w:t>
      </w:r>
      <w:bookmarkEnd w:id="42"/>
    </w:p>
    <w:p w14:paraId="1785B0DC">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采用“线下集中培训+现场实操指导+视频教程支持”的三维培训模式，注重实操性，确保培训效果：</w:t>
      </w:r>
    </w:p>
    <w:p w14:paraId="5D962908">
      <w:pPr>
        <w:numPr>
          <w:ilvl w:val="0"/>
          <w:numId w:val="63"/>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线下集中培训</w:t>
      </w:r>
      <w:r>
        <w:rPr>
          <w:rFonts w:hint="eastAsia" w:ascii="仿宋_GB2312" w:hAnsi="仿宋_GB2312" w:eastAsia="仿宋_GB2312" w:cs="仿宋_GB2312"/>
          <w:sz w:val="20"/>
          <w:szCs w:val="20"/>
        </w:rPr>
        <w:t>：2场线下专项培训，每场≥3小时，由天文、科创专业讲师进行理论讲解和现场演示；</w:t>
      </w:r>
    </w:p>
    <w:p w14:paraId="6DDDD87C">
      <w:pPr>
        <w:numPr>
          <w:ilvl w:val="0"/>
          <w:numId w:val="64"/>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现场实操指导</w:t>
      </w:r>
      <w:r>
        <w:rPr>
          <w:rFonts w:hint="eastAsia" w:ascii="仿宋_GB2312" w:hAnsi="仿宋_GB2312" w:eastAsia="仿宋_GB2312" w:cs="仿宋_GB2312"/>
          <w:sz w:val="20"/>
          <w:szCs w:val="20"/>
        </w:rPr>
        <w:t>：培训讲师一对一指导教师操作设备、开展课程试讲，及时解答教师疑问；</w:t>
      </w:r>
    </w:p>
    <w:p w14:paraId="5865FE77">
      <w:pPr>
        <w:numPr>
          <w:ilvl w:val="0"/>
          <w:numId w:val="65"/>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视频教程支持</w:t>
      </w:r>
      <w:r>
        <w:rPr>
          <w:rFonts w:hint="eastAsia" w:ascii="仿宋_GB2312" w:hAnsi="仿宋_GB2312" w:eastAsia="仿宋_GB2312" w:cs="仿宋_GB2312"/>
          <w:sz w:val="20"/>
          <w:szCs w:val="20"/>
        </w:rPr>
        <w:t>：为校方提供全套设备操作、课程教学的视频教程，便于教师课后复习和随时查阅。</w:t>
      </w:r>
    </w:p>
    <w:p w14:paraId="379C7F70">
      <w:pPr>
        <w:spacing w:before="260" w:after="120" w:line="288" w:lineRule="auto"/>
        <w:ind w:left="0"/>
        <w:jc w:val="left"/>
        <w:outlineLvl w:val="3"/>
        <w:rPr>
          <w:rFonts w:hint="eastAsia" w:ascii="仿宋_GB2312" w:hAnsi="仿宋_GB2312" w:eastAsia="仿宋_GB2312" w:cs="仿宋_GB2312"/>
          <w:sz w:val="20"/>
          <w:szCs w:val="20"/>
        </w:rPr>
      </w:pPr>
      <w:bookmarkStart w:id="43" w:name="heading_43"/>
      <w:r>
        <w:rPr>
          <w:rFonts w:hint="eastAsia" w:ascii="仿宋_GB2312" w:hAnsi="仿宋_GB2312" w:eastAsia="仿宋_GB2312" w:cs="仿宋_GB2312"/>
          <w:b/>
          <w:sz w:val="20"/>
          <w:szCs w:val="20"/>
        </w:rPr>
        <w:t>6.2.5 培训考核与效果保障</w:t>
      </w:r>
      <w:bookmarkEnd w:id="43"/>
    </w:p>
    <w:p w14:paraId="2E813511">
      <w:pPr>
        <w:numPr>
          <w:ilvl w:val="0"/>
          <w:numId w:val="66"/>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培训结束后开展</w:t>
      </w:r>
      <w:r>
        <w:rPr>
          <w:rFonts w:hint="eastAsia" w:ascii="仿宋_GB2312" w:hAnsi="仿宋_GB2312" w:eastAsia="仿宋_GB2312" w:cs="仿宋_GB2312"/>
          <w:b/>
          <w:sz w:val="20"/>
          <w:szCs w:val="20"/>
        </w:rPr>
        <w:t>现场实操+理论考核</w:t>
      </w:r>
      <w:r>
        <w:rPr>
          <w:rFonts w:hint="eastAsia" w:ascii="仿宋_GB2312" w:hAnsi="仿宋_GB2312" w:eastAsia="仿宋_GB2312" w:cs="仿宋_GB2312"/>
          <w:sz w:val="20"/>
          <w:szCs w:val="20"/>
        </w:rPr>
        <w:t>，考核合格后颁发《培训合格证书》，未通过考核的教师进行一对一补课，直至考核合格；</w:t>
      </w:r>
    </w:p>
    <w:p w14:paraId="6288DD54">
      <w:pPr>
        <w:numPr>
          <w:ilvl w:val="0"/>
          <w:numId w:val="67"/>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培训后安排1名培训讲师驻校1天，提供现场教学指导，协助教师开展首次课程教学；</w:t>
      </w:r>
    </w:p>
    <w:p w14:paraId="1E2DB1F0">
      <w:pPr>
        <w:numPr>
          <w:ilvl w:val="0"/>
          <w:numId w:val="68"/>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建立培训售后沟通群，为教师提供长期的课程教学和设备操作答疑服务。</w:t>
      </w:r>
    </w:p>
    <w:p w14:paraId="14B7F80B">
      <w:pPr>
        <w:spacing w:before="320" w:after="120" w:line="288" w:lineRule="auto"/>
        <w:ind w:left="0"/>
        <w:jc w:val="left"/>
        <w:outlineLvl w:val="1"/>
        <w:rPr>
          <w:rFonts w:hint="eastAsia" w:ascii="仿宋_GB2312" w:hAnsi="仿宋_GB2312" w:eastAsia="仿宋_GB2312" w:cs="仿宋_GB2312"/>
          <w:sz w:val="20"/>
          <w:szCs w:val="20"/>
        </w:rPr>
      </w:pPr>
      <w:bookmarkStart w:id="44" w:name="heading_44"/>
      <w:r>
        <w:rPr>
          <w:rFonts w:hint="eastAsia" w:ascii="仿宋_GB2312" w:hAnsi="仿宋_GB2312" w:eastAsia="仿宋_GB2312" w:cs="仿宋_GB2312"/>
          <w:b/>
          <w:sz w:val="20"/>
          <w:szCs w:val="20"/>
        </w:rPr>
        <w:t>七、项目验收方案</w:t>
      </w:r>
      <w:bookmarkEnd w:id="44"/>
    </w:p>
    <w:p w14:paraId="3B7F1DAA">
      <w:pPr>
        <w:spacing w:before="300" w:after="120" w:line="288" w:lineRule="auto"/>
        <w:ind w:left="0"/>
        <w:jc w:val="left"/>
        <w:outlineLvl w:val="2"/>
        <w:rPr>
          <w:rFonts w:hint="eastAsia" w:ascii="仿宋_GB2312" w:hAnsi="仿宋_GB2312" w:eastAsia="仿宋_GB2312" w:cs="仿宋_GB2312"/>
          <w:sz w:val="20"/>
          <w:szCs w:val="20"/>
        </w:rPr>
      </w:pPr>
      <w:bookmarkStart w:id="45" w:name="heading_45"/>
      <w:r>
        <w:rPr>
          <w:rFonts w:hint="eastAsia" w:ascii="仿宋_GB2312" w:hAnsi="仿宋_GB2312" w:eastAsia="仿宋_GB2312" w:cs="仿宋_GB2312"/>
          <w:b/>
          <w:sz w:val="20"/>
          <w:szCs w:val="20"/>
        </w:rPr>
        <w:t>7.1 验收依据</w:t>
      </w:r>
      <w:bookmarkEnd w:id="45"/>
    </w:p>
    <w:p w14:paraId="0FEA2797">
      <w:pPr>
        <w:numPr>
          <w:ilvl w:val="0"/>
          <w:numId w:val="69"/>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本项目招标文件、投标文件、中标通知书及双方签订的采购合同；</w:t>
      </w:r>
    </w:p>
    <w:p w14:paraId="59422F78">
      <w:pPr>
        <w:numPr>
          <w:ilvl w:val="0"/>
          <w:numId w:val="70"/>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国家相关产品质量标准、教育设备安装规范、小学科学课程标准；</w:t>
      </w:r>
    </w:p>
    <w:p w14:paraId="64A89E74">
      <w:pPr>
        <w:numPr>
          <w:ilvl w:val="0"/>
          <w:numId w:val="71"/>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本项目编制的《设备安装调试方案》《课程资源交付计划》《师资培训方案》等技术文件。</w:t>
      </w:r>
    </w:p>
    <w:p w14:paraId="56A7A282">
      <w:pPr>
        <w:spacing w:before="300" w:after="120" w:line="288" w:lineRule="auto"/>
        <w:ind w:left="0"/>
        <w:jc w:val="left"/>
        <w:outlineLvl w:val="2"/>
        <w:rPr>
          <w:rFonts w:hint="eastAsia" w:ascii="仿宋_GB2312" w:hAnsi="仿宋_GB2312" w:eastAsia="仿宋_GB2312" w:cs="仿宋_GB2312"/>
          <w:sz w:val="20"/>
          <w:szCs w:val="20"/>
        </w:rPr>
      </w:pPr>
      <w:bookmarkStart w:id="46" w:name="heading_46"/>
      <w:r>
        <w:rPr>
          <w:rFonts w:hint="eastAsia" w:ascii="仿宋_GB2312" w:hAnsi="仿宋_GB2312" w:eastAsia="仿宋_GB2312" w:cs="仿宋_GB2312"/>
          <w:b/>
          <w:sz w:val="20"/>
          <w:szCs w:val="20"/>
        </w:rPr>
        <w:t>7.2 验收原则</w:t>
      </w:r>
      <w:bookmarkEnd w:id="46"/>
    </w:p>
    <w:p w14:paraId="0D59C84E">
      <w:pPr>
        <w:numPr>
          <w:ilvl w:val="0"/>
          <w:numId w:val="72"/>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客观公正原则</w:t>
      </w:r>
      <w:r>
        <w:rPr>
          <w:rFonts w:hint="eastAsia" w:ascii="仿宋_GB2312" w:hAnsi="仿宋_GB2312" w:eastAsia="仿宋_GB2312" w:cs="仿宋_GB2312"/>
          <w:sz w:val="20"/>
          <w:szCs w:val="20"/>
        </w:rPr>
        <w:t>：严格按照验收依据和标准开展验收，确保验收结果客观、公正、真实；</w:t>
      </w:r>
    </w:p>
    <w:p w14:paraId="151B1095">
      <w:pPr>
        <w:numPr>
          <w:ilvl w:val="0"/>
          <w:numId w:val="73"/>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全面核查原则</w:t>
      </w:r>
      <w:r>
        <w:rPr>
          <w:rFonts w:hint="eastAsia" w:ascii="仿宋_GB2312" w:hAnsi="仿宋_GB2312" w:eastAsia="仿宋_GB2312" w:cs="仿宋_GB2312"/>
          <w:sz w:val="20"/>
          <w:szCs w:val="20"/>
        </w:rPr>
        <w:t>：对项目的设备、安装、调试、课程资源、培训效果进行全面核查，缺一不可；</w:t>
      </w:r>
    </w:p>
    <w:p w14:paraId="349FE694">
      <w:pPr>
        <w:numPr>
          <w:ilvl w:val="0"/>
          <w:numId w:val="74"/>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及时整改原则</w:t>
      </w:r>
      <w:r>
        <w:rPr>
          <w:rFonts w:hint="eastAsia" w:ascii="仿宋_GB2312" w:hAnsi="仿宋_GB2312" w:eastAsia="仿宋_GB2312" w:cs="仿宋_GB2312"/>
          <w:sz w:val="20"/>
          <w:szCs w:val="20"/>
        </w:rPr>
        <w:t>：对验收中发现的问题，我方立即组织整改，整改完成后重新验收，直至达标；</w:t>
      </w:r>
    </w:p>
    <w:p w14:paraId="59CF0B10">
      <w:pPr>
        <w:numPr>
          <w:ilvl w:val="0"/>
          <w:numId w:val="75"/>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双方确认原则</w:t>
      </w:r>
      <w:r>
        <w:rPr>
          <w:rFonts w:hint="eastAsia" w:ascii="仿宋_GB2312" w:hAnsi="仿宋_GB2312" w:eastAsia="仿宋_GB2312" w:cs="仿宋_GB2312"/>
          <w:sz w:val="20"/>
          <w:szCs w:val="20"/>
        </w:rPr>
        <w:t>：所有验收环节均由我方与校方共同参与，验收结果经双方签字确认后方可生效。</w:t>
      </w:r>
    </w:p>
    <w:p w14:paraId="0F9B163D">
      <w:pPr>
        <w:spacing w:before="300" w:after="120" w:line="288" w:lineRule="auto"/>
        <w:ind w:left="0"/>
        <w:jc w:val="left"/>
        <w:outlineLvl w:val="2"/>
        <w:rPr>
          <w:rFonts w:hint="eastAsia" w:ascii="仿宋_GB2312" w:hAnsi="仿宋_GB2312" w:eastAsia="仿宋_GB2312" w:cs="仿宋_GB2312"/>
          <w:sz w:val="20"/>
          <w:szCs w:val="20"/>
        </w:rPr>
      </w:pPr>
      <w:bookmarkStart w:id="47" w:name="heading_47"/>
      <w:r>
        <w:rPr>
          <w:rFonts w:hint="eastAsia" w:ascii="仿宋_GB2312" w:hAnsi="仿宋_GB2312" w:eastAsia="仿宋_GB2312" w:cs="仿宋_GB2312"/>
          <w:b/>
          <w:sz w:val="20"/>
          <w:szCs w:val="20"/>
        </w:rPr>
        <w:t>7.3 验收流程</w:t>
      </w:r>
      <w:bookmarkEnd w:id="47"/>
    </w:p>
    <w:p w14:paraId="6DF6F521">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本项目验收分为</w:t>
      </w:r>
      <w:r>
        <w:rPr>
          <w:rFonts w:hint="eastAsia" w:ascii="仿宋_GB2312" w:hAnsi="仿宋_GB2312" w:eastAsia="仿宋_GB2312" w:cs="仿宋_GB2312"/>
          <w:b/>
          <w:sz w:val="20"/>
          <w:szCs w:val="20"/>
        </w:rPr>
        <w:t>设备到货验收、安装调试验收、课程资源验收、师资培训验收、整体验收</w:t>
      </w:r>
      <w:r>
        <w:rPr>
          <w:rFonts w:hint="eastAsia" w:ascii="仿宋_GB2312" w:hAnsi="仿宋_GB2312" w:eastAsia="仿宋_GB2312" w:cs="仿宋_GB2312"/>
          <w:sz w:val="20"/>
          <w:szCs w:val="20"/>
        </w:rPr>
        <w:t>五个环节，上一环节验收合格后方可进入下一环节。</w:t>
      </w:r>
    </w:p>
    <w:p w14:paraId="2B77132D">
      <w:pPr>
        <w:numPr>
          <w:ilvl w:val="0"/>
          <w:numId w:val="76"/>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设备到货验收</w:t>
      </w:r>
      <w:r>
        <w:rPr>
          <w:rFonts w:hint="eastAsia" w:ascii="仿宋_GB2312" w:hAnsi="仿宋_GB2312" w:eastAsia="仿宋_GB2312" w:cs="仿宋_GB2312"/>
          <w:sz w:val="20"/>
          <w:szCs w:val="20"/>
        </w:rPr>
        <w:t>：设备到场后，联合校方核对设备数量、型号、外观、配件、质量证明文件，签署《设备到货验收单》；</w:t>
      </w:r>
    </w:p>
    <w:p w14:paraId="25D0464C">
      <w:pPr>
        <w:numPr>
          <w:ilvl w:val="0"/>
          <w:numId w:val="77"/>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安装调试验收</w:t>
      </w:r>
      <w:r>
        <w:rPr>
          <w:rFonts w:hint="eastAsia" w:ascii="仿宋_GB2312" w:hAnsi="仿宋_GB2312" w:eastAsia="仿宋_GB2312" w:cs="仿宋_GB2312"/>
          <w:sz w:val="20"/>
          <w:szCs w:val="20"/>
        </w:rPr>
        <w:t>：设备安装调试完成后，对设备安装质量、单机功能、系统联调效果进行检查，签署《设备安装调试验收单》；</w:t>
      </w:r>
    </w:p>
    <w:p w14:paraId="3EC742C2">
      <w:pPr>
        <w:numPr>
          <w:ilvl w:val="0"/>
          <w:numId w:val="78"/>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课程资源验收</w:t>
      </w:r>
      <w:r>
        <w:rPr>
          <w:rFonts w:hint="eastAsia" w:ascii="仿宋_GB2312" w:hAnsi="仿宋_GB2312" w:eastAsia="仿宋_GB2312" w:cs="仿宋_GB2312"/>
          <w:sz w:val="20"/>
          <w:szCs w:val="20"/>
        </w:rPr>
        <w:t>：课程资源交付后，校方核对课程资源的完整性、合规性（对接课标）、可操作性，签署《课程资源验收单》；</w:t>
      </w:r>
    </w:p>
    <w:p w14:paraId="3766CF68">
      <w:pPr>
        <w:numPr>
          <w:ilvl w:val="0"/>
          <w:numId w:val="79"/>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师资培训验收</w:t>
      </w:r>
      <w:r>
        <w:rPr>
          <w:rFonts w:hint="eastAsia" w:ascii="仿宋_GB2312" w:hAnsi="仿宋_GB2312" w:eastAsia="仿宋_GB2312" w:cs="仿宋_GB2312"/>
          <w:sz w:val="20"/>
          <w:szCs w:val="20"/>
        </w:rPr>
        <w:t>：培训结束后，校方对培训覆盖度、培训效果进行考核，签署《师资培训验收单》；</w:t>
      </w:r>
    </w:p>
    <w:p w14:paraId="1375A4C6">
      <w:pPr>
        <w:numPr>
          <w:ilvl w:val="0"/>
          <w:numId w:val="80"/>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整体验收</w:t>
      </w:r>
      <w:r>
        <w:rPr>
          <w:rFonts w:hint="eastAsia" w:ascii="仿宋_GB2312" w:hAnsi="仿宋_GB2312" w:eastAsia="仿宋_GB2312" w:cs="仿宋_GB2312"/>
          <w:sz w:val="20"/>
          <w:szCs w:val="20"/>
        </w:rPr>
        <w:t>：所有分项验收合格后，校方组织开展项目整体验收，对项目整体质量、交付成果进行全面检查，验收合格后签署《项目验收确认书》，项目正式交付。</w:t>
      </w:r>
    </w:p>
    <w:p w14:paraId="6C909E96">
      <w:pPr>
        <w:spacing w:before="300" w:after="120" w:line="288" w:lineRule="auto"/>
        <w:ind w:left="0"/>
        <w:jc w:val="left"/>
        <w:outlineLvl w:val="2"/>
        <w:rPr>
          <w:rFonts w:hint="eastAsia" w:ascii="仿宋_GB2312" w:hAnsi="仿宋_GB2312" w:eastAsia="仿宋_GB2312" w:cs="仿宋_GB2312"/>
          <w:sz w:val="20"/>
          <w:szCs w:val="20"/>
        </w:rPr>
      </w:pPr>
      <w:bookmarkStart w:id="48" w:name="heading_48"/>
      <w:r>
        <w:rPr>
          <w:rFonts w:hint="eastAsia" w:ascii="仿宋_GB2312" w:hAnsi="仿宋_GB2312" w:eastAsia="仿宋_GB2312" w:cs="仿宋_GB2312"/>
          <w:b/>
          <w:sz w:val="20"/>
          <w:szCs w:val="20"/>
        </w:rPr>
        <w:t>7.4 验收标准</w:t>
      </w:r>
      <w:bookmarkEnd w:id="48"/>
    </w:p>
    <w:p w14:paraId="2F1FB7B0">
      <w:pPr>
        <w:spacing w:before="260" w:after="120" w:line="288" w:lineRule="auto"/>
        <w:ind w:left="0"/>
        <w:jc w:val="left"/>
        <w:outlineLvl w:val="3"/>
        <w:rPr>
          <w:rFonts w:hint="eastAsia" w:ascii="仿宋_GB2312" w:hAnsi="仿宋_GB2312" w:eastAsia="仿宋_GB2312" w:cs="仿宋_GB2312"/>
          <w:sz w:val="20"/>
          <w:szCs w:val="20"/>
        </w:rPr>
      </w:pPr>
      <w:bookmarkStart w:id="49" w:name="heading_49"/>
      <w:r>
        <w:rPr>
          <w:rFonts w:hint="eastAsia" w:ascii="仿宋_GB2312" w:hAnsi="仿宋_GB2312" w:eastAsia="仿宋_GB2312" w:cs="仿宋_GB2312"/>
          <w:b/>
          <w:sz w:val="20"/>
          <w:szCs w:val="20"/>
        </w:rPr>
        <w:t>7.4.1 设备验收标准</w:t>
      </w:r>
      <w:bookmarkEnd w:id="49"/>
    </w:p>
    <w:p w14:paraId="62152451">
      <w:pPr>
        <w:numPr>
          <w:ilvl w:val="0"/>
          <w:numId w:val="81"/>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设备数量、型号、规格与招标文件、采购合同一致；</w:t>
      </w:r>
    </w:p>
    <w:p w14:paraId="5D506DD0">
      <w:pPr>
        <w:numPr>
          <w:ilvl w:val="0"/>
          <w:numId w:val="82"/>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设备为全新未拆封正品，无破损、无故障，符合国家质量、节能、环保标准，具备完整的质量证明文件；</w:t>
      </w:r>
    </w:p>
    <w:p w14:paraId="299F7555">
      <w:pPr>
        <w:numPr>
          <w:ilvl w:val="0"/>
          <w:numId w:val="83"/>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设备安装牢固、美观、安全，符合安装规范，安装位置与布局图一致；</w:t>
      </w:r>
    </w:p>
    <w:p w14:paraId="1830A579">
      <w:pPr>
        <w:numPr>
          <w:ilvl w:val="0"/>
          <w:numId w:val="84"/>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设备各项功能正常，参数达标，系统联调顺畅，无兼容性问题。</w:t>
      </w:r>
    </w:p>
    <w:p w14:paraId="34A75C06">
      <w:pPr>
        <w:spacing w:before="260" w:after="120" w:line="288" w:lineRule="auto"/>
        <w:ind w:left="0"/>
        <w:jc w:val="left"/>
        <w:outlineLvl w:val="3"/>
        <w:rPr>
          <w:rFonts w:hint="eastAsia" w:ascii="仿宋_GB2312" w:hAnsi="仿宋_GB2312" w:eastAsia="仿宋_GB2312" w:cs="仿宋_GB2312"/>
          <w:sz w:val="20"/>
          <w:szCs w:val="20"/>
        </w:rPr>
      </w:pPr>
      <w:bookmarkStart w:id="50" w:name="heading_50"/>
      <w:r>
        <w:rPr>
          <w:rFonts w:hint="eastAsia" w:ascii="仿宋_GB2312" w:hAnsi="仿宋_GB2312" w:eastAsia="仿宋_GB2312" w:cs="仿宋_GB2312"/>
          <w:b/>
          <w:sz w:val="20"/>
          <w:szCs w:val="20"/>
        </w:rPr>
        <w:t>7.4.2 课程资源验收标准</w:t>
      </w:r>
      <w:bookmarkEnd w:id="50"/>
    </w:p>
    <w:p w14:paraId="18B546AB">
      <w:pPr>
        <w:numPr>
          <w:ilvl w:val="0"/>
          <w:numId w:val="85"/>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课程资源完整，包含教案、课件、学生手册、实验记录表等所有要求的内容；</w:t>
      </w:r>
    </w:p>
    <w:p w14:paraId="654790BB">
      <w:pPr>
        <w:numPr>
          <w:ilvl w:val="0"/>
          <w:numId w:val="86"/>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课程内容对接2022年小学科学课标，符合小学生认知水平，具备强可操作性；</w:t>
      </w:r>
    </w:p>
    <w:p w14:paraId="37A758E2">
      <w:pPr>
        <w:numPr>
          <w:ilvl w:val="0"/>
          <w:numId w:val="87"/>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融合课程设计科学，能实现天文馆与Stream教室教学联动；</w:t>
      </w:r>
    </w:p>
    <w:p w14:paraId="5A65669E">
      <w:pPr>
        <w:numPr>
          <w:ilvl w:val="0"/>
          <w:numId w:val="88"/>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实物教学资源（资源箱、实验材料包等）齐全、完好，能满足教学实操需求。</w:t>
      </w:r>
    </w:p>
    <w:p w14:paraId="00F07721">
      <w:pPr>
        <w:spacing w:before="260" w:after="120" w:line="288" w:lineRule="auto"/>
        <w:ind w:left="0"/>
        <w:jc w:val="left"/>
        <w:outlineLvl w:val="3"/>
        <w:rPr>
          <w:rFonts w:hint="eastAsia" w:ascii="仿宋_GB2312" w:hAnsi="仿宋_GB2312" w:eastAsia="仿宋_GB2312" w:cs="仿宋_GB2312"/>
          <w:sz w:val="20"/>
          <w:szCs w:val="20"/>
        </w:rPr>
      </w:pPr>
      <w:bookmarkStart w:id="51" w:name="heading_51"/>
      <w:r>
        <w:rPr>
          <w:rFonts w:hint="eastAsia" w:ascii="仿宋_GB2312" w:hAnsi="仿宋_GB2312" w:eastAsia="仿宋_GB2312" w:cs="仿宋_GB2312"/>
          <w:b/>
          <w:sz w:val="20"/>
          <w:szCs w:val="20"/>
        </w:rPr>
        <w:t>7.4.3 师资培训验收标准</w:t>
      </w:r>
      <w:bookmarkEnd w:id="51"/>
    </w:p>
    <w:p w14:paraId="1DBD8AA8">
      <w:pPr>
        <w:numPr>
          <w:ilvl w:val="0"/>
          <w:numId w:val="89"/>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培训覆盖全体相关教师和实验室管理员，培训签到率100%；</w:t>
      </w:r>
    </w:p>
    <w:p w14:paraId="70EAD11F">
      <w:pPr>
        <w:numPr>
          <w:ilvl w:val="0"/>
          <w:numId w:val="90"/>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参训教师能独立操作所有教学设备，掌握设备日常维护和故障排查方法；</w:t>
      </w:r>
    </w:p>
    <w:p w14:paraId="12C253A2">
      <w:pPr>
        <w:numPr>
          <w:ilvl w:val="0"/>
          <w:numId w:val="91"/>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参训教师能独立使用课程资源开展教学，掌握探究式教学和融合课程教学方法；</w:t>
      </w:r>
    </w:p>
    <w:p w14:paraId="75AD3686">
      <w:pPr>
        <w:numPr>
          <w:ilvl w:val="0"/>
          <w:numId w:val="92"/>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培训效果考核合格率100%。</w:t>
      </w:r>
    </w:p>
    <w:p w14:paraId="7573BD32">
      <w:pPr>
        <w:spacing w:before="260" w:after="120" w:line="288" w:lineRule="auto"/>
        <w:ind w:left="0"/>
        <w:jc w:val="left"/>
        <w:outlineLvl w:val="3"/>
        <w:rPr>
          <w:rFonts w:hint="eastAsia" w:ascii="仿宋_GB2312" w:hAnsi="仿宋_GB2312" w:eastAsia="仿宋_GB2312" w:cs="仿宋_GB2312"/>
          <w:sz w:val="20"/>
          <w:szCs w:val="20"/>
        </w:rPr>
      </w:pPr>
      <w:bookmarkStart w:id="52" w:name="heading_52"/>
      <w:r>
        <w:rPr>
          <w:rFonts w:hint="eastAsia" w:ascii="仿宋_GB2312" w:hAnsi="仿宋_GB2312" w:eastAsia="仿宋_GB2312" w:cs="仿宋_GB2312"/>
          <w:b/>
          <w:sz w:val="20"/>
          <w:szCs w:val="20"/>
        </w:rPr>
        <w:t>7.4.4 整体验收标准</w:t>
      </w:r>
      <w:bookmarkEnd w:id="52"/>
    </w:p>
    <w:p w14:paraId="7FFEE8C4">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所有分项验收均合格，设备运行正常，课程资源完整可用，培训效果达标，项目整体符合招标文件及采购合同的所有要求，现场场地整洁，技术资料齐全。</w:t>
      </w:r>
    </w:p>
    <w:p w14:paraId="1E422C16">
      <w:pPr>
        <w:spacing w:before="300" w:after="120" w:line="288" w:lineRule="auto"/>
        <w:ind w:left="0"/>
        <w:jc w:val="left"/>
        <w:outlineLvl w:val="2"/>
        <w:rPr>
          <w:rFonts w:hint="eastAsia" w:ascii="仿宋_GB2312" w:hAnsi="仿宋_GB2312" w:eastAsia="仿宋_GB2312" w:cs="仿宋_GB2312"/>
          <w:sz w:val="20"/>
          <w:szCs w:val="20"/>
        </w:rPr>
      </w:pPr>
      <w:bookmarkStart w:id="53" w:name="heading_53"/>
      <w:r>
        <w:rPr>
          <w:rFonts w:hint="eastAsia" w:ascii="仿宋_GB2312" w:hAnsi="仿宋_GB2312" w:eastAsia="仿宋_GB2312" w:cs="仿宋_GB2312"/>
          <w:b/>
          <w:sz w:val="20"/>
          <w:szCs w:val="20"/>
        </w:rPr>
        <w:t>7.5 验收资料交付</w:t>
      </w:r>
      <w:bookmarkEnd w:id="53"/>
    </w:p>
    <w:p w14:paraId="3E16EE7E">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整体验收合格后，我方向校方交付全套</w:t>
      </w:r>
      <w:r>
        <w:rPr>
          <w:rFonts w:hint="eastAsia" w:ascii="仿宋_GB2312" w:hAnsi="仿宋_GB2312" w:eastAsia="仿宋_GB2312" w:cs="仿宋_GB2312"/>
          <w:b/>
          <w:sz w:val="20"/>
          <w:szCs w:val="20"/>
        </w:rPr>
        <w:t>项目验收资料汇编（电子档+纸质档）</w:t>
      </w:r>
      <w:r>
        <w:rPr>
          <w:rFonts w:hint="eastAsia" w:ascii="仿宋_GB2312" w:hAnsi="仿宋_GB2312" w:eastAsia="仿宋_GB2312" w:cs="仿宋_GB2312"/>
          <w:sz w:val="20"/>
          <w:szCs w:val="20"/>
        </w:rPr>
        <w:t>，包含但不限于：</w:t>
      </w:r>
    </w:p>
    <w:p w14:paraId="1CB1A15A">
      <w:pPr>
        <w:numPr>
          <w:ilvl w:val="0"/>
          <w:numId w:val="93"/>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项目立项及招投标资料（招标文件、投标文件、中标通知书）；</w:t>
      </w:r>
    </w:p>
    <w:p w14:paraId="6D313F00">
      <w:pPr>
        <w:numPr>
          <w:ilvl w:val="0"/>
          <w:numId w:val="94"/>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采购合同及补充协议；</w:t>
      </w:r>
    </w:p>
    <w:p w14:paraId="00E2B494">
      <w:pPr>
        <w:numPr>
          <w:ilvl w:val="0"/>
          <w:numId w:val="95"/>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设备清单、出厂合格证、质量检测报告等质量证明文件；</w:t>
      </w:r>
    </w:p>
    <w:p w14:paraId="36C5D39F">
      <w:pPr>
        <w:numPr>
          <w:ilvl w:val="0"/>
          <w:numId w:val="96"/>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现场勘察报告、安装布局图、安装调试方案；</w:t>
      </w:r>
    </w:p>
    <w:p w14:paraId="4E4443B9">
      <w:pPr>
        <w:numPr>
          <w:ilvl w:val="0"/>
          <w:numId w:val="97"/>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设备到货验收单、安装记录、调试报告；</w:t>
      </w:r>
    </w:p>
    <w:p w14:paraId="04BBCB5E">
      <w:pPr>
        <w:numPr>
          <w:ilvl w:val="0"/>
          <w:numId w:val="98"/>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课程资源清单、全套课程资源；</w:t>
      </w:r>
    </w:p>
    <w:p w14:paraId="471E5497">
      <w:pPr>
        <w:numPr>
          <w:ilvl w:val="0"/>
          <w:numId w:val="99"/>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师资培训资料、签到表、考核表、验收单；</w:t>
      </w:r>
    </w:p>
    <w:p w14:paraId="43F4D472">
      <w:pPr>
        <w:numPr>
          <w:ilvl w:val="0"/>
          <w:numId w:val="100"/>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项目验收确认书、移交清单；</w:t>
      </w:r>
    </w:p>
    <w:p w14:paraId="0A1D7634">
      <w:pPr>
        <w:numPr>
          <w:ilvl w:val="0"/>
          <w:numId w:val="101"/>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售后服务方案、质保服务告知书、售后对接资料；</w:t>
      </w:r>
    </w:p>
    <w:p w14:paraId="28ABBF42">
      <w:pPr>
        <w:numPr>
          <w:ilvl w:val="0"/>
          <w:numId w:val="102"/>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项目实施过程中的照片、视频资料。</w:t>
      </w:r>
    </w:p>
    <w:p w14:paraId="0777C75B">
      <w:pPr>
        <w:spacing w:before="320" w:after="120" w:line="288" w:lineRule="auto"/>
        <w:ind w:left="0"/>
        <w:jc w:val="left"/>
        <w:outlineLvl w:val="1"/>
        <w:rPr>
          <w:rFonts w:hint="eastAsia" w:ascii="仿宋_GB2312" w:hAnsi="仿宋_GB2312" w:eastAsia="仿宋_GB2312" w:cs="仿宋_GB2312"/>
          <w:sz w:val="20"/>
          <w:szCs w:val="20"/>
        </w:rPr>
      </w:pPr>
      <w:bookmarkStart w:id="54" w:name="heading_54"/>
      <w:r>
        <w:rPr>
          <w:rFonts w:hint="eastAsia" w:ascii="仿宋_GB2312" w:hAnsi="仿宋_GB2312" w:eastAsia="仿宋_GB2312" w:cs="仿宋_GB2312"/>
          <w:b/>
          <w:sz w:val="20"/>
          <w:szCs w:val="20"/>
        </w:rPr>
        <w:t>八、售后服务与长期保障方案</w:t>
      </w:r>
      <w:bookmarkEnd w:id="54"/>
    </w:p>
    <w:p w14:paraId="278C8935">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本项目售后服务以“快速响应、高效处理、全程保障、助力教学”</w:t>
      </w:r>
      <w:r>
        <w:rPr>
          <w:rFonts w:hint="eastAsia" w:ascii="仿宋_GB2312" w:hAnsi="仿宋_GB2312" w:eastAsia="仿宋_GB2312" w:cs="仿宋_GB2312"/>
          <w:b/>
          <w:sz w:val="20"/>
          <w:szCs w:val="20"/>
        </w:rPr>
        <w:t>为核心，建立完善的售后服务体系，提供</w:t>
      </w:r>
      <w:r>
        <w:rPr>
          <w:rFonts w:hint="eastAsia" w:ascii="仿宋_GB2312" w:hAnsi="仿宋_GB2312" w:eastAsia="仿宋_GB2312" w:cs="仿宋_GB2312"/>
          <w:sz w:val="20"/>
          <w:szCs w:val="20"/>
        </w:rPr>
        <w:t>自验收合格之日起2年免费质保服务，同时为校方提供长期的技术支持和教学服务，确保教学设备长期稳定运行，课程教学顺利开展。</w:t>
      </w:r>
    </w:p>
    <w:p w14:paraId="39530D3B">
      <w:pPr>
        <w:spacing w:before="300" w:after="120" w:line="288" w:lineRule="auto"/>
        <w:ind w:left="0"/>
        <w:jc w:val="left"/>
        <w:outlineLvl w:val="2"/>
        <w:rPr>
          <w:rFonts w:hint="eastAsia" w:ascii="仿宋_GB2312" w:hAnsi="仿宋_GB2312" w:eastAsia="仿宋_GB2312" w:cs="仿宋_GB2312"/>
          <w:sz w:val="20"/>
          <w:szCs w:val="20"/>
        </w:rPr>
      </w:pPr>
      <w:bookmarkStart w:id="55" w:name="heading_55"/>
      <w:r>
        <w:rPr>
          <w:rFonts w:hint="eastAsia" w:ascii="仿宋_GB2312" w:hAnsi="仿宋_GB2312" w:eastAsia="仿宋_GB2312" w:cs="仿宋_GB2312"/>
          <w:b/>
          <w:sz w:val="20"/>
          <w:szCs w:val="20"/>
        </w:rPr>
        <w:t>8.1 服务期与服务范围</w:t>
      </w:r>
      <w:bookmarkEnd w:id="55"/>
    </w:p>
    <w:p w14:paraId="301C5A49">
      <w:pPr>
        <w:numPr>
          <w:ilvl w:val="0"/>
          <w:numId w:val="103"/>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免费质保期</w:t>
      </w:r>
      <w:r>
        <w:rPr>
          <w:rFonts w:hint="eastAsia" w:ascii="仿宋_GB2312" w:hAnsi="仿宋_GB2312" w:eastAsia="仿宋_GB2312" w:cs="仿宋_GB2312"/>
          <w:sz w:val="20"/>
          <w:szCs w:val="20"/>
        </w:rPr>
        <w:t>：自项目验收合格之日起2年，质保期内提供免费的设备维修、更换、校准、技术支持等服务；</w:t>
      </w:r>
    </w:p>
    <w:p w14:paraId="4038ED51">
      <w:pPr>
        <w:numPr>
          <w:ilvl w:val="0"/>
          <w:numId w:val="104"/>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服务范围</w:t>
      </w:r>
      <w:r>
        <w:rPr>
          <w:rFonts w:hint="eastAsia" w:ascii="仿宋_GB2312" w:hAnsi="仿宋_GB2312" w:eastAsia="仿宋_GB2312" w:cs="仿宋_GB2312"/>
          <w:sz w:val="20"/>
          <w:szCs w:val="20"/>
        </w:rPr>
        <w:t>：项目所有硬件设备（含配件）的维修、更换、校准；软件系统的维护、升级；课程资源的更新；师资后续指导；设备日常管理咨询等。</w:t>
      </w:r>
    </w:p>
    <w:p w14:paraId="236A984D">
      <w:pPr>
        <w:spacing w:before="300" w:after="120" w:line="288" w:lineRule="auto"/>
        <w:ind w:left="0"/>
        <w:jc w:val="left"/>
        <w:outlineLvl w:val="2"/>
        <w:rPr>
          <w:rFonts w:hint="eastAsia" w:ascii="仿宋_GB2312" w:hAnsi="仿宋_GB2312" w:eastAsia="仿宋_GB2312" w:cs="仿宋_GB2312"/>
          <w:sz w:val="20"/>
          <w:szCs w:val="20"/>
        </w:rPr>
      </w:pPr>
      <w:bookmarkStart w:id="56" w:name="heading_56"/>
      <w:r>
        <w:rPr>
          <w:rFonts w:hint="eastAsia" w:ascii="仿宋_GB2312" w:hAnsi="仿宋_GB2312" w:eastAsia="仿宋_GB2312" w:cs="仿宋_GB2312"/>
          <w:b/>
          <w:sz w:val="20"/>
          <w:szCs w:val="20"/>
        </w:rPr>
        <w:t>8.2 快速响应售后机制</w:t>
      </w:r>
      <w:bookmarkEnd w:id="56"/>
    </w:p>
    <w:p w14:paraId="703ED341">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质保期内建立</w:t>
      </w:r>
      <w:r>
        <w:rPr>
          <w:rFonts w:hint="eastAsia" w:ascii="仿宋_GB2312" w:hAnsi="仿宋_GB2312" w:eastAsia="仿宋_GB2312" w:cs="仿宋_GB2312"/>
          <w:b/>
          <w:sz w:val="20"/>
          <w:szCs w:val="20"/>
        </w:rPr>
        <w:t>7×24小时全天候售后响应机制</w:t>
      </w:r>
      <w:r>
        <w:rPr>
          <w:rFonts w:hint="eastAsia" w:ascii="仿宋_GB2312" w:hAnsi="仿宋_GB2312" w:eastAsia="仿宋_GB2312" w:cs="仿宋_GB2312"/>
          <w:sz w:val="20"/>
          <w:szCs w:val="20"/>
        </w:rPr>
        <w:t>，确保设备故障能快速处理，不影响校方正常教学：</w:t>
      </w:r>
    </w:p>
    <w:p w14:paraId="133F76D1">
      <w:pPr>
        <w:numPr>
          <w:ilvl w:val="0"/>
          <w:numId w:val="105"/>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响应时间</w:t>
      </w:r>
      <w:r>
        <w:rPr>
          <w:rFonts w:hint="eastAsia" w:ascii="仿宋_GB2312" w:hAnsi="仿宋_GB2312" w:eastAsia="仿宋_GB2312" w:cs="仿宋_GB2312"/>
          <w:sz w:val="20"/>
          <w:szCs w:val="20"/>
        </w:rPr>
        <w:t>：接到校方故障通知后，</w:t>
      </w:r>
      <w:r>
        <w:rPr>
          <w:rFonts w:hint="eastAsia" w:ascii="仿宋_GB2312" w:hAnsi="仿宋_GB2312" w:eastAsia="仿宋_GB2312" w:cs="仿宋_GB2312"/>
          <w:b/>
          <w:sz w:val="20"/>
          <w:szCs w:val="20"/>
        </w:rPr>
        <w:t>3小时内</w:t>
      </w:r>
      <w:r>
        <w:rPr>
          <w:rFonts w:hint="eastAsia" w:ascii="仿宋_GB2312" w:hAnsi="仿宋_GB2312" w:eastAsia="仿宋_GB2312" w:cs="仿宋_GB2312"/>
          <w:sz w:val="20"/>
          <w:szCs w:val="20"/>
        </w:rPr>
        <w:t>完成响应（电话/微信/现场），了解故障情况并进行远程指导排查；</w:t>
      </w:r>
    </w:p>
    <w:p w14:paraId="4C185032">
      <w:pPr>
        <w:numPr>
          <w:ilvl w:val="0"/>
          <w:numId w:val="106"/>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现场维修时间</w:t>
      </w:r>
      <w:r>
        <w:rPr>
          <w:rFonts w:hint="eastAsia" w:ascii="仿宋_GB2312" w:hAnsi="仿宋_GB2312" w:eastAsia="仿宋_GB2312" w:cs="仿宋_GB2312"/>
          <w:sz w:val="20"/>
          <w:szCs w:val="20"/>
        </w:rPr>
        <w:t>：远程无法解决的故障，</w:t>
      </w:r>
      <w:r>
        <w:rPr>
          <w:rFonts w:hint="eastAsia" w:ascii="仿宋_GB2312" w:hAnsi="仿宋_GB2312" w:eastAsia="仿宋_GB2312" w:cs="仿宋_GB2312"/>
          <w:b/>
          <w:sz w:val="20"/>
          <w:szCs w:val="20"/>
        </w:rPr>
        <w:t>8小时内</w:t>
      </w:r>
      <w:r>
        <w:rPr>
          <w:rFonts w:hint="eastAsia" w:ascii="仿宋_GB2312" w:hAnsi="仿宋_GB2312" w:eastAsia="仿宋_GB2312" w:cs="仿宋_GB2312"/>
          <w:sz w:val="20"/>
          <w:szCs w:val="20"/>
        </w:rPr>
        <w:t>安排专业售后人员到达现场进行维修；</w:t>
      </w:r>
    </w:p>
    <w:p w14:paraId="352B08AF">
      <w:pPr>
        <w:numPr>
          <w:ilvl w:val="0"/>
          <w:numId w:val="107"/>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备品备件保障</w:t>
      </w:r>
      <w:r>
        <w:rPr>
          <w:rFonts w:hint="eastAsia" w:ascii="仿宋_GB2312" w:hAnsi="仿宋_GB2312" w:eastAsia="仿宋_GB2312" w:cs="仿宋_GB2312"/>
          <w:sz w:val="20"/>
          <w:szCs w:val="20"/>
        </w:rPr>
        <w:t>：在泉州本地配备全套常用备品备件，若设备24小时内无法修复，立即提供备品备件更换，确保教学正常开展；</w:t>
      </w:r>
    </w:p>
    <w:p w14:paraId="604AA652">
      <w:pPr>
        <w:numPr>
          <w:ilvl w:val="0"/>
          <w:numId w:val="108"/>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应急热线</w:t>
      </w:r>
      <w:r>
        <w:rPr>
          <w:rFonts w:hint="eastAsia" w:ascii="仿宋_GB2312" w:hAnsi="仿宋_GB2312" w:eastAsia="仿宋_GB2312" w:cs="仿宋_GB2312"/>
          <w:sz w:val="20"/>
          <w:szCs w:val="20"/>
        </w:rPr>
        <w:t>：为校方提供专属7×24小时售后应急热线，由专业售后专员值守，确保故障信息能第一时间反馈。</w:t>
      </w:r>
    </w:p>
    <w:p w14:paraId="59665878">
      <w:pPr>
        <w:spacing w:before="300" w:after="120" w:line="288" w:lineRule="auto"/>
        <w:ind w:left="0"/>
        <w:jc w:val="left"/>
        <w:outlineLvl w:val="2"/>
        <w:rPr>
          <w:rFonts w:hint="eastAsia" w:ascii="仿宋_GB2312" w:hAnsi="仿宋_GB2312" w:eastAsia="仿宋_GB2312" w:cs="仿宋_GB2312"/>
          <w:sz w:val="20"/>
          <w:szCs w:val="20"/>
        </w:rPr>
      </w:pPr>
      <w:bookmarkStart w:id="57" w:name="heading_57"/>
      <w:r>
        <w:rPr>
          <w:rFonts w:hint="eastAsia" w:ascii="仿宋_GB2312" w:hAnsi="仿宋_GB2312" w:eastAsia="仿宋_GB2312" w:cs="仿宋_GB2312"/>
          <w:b/>
          <w:sz w:val="20"/>
          <w:szCs w:val="20"/>
        </w:rPr>
        <w:t>8.3 质保期内常规服务</w:t>
      </w:r>
      <w:bookmarkEnd w:id="57"/>
    </w:p>
    <w:p w14:paraId="78BCFBF7">
      <w:pPr>
        <w:numPr>
          <w:ilvl w:val="0"/>
          <w:numId w:val="109"/>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定期设备校准</w:t>
      </w:r>
      <w:r>
        <w:rPr>
          <w:rFonts w:hint="eastAsia" w:ascii="仿宋_GB2312" w:hAnsi="仿宋_GB2312" w:eastAsia="仿宋_GB2312" w:cs="仿宋_GB2312"/>
          <w:sz w:val="20"/>
          <w:szCs w:val="20"/>
        </w:rPr>
        <w:t>：质保期内</w:t>
      </w:r>
      <w:r>
        <w:rPr>
          <w:rFonts w:hint="eastAsia" w:ascii="仿宋_GB2312" w:hAnsi="仿宋_GB2312" w:eastAsia="仿宋_GB2312" w:cs="仿宋_GB2312"/>
          <w:b/>
          <w:sz w:val="20"/>
          <w:szCs w:val="20"/>
        </w:rPr>
        <w:t>每半年</w:t>
      </w:r>
      <w:r>
        <w:rPr>
          <w:rFonts w:hint="eastAsia" w:ascii="仿宋_GB2312" w:hAnsi="仿宋_GB2312" w:eastAsia="仿宋_GB2312" w:cs="仿宋_GB2312"/>
          <w:sz w:val="20"/>
          <w:szCs w:val="20"/>
        </w:rPr>
        <w:t>安排专业技术人员上门为所有设备进行一次免费校准，确保设备精度和功能正常，满足教学需求；</w:t>
      </w:r>
    </w:p>
    <w:p w14:paraId="7885C613">
      <w:pPr>
        <w:numPr>
          <w:ilvl w:val="0"/>
          <w:numId w:val="110"/>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年度全面巡检</w:t>
      </w:r>
      <w:r>
        <w:rPr>
          <w:rFonts w:hint="eastAsia" w:ascii="仿宋_GB2312" w:hAnsi="仿宋_GB2312" w:eastAsia="仿宋_GB2312" w:cs="仿宋_GB2312"/>
          <w:sz w:val="20"/>
          <w:szCs w:val="20"/>
        </w:rPr>
        <w:t>：质保期内</w:t>
      </w:r>
      <w:r>
        <w:rPr>
          <w:rFonts w:hint="eastAsia" w:ascii="仿宋_GB2312" w:hAnsi="仿宋_GB2312" w:eastAsia="仿宋_GB2312" w:cs="仿宋_GB2312"/>
          <w:b/>
          <w:sz w:val="20"/>
          <w:szCs w:val="20"/>
        </w:rPr>
        <w:t>每年</w:t>
      </w:r>
      <w:r>
        <w:rPr>
          <w:rFonts w:hint="eastAsia" w:ascii="仿宋_GB2312" w:hAnsi="仿宋_GB2312" w:eastAsia="仿宋_GB2312" w:cs="仿宋_GB2312"/>
          <w:sz w:val="20"/>
          <w:szCs w:val="20"/>
        </w:rPr>
        <w:t>开展两次免费全面设备巡检，对设备运行状态、安全性能、维护情况进行全方位检查，形成《设备巡检报告》，对发现的隐患立即整改；</w:t>
      </w:r>
    </w:p>
    <w:p w14:paraId="41AE6F17">
      <w:pPr>
        <w:numPr>
          <w:ilvl w:val="0"/>
          <w:numId w:val="111"/>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每月主动回访</w:t>
      </w:r>
      <w:r>
        <w:rPr>
          <w:rFonts w:hint="eastAsia" w:ascii="仿宋_GB2312" w:hAnsi="仿宋_GB2312" w:eastAsia="仿宋_GB2312" w:cs="仿宋_GB2312"/>
          <w:sz w:val="20"/>
          <w:szCs w:val="20"/>
        </w:rPr>
        <w:t>：售后专员</w:t>
      </w:r>
      <w:r>
        <w:rPr>
          <w:rFonts w:hint="eastAsia" w:ascii="仿宋_GB2312" w:hAnsi="仿宋_GB2312" w:eastAsia="仿宋_GB2312" w:cs="仿宋_GB2312"/>
          <w:b/>
          <w:sz w:val="20"/>
          <w:szCs w:val="20"/>
        </w:rPr>
        <w:t>每月</w:t>
      </w:r>
      <w:r>
        <w:rPr>
          <w:rFonts w:hint="eastAsia" w:ascii="仿宋_GB2312" w:hAnsi="仿宋_GB2312" w:eastAsia="仿宋_GB2312" w:cs="仿宋_GB2312"/>
          <w:sz w:val="20"/>
          <w:szCs w:val="20"/>
        </w:rPr>
        <w:t>对校方进行一次电话/现场回访，了解设备使用情况和教学需求，及时解决校方日常使用中遇到的问题；</w:t>
      </w:r>
    </w:p>
    <w:p w14:paraId="53B8BFDC">
      <w:pPr>
        <w:numPr>
          <w:ilvl w:val="0"/>
          <w:numId w:val="112"/>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软件系统维护</w:t>
      </w:r>
      <w:r>
        <w:rPr>
          <w:rFonts w:hint="eastAsia" w:ascii="仿宋_GB2312" w:hAnsi="仿宋_GB2312" w:eastAsia="仿宋_GB2312" w:cs="仿宋_GB2312"/>
          <w:sz w:val="20"/>
          <w:szCs w:val="20"/>
        </w:rPr>
        <w:t>：为所有电子设备提供免费的软件系统维护，包括系统升级、漏洞修复、软件安装、数据备份等，确保软件系统稳定运行；</w:t>
      </w:r>
    </w:p>
    <w:p w14:paraId="024A094D">
      <w:pPr>
        <w:numPr>
          <w:ilvl w:val="0"/>
          <w:numId w:val="113"/>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课程资源更新</w:t>
      </w:r>
      <w:r>
        <w:rPr>
          <w:rFonts w:hint="eastAsia" w:ascii="仿宋_GB2312" w:hAnsi="仿宋_GB2312" w:eastAsia="仿宋_GB2312" w:cs="仿宋_GB2312"/>
          <w:sz w:val="20"/>
          <w:szCs w:val="20"/>
        </w:rPr>
        <w:t>：质保期内</w:t>
      </w:r>
      <w:r>
        <w:rPr>
          <w:rFonts w:hint="eastAsia" w:ascii="仿宋_GB2312" w:hAnsi="仿宋_GB2312" w:eastAsia="仿宋_GB2312" w:cs="仿宋_GB2312"/>
          <w:b/>
          <w:sz w:val="20"/>
          <w:szCs w:val="20"/>
        </w:rPr>
        <w:t>每年免费提供2次</w:t>
      </w:r>
      <w:r>
        <w:rPr>
          <w:rFonts w:hint="eastAsia" w:ascii="仿宋_GB2312" w:hAnsi="仿宋_GB2312" w:eastAsia="仿宋_GB2312" w:cs="仿宋_GB2312"/>
          <w:sz w:val="20"/>
          <w:szCs w:val="20"/>
        </w:rPr>
        <w:t>天文+科创教学资源更新（含教案、课件、实验方案等），紧跟教育前沿，更新教学内容。</w:t>
      </w:r>
    </w:p>
    <w:p w14:paraId="105A2B2A">
      <w:pPr>
        <w:spacing w:before="300" w:after="120" w:line="288" w:lineRule="auto"/>
        <w:ind w:left="0"/>
        <w:jc w:val="left"/>
        <w:outlineLvl w:val="2"/>
        <w:rPr>
          <w:rFonts w:hint="eastAsia" w:ascii="仿宋_GB2312" w:hAnsi="仿宋_GB2312" w:eastAsia="仿宋_GB2312" w:cs="仿宋_GB2312"/>
          <w:sz w:val="20"/>
          <w:szCs w:val="20"/>
        </w:rPr>
      </w:pPr>
      <w:bookmarkStart w:id="58" w:name="heading_58"/>
      <w:r>
        <w:rPr>
          <w:rFonts w:hint="eastAsia" w:ascii="仿宋_GB2312" w:hAnsi="仿宋_GB2312" w:eastAsia="仿宋_GB2312" w:cs="仿宋_GB2312"/>
          <w:b/>
          <w:sz w:val="20"/>
          <w:szCs w:val="20"/>
        </w:rPr>
        <w:t>8.4 师资后续支持与教学服务</w:t>
      </w:r>
      <w:bookmarkEnd w:id="58"/>
    </w:p>
    <w:p w14:paraId="1892651E">
      <w:pPr>
        <w:numPr>
          <w:ilvl w:val="0"/>
          <w:numId w:val="114"/>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长期教学答疑</w:t>
      </w:r>
      <w:r>
        <w:rPr>
          <w:rFonts w:hint="eastAsia" w:ascii="仿宋_GB2312" w:hAnsi="仿宋_GB2312" w:eastAsia="仿宋_GB2312" w:cs="仿宋_GB2312"/>
          <w:sz w:val="20"/>
          <w:szCs w:val="20"/>
        </w:rPr>
        <w:t>：建立师资后续支持沟通群，为校方教师提供长期的设备操作、课程教学、融合课程设计等答疑服务，及时解决教师教学中遇到的问题；</w:t>
      </w:r>
    </w:p>
    <w:p w14:paraId="02868757">
      <w:pPr>
        <w:numPr>
          <w:ilvl w:val="0"/>
          <w:numId w:val="115"/>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实践活动支持</w:t>
      </w:r>
      <w:r>
        <w:rPr>
          <w:rFonts w:hint="eastAsia" w:ascii="仿宋_GB2312" w:hAnsi="仿宋_GB2312" w:eastAsia="仿宋_GB2312" w:cs="仿宋_GB2312"/>
          <w:sz w:val="20"/>
          <w:szCs w:val="20"/>
        </w:rPr>
        <w:t>：每年为校方提供</w:t>
      </w:r>
      <w:r>
        <w:rPr>
          <w:rFonts w:hint="eastAsia" w:ascii="仿宋_GB2312" w:hAnsi="仿宋_GB2312" w:eastAsia="仿宋_GB2312" w:cs="仿宋_GB2312"/>
          <w:sz w:val="20"/>
          <w:szCs w:val="20"/>
          <w:lang w:val="en-US" w:eastAsia="zh-CN"/>
        </w:rPr>
        <w:t>1-</w:t>
      </w:r>
      <w:r>
        <w:rPr>
          <w:rFonts w:hint="eastAsia" w:ascii="仿宋_GB2312" w:hAnsi="仿宋_GB2312" w:eastAsia="仿宋_GB2312" w:cs="仿宋_GB2312"/>
          <w:sz w:val="20"/>
          <w:szCs w:val="20"/>
        </w:rPr>
        <w:t>2场天文+科创主题实践活动（如天文观测营、科创小发明</w:t>
      </w:r>
      <w:r>
        <w:rPr>
          <w:rFonts w:hint="eastAsia" w:ascii="仿宋_GB2312" w:hAnsi="仿宋_GB2312" w:eastAsia="仿宋_GB2312" w:cs="仿宋_GB2312"/>
          <w:sz w:val="20"/>
          <w:szCs w:val="20"/>
          <w:lang w:val="en-US" w:eastAsia="zh-CN"/>
        </w:rPr>
        <w:t>校级</w:t>
      </w:r>
      <w:r>
        <w:rPr>
          <w:rFonts w:hint="eastAsia" w:ascii="仿宋_GB2312" w:hAnsi="仿宋_GB2312" w:eastAsia="仿宋_GB2312" w:cs="仿宋_GB2312"/>
          <w:sz w:val="20"/>
          <w:szCs w:val="20"/>
        </w:rPr>
        <w:t>比赛等），全程提供技术和物料支持，安排专业讲师现场指导；</w:t>
      </w:r>
    </w:p>
    <w:p w14:paraId="413D2ADB">
      <w:pPr>
        <w:numPr>
          <w:ilvl w:val="0"/>
          <w:numId w:val="116"/>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教学交流支持</w:t>
      </w:r>
      <w:r>
        <w:rPr>
          <w:rFonts w:hint="eastAsia" w:ascii="仿宋_GB2312" w:hAnsi="仿宋_GB2312" w:eastAsia="仿宋_GB2312" w:cs="仿宋_GB2312"/>
          <w:sz w:val="20"/>
          <w:szCs w:val="20"/>
        </w:rPr>
        <w:t>：定期组织校方教师参与省内外天文+科创教学交流活动、线上教研会议，为教师提供教学交流和学习的平台，提升教师教学水平；</w:t>
      </w:r>
    </w:p>
    <w:p w14:paraId="0B369F25">
      <w:pPr>
        <w:numPr>
          <w:ilvl w:val="0"/>
          <w:numId w:val="117"/>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定制化教学服务</w:t>
      </w:r>
      <w:r>
        <w:rPr>
          <w:rFonts w:hint="eastAsia" w:ascii="仿宋_GB2312" w:hAnsi="仿宋_GB2312" w:eastAsia="仿宋_GB2312" w:cs="仿宋_GB2312"/>
          <w:sz w:val="20"/>
          <w:szCs w:val="20"/>
        </w:rPr>
        <w:t>：根据校方教学需求，为校方提供定制化课程设计、教学方案优化等服务，打造专属校本课程。</w:t>
      </w:r>
    </w:p>
    <w:p w14:paraId="78D6D99C">
      <w:pPr>
        <w:spacing w:before="300" w:after="120" w:line="288" w:lineRule="auto"/>
        <w:ind w:left="0"/>
        <w:jc w:val="left"/>
        <w:outlineLvl w:val="2"/>
        <w:rPr>
          <w:rFonts w:hint="eastAsia" w:ascii="仿宋_GB2312" w:hAnsi="仿宋_GB2312" w:eastAsia="仿宋_GB2312" w:cs="仿宋_GB2312"/>
          <w:sz w:val="20"/>
          <w:szCs w:val="20"/>
        </w:rPr>
      </w:pPr>
      <w:bookmarkStart w:id="59" w:name="heading_59"/>
      <w:r>
        <w:rPr>
          <w:rFonts w:hint="eastAsia" w:ascii="仿宋_GB2312" w:hAnsi="仿宋_GB2312" w:eastAsia="仿宋_GB2312" w:cs="仿宋_GB2312"/>
          <w:b/>
          <w:sz w:val="20"/>
          <w:szCs w:val="20"/>
        </w:rPr>
        <w:t>8.5 质保期后服务方案</w:t>
      </w:r>
      <w:bookmarkEnd w:id="59"/>
    </w:p>
    <w:p w14:paraId="0BC11EF5">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质保期结束后，我方为校方提供</w:t>
      </w:r>
      <w:r>
        <w:rPr>
          <w:rFonts w:hint="eastAsia" w:ascii="仿宋_GB2312" w:hAnsi="仿宋_GB2312" w:eastAsia="仿宋_GB2312" w:cs="仿宋_GB2312"/>
          <w:b/>
          <w:sz w:val="20"/>
          <w:szCs w:val="20"/>
        </w:rPr>
        <w:t>长期、优惠、优质</w:t>
      </w:r>
      <w:r>
        <w:rPr>
          <w:rFonts w:hint="eastAsia" w:ascii="仿宋_GB2312" w:hAnsi="仿宋_GB2312" w:eastAsia="仿宋_GB2312" w:cs="仿宋_GB2312"/>
          <w:sz w:val="20"/>
          <w:szCs w:val="20"/>
        </w:rPr>
        <w:t>的有偿服务，仅收取配件成本费和少量人工费用，无额外服务费：</w:t>
      </w:r>
    </w:p>
    <w:p w14:paraId="7D89D214">
      <w:pPr>
        <w:numPr>
          <w:ilvl w:val="0"/>
          <w:numId w:val="118"/>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设备维修与更换</w:t>
      </w:r>
      <w:r>
        <w:rPr>
          <w:rFonts w:hint="eastAsia" w:ascii="仿宋_GB2312" w:hAnsi="仿宋_GB2312" w:eastAsia="仿宋_GB2312" w:cs="仿宋_GB2312"/>
          <w:sz w:val="20"/>
          <w:szCs w:val="20"/>
        </w:rPr>
        <w:t>：质保期后设备出现故障，我方仍提供7×24小时响应服务，维修仅收取配件成本费，人工费用优惠50%；</w:t>
      </w:r>
    </w:p>
    <w:p w14:paraId="4EF43464">
      <w:pPr>
        <w:numPr>
          <w:ilvl w:val="0"/>
          <w:numId w:val="119"/>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设备升级服务</w:t>
      </w:r>
      <w:r>
        <w:rPr>
          <w:rFonts w:hint="eastAsia" w:ascii="仿宋_GB2312" w:hAnsi="仿宋_GB2312" w:eastAsia="仿宋_GB2312" w:cs="仿宋_GB2312"/>
          <w:sz w:val="20"/>
          <w:szCs w:val="20"/>
        </w:rPr>
        <w:t>：为校方提供设备硬件和软件系统升级服务，升级费用优惠≥15%，并免费提供升级方案设计，选择非教学时间施工，不影响正常教学；</w:t>
      </w:r>
    </w:p>
    <w:p w14:paraId="2AF3680A">
      <w:pPr>
        <w:numPr>
          <w:ilvl w:val="0"/>
          <w:numId w:val="120"/>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备品备件供应</w:t>
      </w:r>
      <w:r>
        <w:rPr>
          <w:rFonts w:hint="eastAsia" w:ascii="仿宋_GB2312" w:hAnsi="仿宋_GB2312" w:eastAsia="仿宋_GB2312" w:cs="仿宋_GB2312"/>
          <w:sz w:val="20"/>
          <w:szCs w:val="20"/>
        </w:rPr>
        <w:t>：以成本价为校方提供备品备件，确保设备故障能快速修复；</w:t>
      </w:r>
    </w:p>
    <w:p w14:paraId="3355A1C2">
      <w:pPr>
        <w:numPr>
          <w:ilvl w:val="0"/>
          <w:numId w:val="121"/>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环保报废回收</w:t>
      </w:r>
      <w:r>
        <w:rPr>
          <w:rFonts w:hint="eastAsia" w:ascii="仿宋_GB2312" w:hAnsi="仿宋_GB2312" w:eastAsia="仿宋_GB2312" w:cs="仿宋_GB2312"/>
          <w:sz w:val="20"/>
          <w:szCs w:val="20"/>
        </w:rPr>
        <w:t>：对于校方淘汰的老旧设备，提供免费的环保报废回收服务，按国家环保标准进行拆解和回收，回收残值可抵扣新设备采购或升级费用；</w:t>
      </w:r>
    </w:p>
    <w:p w14:paraId="5D0A9A9E">
      <w:pPr>
        <w:numPr>
          <w:ilvl w:val="0"/>
          <w:numId w:val="122"/>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终身技术咨询</w:t>
      </w:r>
      <w:r>
        <w:rPr>
          <w:rFonts w:hint="eastAsia" w:ascii="仿宋_GB2312" w:hAnsi="仿宋_GB2312" w:eastAsia="仿宋_GB2312" w:cs="仿宋_GB2312"/>
          <w:sz w:val="20"/>
          <w:szCs w:val="20"/>
        </w:rPr>
        <w:t>：为校方提供终身免费的设备技术咨询、教学咨询服务，随时解答校方的</w:t>
      </w:r>
      <w:r>
        <w:rPr>
          <w:rFonts w:hint="eastAsia" w:ascii="仿宋_GB2312" w:hAnsi="仿宋_GB2312" w:eastAsia="仿宋_GB2312" w:cs="仿宋_GB2312"/>
          <w:sz w:val="20"/>
          <w:szCs w:val="20"/>
          <w:lang w:val="en-US" w:eastAsia="zh-CN"/>
        </w:rPr>
        <w:t>相关</w:t>
      </w:r>
      <w:r>
        <w:rPr>
          <w:rFonts w:hint="eastAsia" w:ascii="仿宋_GB2312" w:hAnsi="仿宋_GB2312" w:eastAsia="仿宋_GB2312" w:cs="仿宋_GB2312"/>
          <w:sz w:val="20"/>
          <w:szCs w:val="20"/>
        </w:rPr>
        <w:t>问题。</w:t>
      </w:r>
    </w:p>
    <w:p w14:paraId="7FB7CA4B">
      <w:pPr>
        <w:spacing w:before="300" w:after="120" w:line="288" w:lineRule="auto"/>
        <w:ind w:left="0"/>
        <w:jc w:val="left"/>
        <w:outlineLvl w:val="2"/>
        <w:rPr>
          <w:rFonts w:hint="eastAsia" w:ascii="仿宋_GB2312" w:hAnsi="仿宋_GB2312" w:eastAsia="仿宋_GB2312" w:cs="仿宋_GB2312"/>
          <w:sz w:val="20"/>
          <w:szCs w:val="20"/>
        </w:rPr>
      </w:pPr>
      <w:bookmarkStart w:id="60" w:name="heading_60"/>
      <w:r>
        <w:rPr>
          <w:rFonts w:hint="eastAsia" w:ascii="仿宋_GB2312" w:hAnsi="仿宋_GB2312" w:eastAsia="仿宋_GB2312" w:cs="仿宋_GB2312"/>
          <w:b/>
          <w:sz w:val="20"/>
          <w:szCs w:val="20"/>
        </w:rPr>
        <w:t>8.6 售后档案与服务追溯</w:t>
      </w:r>
      <w:bookmarkEnd w:id="60"/>
    </w:p>
    <w:p w14:paraId="57207C25">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为本次项目建立</w:t>
      </w:r>
      <w:r>
        <w:rPr>
          <w:rFonts w:hint="eastAsia" w:ascii="仿宋_GB2312" w:hAnsi="仿宋_GB2312" w:eastAsia="仿宋_GB2312" w:cs="仿宋_GB2312"/>
          <w:b/>
          <w:sz w:val="20"/>
          <w:szCs w:val="20"/>
        </w:rPr>
        <w:t>专属完整的售后档案</w:t>
      </w:r>
      <w:r>
        <w:rPr>
          <w:rFonts w:hint="eastAsia" w:ascii="仿宋_GB2312" w:hAnsi="仿宋_GB2312" w:eastAsia="仿宋_GB2312" w:cs="仿宋_GB2312"/>
          <w:sz w:val="20"/>
          <w:szCs w:val="20"/>
        </w:rPr>
        <w:t>，对设备安装、调试、校准、巡检、维修、升级、培训等所有售后服进行全程记录，电子档+纸质档双重永久保存，校方可随时查阅，确保售后服务全程可追溯、可核查。</w:t>
      </w:r>
    </w:p>
    <w:p w14:paraId="249FFA7A">
      <w:pPr>
        <w:spacing w:before="320" w:after="120" w:line="288" w:lineRule="auto"/>
        <w:ind w:left="0"/>
        <w:jc w:val="left"/>
        <w:outlineLvl w:val="1"/>
        <w:rPr>
          <w:rFonts w:hint="eastAsia" w:ascii="仿宋_GB2312" w:hAnsi="仿宋_GB2312" w:eastAsia="仿宋_GB2312" w:cs="仿宋_GB2312"/>
          <w:sz w:val="20"/>
          <w:szCs w:val="20"/>
        </w:rPr>
      </w:pPr>
      <w:bookmarkStart w:id="61" w:name="heading_61"/>
      <w:r>
        <w:rPr>
          <w:rFonts w:hint="eastAsia" w:ascii="仿宋_GB2312" w:hAnsi="仿宋_GB2312" w:eastAsia="仿宋_GB2312" w:cs="仿宋_GB2312"/>
          <w:b/>
          <w:sz w:val="20"/>
          <w:szCs w:val="20"/>
        </w:rPr>
        <w:t>九、项目安全与现场管理</w:t>
      </w:r>
      <w:bookmarkEnd w:id="61"/>
    </w:p>
    <w:p w14:paraId="7EBB31B6">
      <w:pPr>
        <w:spacing w:before="300" w:after="120" w:line="288" w:lineRule="auto"/>
        <w:ind w:left="0"/>
        <w:jc w:val="left"/>
        <w:outlineLvl w:val="2"/>
        <w:rPr>
          <w:rFonts w:hint="eastAsia" w:ascii="仿宋_GB2312" w:hAnsi="仿宋_GB2312" w:eastAsia="仿宋_GB2312" w:cs="仿宋_GB2312"/>
          <w:sz w:val="20"/>
          <w:szCs w:val="20"/>
        </w:rPr>
      </w:pPr>
      <w:bookmarkStart w:id="62" w:name="heading_62"/>
      <w:r>
        <w:rPr>
          <w:rFonts w:hint="eastAsia" w:ascii="仿宋_GB2312" w:hAnsi="仿宋_GB2312" w:eastAsia="仿宋_GB2312" w:cs="仿宋_GB2312"/>
          <w:b/>
          <w:sz w:val="20"/>
          <w:szCs w:val="20"/>
        </w:rPr>
        <w:t>9.1 现场施工安全管理</w:t>
      </w:r>
      <w:bookmarkEnd w:id="62"/>
    </w:p>
    <w:p w14:paraId="52C22221">
      <w:pPr>
        <w:numPr>
          <w:ilvl w:val="0"/>
          <w:numId w:val="123"/>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所有现场施工人员均进行岗前安全培训，佩戴安全帽、工作服等劳保用品，持证上岗；</w:t>
      </w:r>
    </w:p>
    <w:p w14:paraId="66C1FC42">
      <w:pPr>
        <w:numPr>
          <w:ilvl w:val="0"/>
          <w:numId w:val="124"/>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制定现场施工安全规范，严禁违规操作，做好现场用电、用火安全防护，避免发生安全事故；</w:t>
      </w:r>
    </w:p>
    <w:p w14:paraId="6434D0BE">
      <w:pPr>
        <w:numPr>
          <w:ilvl w:val="0"/>
          <w:numId w:val="125"/>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做好校园设施防护，在施工区域设置警示标识，使用防护垫、保护膜等保护地面、墙面、门窗等校园设施，避免损坏；</w:t>
      </w:r>
    </w:p>
    <w:p w14:paraId="032670FF">
      <w:pPr>
        <w:numPr>
          <w:ilvl w:val="0"/>
          <w:numId w:val="126"/>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施工过程中做到文明施工，不大声喧哗，不影响校园正常教学秩序，施工时间避开校方教学高峰。</w:t>
      </w:r>
    </w:p>
    <w:p w14:paraId="0003E1D6">
      <w:pPr>
        <w:spacing w:before="300" w:after="120" w:line="288" w:lineRule="auto"/>
        <w:ind w:left="0"/>
        <w:jc w:val="left"/>
        <w:outlineLvl w:val="2"/>
        <w:rPr>
          <w:rFonts w:hint="eastAsia" w:ascii="仿宋_GB2312" w:hAnsi="仿宋_GB2312" w:eastAsia="仿宋_GB2312" w:cs="仿宋_GB2312"/>
          <w:sz w:val="20"/>
          <w:szCs w:val="20"/>
        </w:rPr>
      </w:pPr>
      <w:bookmarkStart w:id="63" w:name="heading_63"/>
      <w:r>
        <w:rPr>
          <w:rFonts w:hint="eastAsia" w:ascii="仿宋_GB2312" w:hAnsi="仿宋_GB2312" w:eastAsia="仿宋_GB2312" w:cs="仿宋_GB2312"/>
          <w:b/>
          <w:sz w:val="20"/>
          <w:szCs w:val="20"/>
        </w:rPr>
        <w:t>9.2 设备使用安全保障</w:t>
      </w:r>
      <w:bookmarkEnd w:id="63"/>
    </w:p>
    <w:p w14:paraId="20D26818">
      <w:pPr>
        <w:numPr>
          <w:ilvl w:val="0"/>
          <w:numId w:val="127"/>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所有设备均做安全防护处理，无尖锐边角、凸起部件，金属部件做钝化处理，符合小学生使用安全标准；</w:t>
      </w:r>
    </w:p>
    <w:p w14:paraId="6DDB120F">
      <w:pPr>
        <w:numPr>
          <w:ilvl w:val="0"/>
          <w:numId w:val="128"/>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为所有设备配备《设备安全操作手册》，在设备显眼位置张贴安全警示标识和操作规范；</w:t>
      </w:r>
    </w:p>
    <w:p w14:paraId="69409074">
      <w:pPr>
        <w:numPr>
          <w:ilvl w:val="0"/>
          <w:numId w:val="129"/>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为校方学生提供2次设备安全操作专题培训，通过趣味讲解、现场演示等方式，让学生掌握设备安全操作规范；</w:t>
      </w:r>
    </w:p>
    <w:p w14:paraId="18C888F6">
      <w:pPr>
        <w:numPr>
          <w:ilvl w:val="0"/>
          <w:numId w:val="130"/>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所有电气设备均符合国家3C认证标准，做好接地、防雷处理，确保用电安全。</w:t>
      </w:r>
    </w:p>
    <w:p w14:paraId="20EEF234">
      <w:pPr>
        <w:spacing w:before="300" w:after="120" w:line="288" w:lineRule="auto"/>
        <w:ind w:left="0"/>
        <w:jc w:val="left"/>
        <w:outlineLvl w:val="2"/>
        <w:rPr>
          <w:rFonts w:hint="eastAsia" w:ascii="仿宋_GB2312" w:hAnsi="仿宋_GB2312" w:eastAsia="仿宋_GB2312" w:cs="仿宋_GB2312"/>
          <w:sz w:val="20"/>
          <w:szCs w:val="20"/>
        </w:rPr>
      </w:pPr>
      <w:bookmarkStart w:id="64" w:name="heading_64"/>
      <w:r>
        <w:rPr>
          <w:rFonts w:hint="eastAsia" w:ascii="仿宋_GB2312" w:hAnsi="仿宋_GB2312" w:eastAsia="仿宋_GB2312" w:cs="仿宋_GB2312"/>
          <w:b/>
          <w:sz w:val="20"/>
          <w:szCs w:val="20"/>
        </w:rPr>
        <w:t>9.3 实验材料安全保障</w:t>
      </w:r>
      <w:bookmarkEnd w:id="64"/>
    </w:p>
    <w:p w14:paraId="6ED1356C">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所有实验材料、手工材料均采用环保、安全材质，无异味、无有害物质，符合国家相关安全标准，严禁使用易燃易爆、有毒有害的材料，确保学生使用安全。</w:t>
      </w:r>
    </w:p>
    <w:p w14:paraId="5A183A53">
      <w:pPr>
        <w:spacing w:before="320" w:after="120" w:line="288" w:lineRule="auto"/>
        <w:ind w:left="0"/>
        <w:jc w:val="left"/>
        <w:outlineLvl w:val="1"/>
        <w:rPr>
          <w:rFonts w:hint="eastAsia" w:ascii="仿宋_GB2312" w:hAnsi="仿宋_GB2312" w:eastAsia="仿宋_GB2312" w:cs="仿宋_GB2312"/>
          <w:sz w:val="20"/>
          <w:szCs w:val="20"/>
        </w:rPr>
      </w:pPr>
      <w:bookmarkStart w:id="65" w:name="heading_65"/>
      <w:r>
        <w:rPr>
          <w:rFonts w:hint="eastAsia" w:ascii="仿宋_GB2312" w:hAnsi="仿宋_GB2312" w:eastAsia="仿宋_GB2312" w:cs="仿宋_GB2312"/>
          <w:b/>
          <w:sz w:val="20"/>
          <w:szCs w:val="20"/>
        </w:rPr>
        <w:t>十、项目应急预案</w:t>
      </w:r>
      <w:bookmarkEnd w:id="65"/>
    </w:p>
    <w:p w14:paraId="1E54E7A1">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为应对项目实施过程中可能出现的突发情况，制定专项应急预案，确保突发情况能快速、有效处理，最大限度降低对项目进度和校方教学的影响。</w:t>
      </w:r>
    </w:p>
    <w:p w14:paraId="1D40B195">
      <w:pPr>
        <w:spacing w:before="300" w:after="120" w:line="288" w:lineRule="auto"/>
        <w:ind w:left="0"/>
        <w:jc w:val="left"/>
        <w:outlineLvl w:val="2"/>
        <w:rPr>
          <w:rFonts w:hint="eastAsia" w:ascii="仿宋_GB2312" w:hAnsi="仿宋_GB2312" w:eastAsia="仿宋_GB2312" w:cs="仿宋_GB2312"/>
          <w:sz w:val="20"/>
          <w:szCs w:val="20"/>
        </w:rPr>
      </w:pPr>
      <w:bookmarkStart w:id="66" w:name="heading_66"/>
      <w:r>
        <w:rPr>
          <w:rFonts w:hint="eastAsia" w:ascii="仿宋_GB2312" w:hAnsi="仿宋_GB2312" w:eastAsia="仿宋_GB2312" w:cs="仿宋_GB2312"/>
          <w:b/>
          <w:sz w:val="20"/>
          <w:szCs w:val="20"/>
        </w:rPr>
        <w:t>10.1 设备到货延迟应急预案</w:t>
      </w:r>
      <w:bookmarkEnd w:id="66"/>
    </w:p>
    <w:p w14:paraId="2A4704A2">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若因物流、生产等原因导致设备到货延迟，立即启动应急预案：</w:t>
      </w:r>
    </w:p>
    <w:p w14:paraId="463F0015">
      <w:pPr>
        <w:numPr>
          <w:ilvl w:val="0"/>
          <w:numId w:val="131"/>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第一时间与供应商沟通，了解延迟原因和预计到货时间，同步告知校方；</w:t>
      </w:r>
    </w:p>
    <w:p w14:paraId="586C023E">
      <w:pPr>
        <w:numPr>
          <w:ilvl w:val="0"/>
          <w:numId w:val="132"/>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协调供应商采取加急生产、加急物流等方式，缩短到货时间；</w:t>
      </w:r>
    </w:p>
    <w:p w14:paraId="12E1BBD4">
      <w:pPr>
        <w:numPr>
          <w:ilvl w:val="0"/>
          <w:numId w:val="133"/>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调整项目实施计划，对已到货设备提前开展安装调试，确保整体项目进度不受大的影响。</w:t>
      </w:r>
    </w:p>
    <w:p w14:paraId="42353CC4">
      <w:pPr>
        <w:spacing w:before="300" w:after="120" w:line="288" w:lineRule="auto"/>
        <w:ind w:left="0"/>
        <w:jc w:val="left"/>
        <w:outlineLvl w:val="2"/>
        <w:rPr>
          <w:rFonts w:hint="eastAsia" w:ascii="仿宋_GB2312" w:hAnsi="仿宋_GB2312" w:eastAsia="仿宋_GB2312" w:cs="仿宋_GB2312"/>
          <w:sz w:val="20"/>
          <w:szCs w:val="20"/>
        </w:rPr>
      </w:pPr>
      <w:bookmarkStart w:id="67" w:name="heading_67"/>
      <w:r>
        <w:rPr>
          <w:rFonts w:hint="eastAsia" w:ascii="仿宋_GB2312" w:hAnsi="仿宋_GB2312" w:eastAsia="仿宋_GB2312" w:cs="仿宋_GB2312"/>
          <w:b/>
          <w:sz w:val="20"/>
          <w:szCs w:val="20"/>
        </w:rPr>
        <w:t>10.2 设备质量不合格应急预案</w:t>
      </w:r>
      <w:bookmarkEnd w:id="67"/>
    </w:p>
    <w:p w14:paraId="3AE7E38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若设备到货后发现质量不合格或功能故障，立即启动应急预案：</w:t>
      </w:r>
    </w:p>
    <w:p w14:paraId="6E72FEB3">
      <w:pPr>
        <w:numPr>
          <w:ilvl w:val="0"/>
          <w:numId w:val="134"/>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立即与供应商沟通，要求在48小时内完成退换货；</w:t>
      </w:r>
    </w:p>
    <w:p w14:paraId="7EFB3352">
      <w:pPr>
        <w:numPr>
          <w:ilvl w:val="0"/>
          <w:numId w:val="135"/>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若为核心设备，立即调配备品备件进行更换，确保安装调试工作正常推进；</w:t>
      </w:r>
    </w:p>
    <w:p w14:paraId="443A7D0A">
      <w:pPr>
        <w:numPr>
          <w:ilvl w:val="0"/>
          <w:numId w:val="136"/>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对退换货后的设备进行重新质量检测，合格后方可进入安装环节。</w:t>
      </w:r>
    </w:p>
    <w:p w14:paraId="1ADC5A92">
      <w:pPr>
        <w:spacing w:before="300" w:after="120" w:line="288" w:lineRule="auto"/>
        <w:ind w:left="0"/>
        <w:jc w:val="left"/>
        <w:outlineLvl w:val="2"/>
        <w:rPr>
          <w:rFonts w:hint="eastAsia" w:ascii="仿宋_GB2312" w:hAnsi="仿宋_GB2312" w:eastAsia="仿宋_GB2312" w:cs="仿宋_GB2312"/>
          <w:sz w:val="20"/>
          <w:szCs w:val="20"/>
        </w:rPr>
      </w:pPr>
      <w:bookmarkStart w:id="68" w:name="heading_68"/>
      <w:r>
        <w:rPr>
          <w:rFonts w:hint="eastAsia" w:ascii="仿宋_GB2312" w:hAnsi="仿宋_GB2312" w:eastAsia="仿宋_GB2312" w:cs="仿宋_GB2312"/>
          <w:b/>
          <w:sz w:val="20"/>
          <w:szCs w:val="20"/>
        </w:rPr>
        <w:t>10.3 现场安装施工突发故障应急预案</w:t>
      </w:r>
      <w:bookmarkEnd w:id="68"/>
    </w:p>
    <w:p w14:paraId="74F99D3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若现场安装施工过程中出现设备损坏、校园设施损坏等突发故障，立即启动应急预案：</w:t>
      </w:r>
    </w:p>
    <w:p w14:paraId="0670E9D1">
      <w:pPr>
        <w:numPr>
          <w:ilvl w:val="0"/>
          <w:numId w:val="137"/>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立即停工，组织人员排查故障原因，采取应急措施防止故障扩大；</w:t>
      </w:r>
    </w:p>
    <w:p w14:paraId="0C45E5A5">
      <w:pPr>
        <w:numPr>
          <w:ilvl w:val="0"/>
          <w:numId w:val="138"/>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若造成设备损坏，立即安排维修或更换；若造成校园设施损坏，立即与校方沟通，制定整改方案并负责修复；</w:t>
      </w:r>
    </w:p>
    <w:p w14:paraId="78EC0906">
      <w:pPr>
        <w:numPr>
          <w:ilvl w:val="0"/>
          <w:numId w:val="139"/>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故障处理完成后，组织全体施工人员进行安全警示教育，避免类似问题再次发生。</w:t>
      </w:r>
    </w:p>
    <w:p w14:paraId="5AB7A7FB">
      <w:pPr>
        <w:spacing w:before="300" w:after="120" w:line="288" w:lineRule="auto"/>
        <w:ind w:left="0"/>
        <w:jc w:val="left"/>
        <w:outlineLvl w:val="2"/>
        <w:rPr>
          <w:rFonts w:hint="eastAsia" w:ascii="仿宋_GB2312" w:hAnsi="仿宋_GB2312" w:eastAsia="仿宋_GB2312" w:cs="仿宋_GB2312"/>
          <w:sz w:val="20"/>
          <w:szCs w:val="20"/>
        </w:rPr>
      </w:pPr>
      <w:bookmarkStart w:id="69" w:name="heading_69"/>
      <w:r>
        <w:rPr>
          <w:rFonts w:hint="eastAsia" w:ascii="仿宋_GB2312" w:hAnsi="仿宋_GB2312" w:eastAsia="仿宋_GB2312" w:cs="仿宋_GB2312"/>
          <w:b/>
          <w:sz w:val="20"/>
          <w:szCs w:val="20"/>
        </w:rPr>
        <w:t>10.4 设备运行突发故障应急预案</w:t>
      </w:r>
      <w:bookmarkEnd w:id="69"/>
    </w:p>
    <w:p w14:paraId="0843246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若设备试运行或校方使用过程中出现突发故障，立即启动应急预案：</w:t>
      </w:r>
    </w:p>
    <w:p w14:paraId="04121D1B">
      <w:pPr>
        <w:numPr>
          <w:ilvl w:val="0"/>
          <w:numId w:val="140"/>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接到故障通知后，3小时内响应，远程指导校方进行应急处理；</w:t>
      </w:r>
    </w:p>
    <w:p w14:paraId="4799C55B">
      <w:pPr>
        <w:numPr>
          <w:ilvl w:val="0"/>
          <w:numId w:val="141"/>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远程无法解决的，8小时内安排售后人员到达现场维修；</w:t>
      </w:r>
    </w:p>
    <w:p w14:paraId="3EEEDC16">
      <w:pPr>
        <w:numPr>
          <w:ilvl w:val="0"/>
          <w:numId w:val="142"/>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若设备无法立即修复，立即提供备品备件更换，确保教学正常开展；</w:t>
      </w:r>
    </w:p>
    <w:p w14:paraId="718E771C">
      <w:pPr>
        <w:numPr>
          <w:ilvl w:val="0"/>
          <w:numId w:val="143"/>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故障处理完成后，出具《故障处理报告》，分析故障原因，采取预防措施，避免类似故障再次发生。</w:t>
      </w:r>
    </w:p>
    <w:p w14:paraId="6CA55015">
      <w:pPr>
        <w:spacing w:before="300" w:after="120" w:line="288" w:lineRule="auto"/>
        <w:ind w:left="0"/>
        <w:jc w:val="left"/>
        <w:outlineLvl w:val="2"/>
        <w:rPr>
          <w:rFonts w:hint="eastAsia" w:ascii="仿宋_GB2312" w:hAnsi="仿宋_GB2312" w:eastAsia="仿宋_GB2312" w:cs="仿宋_GB2312"/>
          <w:sz w:val="20"/>
          <w:szCs w:val="20"/>
        </w:rPr>
      </w:pPr>
      <w:bookmarkStart w:id="70" w:name="heading_70"/>
      <w:r>
        <w:rPr>
          <w:rFonts w:hint="eastAsia" w:ascii="仿宋_GB2312" w:hAnsi="仿宋_GB2312" w:eastAsia="仿宋_GB2312" w:cs="仿宋_GB2312"/>
          <w:b/>
          <w:sz w:val="20"/>
          <w:szCs w:val="20"/>
        </w:rPr>
        <w:t>10.5 恶劣天气等不可抗力应急预案</w:t>
      </w:r>
      <w:bookmarkEnd w:id="70"/>
    </w:p>
    <w:p w14:paraId="412A7234">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若遇暴雨、台风、地震等不可抗力因素，导致项目实施暂停，立即启动应急预案：</w:t>
      </w:r>
    </w:p>
    <w:p w14:paraId="349B8CF9">
      <w:pPr>
        <w:numPr>
          <w:ilvl w:val="0"/>
          <w:numId w:val="144"/>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第一时间做好现场设备、物料的防护工作，确保设备、物料安全；</w:t>
      </w:r>
    </w:p>
    <w:p w14:paraId="1E9DFCE2">
      <w:pPr>
        <w:numPr>
          <w:ilvl w:val="0"/>
          <w:numId w:val="145"/>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不可抗力因素结束后，立即组织人员对现场进行检查，确认无安全隐患后复工；</w:t>
      </w:r>
    </w:p>
    <w:p w14:paraId="7AFC51DE">
      <w:pPr>
        <w:numPr>
          <w:ilvl w:val="0"/>
          <w:numId w:val="146"/>
        </w:num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根据项目暂停时间，调整项目实施计划，倒排工期，确保项目按期交付。</w:t>
      </w:r>
    </w:p>
    <w:p w14:paraId="3FFCAE68">
      <w:pPr>
        <w:spacing w:before="320" w:after="120" w:line="288" w:lineRule="auto"/>
        <w:ind w:left="0"/>
        <w:jc w:val="left"/>
        <w:outlineLvl w:val="1"/>
        <w:rPr>
          <w:rFonts w:hint="eastAsia" w:ascii="仿宋_GB2312" w:hAnsi="仿宋_GB2312" w:eastAsia="仿宋_GB2312" w:cs="仿宋_GB2312"/>
          <w:sz w:val="20"/>
          <w:szCs w:val="20"/>
        </w:rPr>
      </w:pPr>
      <w:bookmarkStart w:id="71" w:name="heading_71"/>
      <w:r>
        <w:rPr>
          <w:rFonts w:hint="eastAsia" w:ascii="仿宋_GB2312" w:hAnsi="仿宋_GB2312" w:eastAsia="仿宋_GB2312" w:cs="仿宋_GB2312"/>
          <w:b/>
          <w:sz w:val="20"/>
          <w:szCs w:val="20"/>
        </w:rPr>
        <w:t>十一、项目总结与后续合作</w:t>
      </w:r>
      <w:bookmarkEnd w:id="71"/>
    </w:p>
    <w:p w14:paraId="5E1FD8F7">
      <w:pPr>
        <w:spacing w:before="300" w:after="120" w:line="288" w:lineRule="auto"/>
        <w:ind w:left="0"/>
        <w:jc w:val="left"/>
        <w:outlineLvl w:val="2"/>
        <w:rPr>
          <w:rFonts w:hint="eastAsia" w:ascii="仿宋_GB2312" w:hAnsi="仿宋_GB2312" w:eastAsia="仿宋_GB2312" w:cs="仿宋_GB2312"/>
          <w:sz w:val="20"/>
          <w:szCs w:val="20"/>
        </w:rPr>
      </w:pPr>
      <w:bookmarkStart w:id="72" w:name="heading_72"/>
      <w:r>
        <w:rPr>
          <w:rFonts w:hint="eastAsia" w:ascii="仿宋_GB2312" w:hAnsi="仿宋_GB2312" w:eastAsia="仿宋_GB2312" w:cs="仿宋_GB2312"/>
          <w:b/>
          <w:sz w:val="20"/>
          <w:szCs w:val="20"/>
        </w:rPr>
        <w:t>11.1 项目总结</w:t>
      </w:r>
      <w:bookmarkEnd w:id="72"/>
    </w:p>
    <w:p w14:paraId="0B0739D4">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项目交付验收后，我方将对项目实施全过程进行全面总结，梳理项目实施中的经验和不足，形成《项目实施总结报告》，为后续同类项目实施提供参考；同时听取校方的意见和建议，不断优化产品和服务。</w:t>
      </w:r>
    </w:p>
    <w:p w14:paraId="0EA3E056">
      <w:pPr>
        <w:spacing w:before="300" w:after="120" w:line="288" w:lineRule="auto"/>
        <w:ind w:left="0"/>
        <w:jc w:val="left"/>
        <w:outlineLvl w:val="2"/>
        <w:rPr>
          <w:rFonts w:hint="eastAsia" w:ascii="仿宋_GB2312" w:hAnsi="仿宋_GB2312" w:eastAsia="仿宋_GB2312" w:cs="仿宋_GB2312"/>
          <w:sz w:val="20"/>
          <w:szCs w:val="20"/>
        </w:rPr>
      </w:pPr>
      <w:bookmarkStart w:id="73" w:name="heading_73"/>
      <w:r>
        <w:rPr>
          <w:rFonts w:hint="eastAsia" w:ascii="仿宋_GB2312" w:hAnsi="仿宋_GB2312" w:eastAsia="仿宋_GB2312" w:cs="仿宋_GB2312"/>
          <w:b/>
          <w:sz w:val="20"/>
          <w:szCs w:val="20"/>
        </w:rPr>
        <w:t>11.2 长期战略合作</w:t>
      </w:r>
      <w:bookmarkEnd w:id="73"/>
    </w:p>
    <w:p w14:paraId="7566592A">
      <w:pPr>
        <w:keepNext w:val="0"/>
        <w:keepLines w:val="0"/>
        <w:pageBreakBefore w:val="0"/>
        <w:widowControl w:val="0"/>
        <w:kinsoku/>
        <w:wordWrap/>
        <w:overflowPunct/>
        <w:topLinePunct w:val="0"/>
        <w:autoSpaceDE/>
        <w:autoSpaceDN/>
        <w:bidi w:val="0"/>
        <w:adjustRightInd/>
        <w:snapToGrid/>
        <w:spacing w:before="120" w:after="120" w:line="288" w:lineRule="auto"/>
        <w:ind w:left="0" w:firstLine="400" w:firstLineChars="200"/>
        <w:jc w:val="left"/>
        <w:textAlignment w:val="auto"/>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我方愿与泉州市实验小学大兴校区建立</w:t>
      </w:r>
      <w:r>
        <w:rPr>
          <w:rFonts w:hint="eastAsia" w:ascii="仿宋_GB2312" w:hAnsi="仿宋_GB2312" w:eastAsia="仿宋_GB2312" w:cs="仿宋_GB2312"/>
          <w:b/>
          <w:sz w:val="20"/>
          <w:szCs w:val="20"/>
        </w:rPr>
        <w:t>长期战略合作伙伴关系</w:t>
      </w:r>
      <w:r>
        <w:rPr>
          <w:rFonts w:hint="eastAsia" w:ascii="仿宋_GB2312" w:hAnsi="仿宋_GB2312" w:eastAsia="仿宋_GB2312" w:cs="仿宋_GB2312"/>
          <w:sz w:val="20"/>
          <w:szCs w:val="20"/>
        </w:rPr>
        <w:t>，依托自身在教育设备、课程研发、师资培训等方面的优势，为校方提供持续、优质、全方位的天文+科创教育服务支持，包括设备升级、课程更新、师资培养、实践活动组织等，助力校园特色教育体系建设和教育质量提升。</w:t>
      </w:r>
    </w:p>
    <w:p w14:paraId="3B528144">
      <w:pPr>
        <w:rPr>
          <w:rFonts w:hint="default" w:ascii="仿宋_GB2312" w:hAnsi="仿宋_GB2312" w:eastAsia="仿宋_GB2312" w:cs="仿宋_GB2312"/>
          <w:lang w:val="en-US" w:eastAsia="zh-CN"/>
        </w:rPr>
      </w:pPr>
      <w:r>
        <w:rPr>
          <w:rFonts w:hint="default" w:ascii="仿宋_GB2312" w:hAnsi="仿宋_GB2312" w:eastAsia="仿宋_GB2312" w:cs="仿宋_GB2312"/>
          <w:lang w:val="en-US" w:eastAsia="zh-CN"/>
        </w:rPr>
        <w:br w:type="page"/>
      </w:r>
    </w:p>
    <w:p w14:paraId="07DE5ED5">
      <w:pPr>
        <w:pStyle w:val="8"/>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泉州市实验小学大兴校区教学仪器购置(三次)项目</w:t>
      </w:r>
      <w:r>
        <w:rPr>
          <w:rFonts w:hint="eastAsia" w:ascii="仿宋_GB2312" w:hAnsi="仿宋_GB2312" w:eastAsia="仿宋_GB2312" w:cs="仿宋_GB2312"/>
          <w:sz w:val="32"/>
          <w:szCs w:val="32"/>
        </w:rPr>
        <w:br w:type="textWrapping"/>
      </w:r>
      <w:r>
        <w:rPr>
          <w:rFonts w:hint="eastAsia" w:ascii="仿宋_GB2312" w:hAnsi="仿宋_GB2312" w:eastAsia="仿宋_GB2312" w:cs="仿宋_GB2312"/>
          <w:sz w:val="32"/>
          <w:szCs w:val="32"/>
        </w:rPr>
        <w:t>售后服务方案</w:t>
      </w:r>
    </w:p>
    <w:p w14:paraId="132CD63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项目编号</w:t>
      </w:r>
      <w:r>
        <w:rPr>
          <w:rFonts w:hint="eastAsia" w:ascii="仿宋_GB2312" w:hAnsi="仿宋_GB2312" w:eastAsia="仿宋_GB2312" w:cs="仿宋_GB2312"/>
          <w:sz w:val="20"/>
          <w:szCs w:val="20"/>
        </w:rPr>
        <w:t>：[350501]HXCG[GK]2025004-2</w:t>
      </w:r>
    </w:p>
    <w:p w14:paraId="2CC0D1D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备案编号</w:t>
      </w:r>
      <w:r>
        <w:rPr>
          <w:rFonts w:hint="eastAsia" w:ascii="仿宋_GB2312" w:hAnsi="仿宋_GB2312" w:eastAsia="仿宋_GB2312" w:cs="仿宋_GB2312"/>
          <w:sz w:val="20"/>
          <w:szCs w:val="20"/>
        </w:rPr>
        <w:t>：CGXM-2025-350501-02944[2025]02530</w:t>
      </w:r>
    </w:p>
    <w:p w14:paraId="0320044D">
      <w:pPr>
        <w:spacing w:before="120" w:after="120" w:line="288" w:lineRule="auto"/>
        <w:ind w:left="0"/>
        <w:jc w:val="left"/>
        <w:rPr>
          <w:rFonts w:hint="eastAsia" w:ascii="仿宋_GB2312" w:hAnsi="仿宋_GB2312" w:eastAsia="仿宋_GB2312" w:cs="仿宋_GB2312"/>
          <w:sz w:val="20"/>
          <w:szCs w:val="20"/>
          <w:lang w:val="en-US" w:eastAsia="zh-CN"/>
        </w:rPr>
      </w:pPr>
      <w:r>
        <w:rPr>
          <w:rFonts w:hint="eastAsia" w:ascii="仿宋_GB2312" w:hAnsi="仿宋_GB2312" w:eastAsia="仿宋_GB2312" w:cs="仿宋_GB2312"/>
          <w:b/>
          <w:sz w:val="20"/>
          <w:szCs w:val="20"/>
        </w:rPr>
        <w:t>实施单位</w:t>
      </w:r>
      <w:r>
        <w:rPr>
          <w:rFonts w:hint="eastAsia" w:ascii="仿宋_GB2312" w:hAnsi="仿宋_GB2312" w:eastAsia="仿宋_GB2312" w:cs="仿宋_GB2312"/>
          <w:sz w:val="20"/>
          <w:szCs w:val="20"/>
        </w:rPr>
        <w:t>：</w:t>
      </w:r>
      <w:r>
        <w:rPr>
          <w:rFonts w:hint="eastAsia" w:ascii="仿宋_GB2312" w:hAnsi="仿宋_GB2312" w:eastAsia="仿宋_GB2312" w:cs="仿宋_GB2312"/>
          <w:sz w:val="20"/>
          <w:szCs w:val="20"/>
          <w:lang w:val="en-US" w:eastAsia="zh-CN"/>
        </w:rPr>
        <w:t>北京科启星科技有限公司</w:t>
      </w:r>
    </w:p>
    <w:p w14:paraId="05CB99A5">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编制日期</w:t>
      </w:r>
      <w:r>
        <w:rPr>
          <w:rFonts w:hint="eastAsia" w:ascii="仿宋_GB2312" w:hAnsi="仿宋_GB2312" w:eastAsia="仿宋_GB2312" w:cs="仿宋_GB2312"/>
          <w:sz w:val="20"/>
          <w:szCs w:val="20"/>
        </w:rPr>
        <w:t>：</w:t>
      </w:r>
      <w:r>
        <w:rPr>
          <w:rFonts w:hint="eastAsia" w:ascii="仿宋_GB2312" w:hAnsi="仿宋_GB2312" w:eastAsia="仿宋_GB2312" w:cs="仿宋_GB2312"/>
          <w:sz w:val="20"/>
          <w:szCs w:val="20"/>
          <w:lang w:val="en-US" w:eastAsia="zh-CN"/>
        </w:rPr>
        <w:t>2026年2月15日</w:t>
      </w:r>
    </w:p>
    <w:p w14:paraId="4B149EFC">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本售后服务方案针对泉州市实验小学大兴校区教学仪器购置(三次)项目制定，严格遵循项目招投标文件要求，结合校区教学设备使用特点与实际教学需求，在原有服务框架基础上进行全面深化、细化，建立</w:t>
      </w:r>
      <w:r>
        <w:rPr>
          <w:rFonts w:hint="eastAsia" w:ascii="仿宋_GB2312" w:hAnsi="仿宋_GB2312" w:eastAsia="仿宋_GB2312" w:cs="仿宋_GB2312"/>
          <w:b/>
          <w:sz w:val="20"/>
          <w:szCs w:val="20"/>
        </w:rPr>
        <w:t>全周期、多维度、本地化、高效率</w:t>
      </w:r>
      <w:r>
        <w:rPr>
          <w:rFonts w:hint="eastAsia" w:ascii="仿宋_GB2312" w:hAnsi="仿宋_GB2312" w:eastAsia="仿宋_GB2312" w:cs="仿宋_GB2312"/>
          <w:sz w:val="20"/>
          <w:szCs w:val="20"/>
        </w:rPr>
        <w:t>的售后服务体系。方案以“保障教学、快速响应、主动服务、长效支持”为核心，覆盖设备质保、故障处理、技术支持、软件升级、定期巡检、师资培训、长效保障等全方面内容，确保项目所有教学设备长期稳定运行，课程资源持续适配教学需求，为校区天文与科创特色教学开展提供坚实、可靠的售后服务保障。</w:t>
      </w:r>
    </w:p>
    <w:p w14:paraId="14545A2F">
      <w:pPr>
        <w:pStyle w:val="2"/>
        <w:numPr>
          <w:ilvl w:val="0"/>
          <w:numId w:val="147"/>
        </w:numPr>
        <w:topLinePunct w:val="0"/>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售后服务总则</w:t>
      </w:r>
    </w:p>
    <w:p w14:paraId="135666BE">
      <w:pPr>
        <w:pStyle w:val="3"/>
        <w:numPr>
          <w:ilvl w:val="0"/>
          <w:numId w:val="148"/>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服务目标</w:t>
      </w:r>
    </w:p>
    <w:p w14:paraId="03909DAC">
      <w:pPr>
        <w:pStyle w:val="6"/>
        <w:numPr>
          <w:ilvl w:val="0"/>
          <w:numId w:val="149"/>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质保期内项目所有硬件设备完好率不低于</w:t>
      </w:r>
      <w:r>
        <w:rPr>
          <w:rFonts w:hint="eastAsia" w:ascii="仿宋_GB2312" w:hAnsi="仿宋_GB2312" w:eastAsia="仿宋_GB2312" w:cs="仿宋_GB2312"/>
          <w:b/>
          <w:sz w:val="20"/>
          <w:szCs w:val="20"/>
        </w:rPr>
        <w:t>98%</w:t>
      </w:r>
      <w:r>
        <w:rPr>
          <w:rFonts w:hint="eastAsia" w:ascii="仿宋_GB2312" w:hAnsi="仿宋_GB2312" w:eastAsia="仿宋_GB2312" w:cs="仿宋_GB2312"/>
          <w:sz w:val="20"/>
          <w:szCs w:val="20"/>
        </w:rPr>
        <w:t>，软件系统运行故障率低于</w:t>
      </w:r>
      <w:r>
        <w:rPr>
          <w:rFonts w:hint="eastAsia" w:ascii="仿宋_GB2312" w:hAnsi="仿宋_GB2312" w:eastAsia="仿宋_GB2312" w:cs="仿宋_GB2312"/>
          <w:b/>
          <w:sz w:val="20"/>
          <w:szCs w:val="20"/>
        </w:rPr>
        <w:t>2%</w:t>
      </w:r>
      <w:r>
        <w:rPr>
          <w:rFonts w:hint="eastAsia" w:ascii="仿宋_GB2312" w:hAnsi="仿宋_GB2312" w:eastAsia="仿宋_GB2312" w:cs="仿宋_GB2312"/>
          <w:sz w:val="20"/>
          <w:szCs w:val="20"/>
        </w:rPr>
        <w:t>，故障处理及时率100%；</w:t>
      </w:r>
    </w:p>
    <w:p w14:paraId="1F652A3F">
      <w:pPr>
        <w:pStyle w:val="6"/>
        <w:numPr>
          <w:ilvl w:val="0"/>
          <w:numId w:val="149"/>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为校方提供7×24小时全方位技术支持，确保设备故障不影响正常教学秩序；</w:t>
      </w:r>
    </w:p>
    <w:p w14:paraId="55BD250D">
      <w:pPr>
        <w:pStyle w:val="6"/>
        <w:numPr>
          <w:ilvl w:val="0"/>
          <w:numId w:val="149"/>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课程资源持续更新优化，适配小学科学课标与校区教学实际，师资教学支持全覆盖；</w:t>
      </w:r>
    </w:p>
    <w:p w14:paraId="03C2B6E7">
      <w:pPr>
        <w:pStyle w:val="6"/>
        <w:numPr>
          <w:ilvl w:val="0"/>
          <w:numId w:val="149"/>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校方服务满意度达到</w:t>
      </w:r>
      <w:r>
        <w:rPr>
          <w:rFonts w:hint="eastAsia" w:ascii="仿宋_GB2312" w:hAnsi="仿宋_GB2312" w:eastAsia="仿宋_GB2312" w:cs="仿宋_GB2312"/>
          <w:b/>
          <w:sz w:val="20"/>
          <w:szCs w:val="20"/>
        </w:rPr>
        <w:t>100%</w:t>
      </w:r>
      <w:r>
        <w:rPr>
          <w:rFonts w:hint="eastAsia" w:ascii="仿宋_GB2312" w:hAnsi="仿宋_GB2312" w:eastAsia="仿宋_GB2312" w:cs="仿宋_GB2312"/>
          <w:sz w:val="20"/>
          <w:szCs w:val="20"/>
        </w:rPr>
        <w:t>，打造教育设备项目售后服务标杆。</w:t>
      </w:r>
    </w:p>
    <w:p w14:paraId="36AFE0AD">
      <w:pPr>
        <w:pStyle w:val="3"/>
        <w:numPr>
          <w:ilvl w:val="0"/>
          <w:numId w:val="148"/>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服务理念</w:t>
      </w:r>
    </w:p>
    <w:p w14:paraId="7E3EC900">
      <w:pPr>
        <w:pStyle w:val="6"/>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以教学为核心，以需求为导向，以高效为准则，以长效为目标</w:t>
      </w:r>
      <w:r>
        <w:rPr>
          <w:rFonts w:hint="eastAsia" w:ascii="仿宋_GB2312" w:hAnsi="仿宋_GB2312" w:eastAsia="仿宋_GB2312" w:cs="仿宋_GB2312"/>
          <w:sz w:val="20"/>
          <w:szCs w:val="20"/>
        </w:rPr>
        <w:t>，从“被动响应”向“主动服务”转变，从“设备维修”向“全周期保障”延伸，将售后服务融入校方日常教学全过程，成为校区特色教学开展的坚实后盾。</w:t>
      </w:r>
    </w:p>
    <w:p w14:paraId="262EA338">
      <w:pPr>
        <w:pStyle w:val="3"/>
        <w:numPr>
          <w:ilvl w:val="0"/>
          <w:numId w:val="148"/>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服务模式</w:t>
      </w:r>
    </w:p>
    <w:p w14:paraId="1D432A30">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建立“线上快速响应+线下现场处理+定期专业巡检+主动长效支持”的四位一体服务模式，实现售后服务的标准化、流程化、本地化、精细化，确保各类问题第一时间发现、第一时间处理、第一时间解决。</w:t>
      </w:r>
    </w:p>
    <w:p w14:paraId="736D3A6A">
      <w:pPr>
        <w:pStyle w:val="3"/>
        <w:numPr>
          <w:ilvl w:val="0"/>
          <w:numId w:val="148"/>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服务原则</w:t>
      </w:r>
    </w:p>
    <w:p w14:paraId="539996F2">
      <w:pPr>
        <w:pStyle w:val="6"/>
        <w:numPr>
          <w:ilvl w:val="0"/>
          <w:numId w:val="15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及时性原则</w:t>
      </w:r>
      <w:r>
        <w:rPr>
          <w:rFonts w:hint="eastAsia" w:ascii="仿宋_GB2312" w:hAnsi="仿宋_GB2312" w:eastAsia="仿宋_GB2312" w:cs="仿宋_GB2312"/>
          <w:sz w:val="20"/>
          <w:szCs w:val="20"/>
        </w:rPr>
        <w:t>：故障响应、现场处理、问题反馈均严格遵守时间承诺，最大限度缩短故障影响时间；</w:t>
      </w:r>
    </w:p>
    <w:p w14:paraId="4FEA6E21">
      <w:pPr>
        <w:pStyle w:val="6"/>
        <w:numPr>
          <w:ilvl w:val="0"/>
          <w:numId w:val="15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专业性原则</w:t>
      </w:r>
      <w:r>
        <w:rPr>
          <w:rFonts w:hint="eastAsia" w:ascii="仿宋_GB2312" w:hAnsi="仿宋_GB2312" w:eastAsia="仿宋_GB2312" w:cs="仿宋_GB2312"/>
          <w:sz w:val="20"/>
          <w:szCs w:val="20"/>
        </w:rPr>
        <w:t>：所有服务人员均具备专业资质与同类项目服务经验，确保故障处理、设备维护、技术培训的专业性；</w:t>
      </w:r>
    </w:p>
    <w:p w14:paraId="31777B52">
      <w:pPr>
        <w:pStyle w:val="6"/>
        <w:numPr>
          <w:ilvl w:val="0"/>
          <w:numId w:val="15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全面性原则</w:t>
      </w:r>
      <w:r>
        <w:rPr>
          <w:rFonts w:hint="eastAsia" w:ascii="仿宋_GB2312" w:hAnsi="仿宋_GB2312" w:eastAsia="仿宋_GB2312" w:cs="仿宋_GB2312"/>
          <w:sz w:val="20"/>
          <w:szCs w:val="20"/>
        </w:rPr>
        <w:t>：服务覆盖项目所有硬件设备、软件系统、课程资源，涵盖设备全生命周期的所有环节；</w:t>
      </w:r>
    </w:p>
    <w:p w14:paraId="2DC62E4B">
      <w:pPr>
        <w:pStyle w:val="6"/>
        <w:numPr>
          <w:ilvl w:val="0"/>
          <w:numId w:val="15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透明性原则</w:t>
      </w:r>
      <w:r>
        <w:rPr>
          <w:rFonts w:hint="eastAsia" w:ascii="仿宋_GB2312" w:hAnsi="仿宋_GB2312" w:eastAsia="仿宋_GB2312" w:cs="仿宋_GB2312"/>
          <w:sz w:val="20"/>
          <w:szCs w:val="20"/>
        </w:rPr>
        <w:t>：故障处理、软件升级、巡检维护、有偿服务等所有环节均全程记录，向校方公开，确保服务过程可追溯、可核查；</w:t>
      </w:r>
    </w:p>
    <w:p w14:paraId="25260F83">
      <w:pPr>
        <w:pStyle w:val="6"/>
        <w:numPr>
          <w:ilvl w:val="0"/>
          <w:numId w:val="15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本地化原则</w:t>
      </w:r>
      <w:r>
        <w:rPr>
          <w:rFonts w:hint="eastAsia" w:ascii="仿宋_GB2312" w:hAnsi="仿宋_GB2312" w:eastAsia="仿宋_GB2312" w:cs="仿宋_GB2312"/>
          <w:sz w:val="20"/>
          <w:szCs w:val="20"/>
        </w:rPr>
        <w:t>：依托泉州本地服务站，配备专职工程师与备品备件，实现服务响应与现场处理的本地化，提升服务效率；</w:t>
      </w:r>
    </w:p>
    <w:p w14:paraId="4501F3C5">
      <w:pPr>
        <w:pStyle w:val="6"/>
        <w:numPr>
          <w:ilvl w:val="0"/>
          <w:numId w:val="15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教学优先原则</w:t>
      </w:r>
      <w:r>
        <w:rPr>
          <w:rFonts w:hint="eastAsia" w:ascii="仿宋_GB2312" w:hAnsi="仿宋_GB2312" w:eastAsia="仿宋_GB2312" w:cs="仿宋_GB2312"/>
          <w:sz w:val="20"/>
          <w:szCs w:val="20"/>
        </w:rPr>
        <w:t>：所有售后服务工作均避开校方正常教学时间，利用周末、假期、课余时间开展，确保不影响教学秩序。</w:t>
      </w:r>
    </w:p>
    <w:p w14:paraId="72A1642A">
      <w:pPr>
        <w:pStyle w:val="2"/>
        <w:numPr>
          <w:ilvl w:val="0"/>
          <w:numId w:val="147"/>
        </w:numPr>
        <w:topLinePunct w:val="0"/>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售后服务组织架构与保障体系</w:t>
      </w:r>
    </w:p>
    <w:p w14:paraId="3AA13F68">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为确保售后服务落地执行，建立</w:t>
      </w:r>
      <w:r>
        <w:rPr>
          <w:rFonts w:hint="eastAsia" w:ascii="仿宋_GB2312" w:hAnsi="仿宋_GB2312" w:eastAsia="仿宋_GB2312" w:cs="仿宋_GB2312"/>
          <w:b/>
          <w:sz w:val="20"/>
          <w:szCs w:val="20"/>
        </w:rPr>
        <w:t>三级服务保障体系</w:t>
      </w:r>
      <w:r>
        <w:rPr>
          <w:rFonts w:hint="eastAsia" w:ascii="仿宋_GB2312" w:hAnsi="仿宋_GB2312" w:eastAsia="仿宋_GB2312" w:cs="仿宋_GB2312"/>
          <w:sz w:val="20"/>
          <w:szCs w:val="20"/>
        </w:rPr>
        <w:t>，整合公司总部、区域服务中心、本地服务站资源，配备专属服务团队，搭建高效沟通渠道，实现校方需求与服务资源的无缝对接。</w:t>
      </w:r>
    </w:p>
    <w:p w14:paraId="4F2F0BBE">
      <w:pPr>
        <w:pStyle w:val="6"/>
        <w:numPr>
          <w:ilvl w:val="0"/>
          <w:numId w:val="151"/>
        </w:numPr>
        <w:ind w:left="0" w:leftChars="0" w:firstLine="482" w:firstLineChars="0"/>
        <w:rPr>
          <w:rFonts w:hint="eastAsia" w:ascii="仿宋_GB2312" w:hAnsi="仿宋_GB2312" w:eastAsia="仿宋_GB2312" w:cs="仿宋_GB2312"/>
          <w:b/>
          <w:sz w:val="20"/>
          <w:szCs w:val="20"/>
        </w:rPr>
      </w:pPr>
      <w:r>
        <w:rPr>
          <w:rFonts w:hint="eastAsia" w:ascii="仿宋_GB2312" w:hAnsi="仿宋_GB2312" w:eastAsia="仿宋_GB2312" w:cs="仿宋_GB2312"/>
          <w:b/>
          <w:sz w:val="20"/>
          <w:szCs w:val="20"/>
        </w:rPr>
        <w:t>三级服务保障体系</w:t>
      </w:r>
    </w:p>
    <w:tbl>
      <w:tblPr>
        <w:tblStyle w:val="9"/>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258"/>
        <w:gridCol w:w="1568"/>
        <w:gridCol w:w="3384"/>
        <w:gridCol w:w="2070"/>
      </w:tblGrid>
      <w:tr w14:paraId="749F856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258" w:type="dxa"/>
            <w:tcMar>
              <w:top w:w="60" w:type="dxa"/>
              <w:left w:w="120" w:type="dxa"/>
              <w:bottom w:w="30" w:type="dxa"/>
              <w:right w:w="120" w:type="dxa"/>
            </w:tcMar>
            <w:vAlign w:val="center"/>
          </w:tcPr>
          <w:p w14:paraId="0E0CA1E3">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服务层级</w:t>
            </w:r>
          </w:p>
        </w:tc>
        <w:tc>
          <w:tcPr>
            <w:tcW w:w="1568" w:type="dxa"/>
            <w:tcMar>
              <w:top w:w="60" w:type="dxa"/>
              <w:left w:w="120" w:type="dxa"/>
              <w:bottom w:w="30" w:type="dxa"/>
              <w:right w:w="120" w:type="dxa"/>
            </w:tcMar>
            <w:vAlign w:val="center"/>
          </w:tcPr>
          <w:p w14:paraId="0A12417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组织主体</w:t>
            </w:r>
          </w:p>
        </w:tc>
        <w:tc>
          <w:tcPr>
            <w:tcW w:w="3384" w:type="dxa"/>
            <w:tcMar>
              <w:top w:w="60" w:type="dxa"/>
              <w:left w:w="120" w:type="dxa"/>
              <w:bottom w:w="30" w:type="dxa"/>
              <w:right w:w="120" w:type="dxa"/>
            </w:tcMar>
            <w:vAlign w:val="center"/>
          </w:tcPr>
          <w:p w14:paraId="02B37A4F">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核心职责</w:t>
            </w:r>
          </w:p>
        </w:tc>
        <w:tc>
          <w:tcPr>
            <w:tcW w:w="2070" w:type="dxa"/>
            <w:tcMar>
              <w:top w:w="60" w:type="dxa"/>
              <w:left w:w="120" w:type="dxa"/>
              <w:bottom w:w="30" w:type="dxa"/>
              <w:right w:w="120" w:type="dxa"/>
            </w:tcMar>
            <w:vAlign w:val="center"/>
          </w:tcPr>
          <w:p w14:paraId="03304A1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人员配置</w:t>
            </w:r>
          </w:p>
        </w:tc>
      </w:tr>
      <w:tr w14:paraId="0B7C421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258" w:type="dxa"/>
            <w:tcMar>
              <w:top w:w="60" w:type="dxa"/>
              <w:left w:w="120" w:type="dxa"/>
              <w:bottom w:w="30" w:type="dxa"/>
              <w:right w:w="120" w:type="dxa"/>
            </w:tcMar>
            <w:vAlign w:val="center"/>
          </w:tcPr>
          <w:p w14:paraId="10B996E1">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一级保障</w:t>
            </w:r>
          </w:p>
        </w:tc>
        <w:tc>
          <w:tcPr>
            <w:tcW w:w="1568" w:type="dxa"/>
            <w:tcMar>
              <w:top w:w="60" w:type="dxa"/>
              <w:left w:w="120" w:type="dxa"/>
              <w:bottom w:w="30" w:type="dxa"/>
              <w:right w:w="120" w:type="dxa"/>
            </w:tcMar>
            <w:vAlign w:val="center"/>
          </w:tcPr>
          <w:p w14:paraId="4C33E9C3">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公司总部技术支持中心</w:t>
            </w:r>
          </w:p>
        </w:tc>
        <w:tc>
          <w:tcPr>
            <w:tcW w:w="3384" w:type="dxa"/>
            <w:tcMar>
              <w:top w:w="60" w:type="dxa"/>
              <w:left w:w="120" w:type="dxa"/>
              <w:bottom w:w="30" w:type="dxa"/>
              <w:right w:w="120" w:type="dxa"/>
            </w:tcMar>
            <w:vAlign w:val="center"/>
          </w:tcPr>
          <w:p w14:paraId="061EE0E0">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统筹全国服务资源，负责核心技术攻关、软件系统升级、课程资源研发、服务标准制定，处理重大复杂故障</w:t>
            </w:r>
          </w:p>
        </w:tc>
        <w:tc>
          <w:tcPr>
            <w:tcW w:w="2070" w:type="dxa"/>
            <w:tcMar>
              <w:top w:w="60" w:type="dxa"/>
              <w:left w:w="120" w:type="dxa"/>
              <w:bottom w:w="30" w:type="dxa"/>
              <w:right w:w="120" w:type="dxa"/>
            </w:tcMar>
            <w:vAlign w:val="center"/>
          </w:tcPr>
          <w:p w14:paraId="449406A3">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资深技术工程师3名、课程研发专员2名、服务质控专员1名</w:t>
            </w:r>
          </w:p>
        </w:tc>
      </w:tr>
      <w:tr w14:paraId="0E9EEF0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258" w:type="dxa"/>
            <w:tcMar>
              <w:top w:w="60" w:type="dxa"/>
              <w:left w:w="120" w:type="dxa"/>
              <w:bottom w:w="30" w:type="dxa"/>
              <w:right w:w="120" w:type="dxa"/>
            </w:tcMar>
            <w:vAlign w:val="center"/>
          </w:tcPr>
          <w:p w14:paraId="239576DB">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二级保障</w:t>
            </w:r>
          </w:p>
        </w:tc>
        <w:tc>
          <w:tcPr>
            <w:tcW w:w="1568" w:type="dxa"/>
            <w:tcMar>
              <w:top w:w="60" w:type="dxa"/>
              <w:left w:w="120" w:type="dxa"/>
              <w:bottom w:w="30" w:type="dxa"/>
              <w:right w:w="120" w:type="dxa"/>
            </w:tcMar>
            <w:vAlign w:val="center"/>
          </w:tcPr>
          <w:p w14:paraId="33890129">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华东地区服务中心</w:t>
            </w:r>
          </w:p>
        </w:tc>
        <w:tc>
          <w:tcPr>
            <w:tcW w:w="3384" w:type="dxa"/>
            <w:tcMar>
              <w:top w:w="60" w:type="dxa"/>
              <w:left w:w="120" w:type="dxa"/>
              <w:bottom w:w="30" w:type="dxa"/>
              <w:right w:w="120" w:type="dxa"/>
            </w:tcMar>
            <w:vAlign w:val="center"/>
          </w:tcPr>
          <w:p w14:paraId="280CF31C">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覆盖福建区域项目服务，负责备品备件统筹管理、区域技术人员调配、跨城市服务支援，处理区域内复杂故障</w:t>
            </w:r>
          </w:p>
        </w:tc>
        <w:tc>
          <w:tcPr>
            <w:tcW w:w="2070" w:type="dxa"/>
            <w:tcMar>
              <w:top w:w="60" w:type="dxa"/>
              <w:left w:w="120" w:type="dxa"/>
              <w:bottom w:w="30" w:type="dxa"/>
              <w:right w:w="120" w:type="dxa"/>
            </w:tcMar>
            <w:vAlign w:val="center"/>
          </w:tcPr>
          <w:p w14:paraId="7772BDA6">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区域技术负责人1名、中级工程师2名、备件管理专员1名</w:t>
            </w:r>
          </w:p>
        </w:tc>
      </w:tr>
      <w:tr w14:paraId="6EB3526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258" w:type="dxa"/>
            <w:tcMar>
              <w:top w:w="60" w:type="dxa"/>
              <w:left w:w="120" w:type="dxa"/>
              <w:bottom w:w="30" w:type="dxa"/>
              <w:right w:w="120" w:type="dxa"/>
            </w:tcMar>
            <w:vAlign w:val="center"/>
          </w:tcPr>
          <w:p w14:paraId="7246814B">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三级保障</w:t>
            </w:r>
          </w:p>
        </w:tc>
        <w:tc>
          <w:tcPr>
            <w:tcW w:w="1568" w:type="dxa"/>
            <w:tcMar>
              <w:top w:w="60" w:type="dxa"/>
              <w:left w:w="120" w:type="dxa"/>
              <w:bottom w:w="30" w:type="dxa"/>
              <w:right w:w="120" w:type="dxa"/>
            </w:tcMar>
            <w:vAlign w:val="center"/>
          </w:tcPr>
          <w:p w14:paraId="627A49B9">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泉州本地服务站</w:t>
            </w:r>
          </w:p>
        </w:tc>
        <w:tc>
          <w:tcPr>
            <w:tcW w:w="3384" w:type="dxa"/>
            <w:tcMar>
              <w:top w:w="60" w:type="dxa"/>
              <w:left w:w="120" w:type="dxa"/>
              <w:bottom w:w="30" w:type="dxa"/>
              <w:right w:w="120" w:type="dxa"/>
            </w:tcMar>
            <w:vAlign w:val="center"/>
          </w:tcPr>
          <w:p w14:paraId="6D71C0DA">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为本项目提供专属本地化服务，负责日常故障响应、现场维修、定期巡检、设备维护、师资现场支持，处理常规故障</w:t>
            </w:r>
          </w:p>
        </w:tc>
        <w:tc>
          <w:tcPr>
            <w:tcW w:w="2070" w:type="dxa"/>
            <w:tcMar>
              <w:top w:w="60" w:type="dxa"/>
              <w:left w:w="120" w:type="dxa"/>
              <w:bottom w:w="30" w:type="dxa"/>
              <w:right w:w="120" w:type="dxa"/>
            </w:tcMar>
            <w:vAlign w:val="center"/>
          </w:tcPr>
          <w:p w14:paraId="6546EBD9">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专职售后工程师2名、设备维护专员1名、培训支持专员1名</w:t>
            </w:r>
          </w:p>
        </w:tc>
      </w:tr>
    </w:tbl>
    <w:p w14:paraId="389FA261">
      <w:pPr>
        <w:pStyle w:val="6"/>
        <w:numPr>
          <w:ilvl w:val="0"/>
          <w:numId w:val="151"/>
        </w:numPr>
        <w:ind w:left="0" w:leftChars="0" w:firstLine="482" w:firstLineChars="0"/>
        <w:rPr>
          <w:rFonts w:hint="eastAsia" w:ascii="仿宋_GB2312" w:hAnsi="仿宋_GB2312" w:eastAsia="仿宋_GB2312" w:cs="仿宋_GB2312"/>
          <w:b/>
          <w:sz w:val="20"/>
          <w:szCs w:val="20"/>
        </w:rPr>
      </w:pPr>
      <w:r>
        <w:rPr>
          <w:rFonts w:hint="eastAsia" w:ascii="仿宋_GB2312" w:hAnsi="仿宋_GB2312" w:eastAsia="仿宋_GB2312" w:cs="仿宋_GB2312"/>
          <w:b/>
          <w:sz w:val="20"/>
          <w:szCs w:val="20"/>
        </w:rPr>
        <w:t>项目专属服务团队</w:t>
      </w:r>
    </w:p>
    <w:p w14:paraId="0EAAEDF3">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项目验收合格后，立即组建</w:t>
      </w:r>
      <w:r>
        <w:rPr>
          <w:rFonts w:hint="eastAsia" w:ascii="仿宋_GB2312" w:hAnsi="仿宋_GB2312" w:eastAsia="仿宋_GB2312" w:cs="仿宋_GB2312"/>
          <w:b/>
          <w:sz w:val="20"/>
          <w:szCs w:val="20"/>
        </w:rPr>
        <w:t>本项目专属售后服务团队</w:t>
      </w:r>
      <w:r>
        <w:rPr>
          <w:rFonts w:hint="eastAsia" w:ascii="仿宋_GB2312" w:hAnsi="仿宋_GB2312" w:eastAsia="仿宋_GB2312" w:cs="仿宋_GB2312"/>
          <w:sz w:val="20"/>
          <w:szCs w:val="20"/>
        </w:rPr>
        <w:t>，团队成员均经专业培训考核合格，熟悉本项目所有设备参数、操作流程、课程资源，专人专岗负责本项目售后服务，不兼任其他项目工作。</w:t>
      </w:r>
    </w:p>
    <w:p w14:paraId="39FD914E">
      <w:pPr>
        <w:pStyle w:val="6"/>
        <w:numPr>
          <w:ilvl w:val="0"/>
          <w:numId w:val="152"/>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服务负责人</w:t>
      </w:r>
      <w:r>
        <w:rPr>
          <w:rFonts w:hint="eastAsia" w:ascii="仿宋_GB2312" w:hAnsi="仿宋_GB2312" w:eastAsia="仿宋_GB2312" w:cs="仿宋_GB2312"/>
          <w:sz w:val="20"/>
          <w:szCs w:val="20"/>
        </w:rPr>
        <w:t>（1名）：统筹本项目售后服务工作，对接校方项目负责人，协调各级服务资源，把控服务质量与进度，处理服务过程中的各类问题；</w:t>
      </w:r>
    </w:p>
    <w:p w14:paraId="56D70D35">
      <w:pPr>
        <w:pStyle w:val="6"/>
        <w:numPr>
          <w:ilvl w:val="0"/>
          <w:numId w:val="152"/>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专职售后工程师</w:t>
      </w:r>
      <w:r>
        <w:rPr>
          <w:rFonts w:hint="eastAsia" w:ascii="仿宋_GB2312" w:hAnsi="仿宋_GB2312" w:eastAsia="仿宋_GB2312" w:cs="仿宋_GB2312"/>
          <w:sz w:val="20"/>
          <w:szCs w:val="20"/>
        </w:rPr>
        <w:t>（2名）：负责日常故障现场处理、设备定期巡检、硬件维护与校准，具备硬件维修、电气调试、机械维护等专业能力；</w:t>
      </w:r>
    </w:p>
    <w:p w14:paraId="1211FC41">
      <w:pPr>
        <w:pStyle w:val="6"/>
        <w:numPr>
          <w:ilvl w:val="0"/>
          <w:numId w:val="152"/>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软件技术专员</w:t>
      </w:r>
      <w:r>
        <w:rPr>
          <w:rFonts w:hint="eastAsia" w:ascii="仿宋_GB2312" w:hAnsi="仿宋_GB2312" w:eastAsia="仿宋_GB2312" w:cs="仿宋_GB2312"/>
          <w:sz w:val="20"/>
          <w:szCs w:val="20"/>
        </w:rPr>
        <w:t>（1名）：负责软件系统故障处理、远程技术支持、系统升级与维护、课程资源更新，具备软件调试、系统运维、资源制作等专业能力；</w:t>
      </w:r>
    </w:p>
    <w:p w14:paraId="0C91977A">
      <w:pPr>
        <w:pStyle w:val="6"/>
        <w:numPr>
          <w:ilvl w:val="0"/>
          <w:numId w:val="152"/>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培训支持专员</w:t>
      </w:r>
      <w:r>
        <w:rPr>
          <w:rFonts w:hint="eastAsia" w:ascii="仿宋_GB2312" w:hAnsi="仿宋_GB2312" w:eastAsia="仿宋_GB2312" w:cs="仿宋_GB2312"/>
          <w:sz w:val="20"/>
          <w:szCs w:val="20"/>
        </w:rPr>
        <w:t>（1名）：负责师资后续培训、教学现场指导、课程实施支持，具备教育设备教学应用、探究式课程设计等专业能力；</w:t>
      </w:r>
    </w:p>
    <w:p w14:paraId="161B9003">
      <w:pPr>
        <w:pStyle w:val="6"/>
        <w:numPr>
          <w:ilvl w:val="0"/>
          <w:numId w:val="152"/>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备件管理专员</w:t>
      </w:r>
      <w:r>
        <w:rPr>
          <w:rFonts w:hint="eastAsia" w:ascii="仿宋_GB2312" w:hAnsi="仿宋_GB2312" w:eastAsia="仿宋_GB2312" w:cs="仿宋_GB2312"/>
          <w:sz w:val="20"/>
          <w:szCs w:val="20"/>
        </w:rPr>
        <w:t>（1名）：负责本项目备品备件的管理、调配、补充，确保备品备件充足、完好，能及时响应更换需求。</w:t>
      </w:r>
    </w:p>
    <w:p w14:paraId="711755C9">
      <w:pPr>
        <w:pStyle w:val="6"/>
        <w:numPr>
          <w:ilvl w:val="0"/>
          <w:numId w:val="151"/>
        </w:numPr>
        <w:ind w:left="0" w:leftChars="0" w:firstLine="482" w:firstLineChars="0"/>
        <w:rPr>
          <w:rFonts w:hint="eastAsia" w:ascii="仿宋_GB2312" w:hAnsi="仿宋_GB2312" w:eastAsia="仿宋_GB2312" w:cs="仿宋_GB2312"/>
          <w:b/>
          <w:sz w:val="20"/>
          <w:szCs w:val="20"/>
        </w:rPr>
      </w:pPr>
      <w:r>
        <w:rPr>
          <w:rFonts w:hint="eastAsia" w:ascii="仿宋_GB2312" w:hAnsi="仿宋_GB2312" w:eastAsia="仿宋_GB2312" w:cs="仿宋_GB2312"/>
          <w:b/>
          <w:sz w:val="20"/>
          <w:szCs w:val="20"/>
        </w:rPr>
        <w:t>高效沟通对接渠道</w:t>
      </w:r>
    </w:p>
    <w:p w14:paraId="16FAEDB8">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项目交付后，立即搭建</w:t>
      </w:r>
      <w:r>
        <w:rPr>
          <w:rFonts w:hint="eastAsia" w:ascii="仿宋_GB2312" w:hAnsi="仿宋_GB2312" w:eastAsia="仿宋_GB2312" w:cs="仿宋_GB2312"/>
          <w:b/>
          <w:sz w:val="20"/>
          <w:szCs w:val="20"/>
        </w:rPr>
        <w:t>多渠道、全天候</w:t>
      </w:r>
      <w:r>
        <w:rPr>
          <w:rFonts w:hint="eastAsia" w:ascii="仿宋_GB2312" w:hAnsi="仿宋_GB2312" w:eastAsia="仿宋_GB2312" w:cs="仿宋_GB2312"/>
          <w:sz w:val="20"/>
          <w:szCs w:val="20"/>
        </w:rPr>
        <w:t>的沟通对接体系，确保校方需求第一时间传达，服务信息第一时间同步：</w:t>
      </w:r>
    </w:p>
    <w:p w14:paraId="35284A83">
      <w:pPr>
        <w:pStyle w:val="6"/>
        <w:rPr>
          <w:rFonts w:hint="eastAsia" w:ascii="仿宋_GB2312" w:hAnsi="仿宋_GB2312" w:eastAsia="仿宋_GB2312" w:cs="仿宋_GB2312"/>
          <w:sz w:val="20"/>
          <w:szCs w:val="20"/>
        </w:rPr>
      </w:pPr>
      <w:r>
        <w:rPr>
          <w:rFonts w:hint="eastAsia" w:ascii="仿宋_GB2312" w:hAnsi="仿宋_GB2312" w:eastAsia="仿宋_GB2312" w:cs="仿宋_GB2312"/>
          <w:color w:val="auto"/>
          <w:sz w:val="20"/>
          <w:szCs w:val="20"/>
        </w:rPr>
        <w:t>1.</w:t>
      </w:r>
      <w:r>
        <w:rPr>
          <w:rFonts w:hint="eastAsia" w:ascii="仿宋_GB2312" w:hAnsi="仿宋_GB2312" w:eastAsia="仿宋_GB2312" w:cs="仿宋_GB2312"/>
          <w:b/>
          <w:sz w:val="20"/>
          <w:szCs w:val="20"/>
        </w:rPr>
        <w:t>专属微信服务群</w:t>
      </w:r>
      <w:r>
        <w:rPr>
          <w:rFonts w:hint="eastAsia" w:ascii="仿宋_GB2312" w:hAnsi="仿宋_GB2312" w:eastAsia="仿宋_GB2312" w:cs="仿宋_GB2312"/>
          <w:sz w:val="20"/>
          <w:szCs w:val="20"/>
        </w:rPr>
        <w:t>：组建由校方项目负责人、学科教师、实验室管理员与我方专属服务团队所有成员组成的微信服务群，作为日常沟通、故障报修、问题咨询的主渠道，群内消息</w:t>
      </w:r>
      <w:r>
        <w:rPr>
          <w:rFonts w:hint="eastAsia" w:ascii="仿宋_GB2312" w:hAnsi="仿宋_GB2312" w:eastAsia="仿宋_GB2312" w:cs="仿宋_GB2312"/>
          <w:b/>
          <w:sz w:val="20"/>
          <w:szCs w:val="20"/>
        </w:rPr>
        <w:t>15分钟内必回复</w:t>
      </w:r>
      <w:r>
        <w:rPr>
          <w:rFonts w:hint="eastAsia" w:ascii="仿宋_GB2312" w:hAnsi="仿宋_GB2312" w:eastAsia="仿宋_GB2312" w:cs="仿宋_GB2312"/>
          <w:sz w:val="20"/>
          <w:szCs w:val="20"/>
        </w:rPr>
        <w:t>；</w:t>
      </w:r>
    </w:p>
    <w:p w14:paraId="788E0B28">
      <w:pPr>
        <w:pStyle w:val="6"/>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lang w:val="en-US" w:eastAsia="zh-CN"/>
        </w:rPr>
        <w:t>2.</w:t>
      </w:r>
      <w:r>
        <w:rPr>
          <w:rFonts w:hint="eastAsia" w:ascii="仿宋_GB2312" w:hAnsi="仿宋_GB2312" w:eastAsia="仿宋_GB2312" w:cs="仿宋_GB2312"/>
          <w:b/>
          <w:sz w:val="20"/>
          <w:szCs w:val="20"/>
        </w:rPr>
        <w:t>24小时服务热线</w:t>
      </w:r>
      <w:r>
        <w:rPr>
          <w:rFonts w:hint="eastAsia" w:ascii="仿宋_GB2312" w:hAnsi="仿宋_GB2312" w:eastAsia="仿宋_GB2312" w:cs="仿宋_GB2312"/>
          <w:sz w:val="20"/>
          <w:szCs w:val="20"/>
        </w:rPr>
        <w:t>：为校方提供本项目专属售后服务热线，由专人值守，确保全天候故障报修、紧急咨询的快速响应；</w:t>
      </w:r>
    </w:p>
    <w:p w14:paraId="03106992">
      <w:pPr>
        <w:pStyle w:val="6"/>
        <w:numPr>
          <w:ilvl w:val="0"/>
          <w:numId w:val="153"/>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线下专人对接</w:t>
      </w:r>
      <w:r>
        <w:rPr>
          <w:rFonts w:hint="eastAsia" w:ascii="仿宋_GB2312" w:hAnsi="仿宋_GB2312" w:eastAsia="仿宋_GB2312" w:cs="仿宋_GB2312"/>
          <w:sz w:val="20"/>
          <w:szCs w:val="20"/>
        </w:rPr>
        <w:t>：我方指定1名服务负责人作为校方线下专属对接人，定期上门与校方沟通，了解设备使用情况与服务需求；</w:t>
      </w:r>
    </w:p>
    <w:p w14:paraId="7F95ABCD">
      <w:pPr>
        <w:pStyle w:val="6"/>
        <w:numPr>
          <w:ilvl w:val="0"/>
          <w:numId w:val="153"/>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邮件正式沟通</w:t>
      </w:r>
      <w:r>
        <w:rPr>
          <w:rFonts w:hint="eastAsia" w:ascii="仿宋_GB2312" w:hAnsi="仿宋_GB2312" w:eastAsia="仿宋_GB2312" w:cs="仿宋_GB2312"/>
          <w:sz w:val="20"/>
          <w:szCs w:val="20"/>
        </w:rPr>
        <w:t>：涉及软件升级、巡检计划、服务报告等正式事项，采用邮件形式沟通，确保信息留存、有据可查。</w:t>
      </w:r>
    </w:p>
    <w:p w14:paraId="58BA0521">
      <w:pPr>
        <w:pStyle w:val="6"/>
        <w:numPr>
          <w:ilvl w:val="0"/>
          <w:numId w:val="151"/>
        </w:numPr>
        <w:ind w:left="0" w:leftChars="0" w:firstLine="482" w:firstLineChars="0"/>
        <w:rPr>
          <w:rFonts w:hint="eastAsia" w:ascii="仿宋_GB2312" w:hAnsi="仿宋_GB2312" w:eastAsia="仿宋_GB2312" w:cs="仿宋_GB2312"/>
          <w:b/>
          <w:sz w:val="20"/>
          <w:szCs w:val="20"/>
        </w:rPr>
      </w:pPr>
      <w:r>
        <w:rPr>
          <w:rFonts w:hint="eastAsia" w:ascii="仿宋_GB2312" w:hAnsi="仿宋_GB2312" w:eastAsia="仿宋_GB2312" w:cs="仿宋_GB2312"/>
          <w:b/>
          <w:sz w:val="20"/>
          <w:szCs w:val="20"/>
        </w:rPr>
        <w:t>备品备件保障体系</w:t>
      </w:r>
    </w:p>
    <w:p w14:paraId="5F09135D">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为确保故障设备能及时更换，建立“区域中心备件库+本地服务站备件柜”</w:t>
      </w:r>
      <w:r>
        <w:rPr>
          <w:rFonts w:hint="eastAsia" w:ascii="仿宋_GB2312" w:hAnsi="仿宋_GB2312" w:eastAsia="仿宋_GB2312" w:cs="仿宋_GB2312"/>
          <w:b/>
          <w:sz w:val="20"/>
          <w:szCs w:val="20"/>
        </w:rPr>
        <w:t>的双层备品备件保障体系，针对本项目设备特点，配齐、配足常用备品备件与关键核心部件，实现备件</w:t>
      </w:r>
      <w:r>
        <w:rPr>
          <w:rFonts w:hint="eastAsia" w:ascii="仿宋_GB2312" w:hAnsi="仿宋_GB2312" w:eastAsia="仿宋_GB2312" w:cs="仿宋_GB2312"/>
          <w:sz w:val="20"/>
          <w:szCs w:val="20"/>
        </w:rPr>
        <w:t>本地化存储、即时性调配。</w:t>
      </w:r>
    </w:p>
    <w:p w14:paraId="3094EDC2">
      <w:pPr>
        <w:pStyle w:val="6"/>
        <w:numPr>
          <w:ilvl w:val="0"/>
          <w:numId w:val="15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备件配置范围</w:t>
      </w:r>
      <w:r>
        <w:rPr>
          <w:rFonts w:hint="eastAsia" w:ascii="仿宋_GB2312" w:hAnsi="仿宋_GB2312" w:eastAsia="仿宋_GB2312" w:cs="仿宋_GB2312"/>
          <w:sz w:val="20"/>
          <w:szCs w:val="20"/>
        </w:rPr>
        <w:t>：覆盖本项目所有关键设备，包括VR头显、互动展示屏核心模块、天文望远镜光学部件、机械传动互动展示墙传动部件、传感器、电源适配器、核心电路板等常用易损件与关键核心部件；</w:t>
      </w:r>
    </w:p>
    <w:p w14:paraId="08ABDF06">
      <w:pPr>
        <w:pStyle w:val="6"/>
        <w:numPr>
          <w:ilvl w:val="0"/>
          <w:numId w:val="15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备件存储位置</w:t>
      </w:r>
      <w:r>
        <w:rPr>
          <w:rFonts w:hint="eastAsia" w:ascii="仿宋_GB2312" w:hAnsi="仿宋_GB2312" w:eastAsia="仿宋_GB2312" w:cs="仿宋_GB2312"/>
          <w:sz w:val="20"/>
          <w:szCs w:val="20"/>
        </w:rPr>
        <w:t>：核心关键备件存放于泉州本地服务站备件柜，常规常用备件同时存放于华东地区服务中心备件库与本地服务站，确保本地能直接调取；</w:t>
      </w:r>
    </w:p>
    <w:p w14:paraId="3C95D8B8">
      <w:pPr>
        <w:pStyle w:val="6"/>
        <w:numPr>
          <w:ilvl w:val="0"/>
          <w:numId w:val="15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备件管理要求</w:t>
      </w:r>
      <w:r>
        <w:rPr>
          <w:rFonts w:hint="eastAsia" w:ascii="仿宋_GB2312" w:hAnsi="仿宋_GB2312" w:eastAsia="仿宋_GB2312" w:cs="仿宋_GB2312"/>
          <w:sz w:val="20"/>
          <w:szCs w:val="20"/>
        </w:rPr>
        <w:t>：所有备件均建立台账，定期检查、维护、补充，确保备件完好率100%，做到“账物相符、按需补充、及时调配”；</w:t>
      </w:r>
    </w:p>
    <w:p w14:paraId="29515955">
      <w:pPr>
        <w:pStyle w:val="6"/>
        <w:numPr>
          <w:ilvl w:val="0"/>
          <w:numId w:val="15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备件更换原则</w:t>
      </w:r>
      <w:r>
        <w:rPr>
          <w:rFonts w:hint="eastAsia" w:ascii="仿宋_GB2312" w:hAnsi="仿宋_GB2312" w:eastAsia="仿宋_GB2312" w:cs="仿宋_GB2312"/>
          <w:sz w:val="20"/>
          <w:szCs w:val="20"/>
        </w:rPr>
        <w:t>：质保期内，设备故障需更换备件的，一律使用原厂正品备件，免费更换；质保期后，更换备件仍提供原厂正品，仅收取备件成本费。</w:t>
      </w:r>
    </w:p>
    <w:p w14:paraId="4D8ABB85">
      <w:pPr>
        <w:pStyle w:val="2"/>
        <w:numPr>
          <w:ilvl w:val="0"/>
          <w:numId w:val="147"/>
        </w:numPr>
        <w:topLinePunct w:val="0"/>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售后服务范围与服务期限</w:t>
      </w:r>
    </w:p>
    <w:p w14:paraId="44CC2D15">
      <w:pPr>
        <w:pStyle w:val="3"/>
        <w:numPr>
          <w:ilvl w:val="0"/>
          <w:numId w:val="155"/>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服务覆盖范围</w:t>
      </w:r>
    </w:p>
    <w:p w14:paraId="1FBC356D">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本项目售后服务覆盖</w:t>
      </w:r>
      <w:r>
        <w:rPr>
          <w:rFonts w:hint="eastAsia" w:ascii="仿宋_GB2312" w:hAnsi="仿宋_GB2312" w:eastAsia="仿宋_GB2312" w:cs="仿宋_GB2312"/>
          <w:b/>
          <w:sz w:val="20"/>
          <w:szCs w:val="20"/>
        </w:rPr>
        <w:t>招投标文件、采购合同约定的所有项目内容</w:t>
      </w:r>
      <w:r>
        <w:rPr>
          <w:rFonts w:hint="eastAsia" w:ascii="仿宋_GB2312" w:hAnsi="仿宋_GB2312" w:eastAsia="仿宋_GB2312" w:cs="仿宋_GB2312"/>
          <w:sz w:val="20"/>
          <w:szCs w:val="20"/>
        </w:rPr>
        <w:t>，包括但不限于：</w:t>
      </w:r>
    </w:p>
    <w:p w14:paraId="68A564F2">
      <w:pPr>
        <w:pStyle w:val="6"/>
        <w:numPr>
          <w:ilvl w:val="0"/>
          <w:numId w:val="156"/>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硬件设备</w:t>
      </w:r>
      <w:r>
        <w:rPr>
          <w:rFonts w:hint="eastAsia" w:ascii="仿宋_GB2312" w:hAnsi="仿宋_GB2312" w:eastAsia="仿宋_GB2312" w:cs="仿宋_GB2312"/>
          <w:sz w:val="20"/>
          <w:szCs w:val="20"/>
        </w:rPr>
        <w:t>：所有天文展教具（走过四季、月相变化、测量地球的周长等互动展品）、VR虚拟体验学习机、机械传动互动展示墙、天文望远镜、实验家具、多媒体教学设备、编程/3D打印/科学探究实验套装、工具墙、L型水池等72项货物及所有配件、辅材；</w:t>
      </w:r>
    </w:p>
    <w:p w14:paraId="275A27FE">
      <w:pPr>
        <w:pStyle w:val="6"/>
        <w:numPr>
          <w:ilvl w:val="0"/>
          <w:numId w:val="156"/>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软件系统</w:t>
      </w:r>
      <w:r>
        <w:rPr>
          <w:rFonts w:hint="eastAsia" w:ascii="仿宋_GB2312" w:hAnsi="仿宋_GB2312" w:eastAsia="仿宋_GB2312" w:cs="仿宋_GB2312"/>
          <w:sz w:val="20"/>
          <w:szCs w:val="20"/>
        </w:rPr>
        <w:t>：VR虚拟体验学习系统、多媒体教学系统、互动展示系统及所有设备配套嵌入式软件、驱动程序等；</w:t>
      </w:r>
    </w:p>
    <w:p w14:paraId="05DF6762">
      <w:pPr>
        <w:pStyle w:val="6"/>
        <w:numPr>
          <w:ilvl w:val="0"/>
          <w:numId w:val="156"/>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课程资源</w:t>
      </w:r>
      <w:r>
        <w:rPr>
          <w:rFonts w:hint="eastAsia" w:ascii="仿宋_GB2312" w:hAnsi="仿宋_GB2312" w:eastAsia="仿宋_GB2312" w:cs="仿宋_GB2312"/>
          <w:sz w:val="20"/>
          <w:szCs w:val="20"/>
        </w:rPr>
        <w:t>：天文探究系列课程、科创课程、跨区域融合课程等所有配套课程资源（教案、课件、学生手册、实验记录表、教学视频等）；</w:t>
      </w:r>
    </w:p>
    <w:p w14:paraId="713E78EA">
      <w:pPr>
        <w:pStyle w:val="6"/>
        <w:numPr>
          <w:ilvl w:val="0"/>
          <w:numId w:val="156"/>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教学支持</w:t>
      </w:r>
      <w:r>
        <w:rPr>
          <w:rFonts w:hint="eastAsia" w:ascii="仿宋_GB2312" w:hAnsi="仿宋_GB2312" w:eastAsia="仿宋_GB2312" w:cs="仿宋_GB2312"/>
          <w:sz w:val="20"/>
          <w:szCs w:val="20"/>
        </w:rPr>
        <w:t>：设备教学应用、课程实施、融合课程设计、天文科创实践活动组织等相关的技术指导与师资支持。</w:t>
      </w:r>
    </w:p>
    <w:p w14:paraId="3B6F3808">
      <w:pPr>
        <w:pStyle w:val="3"/>
        <w:numPr>
          <w:ilvl w:val="0"/>
          <w:numId w:val="155"/>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服务期限</w:t>
      </w:r>
    </w:p>
    <w:p w14:paraId="00E46686">
      <w:pPr>
        <w:pStyle w:val="6"/>
        <w:numPr>
          <w:ilvl w:val="0"/>
          <w:numId w:val="157"/>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免费质保期</w:t>
      </w:r>
      <w:r>
        <w:rPr>
          <w:rFonts w:hint="eastAsia" w:ascii="仿宋_GB2312" w:hAnsi="仿宋_GB2312" w:eastAsia="仿宋_GB2312" w:cs="仿宋_GB2312"/>
          <w:sz w:val="20"/>
          <w:szCs w:val="20"/>
        </w:rPr>
        <w:t>：自项目</w:t>
      </w:r>
      <w:r>
        <w:rPr>
          <w:rFonts w:hint="eastAsia" w:ascii="仿宋_GB2312" w:hAnsi="仿宋_GB2312" w:eastAsia="仿宋_GB2312" w:cs="仿宋_GB2312"/>
          <w:b/>
          <w:sz w:val="20"/>
          <w:szCs w:val="20"/>
        </w:rPr>
        <w:t>最终验收合格并签署《验收确认书》之日起</w:t>
      </w:r>
      <w:r>
        <w:rPr>
          <w:rFonts w:hint="eastAsia" w:ascii="仿宋_GB2312" w:hAnsi="仿宋_GB2312" w:eastAsia="仿宋_GB2312" w:cs="仿宋_GB2312"/>
          <w:sz w:val="20"/>
          <w:szCs w:val="20"/>
        </w:rPr>
        <w:t>，提供</w:t>
      </w:r>
      <w:r>
        <w:rPr>
          <w:rFonts w:hint="eastAsia" w:ascii="仿宋_GB2312" w:hAnsi="仿宋_GB2312" w:eastAsia="仿宋_GB2312" w:cs="仿宋_GB2312"/>
          <w:b/>
          <w:sz w:val="20"/>
          <w:szCs w:val="20"/>
        </w:rPr>
        <w:t>2年</w:t>
      </w:r>
      <w:r>
        <w:rPr>
          <w:rFonts w:hint="eastAsia" w:ascii="仿宋_GB2312" w:hAnsi="仿宋_GB2312" w:eastAsia="仿宋_GB2312" w:cs="仿宋_GB2312"/>
          <w:sz w:val="20"/>
          <w:szCs w:val="20"/>
        </w:rPr>
        <w:t>免费质量保修服务，质保期内所有服务均为免费（含人工、配件、维修、校准、巡检、技术支持等）；</w:t>
      </w:r>
    </w:p>
    <w:p w14:paraId="75828653">
      <w:pPr>
        <w:pStyle w:val="6"/>
        <w:numPr>
          <w:ilvl w:val="0"/>
          <w:numId w:val="157"/>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软件免费升级期</w:t>
      </w:r>
      <w:r>
        <w:rPr>
          <w:rFonts w:hint="eastAsia" w:ascii="仿宋_GB2312" w:hAnsi="仿宋_GB2312" w:eastAsia="仿宋_GB2312" w:cs="仿宋_GB2312"/>
          <w:sz w:val="20"/>
          <w:szCs w:val="20"/>
        </w:rPr>
        <w:t>：自验收合格之日起，为所有软件系统及配套课程资源提供</w:t>
      </w:r>
      <w:r>
        <w:rPr>
          <w:rFonts w:hint="eastAsia" w:ascii="仿宋_GB2312" w:hAnsi="仿宋_GB2312" w:eastAsia="仿宋_GB2312" w:cs="仿宋_GB2312"/>
          <w:b/>
          <w:sz w:val="20"/>
          <w:szCs w:val="20"/>
        </w:rPr>
        <w:t>1年</w:t>
      </w:r>
      <w:r>
        <w:rPr>
          <w:rFonts w:hint="eastAsia" w:ascii="仿宋_GB2312" w:hAnsi="仿宋_GB2312" w:eastAsia="仿宋_GB2312" w:cs="仿宋_GB2312"/>
          <w:sz w:val="20"/>
          <w:szCs w:val="20"/>
        </w:rPr>
        <w:t>免费升级服务，包括功能优化、漏洞修补、内容更新、新课程增加等；</w:t>
      </w:r>
    </w:p>
    <w:p w14:paraId="038DFF62">
      <w:pPr>
        <w:pStyle w:val="6"/>
        <w:numPr>
          <w:ilvl w:val="0"/>
          <w:numId w:val="157"/>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师资免费支持期</w:t>
      </w:r>
      <w:r>
        <w:rPr>
          <w:rFonts w:hint="eastAsia" w:ascii="仿宋_GB2312" w:hAnsi="仿宋_GB2312" w:eastAsia="仿宋_GB2312" w:cs="仿宋_GB2312"/>
          <w:sz w:val="20"/>
          <w:szCs w:val="20"/>
        </w:rPr>
        <w:t>：自验收合格之日起，提供</w:t>
      </w:r>
      <w:r>
        <w:rPr>
          <w:rFonts w:hint="eastAsia" w:ascii="仿宋_GB2312" w:hAnsi="仿宋_GB2312" w:eastAsia="仿宋_GB2312" w:cs="仿宋_GB2312"/>
          <w:sz w:val="20"/>
          <w:szCs w:val="20"/>
          <w:lang w:val="en-US" w:eastAsia="zh-CN"/>
        </w:rPr>
        <w:t>一次</w:t>
      </w:r>
      <w:r>
        <w:rPr>
          <w:rFonts w:hint="eastAsia" w:ascii="仿宋_GB2312" w:hAnsi="仿宋_GB2312" w:eastAsia="仿宋_GB2312" w:cs="仿宋_GB2312"/>
          <w:sz w:val="20"/>
          <w:szCs w:val="20"/>
        </w:rPr>
        <w:t>免费师资教学支持，包括后续培训、现场指导、课程设计答疑等；</w:t>
      </w:r>
    </w:p>
    <w:p w14:paraId="2D5839EF">
      <w:pPr>
        <w:pStyle w:val="6"/>
        <w:numPr>
          <w:ilvl w:val="0"/>
          <w:numId w:val="157"/>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终身技术咨询期</w:t>
      </w:r>
      <w:r>
        <w:rPr>
          <w:rFonts w:hint="eastAsia" w:ascii="仿宋_GB2312" w:hAnsi="仿宋_GB2312" w:eastAsia="仿宋_GB2312" w:cs="仿宋_GB2312"/>
          <w:sz w:val="20"/>
          <w:szCs w:val="20"/>
        </w:rPr>
        <w:t>：为校方提供</w:t>
      </w:r>
      <w:r>
        <w:rPr>
          <w:rFonts w:hint="eastAsia" w:ascii="仿宋_GB2312" w:hAnsi="仿宋_GB2312" w:eastAsia="仿宋_GB2312" w:cs="仿宋_GB2312"/>
          <w:b/>
          <w:sz w:val="20"/>
          <w:szCs w:val="20"/>
        </w:rPr>
        <w:t>终身免费技术咨询服务</w:t>
      </w:r>
      <w:r>
        <w:rPr>
          <w:rFonts w:hint="eastAsia" w:ascii="仿宋_GB2312" w:hAnsi="仿宋_GB2312" w:eastAsia="仿宋_GB2312" w:cs="仿宋_GB2312"/>
          <w:sz w:val="20"/>
          <w:szCs w:val="20"/>
        </w:rPr>
        <w:t>，涵盖设备使用、维护、升级，课程设计、教学实施等所有相关问题；</w:t>
      </w:r>
    </w:p>
    <w:p w14:paraId="52B0F3D3">
      <w:pPr>
        <w:pStyle w:val="6"/>
        <w:numPr>
          <w:ilvl w:val="0"/>
          <w:numId w:val="157"/>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有偿长效服务期</w:t>
      </w:r>
      <w:r>
        <w:rPr>
          <w:rFonts w:hint="eastAsia" w:ascii="仿宋_GB2312" w:hAnsi="仿宋_GB2312" w:eastAsia="仿宋_GB2312" w:cs="仿宋_GB2312"/>
          <w:sz w:val="20"/>
          <w:szCs w:val="20"/>
        </w:rPr>
        <w:t>：质保期结束后，为校方提供</w:t>
      </w:r>
      <w:r>
        <w:rPr>
          <w:rFonts w:hint="eastAsia" w:ascii="仿宋_GB2312" w:hAnsi="仿宋_GB2312" w:eastAsia="仿宋_GB2312" w:cs="仿宋_GB2312"/>
          <w:b/>
          <w:sz w:val="20"/>
          <w:szCs w:val="20"/>
        </w:rPr>
        <w:t>终身有偿售后服务</w:t>
      </w:r>
      <w:r>
        <w:rPr>
          <w:rFonts w:hint="eastAsia" w:ascii="仿宋_GB2312" w:hAnsi="仿宋_GB2312" w:eastAsia="仿宋_GB2312" w:cs="仿宋_GB2312"/>
          <w:sz w:val="20"/>
          <w:szCs w:val="20"/>
        </w:rPr>
        <w:t>，所有服务均仅收取成本费用，无额外服务费、管理费。</w:t>
      </w:r>
    </w:p>
    <w:p w14:paraId="2E708162">
      <w:pPr>
        <w:pStyle w:val="2"/>
        <w:numPr>
          <w:ilvl w:val="0"/>
          <w:numId w:val="147"/>
        </w:numPr>
        <w:topLinePunct w:val="0"/>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核心售后服务内容</w:t>
      </w:r>
    </w:p>
    <w:p w14:paraId="74E7BE44">
      <w:pPr>
        <w:pStyle w:val="3"/>
        <w:numPr>
          <w:ilvl w:val="0"/>
          <w:numId w:val="158"/>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技术咨询与远程支持服务</w:t>
      </w:r>
    </w:p>
    <w:p w14:paraId="57699B49">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为校方提供</w:t>
      </w:r>
      <w:r>
        <w:rPr>
          <w:rFonts w:hint="eastAsia" w:ascii="仿宋_GB2312" w:hAnsi="仿宋_GB2312" w:eastAsia="仿宋_GB2312" w:cs="仿宋_GB2312"/>
          <w:b/>
          <w:sz w:val="20"/>
          <w:szCs w:val="20"/>
        </w:rPr>
        <w:t>7×24小时</w:t>
      </w:r>
      <w:r>
        <w:rPr>
          <w:rFonts w:hint="eastAsia" w:ascii="仿宋_GB2312" w:hAnsi="仿宋_GB2312" w:eastAsia="仿宋_GB2312" w:cs="仿宋_GB2312"/>
          <w:sz w:val="20"/>
          <w:szCs w:val="20"/>
        </w:rPr>
        <w:t>技术咨询与远程支持服务，解决教师在设备使用、课程实施、日常维护中遇到的各类非现场处理问题，实现“小问题远程解决，不跑现场、不耗时间”。</w:t>
      </w:r>
    </w:p>
    <w:p w14:paraId="5A52C66D">
      <w:pPr>
        <w:pStyle w:val="6"/>
        <w:numPr>
          <w:ilvl w:val="0"/>
          <w:numId w:val="159"/>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咨询服务范围</w:t>
      </w:r>
      <w:r>
        <w:rPr>
          <w:rFonts w:hint="eastAsia" w:ascii="仿宋_GB2312" w:hAnsi="仿宋_GB2312" w:eastAsia="仿宋_GB2312" w:cs="仿宋_GB2312"/>
          <w:sz w:val="20"/>
          <w:szCs w:val="20"/>
        </w:rPr>
        <w:t>：设备操作方法、功能参数设置、日常维护保养、课程资源使用、软件操作技巧、常见问题排查等所有相关问题；</w:t>
      </w:r>
    </w:p>
    <w:p w14:paraId="7535FBC4">
      <w:pPr>
        <w:pStyle w:val="6"/>
        <w:numPr>
          <w:ilvl w:val="0"/>
          <w:numId w:val="159"/>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远程支持方式</w:t>
      </w:r>
      <w:r>
        <w:rPr>
          <w:rFonts w:hint="eastAsia" w:ascii="仿宋_GB2312" w:hAnsi="仿宋_GB2312" w:eastAsia="仿宋_GB2312" w:cs="仿宋_GB2312"/>
          <w:sz w:val="20"/>
          <w:szCs w:val="20"/>
        </w:rPr>
        <w:t>：电话指导、微信视频、远程桌面协助、在线答疑等，根据问题类型选择最优方式；</w:t>
      </w:r>
    </w:p>
    <w:p w14:paraId="332693CC">
      <w:pPr>
        <w:pStyle w:val="6"/>
        <w:numPr>
          <w:ilvl w:val="0"/>
          <w:numId w:val="159"/>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服务时间承诺</w:t>
      </w:r>
      <w:r>
        <w:rPr>
          <w:rFonts w:hint="eastAsia" w:ascii="仿宋_GB2312" w:hAnsi="仿宋_GB2312" w:eastAsia="仿宋_GB2312" w:cs="仿宋_GB2312"/>
          <w:sz w:val="20"/>
          <w:szCs w:val="20"/>
        </w:rPr>
        <w:t>：</w:t>
      </w:r>
    </w:p>
    <w:p w14:paraId="7FD82A6F">
      <w:pPr>
        <w:pStyle w:val="6"/>
        <w:numPr>
          <w:ilvl w:val="0"/>
          <w:numId w:val="160"/>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工作时间（8:30-17:30）：技术咨询</w:t>
      </w:r>
      <w:r>
        <w:rPr>
          <w:rFonts w:hint="eastAsia" w:ascii="仿宋_GB2312" w:hAnsi="仿宋_GB2312" w:eastAsia="仿宋_GB2312" w:cs="仿宋_GB2312"/>
          <w:b/>
          <w:sz w:val="20"/>
          <w:szCs w:val="20"/>
        </w:rPr>
        <w:t>即时响应</w:t>
      </w:r>
      <w:r>
        <w:rPr>
          <w:rFonts w:hint="eastAsia" w:ascii="仿宋_GB2312" w:hAnsi="仿宋_GB2312" w:eastAsia="仿宋_GB2312" w:cs="仿宋_GB2312"/>
          <w:sz w:val="20"/>
          <w:szCs w:val="20"/>
        </w:rPr>
        <w:t>，远程支持</w:t>
      </w:r>
      <w:r>
        <w:rPr>
          <w:rFonts w:hint="eastAsia" w:ascii="仿宋_GB2312" w:hAnsi="仿宋_GB2312" w:eastAsia="仿宋_GB2312" w:cs="仿宋_GB2312"/>
          <w:b/>
          <w:sz w:val="20"/>
          <w:szCs w:val="20"/>
        </w:rPr>
        <w:t>30分钟内</w:t>
      </w:r>
      <w:r>
        <w:rPr>
          <w:rFonts w:hint="eastAsia" w:ascii="仿宋_GB2312" w:hAnsi="仿宋_GB2312" w:eastAsia="仿宋_GB2312" w:cs="仿宋_GB2312"/>
          <w:sz w:val="20"/>
          <w:szCs w:val="20"/>
        </w:rPr>
        <w:t>启动，一般问题</w:t>
      </w:r>
      <w:r>
        <w:rPr>
          <w:rFonts w:hint="eastAsia" w:ascii="仿宋_GB2312" w:hAnsi="仿宋_GB2312" w:eastAsia="仿宋_GB2312" w:cs="仿宋_GB2312"/>
          <w:b/>
          <w:sz w:val="20"/>
          <w:szCs w:val="20"/>
        </w:rPr>
        <w:t>1小时内</w:t>
      </w:r>
      <w:r>
        <w:rPr>
          <w:rFonts w:hint="eastAsia" w:ascii="仿宋_GB2312" w:hAnsi="仿宋_GB2312" w:eastAsia="仿宋_GB2312" w:cs="仿宋_GB2312"/>
          <w:sz w:val="20"/>
          <w:szCs w:val="20"/>
        </w:rPr>
        <w:t>解决；</w:t>
      </w:r>
    </w:p>
    <w:p w14:paraId="5541F9A9">
      <w:pPr>
        <w:pStyle w:val="6"/>
        <w:numPr>
          <w:ilvl w:val="0"/>
          <w:numId w:val="161"/>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非工作时间（含周末、节假日）：紧急咨询与远程支持</w:t>
      </w:r>
      <w:r>
        <w:rPr>
          <w:rFonts w:hint="eastAsia" w:ascii="仿宋_GB2312" w:hAnsi="仿宋_GB2312" w:eastAsia="仿宋_GB2312" w:cs="仿宋_GB2312"/>
          <w:b/>
          <w:sz w:val="20"/>
          <w:szCs w:val="20"/>
        </w:rPr>
        <w:t>15分钟内</w:t>
      </w:r>
      <w:r>
        <w:rPr>
          <w:rFonts w:hint="eastAsia" w:ascii="仿宋_GB2312" w:hAnsi="仿宋_GB2312" w:eastAsia="仿宋_GB2312" w:cs="仿宋_GB2312"/>
          <w:sz w:val="20"/>
          <w:szCs w:val="20"/>
        </w:rPr>
        <w:t>响应，一般故障</w:t>
      </w:r>
      <w:r>
        <w:rPr>
          <w:rFonts w:hint="eastAsia" w:ascii="仿宋_GB2312" w:hAnsi="仿宋_GB2312" w:eastAsia="仿宋_GB2312" w:cs="仿宋_GB2312"/>
          <w:b/>
          <w:sz w:val="20"/>
          <w:szCs w:val="20"/>
        </w:rPr>
        <w:t>2小时内</w:t>
      </w:r>
      <w:r>
        <w:rPr>
          <w:rFonts w:hint="eastAsia" w:ascii="仿宋_GB2312" w:hAnsi="仿宋_GB2312" w:eastAsia="仿宋_GB2312" w:cs="仿宋_GB2312"/>
          <w:sz w:val="20"/>
          <w:szCs w:val="20"/>
        </w:rPr>
        <w:t>解决；</w:t>
      </w:r>
    </w:p>
    <w:p w14:paraId="4C20F1FD">
      <w:pPr>
        <w:pStyle w:val="6"/>
        <w:numPr>
          <w:ilvl w:val="0"/>
          <w:numId w:val="159"/>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服务要求</w:t>
      </w:r>
      <w:r>
        <w:rPr>
          <w:rFonts w:hint="eastAsia" w:ascii="仿宋_GB2312" w:hAnsi="仿宋_GB2312" w:eastAsia="仿宋_GB2312" w:cs="仿宋_GB2312"/>
          <w:sz w:val="20"/>
          <w:szCs w:val="20"/>
        </w:rPr>
        <w:t>：所有咨询与远程支持均由专业技术人员负责，解答清晰、指导到位，确保校方人员能理解、能操作、能解决；</w:t>
      </w:r>
    </w:p>
    <w:p w14:paraId="19FB4D25">
      <w:pPr>
        <w:pStyle w:val="6"/>
        <w:numPr>
          <w:ilvl w:val="0"/>
          <w:numId w:val="159"/>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记录留存</w:t>
      </w:r>
      <w:r>
        <w:rPr>
          <w:rFonts w:hint="eastAsia" w:ascii="仿宋_GB2312" w:hAnsi="仿宋_GB2312" w:eastAsia="仿宋_GB2312" w:cs="仿宋_GB2312"/>
          <w:sz w:val="20"/>
          <w:szCs w:val="20"/>
        </w:rPr>
        <w:t>：所有技术咨询与远程支持均全程记录，形成《技术咨询/远程支持记录单》，注明咨询问题、处理过程、解决结果，由校方确认后归档。</w:t>
      </w:r>
    </w:p>
    <w:p w14:paraId="29545893">
      <w:pPr>
        <w:pStyle w:val="3"/>
        <w:numPr>
          <w:ilvl w:val="0"/>
          <w:numId w:val="158"/>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故障报修与现场处理服务</w:t>
      </w:r>
    </w:p>
    <w:p w14:paraId="0FEFFAC0">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建立标准化、流程化的故障报修与现场处理机制，对各类设备故障进行分级分类处理，严格遵守响应时间与处理时限承诺，确保故障快速解决，最大限度降低对教学的影响。</w:t>
      </w:r>
    </w:p>
    <w:p w14:paraId="6C6F8715">
      <w:pPr>
        <w:pStyle w:val="4"/>
        <w:numPr>
          <w:ilvl w:val="0"/>
          <w:numId w:val="162"/>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故障报修渠道</w:t>
      </w:r>
    </w:p>
    <w:p w14:paraId="0022BB69">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校方可通过以下任意渠道进行故障报修，所有渠道均实现故障信息实时同步、统一处理：</w:t>
      </w:r>
    </w:p>
    <w:p w14:paraId="49E7D6ED">
      <w:pPr>
        <w:pStyle w:val="6"/>
        <w:numPr>
          <w:ilvl w:val="0"/>
          <w:numId w:val="163"/>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项目专属微信服务群（首选）；</w:t>
      </w:r>
    </w:p>
    <w:p w14:paraId="0F64CEA5">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7×24小时项目专属售后服务热线；</w:t>
      </w:r>
    </w:p>
    <w:p w14:paraId="2C07FED3">
      <w:pPr>
        <w:pStyle w:val="6"/>
        <w:numPr>
          <w:ilvl w:val="0"/>
          <w:numId w:val="163"/>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线下对接人现场报修；</w:t>
      </w:r>
    </w:p>
    <w:p w14:paraId="7808F98F">
      <w:pPr>
        <w:pStyle w:val="6"/>
        <w:numPr>
          <w:ilvl w:val="0"/>
          <w:numId w:val="163"/>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官方服务邮箱报修。</w:t>
      </w:r>
    </w:p>
    <w:p w14:paraId="79F8B6E9">
      <w:pPr>
        <w:pStyle w:val="4"/>
        <w:numPr>
          <w:ilvl w:val="0"/>
          <w:numId w:val="162"/>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故障分级分类</w:t>
      </w:r>
    </w:p>
    <w:p w14:paraId="7B831597">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根据故障影响范围、严重程度、对教学的影响，将故障分为</w:t>
      </w:r>
      <w:r>
        <w:rPr>
          <w:rFonts w:hint="eastAsia" w:ascii="仿宋_GB2312" w:hAnsi="仿宋_GB2312" w:eastAsia="仿宋_GB2312" w:cs="仿宋_GB2312"/>
          <w:b/>
          <w:sz w:val="20"/>
          <w:szCs w:val="20"/>
        </w:rPr>
        <w:t>四级</w:t>
      </w:r>
      <w:r>
        <w:rPr>
          <w:rFonts w:hint="eastAsia" w:ascii="仿宋_GB2312" w:hAnsi="仿宋_GB2312" w:eastAsia="仿宋_GB2312" w:cs="仿宋_GB2312"/>
          <w:sz w:val="20"/>
          <w:szCs w:val="20"/>
        </w:rPr>
        <w:t>，实行分级处理、分级响应，确保重点故障优先处理：</w:t>
      </w:r>
    </w:p>
    <w:tbl>
      <w:tblPr>
        <w:tblStyle w:val="9"/>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500"/>
        <w:gridCol w:w="1947"/>
        <w:gridCol w:w="2126"/>
        <w:gridCol w:w="2842"/>
      </w:tblGrid>
      <w:tr w14:paraId="1276F72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00" w:type="dxa"/>
            <w:tcMar>
              <w:top w:w="60" w:type="dxa"/>
              <w:left w:w="120" w:type="dxa"/>
              <w:bottom w:w="30" w:type="dxa"/>
              <w:right w:w="120" w:type="dxa"/>
            </w:tcMar>
            <w:vAlign w:val="center"/>
          </w:tcPr>
          <w:p w14:paraId="2A5E41DE">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故障等级</w:t>
            </w:r>
          </w:p>
        </w:tc>
        <w:tc>
          <w:tcPr>
            <w:tcW w:w="1947" w:type="dxa"/>
            <w:tcMar>
              <w:top w:w="60" w:type="dxa"/>
              <w:left w:w="120" w:type="dxa"/>
              <w:bottom w:w="30" w:type="dxa"/>
              <w:right w:w="120" w:type="dxa"/>
            </w:tcMar>
            <w:vAlign w:val="center"/>
          </w:tcPr>
          <w:p w14:paraId="3C52FA7B">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故障类型</w:t>
            </w:r>
          </w:p>
        </w:tc>
        <w:tc>
          <w:tcPr>
            <w:tcW w:w="2126" w:type="dxa"/>
            <w:tcMar>
              <w:top w:w="60" w:type="dxa"/>
              <w:left w:w="120" w:type="dxa"/>
              <w:bottom w:w="30" w:type="dxa"/>
              <w:right w:w="120" w:type="dxa"/>
            </w:tcMar>
            <w:vAlign w:val="center"/>
          </w:tcPr>
          <w:p w14:paraId="00290019">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故障特征</w:t>
            </w:r>
          </w:p>
        </w:tc>
        <w:tc>
          <w:tcPr>
            <w:tcW w:w="2842" w:type="dxa"/>
            <w:tcMar>
              <w:top w:w="60" w:type="dxa"/>
              <w:left w:w="120" w:type="dxa"/>
              <w:bottom w:w="30" w:type="dxa"/>
              <w:right w:w="120" w:type="dxa"/>
            </w:tcMar>
            <w:vAlign w:val="center"/>
          </w:tcPr>
          <w:p w14:paraId="770964A3">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示例</w:t>
            </w:r>
          </w:p>
        </w:tc>
      </w:tr>
      <w:tr w14:paraId="2A00C41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00" w:type="dxa"/>
            <w:tcMar>
              <w:top w:w="60" w:type="dxa"/>
              <w:left w:w="120" w:type="dxa"/>
              <w:bottom w:w="30" w:type="dxa"/>
              <w:right w:w="120" w:type="dxa"/>
            </w:tcMar>
            <w:vAlign w:val="center"/>
          </w:tcPr>
          <w:p w14:paraId="4266EA97">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一级故障</w:t>
            </w:r>
          </w:p>
          <w:p w14:paraId="2EA53E93">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（紧急）</w:t>
            </w:r>
          </w:p>
        </w:tc>
        <w:tc>
          <w:tcPr>
            <w:tcW w:w="1947" w:type="dxa"/>
            <w:tcMar>
              <w:top w:w="60" w:type="dxa"/>
              <w:left w:w="120" w:type="dxa"/>
              <w:bottom w:w="30" w:type="dxa"/>
              <w:right w:w="120" w:type="dxa"/>
            </w:tcMar>
            <w:vAlign w:val="center"/>
          </w:tcPr>
          <w:p w14:paraId="1F31CC85">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核心设备整机故障</w:t>
            </w:r>
          </w:p>
        </w:tc>
        <w:tc>
          <w:tcPr>
            <w:tcW w:w="2126" w:type="dxa"/>
            <w:tcMar>
              <w:top w:w="60" w:type="dxa"/>
              <w:left w:w="120" w:type="dxa"/>
              <w:bottom w:w="30" w:type="dxa"/>
              <w:right w:w="120" w:type="dxa"/>
            </w:tcMar>
            <w:vAlign w:val="center"/>
          </w:tcPr>
          <w:p w14:paraId="72A7AA2E">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影响正常教学开展，无备用设备可替代，需立即处理</w:t>
            </w:r>
          </w:p>
        </w:tc>
        <w:tc>
          <w:tcPr>
            <w:tcW w:w="2842" w:type="dxa"/>
            <w:tcMar>
              <w:top w:w="60" w:type="dxa"/>
              <w:left w:w="120" w:type="dxa"/>
              <w:bottom w:w="30" w:type="dxa"/>
              <w:right w:w="120" w:type="dxa"/>
            </w:tcMar>
            <w:vAlign w:val="center"/>
          </w:tcPr>
          <w:p w14:paraId="5D72FC5A">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VR系统整机无法运行、互动展示墙完全失灵、天文望远镜无法观测</w:t>
            </w:r>
          </w:p>
        </w:tc>
      </w:tr>
      <w:tr w14:paraId="022ACF5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00" w:type="dxa"/>
            <w:tcMar>
              <w:top w:w="60" w:type="dxa"/>
              <w:left w:w="120" w:type="dxa"/>
              <w:bottom w:w="30" w:type="dxa"/>
              <w:right w:w="120" w:type="dxa"/>
            </w:tcMar>
            <w:vAlign w:val="center"/>
          </w:tcPr>
          <w:p w14:paraId="75040BB8">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二级故障</w:t>
            </w:r>
          </w:p>
          <w:p w14:paraId="6357244F">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（严重）</w:t>
            </w:r>
          </w:p>
        </w:tc>
        <w:tc>
          <w:tcPr>
            <w:tcW w:w="1947" w:type="dxa"/>
            <w:tcMar>
              <w:top w:w="60" w:type="dxa"/>
              <w:left w:w="120" w:type="dxa"/>
              <w:bottom w:w="30" w:type="dxa"/>
              <w:right w:w="120" w:type="dxa"/>
            </w:tcMar>
            <w:vAlign w:val="center"/>
          </w:tcPr>
          <w:p w14:paraId="5473E4A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主要设备部件故障</w:t>
            </w:r>
          </w:p>
        </w:tc>
        <w:tc>
          <w:tcPr>
            <w:tcW w:w="2126" w:type="dxa"/>
            <w:tcMar>
              <w:top w:w="60" w:type="dxa"/>
              <w:left w:w="120" w:type="dxa"/>
              <w:bottom w:w="30" w:type="dxa"/>
              <w:right w:w="120" w:type="dxa"/>
            </w:tcMar>
            <w:vAlign w:val="center"/>
          </w:tcPr>
          <w:p w14:paraId="29B2921A">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影响部分教学功能，设备无法正常使用，需尽快处理</w:t>
            </w:r>
          </w:p>
        </w:tc>
        <w:tc>
          <w:tcPr>
            <w:tcW w:w="2842" w:type="dxa"/>
            <w:tcMar>
              <w:top w:w="60" w:type="dxa"/>
              <w:left w:w="120" w:type="dxa"/>
              <w:bottom w:w="30" w:type="dxa"/>
              <w:right w:w="120" w:type="dxa"/>
            </w:tcMar>
            <w:vAlign w:val="center"/>
          </w:tcPr>
          <w:p w14:paraId="215FFCE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互动展品某一功能失灵、展示屏显示异常、实验套装核心部件损坏</w:t>
            </w:r>
          </w:p>
        </w:tc>
      </w:tr>
      <w:tr w14:paraId="44F49B07">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00" w:type="dxa"/>
            <w:tcMar>
              <w:top w:w="60" w:type="dxa"/>
              <w:left w:w="120" w:type="dxa"/>
              <w:bottom w:w="30" w:type="dxa"/>
              <w:right w:w="120" w:type="dxa"/>
            </w:tcMar>
            <w:vAlign w:val="center"/>
          </w:tcPr>
          <w:p w14:paraId="73148486">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三级故障</w:t>
            </w:r>
          </w:p>
          <w:p w14:paraId="4AE96219">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（一般）</w:t>
            </w:r>
          </w:p>
        </w:tc>
        <w:tc>
          <w:tcPr>
            <w:tcW w:w="1947" w:type="dxa"/>
            <w:tcMar>
              <w:top w:w="60" w:type="dxa"/>
              <w:left w:w="120" w:type="dxa"/>
              <w:bottom w:w="30" w:type="dxa"/>
              <w:right w:w="120" w:type="dxa"/>
            </w:tcMar>
            <w:vAlign w:val="center"/>
          </w:tcPr>
          <w:p w14:paraId="220479A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次要设备/配件故障</w:t>
            </w:r>
          </w:p>
        </w:tc>
        <w:tc>
          <w:tcPr>
            <w:tcW w:w="2126" w:type="dxa"/>
            <w:tcMar>
              <w:top w:w="60" w:type="dxa"/>
              <w:left w:w="120" w:type="dxa"/>
              <w:bottom w:w="30" w:type="dxa"/>
              <w:right w:w="120" w:type="dxa"/>
            </w:tcMar>
            <w:vAlign w:val="center"/>
          </w:tcPr>
          <w:p w14:paraId="715A1854">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不影响核心教学功能，设备可正常使用，需定时处理</w:t>
            </w:r>
          </w:p>
        </w:tc>
        <w:tc>
          <w:tcPr>
            <w:tcW w:w="2842" w:type="dxa"/>
            <w:tcMar>
              <w:top w:w="60" w:type="dxa"/>
              <w:left w:w="120" w:type="dxa"/>
              <w:bottom w:w="30" w:type="dxa"/>
              <w:right w:w="120" w:type="dxa"/>
            </w:tcMar>
            <w:vAlign w:val="center"/>
          </w:tcPr>
          <w:p w14:paraId="5F5BB26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设备外壳轻微损坏、配件缺失、软件小故障</w:t>
            </w:r>
          </w:p>
        </w:tc>
      </w:tr>
      <w:tr w14:paraId="0913A79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00" w:type="dxa"/>
            <w:tcMar>
              <w:top w:w="60" w:type="dxa"/>
              <w:left w:w="120" w:type="dxa"/>
              <w:bottom w:w="30" w:type="dxa"/>
              <w:right w:w="120" w:type="dxa"/>
            </w:tcMar>
            <w:vAlign w:val="center"/>
          </w:tcPr>
          <w:p w14:paraId="5F8CEFDB">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四级故障</w:t>
            </w:r>
          </w:p>
          <w:p w14:paraId="1AC7E41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（轻微）</w:t>
            </w:r>
          </w:p>
        </w:tc>
        <w:tc>
          <w:tcPr>
            <w:tcW w:w="1947" w:type="dxa"/>
            <w:tcMar>
              <w:top w:w="60" w:type="dxa"/>
              <w:left w:w="120" w:type="dxa"/>
              <w:bottom w:w="30" w:type="dxa"/>
              <w:right w:w="120" w:type="dxa"/>
            </w:tcMar>
            <w:vAlign w:val="center"/>
          </w:tcPr>
          <w:p w14:paraId="5F00EBA6">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设备使用/操作问题</w:t>
            </w:r>
          </w:p>
        </w:tc>
        <w:tc>
          <w:tcPr>
            <w:tcW w:w="2126" w:type="dxa"/>
            <w:tcMar>
              <w:top w:w="60" w:type="dxa"/>
              <w:left w:w="120" w:type="dxa"/>
              <w:bottom w:w="30" w:type="dxa"/>
              <w:right w:w="120" w:type="dxa"/>
            </w:tcMar>
            <w:vAlign w:val="center"/>
          </w:tcPr>
          <w:p w14:paraId="457134A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非设备故障，为校方人员使用操作不当导致，可远程解决</w:t>
            </w:r>
          </w:p>
        </w:tc>
        <w:tc>
          <w:tcPr>
            <w:tcW w:w="2842" w:type="dxa"/>
            <w:tcMar>
              <w:top w:w="60" w:type="dxa"/>
              <w:left w:w="120" w:type="dxa"/>
              <w:bottom w:w="30" w:type="dxa"/>
              <w:right w:w="120" w:type="dxa"/>
            </w:tcMar>
            <w:vAlign w:val="center"/>
          </w:tcPr>
          <w:p w14:paraId="4CBC1B3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不会操作某一功能、软件参数设置错误、设备清洁保养问题</w:t>
            </w:r>
          </w:p>
        </w:tc>
      </w:tr>
    </w:tbl>
    <w:p w14:paraId="5853FF9F">
      <w:pPr>
        <w:pStyle w:val="4"/>
        <w:numPr>
          <w:ilvl w:val="0"/>
          <w:numId w:val="162"/>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故障响应与处理时限</w:t>
      </w:r>
    </w:p>
    <w:p w14:paraId="01CEB769">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严格遵守以下故障响应与现场处理时限承诺，质保期内所有故障处理均为免费：</w:t>
      </w:r>
    </w:p>
    <w:tbl>
      <w:tblPr>
        <w:tblStyle w:val="9"/>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650"/>
        <w:gridCol w:w="1650"/>
        <w:gridCol w:w="1650"/>
        <w:gridCol w:w="1650"/>
        <w:gridCol w:w="1650"/>
      </w:tblGrid>
      <w:tr w14:paraId="547B68F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vAlign w:val="center"/>
          </w:tcPr>
          <w:p w14:paraId="052495C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故障等级</w:t>
            </w:r>
          </w:p>
        </w:tc>
        <w:tc>
          <w:tcPr>
            <w:tcW w:w="1650" w:type="dxa"/>
            <w:tcMar>
              <w:top w:w="60" w:type="dxa"/>
              <w:left w:w="120" w:type="dxa"/>
              <w:bottom w:w="30" w:type="dxa"/>
              <w:right w:w="120" w:type="dxa"/>
            </w:tcMar>
            <w:vAlign w:val="center"/>
          </w:tcPr>
          <w:p w14:paraId="4F6742A0">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响应时间</w:t>
            </w:r>
          </w:p>
        </w:tc>
        <w:tc>
          <w:tcPr>
            <w:tcW w:w="1650" w:type="dxa"/>
            <w:tcMar>
              <w:top w:w="60" w:type="dxa"/>
              <w:left w:w="120" w:type="dxa"/>
              <w:bottom w:w="30" w:type="dxa"/>
              <w:right w:w="120" w:type="dxa"/>
            </w:tcMar>
            <w:vAlign w:val="center"/>
          </w:tcPr>
          <w:p w14:paraId="1366107E">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处理方式</w:t>
            </w:r>
          </w:p>
        </w:tc>
        <w:tc>
          <w:tcPr>
            <w:tcW w:w="1650" w:type="dxa"/>
            <w:tcMar>
              <w:top w:w="60" w:type="dxa"/>
              <w:left w:w="120" w:type="dxa"/>
              <w:bottom w:w="30" w:type="dxa"/>
              <w:right w:w="120" w:type="dxa"/>
            </w:tcMar>
            <w:vAlign w:val="center"/>
          </w:tcPr>
          <w:p w14:paraId="05650BB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现场到达时限</w:t>
            </w:r>
          </w:p>
        </w:tc>
        <w:tc>
          <w:tcPr>
            <w:tcW w:w="1650" w:type="dxa"/>
            <w:tcMar>
              <w:top w:w="60" w:type="dxa"/>
              <w:left w:w="120" w:type="dxa"/>
              <w:bottom w:w="30" w:type="dxa"/>
              <w:right w:w="120" w:type="dxa"/>
            </w:tcMar>
            <w:vAlign w:val="center"/>
          </w:tcPr>
          <w:p w14:paraId="6FC47A3B">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故障解决时限</w:t>
            </w:r>
          </w:p>
        </w:tc>
      </w:tr>
      <w:tr w14:paraId="3BC2405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vAlign w:val="center"/>
          </w:tcPr>
          <w:p w14:paraId="12C9C6DA">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一级故障</w:t>
            </w:r>
          </w:p>
        </w:tc>
        <w:tc>
          <w:tcPr>
            <w:tcW w:w="1650" w:type="dxa"/>
            <w:tcMar>
              <w:top w:w="60" w:type="dxa"/>
              <w:left w:w="120" w:type="dxa"/>
              <w:bottom w:w="30" w:type="dxa"/>
              <w:right w:w="120" w:type="dxa"/>
            </w:tcMar>
            <w:vAlign w:val="center"/>
          </w:tcPr>
          <w:p w14:paraId="346BA806">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15分钟内</w:t>
            </w:r>
          </w:p>
        </w:tc>
        <w:tc>
          <w:tcPr>
            <w:tcW w:w="1650" w:type="dxa"/>
            <w:tcMar>
              <w:top w:w="60" w:type="dxa"/>
              <w:left w:w="120" w:type="dxa"/>
              <w:bottom w:w="30" w:type="dxa"/>
              <w:right w:w="120" w:type="dxa"/>
            </w:tcMar>
            <w:vAlign w:val="center"/>
          </w:tcPr>
          <w:p w14:paraId="4441C1B3">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远程+现场</w:t>
            </w:r>
          </w:p>
        </w:tc>
        <w:tc>
          <w:tcPr>
            <w:tcW w:w="1650" w:type="dxa"/>
            <w:tcMar>
              <w:top w:w="60" w:type="dxa"/>
              <w:left w:w="120" w:type="dxa"/>
              <w:bottom w:w="30" w:type="dxa"/>
              <w:right w:w="120" w:type="dxa"/>
            </w:tcMar>
            <w:vAlign w:val="center"/>
          </w:tcPr>
          <w:p w14:paraId="52BA114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8小时内</w:t>
            </w:r>
          </w:p>
        </w:tc>
        <w:tc>
          <w:tcPr>
            <w:tcW w:w="1650" w:type="dxa"/>
            <w:tcMar>
              <w:top w:w="60" w:type="dxa"/>
              <w:left w:w="120" w:type="dxa"/>
              <w:bottom w:w="30" w:type="dxa"/>
              <w:right w:w="120" w:type="dxa"/>
            </w:tcMar>
            <w:vAlign w:val="center"/>
          </w:tcPr>
          <w:p w14:paraId="7A98753F">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24小时内</w:t>
            </w:r>
          </w:p>
        </w:tc>
      </w:tr>
      <w:tr w14:paraId="28F537C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vAlign w:val="center"/>
          </w:tcPr>
          <w:p w14:paraId="24705683">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二级故障</w:t>
            </w:r>
          </w:p>
        </w:tc>
        <w:tc>
          <w:tcPr>
            <w:tcW w:w="1650" w:type="dxa"/>
            <w:tcMar>
              <w:top w:w="60" w:type="dxa"/>
              <w:left w:w="120" w:type="dxa"/>
              <w:bottom w:w="30" w:type="dxa"/>
              <w:right w:w="120" w:type="dxa"/>
            </w:tcMar>
            <w:vAlign w:val="center"/>
          </w:tcPr>
          <w:p w14:paraId="1C588000">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30分钟内</w:t>
            </w:r>
          </w:p>
        </w:tc>
        <w:tc>
          <w:tcPr>
            <w:tcW w:w="1650" w:type="dxa"/>
            <w:tcMar>
              <w:top w:w="60" w:type="dxa"/>
              <w:left w:w="120" w:type="dxa"/>
              <w:bottom w:w="30" w:type="dxa"/>
              <w:right w:w="120" w:type="dxa"/>
            </w:tcMar>
            <w:vAlign w:val="center"/>
          </w:tcPr>
          <w:p w14:paraId="78D00CC7">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远程+现场</w:t>
            </w:r>
          </w:p>
        </w:tc>
        <w:tc>
          <w:tcPr>
            <w:tcW w:w="1650" w:type="dxa"/>
            <w:tcMar>
              <w:top w:w="60" w:type="dxa"/>
              <w:left w:w="120" w:type="dxa"/>
              <w:bottom w:w="30" w:type="dxa"/>
              <w:right w:w="120" w:type="dxa"/>
            </w:tcMar>
            <w:vAlign w:val="center"/>
          </w:tcPr>
          <w:p w14:paraId="3DAC1DDF">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12小时内</w:t>
            </w:r>
          </w:p>
        </w:tc>
        <w:tc>
          <w:tcPr>
            <w:tcW w:w="1650" w:type="dxa"/>
            <w:tcMar>
              <w:top w:w="60" w:type="dxa"/>
              <w:left w:w="120" w:type="dxa"/>
              <w:bottom w:w="30" w:type="dxa"/>
              <w:right w:w="120" w:type="dxa"/>
            </w:tcMar>
            <w:vAlign w:val="center"/>
          </w:tcPr>
          <w:p w14:paraId="1858BC1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48小时内</w:t>
            </w:r>
          </w:p>
        </w:tc>
      </w:tr>
      <w:tr w14:paraId="3C5E363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vAlign w:val="center"/>
          </w:tcPr>
          <w:p w14:paraId="79BEFD69">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三级故障</w:t>
            </w:r>
          </w:p>
        </w:tc>
        <w:tc>
          <w:tcPr>
            <w:tcW w:w="1650" w:type="dxa"/>
            <w:tcMar>
              <w:top w:w="60" w:type="dxa"/>
              <w:left w:w="120" w:type="dxa"/>
              <w:bottom w:w="30" w:type="dxa"/>
              <w:right w:w="120" w:type="dxa"/>
            </w:tcMar>
            <w:vAlign w:val="center"/>
          </w:tcPr>
          <w:p w14:paraId="46F5069B">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1小时内</w:t>
            </w:r>
          </w:p>
        </w:tc>
        <w:tc>
          <w:tcPr>
            <w:tcW w:w="1650" w:type="dxa"/>
            <w:tcMar>
              <w:top w:w="60" w:type="dxa"/>
              <w:left w:w="120" w:type="dxa"/>
              <w:bottom w:w="30" w:type="dxa"/>
              <w:right w:w="120" w:type="dxa"/>
            </w:tcMar>
            <w:vAlign w:val="center"/>
          </w:tcPr>
          <w:p w14:paraId="4A96C29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现场处理</w:t>
            </w:r>
          </w:p>
        </w:tc>
        <w:tc>
          <w:tcPr>
            <w:tcW w:w="1650" w:type="dxa"/>
            <w:tcMar>
              <w:top w:w="60" w:type="dxa"/>
              <w:left w:w="120" w:type="dxa"/>
              <w:bottom w:w="30" w:type="dxa"/>
              <w:right w:w="120" w:type="dxa"/>
            </w:tcMar>
            <w:vAlign w:val="center"/>
          </w:tcPr>
          <w:p w14:paraId="04C3F269">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24小时内</w:t>
            </w:r>
          </w:p>
        </w:tc>
        <w:tc>
          <w:tcPr>
            <w:tcW w:w="1650" w:type="dxa"/>
            <w:tcMar>
              <w:top w:w="60" w:type="dxa"/>
              <w:left w:w="120" w:type="dxa"/>
              <w:bottom w:w="30" w:type="dxa"/>
              <w:right w:w="120" w:type="dxa"/>
            </w:tcMar>
            <w:vAlign w:val="center"/>
          </w:tcPr>
          <w:p w14:paraId="51E12AB5">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72小时内</w:t>
            </w:r>
          </w:p>
        </w:tc>
      </w:tr>
      <w:tr w14:paraId="271E501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vAlign w:val="center"/>
          </w:tcPr>
          <w:p w14:paraId="03BCF8C9">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四级故障</w:t>
            </w:r>
          </w:p>
        </w:tc>
        <w:tc>
          <w:tcPr>
            <w:tcW w:w="1650" w:type="dxa"/>
            <w:tcMar>
              <w:top w:w="60" w:type="dxa"/>
              <w:left w:w="120" w:type="dxa"/>
              <w:bottom w:w="30" w:type="dxa"/>
              <w:right w:w="120" w:type="dxa"/>
            </w:tcMar>
            <w:vAlign w:val="center"/>
          </w:tcPr>
          <w:p w14:paraId="4236EFA6">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1小时内</w:t>
            </w:r>
          </w:p>
        </w:tc>
        <w:tc>
          <w:tcPr>
            <w:tcW w:w="1650" w:type="dxa"/>
            <w:tcMar>
              <w:top w:w="60" w:type="dxa"/>
              <w:left w:w="120" w:type="dxa"/>
              <w:bottom w:w="30" w:type="dxa"/>
              <w:right w:w="120" w:type="dxa"/>
            </w:tcMar>
            <w:vAlign w:val="center"/>
          </w:tcPr>
          <w:p w14:paraId="4E28F34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远程解决</w:t>
            </w:r>
          </w:p>
        </w:tc>
        <w:tc>
          <w:tcPr>
            <w:tcW w:w="1650" w:type="dxa"/>
            <w:tcMar>
              <w:top w:w="60" w:type="dxa"/>
              <w:left w:w="120" w:type="dxa"/>
              <w:bottom w:w="30" w:type="dxa"/>
              <w:right w:w="120" w:type="dxa"/>
            </w:tcMar>
            <w:vAlign w:val="center"/>
          </w:tcPr>
          <w:p w14:paraId="6AF36984">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无需现场</w:t>
            </w:r>
          </w:p>
        </w:tc>
        <w:tc>
          <w:tcPr>
            <w:tcW w:w="1650" w:type="dxa"/>
            <w:tcMar>
              <w:top w:w="60" w:type="dxa"/>
              <w:left w:w="120" w:type="dxa"/>
              <w:bottom w:w="30" w:type="dxa"/>
              <w:right w:w="120" w:type="dxa"/>
            </w:tcMar>
            <w:vAlign w:val="center"/>
          </w:tcPr>
          <w:p w14:paraId="5EFF4D1A">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1小时内</w:t>
            </w:r>
          </w:p>
        </w:tc>
      </w:tr>
      <w:tr w14:paraId="2F33C6A0">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50" w:type="dxa"/>
            <w:gridSpan w:val="5"/>
            <w:tcMar>
              <w:top w:w="60" w:type="dxa"/>
              <w:left w:w="120" w:type="dxa"/>
              <w:bottom w:w="30" w:type="dxa"/>
              <w:right w:w="120" w:type="dxa"/>
            </w:tcMar>
            <w:vAlign w:val="center"/>
          </w:tcPr>
          <w:p w14:paraId="138B4A58">
            <w:pPr>
              <w:jc w:val="center"/>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注</w:t>
            </w:r>
            <w:r>
              <w:rPr>
                <w:rFonts w:hint="eastAsia" w:ascii="仿宋_GB2312" w:hAnsi="仿宋_GB2312" w:eastAsia="仿宋_GB2312" w:cs="仿宋_GB2312"/>
                <w:sz w:val="20"/>
                <w:szCs w:val="20"/>
              </w:rPr>
              <w:t>：1. 响应时间指从校方报修到我方服务人员首次回复的时间；2. 现场到达时限指从校方报修到我方售后工程师到达校区现场的时间；3. 故障解决时限指从我方售后工程师到达现场到故障完全解决的时间；4. 若故障需更换备件且本地无库存，我方将立即从区域中心备件库调配，备件到达本地后24小时内完成更换与故障解决。</w:t>
            </w:r>
          </w:p>
        </w:tc>
      </w:tr>
    </w:tbl>
    <w:p w14:paraId="6F5E1F32">
      <w:pPr>
        <w:pStyle w:val="4"/>
        <w:numPr>
          <w:ilvl w:val="0"/>
          <w:numId w:val="162"/>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故障处理流程</w:t>
      </w:r>
    </w:p>
    <w:p w14:paraId="732CBD14">
      <w:pPr>
        <w:pStyle w:val="6"/>
        <w:numPr>
          <w:ilvl w:val="0"/>
          <w:numId w:val="16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报修接收</w:t>
      </w:r>
      <w:r>
        <w:rPr>
          <w:rFonts w:hint="eastAsia" w:ascii="仿宋_GB2312" w:hAnsi="仿宋_GB2312" w:eastAsia="仿宋_GB2312" w:cs="仿宋_GB2312"/>
          <w:sz w:val="20"/>
          <w:szCs w:val="20"/>
        </w:rPr>
        <w:t>：我方服务人员接收校方故障报修信息，立即记录故障设备、故障现象、影响范围、报修时间等信息；</w:t>
      </w:r>
    </w:p>
    <w:p w14:paraId="66F60742">
      <w:pPr>
        <w:pStyle w:val="6"/>
        <w:numPr>
          <w:ilvl w:val="0"/>
          <w:numId w:val="16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故障分级</w:t>
      </w:r>
      <w:r>
        <w:rPr>
          <w:rFonts w:hint="eastAsia" w:ascii="仿宋_GB2312" w:hAnsi="仿宋_GB2312" w:eastAsia="仿宋_GB2312" w:cs="仿宋_GB2312"/>
          <w:sz w:val="20"/>
          <w:szCs w:val="20"/>
        </w:rPr>
        <w:t>：技术人员根据故障描述进行初步分级，确定处理方式与响应时限；</w:t>
      </w:r>
    </w:p>
    <w:p w14:paraId="085E99A1">
      <w:pPr>
        <w:pStyle w:val="6"/>
        <w:numPr>
          <w:ilvl w:val="0"/>
          <w:numId w:val="16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初步处理</w:t>
      </w:r>
      <w:r>
        <w:rPr>
          <w:rFonts w:hint="eastAsia" w:ascii="仿宋_GB2312" w:hAnsi="仿宋_GB2312" w:eastAsia="仿宋_GB2312" w:cs="仿宋_GB2312"/>
          <w:sz w:val="20"/>
          <w:szCs w:val="20"/>
        </w:rPr>
        <w:t>：首先尝试远程指导校方进行初步排查与处理，若远程可解决，立即完成并记录；若远程无法解决，启动现场处理流程；</w:t>
      </w:r>
    </w:p>
    <w:p w14:paraId="171240FC">
      <w:pPr>
        <w:pStyle w:val="6"/>
        <w:numPr>
          <w:ilvl w:val="0"/>
          <w:numId w:val="16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现场派单</w:t>
      </w:r>
      <w:r>
        <w:rPr>
          <w:rFonts w:hint="eastAsia" w:ascii="仿宋_GB2312" w:hAnsi="仿宋_GB2312" w:eastAsia="仿宋_GB2312" w:cs="仿宋_GB2312"/>
          <w:sz w:val="20"/>
          <w:szCs w:val="20"/>
        </w:rPr>
        <w:t>：服务负责人立即安排就近售后工程师前往现场，同步告知校方工程师姓名、联系方式、预计到达时间；</w:t>
      </w:r>
    </w:p>
    <w:p w14:paraId="0B636BA7">
      <w:pPr>
        <w:pStyle w:val="6"/>
        <w:numPr>
          <w:ilvl w:val="0"/>
          <w:numId w:val="16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现场处理</w:t>
      </w:r>
      <w:r>
        <w:rPr>
          <w:rFonts w:hint="eastAsia" w:ascii="仿宋_GB2312" w:hAnsi="仿宋_GB2312" w:eastAsia="仿宋_GB2312" w:cs="仿宋_GB2312"/>
          <w:sz w:val="20"/>
          <w:szCs w:val="20"/>
        </w:rPr>
        <w:t>：工程师到达现场后，对故障进行专业检测、诊断，制定处理方案，按方案进行维修、更换配件等操作，确保故障彻底解决；</w:t>
      </w:r>
    </w:p>
    <w:p w14:paraId="332927FD">
      <w:pPr>
        <w:pStyle w:val="6"/>
        <w:numPr>
          <w:ilvl w:val="0"/>
          <w:numId w:val="16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功能测试</w:t>
      </w:r>
      <w:r>
        <w:rPr>
          <w:rFonts w:hint="eastAsia" w:ascii="仿宋_GB2312" w:hAnsi="仿宋_GB2312" w:eastAsia="仿宋_GB2312" w:cs="仿宋_GB2312"/>
          <w:sz w:val="20"/>
          <w:szCs w:val="20"/>
        </w:rPr>
        <w:t>：故障处理完成后，对设备进行全面功能测试，确保设备各项功能正常、参数达标，经校方现场人员确认合格；</w:t>
      </w:r>
    </w:p>
    <w:p w14:paraId="2B6BC168">
      <w:pPr>
        <w:pStyle w:val="6"/>
        <w:numPr>
          <w:ilvl w:val="0"/>
          <w:numId w:val="16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现场清理</w:t>
      </w:r>
      <w:r>
        <w:rPr>
          <w:rFonts w:hint="eastAsia" w:ascii="仿宋_GB2312" w:hAnsi="仿宋_GB2312" w:eastAsia="仿宋_GB2312" w:cs="仿宋_GB2312"/>
          <w:sz w:val="20"/>
          <w:szCs w:val="20"/>
        </w:rPr>
        <w:t>：清理设备维修现场，确保设备摆放整齐、现场整洁；</w:t>
      </w:r>
    </w:p>
    <w:p w14:paraId="6FF9EFCB">
      <w:pPr>
        <w:pStyle w:val="6"/>
        <w:numPr>
          <w:ilvl w:val="0"/>
          <w:numId w:val="16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记录归档</w:t>
      </w:r>
      <w:r>
        <w:rPr>
          <w:rFonts w:hint="eastAsia" w:ascii="仿宋_GB2312" w:hAnsi="仿宋_GB2312" w:eastAsia="仿宋_GB2312" w:cs="仿宋_GB2312"/>
          <w:sz w:val="20"/>
          <w:szCs w:val="20"/>
        </w:rPr>
        <w:t>：填写《设备故障处理报告单》，注明故障原因、处理过程、更换配件、解决结果、维护建议，由校方现场人员签字确认后，与故障处理相关资料一并归档；</w:t>
      </w:r>
    </w:p>
    <w:p w14:paraId="4601936B">
      <w:pPr>
        <w:pStyle w:val="6"/>
        <w:numPr>
          <w:ilvl w:val="0"/>
          <w:numId w:val="16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跟踪回访</w:t>
      </w:r>
      <w:r>
        <w:rPr>
          <w:rFonts w:hint="eastAsia" w:ascii="仿宋_GB2312" w:hAnsi="仿宋_GB2312" w:eastAsia="仿宋_GB2312" w:cs="仿宋_GB2312"/>
          <w:sz w:val="20"/>
          <w:szCs w:val="20"/>
        </w:rPr>
        <w:t>：故障解决后24小时内，我方服务人员对校方进行跟踪回访，确认设备运行正常，了解校方满意度。</w:t>
      </w:r>
    </w:p>
    <w:p w14:paraId="5EF7A1DE">
      <w:pPr>
        <w:pStyle w:val="4"/>
        <w:numPr>
          <w:ilvl w:val="0"/>
          <w:numId w:val="162"/>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故障应急保障</w:t>
      </w:r>
    </w:p>
    <w:p w14:paraId="04399915">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若一级、二级故障在规定时限内无法完全解决，或设备需返厂维修，我方立即启动</w:t>
      </w:r>
      <w:r>
        <w:rPr>
          <w:rFonts w:hint="eastAsia" w:ascii="仿宋_GB2312" w:hAnsi="仿宋_GB2312" w:eastAsia="仿宋_GB2312" w:cs="仿宋_GB2312"/>
          <w:b/>
          <w:sz w:val="20"/>
          <w:szCs w:val="20"/>
        </w:rPr>
        <w:t>故障应急保障方案</w:t>
      </w:r>
      <w:r>
        <w:rPr>
          <w:rFonts w:hint="eastAsia" w:ascii="仿宋_GB2312" w:hAnsi="仿宋_GB2312" w:eastAsia="仿宋_GB2312" w:cs="仿宋_GB2312"/>
          <w:sz w:val="20"/>
          <w:szCs w:val="20"/>
        </w:rPr>
        <w:t>：</w:t>
      </w:r>
    </w:p>
    <w:p w14:paraId="74021B4B">
      <w:pPr>
        <w:pStyle w:val="6"/>
        <w:numPr>
          <w:ilvl w:val="0"/>
          <w:numId w:val="165"/>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提供</w:t>
      </w:r>
      <w:r>
        <w:rPr>
          <w:rFonts w:hint="eastAsia" w:ascii="仿宋_GB2312" w:hAnsi="仿宋_GB2312" w:eastAsia="仿宋_GB2312" w:cs="仿宋_GB2312"/>
          <w:b/>
          <w:sz w:val="20"/>
          <w:szCs w:val="20"/>
        </w:rPr>
        <w:t>同型号、同规格的备用设备</w:t>
      </w:r>
      <w:r>
        <w:rPr>
          <w:rFonts w:hint="eastAsia" w:ascii="仿宋_GB2312" w:hAnsi="仿宋_GB2312" w:eastAsia="仿宋_GB2312" w:cs="仿宋_GB2312"/>
          <w:sz w:val="20"/>
          <w:szCs w:val="20"/>
        </w:rPr>
        <w:t>供校方临时使用，确保正常教学秩序不受影响；</w:t>
      </w:r>
    </w:p>
    <w:p w14:paraId="73F8E5D8">
      <w:pPr>
        <w:pStyle w:val="6"/>
        <w:numPr>
          <w:ilvl w:val="0"/>
          <w:numId w:val="165"/>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备用设备的运输、安装、调试均由我方负责，免费为校方提供；</w:t>
      </w:r>
    </w:p>
    <w:p w14:paraId="4226AA18">
      <w:pPr>
        <w:pStyle w:val="6"/>
        <w:numPr>
          <w:ilvl w:val="0"/>
          <w:numId w:val="165"/>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故障设备修复或新设备到货后，我方立即上门完成更换，收回备用设备，并对新设备进行调试与验收。</w:t>
      </w:r>
    </w:p>
    <w:p w14:paraId="7A6F57B7">
      <w:pPr>
        <w:pStyle w:val="3"/>
        <w:numPr>
          <w:ilvl w:val="0"/>
          <w:numId w:val="158"/>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软件系统与课程资源升级服务</w:t>
      </w:r>
    </w:p>
    <w:p w14:paraId="20555E5B">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针对项目所有软件系统与课程资源，建立标准化的升级服务体系，确保软件系统功能持续优化、漏洞及时修补，课程资源持续更新、适配教学需求，所有升级工作均避开教学时间，不影响校方正常教学。</w:t>
      </w:r>
    </w:p>
    <w:p w14:paraId="5A217E37">
      <w:pPr>
        <w:pStyle w:val="4"/>
        <w:numPr>
          <w:ilvl w:val="0"/>
          <w:numId w:val="166"/>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免费升级服务（验收合格后1年内）</w:t>
      </w:r>
    </w:p>
    <w:p w14:paraId="41414B33">
      <w:pPr>
        <w:pStyle w:val="6"/>
        <w:numPr>
          <w:ilvl w:val="0"/>
          <w:numId w:val="167"/>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升级内容</w:t>
      </w:r>
      <w:r>
        <w:rPr>
          <w:rFonts w:hint="eastAsia" w:ascii="仿宋_GB2312" w:hAnsi="仿宋_GB2312" w:eastAsia="仿宋_GB2312" w:cs="仿宋_GB2312"/>
          <w:sz w:val="20"/>
          <w:szCs w:val="20"/>
        </w:rPr>
        <w:t>：</w:t>
      </w:r>
    </w:p>
    <w:p w14:paraId="4C5BBD8F">
      <w:pPr>
        <w:pStyle w:val="6"/>
        <w:numPr>
          <w:ilvl w:val="0"/>
          <w:numId w:val="168"/>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软件系统：操作系统补丁更新、软件功能优化、系统漏洞修补、兼容性提升、操作界面优化等；</w:t>
      </w:r>
    </w:p>
    <w:p w14:paraId="77FC2770">
      <w:pPr>
        <w:pStyle w:val="6"/>
        <w:numPr>
          <w:ilvl w:val="0"/>
          <w:numId w:val="169"/>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课程资源：新课程内容增加、现有课程优化、教案/课件更新、实验记录表完善、教学视频补充，同步对接小学科学课标最新要求；</w:t>
      </w:r>
    </w:p>
    <w:p w14:paraId="610C89B6">
      <w:pPr>
        <w:pStyle w:val="6"/>
        <w:numPr>
          <w:ilvl w:val="0"/>
          <w:numId w:val="170"/>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VR系统：VR教学内容更新、场景优化、互动功能提升等。</w:t>
      </w:r>
    </w:p>
    <w:p w14:paraId="07E17267">
      <w:pPr>
        <w:pStyle w:val="6"/>
        <w:numPr>
          <w:ilvl w:val="0"/>
          <w:numId w:val="167"/>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升级频率</w:t>
      </w:r>
      <w:r>
        <w:rPr>
          <w:rFonts w:hint="eastAsia" w:ascii="仿宋_GB2312" w:hAnsi="仿宋_GB2312" w:eastAsia="仿宋_GB2312" w:cs="仿宋_GB2312"/>
          <w:sz w:val="20"/>
          <w:szCs w:val="20"/>
        </w:rPr>
        <w:t>：软件系统每季度进行1次常规优化升级，课程资源每学期进行1次更新升级，重大漏洞与问题即时升级；</w:t>
      </w:r>
    </w:p>
    <w:p w14:paraId="7328AE43">
      <w:pPr>
        <w:pStyle w:val="6"/>
        <w:numPr>
          <w:ilvl w:val="0"/>
          <w:numId w:val="167"/>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升级流程</w:t>
      </w:r>
      <w:r>
        <w:rPr>
          <w:rFonts w:hint="eastAsia" w:ascii="仿宋_GB2312" w:hAnsi="仿宋_GB2312" w:eastAsia="仿宋_GB2312" w:cs="仿宋_GB2312"/>
          <w:sz w:val="20"/>
          <w:szCs w:val="20"/>
        </w:rPr>
        <w:t>：</w:t>
      </w:r>
    </w:p>
    <w:p w14:paraId="7EE54D78">
      <w:pPr>
        <w:pStyle w:val="6"/>
        <w:numPr>
          <w:ilvl w:val="0"/>
          <w:numId w:val="171"/>
        </w:numPr>
        <w:ind w:left="0" w:leftChars="0" w:firstLine="48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升级前15个工作日，我方编制《软件/课程资源升级方案说明》，明确升级内容、升级时间、升级方式、预计耗时、对教学的影响、应急措施等；</w:t>
      </w:r>
    </w:p>
    <w:p w14:paraId="5E9C1BB8">
      <w:pPr>
        <w:pStyle w:val="6"/>
        <w:numPr>
          <w:ilvl w:val="0"/>
          <w:numId w:val="171"/>
        </w:numPr>
        <w:ind w:left="0" w:leftChars="0" w:firstLine="48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将升级方案提交校方审核，经校方书面确认后，确定最终升级时间；</w:t>
      </w:r>
    </w:p>
    <w:p w14:paraId="34654EF9">
      <w:pPr>
        <w:pStyle w:val="6"/>
        <w:numPr>
          <w:ilvl w:val="0"/>
          <w:numId w:val="171"/>
        </w:numPr>
        <w:ind w:left="0" w:leftChars="0" w:firstLine="48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升级时间一律选择</w:t>
      </w:r>
      <w:r>
        <w:rPr>
          <w:rFonts w:hint="eastAsia" w:ascii="仿宋_GB2312" w:hAnsi="仿宋_GB2312" w:eastAsia="仿宋_GB2312" w:cs="仿宋_GB2312"/>
          <w:b/>
          <w:sz w:val="20"/>
          <w:szCs w:val="20"/>
        </w:rPr>
        <w:t>周末、寒暑假、课余时间</w:t>
      </w:r>
      <w:r>
        <w:rPr>
          <w:rFonts w:hint="eastAsia" w:ascii="仿宋_GB2312" w:hAnsi="仿宋_GB2312" w:eastAsia="仿宋_GB2312" w:cs="仿宋_GB2312"/>
          <w:sz w:val="20"/>
          <w:szCs w:val="20"/>
        </w:rPr>
        <w:t>，确保不影响正常教学；</w:t>
      </w:r>
    </w:p>
    <w:p w14:paraId="2E360568">
      <w:pPr>
        <w:pStyle w:val="6"/>
        <w:numPr>
          <w:ilvl w:val="0"/>
          <w:numId w:val="171"/>
        </w:numPr>
        <w:ind w:left="0" w:leftChars="0" w:firstLine="48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升级前对软件系统与课程资源进行全面备份，防止数据丢失；</w:t>
      </w:r>
    </w:p>
    <w:p w14:paraId="5B4DA760">
      <w:pPr>
        <w:pStyle w:val="6"/>
        <w:numPr>
          <w:ilvl w:val="0"/>
          <w:numId w:val="171"/>
        </w:numPr>
        <w:ind w:left="0" w:leftChars="0" w:firstLine="48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安排专业技术人员进行升级操作，升级过程全程监控，确保升级顺利；</w:t>
      </w:r>
    </w:p>
    <w:p w14:paraId="6036EEC6">
      <w:pPr>
        <w:pStyle w:val="6"/>
        <w:numPr>
          <w:ilvl w:val="0"/>
          <w:numId w:val="171"/>
        </w:numPr>
        <w:ind w:left="0" w:leftChars="0" w:firstLine="48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升级完成后，对软件系统与课程资源进行全面测试，确保各项功能正常、内容完整；</w:t>
      </w:r>
    </w:p>
    <w:p w14:paraId="32A1B576">
      <w:pPr>
        <w:pStyle w:val="6"/>
        <w:numPr>
          <w:ilvl w:val="0"/>
          <w:numId w:val="171"/>
        </w:numPr>
        <w:ind w:left="0" w:leftChars="0" w:firstLine="48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向校方提交《软件/课程资源升级验收报告》，经校方确认合格后，完成升级工作；</w:t>
      </w:r>
    </w:p>
    <w:p w14:paraId="708B6E38">
      <w:pPr>
        <w:pStyle w:val="6"/>
        <w:numPr>
          <w:ilvl w:val="0"/>
          <w:numId w:val="171"/>
        </w:numPr>
        <w:ind w:left="0" w:leftChars="0" w:firstLine="48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对校方教师进行简短的升级后操作培训，指导教师使用新功能、新内容。</w:t>
      </w:r>
    </w:p>
    <w:p w14:paraId="5F7E86AD">
      <w:pPr>
        <w:pStyle w:val="4"/>
        <w:numPr>
          <w:ilvl w:val="0"/>
          <w:numId w:val="166"/>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有偿升级服务（免费升级期结束后）</w:t>
      </w:r>
    </w:p>
    <w:p w14:paraId="3268EB56">
      <w:pPr>
        <w:pStyle w:val="6"/>
        <w:numPr>
          <w:ilvl w:val="0"/>
          <w:numId w:val="172"/>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免费升级期结束后，我方仍为校方提供软件系统与课程资源升级服务，所有升级服务均</w:t>
      </w:r>
      <w:r>
        <w:rPr>
          <w:rFonts w:hint="eastAsia" w:ascii="仿宋_GB2312" w:hAnsi="仿宋_GB2312" w:eastAsia="仿宋_GB2312" w:cs="仿宋_GB2312"/>
          <w:b/>
          <w:sz w:val="20"/>
          <w:szCs w:val="20"/>
        </w:rPr>
        <w:t>透明定价、优惠收费</w:t>
      </w:r>
      <w:r>
        <w:rPr>
          <w:rFonts w:hint="eastAsia" w:ascii="仿宋_GB2312" w:hAnsi="仿宋_GB2312" w:eastAsia="仿宋_GB2312" w:cs="仿宋_GB2312"/>
          <w:sz w:val="20"/>
          <w:szCs w:val="20"/>
        </w:rPr>
        <w:t>，给予校方最优合作价格；</w:t>
      </w:r>
    </w:p>
    <w:p w14:paraId="5E8EF2AF">
      <w:pPr>
        <w:pStyle w:val="6"/>
        <w:numPr>
          <w:ilvl w:val="0"/>
          <w:numId w:val="172"/>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升级前提供详细的升级报价单，注明升级内容、收费标准、服务保障，经校方确认后再开展升级工作；</w:t>
      </w:r>
    </w:p>
    <w:p w14:paraId="27147E3A">
      <w:pPr>
        <w:pStyle w:val="6"/>
        <w:numPr>
          <w:ilvl w:val="0"/>
          <w:numId w:val="172"/>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升级流程、升级保障与免费升级期一致，确保升级质量与教学优先；</w:t>
      </w:r>
    </w:p>
    <w:p w14:paraId="036CD380">
      <w:pPr>
        <w:pStyle w:val="6"/>
        <w:numPr>
          <w:ilvl w:val="0"/>
          <w:numId w:val="172"/>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若校方有定制化升级需求（如专属课程资源开发、个性化软件功能定制），我方将组织专业团队进行定制化研发，提供专属升级方案。</w:t>
      </w:r>
    </w:p>
    <w:p w14:paraId="59DB84E3">
      <w:pPr>
        <w:pStyle w:val="3"/>
        <w:numPr>
          <w:ilvl w:val="0"/>
          <w:numId w:val="158"/>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定期巡检与预防性维护服务</w:t>
      </w:r>
    </w:p>
    <w:p w14:paraId="621DFBB3">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变“被动维修”为“主动预防”，在2年免费质保期内，为校方提供</w:t>
      </w:r>
      <w:r>
        <w:rPr>
          <w:rFonts w:hint="eastAsia" w:ascii="仿宋_GB2312" w:hAnsi="仿宋_GB2312" w:eastAsia="仿宋_GB2312" w:cs="仿宋_GB2312"/>
          <w:b/>
          <w:sz w:val="20"/>
          <w:szCs w:val="20"/>
        </w:rPr>
        <w:t>每年2次</w:t>
      </w:r>
      <w:r>
        <w:rPr>
          <w:rFonts w:hint="eastAsia" w:ascii="仿宋_GB2312" w:hAnsi="仿宋_GB2312" w:eastAsia="仿宋_GB2312" w:cs="仿宋_GB2312"/>
          <w:sz w:val="20"/>
          <w:szCs w:val="20"/>
        </w:rPr>
        <w:t>免费专业巡检与预防性维护服务，提前发现设备潜在问题，及时进行维护与校准，确保设备始终处于最佳运行状态，延长设备使用寿命。</w:t>
      </w:r>
    </w:p>
    <w:p w14:paraId="71494CC5">
      <w:pPr>
        <w:pStyle w:val="4"/>
        <w:numPr>
          <w:ilvl w:val="0"/>
          <w:numId w:val="173"/>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巡检计划安排</w:t>
      </w:r>
    </w:p>
    <w:p w14:paraId="33B7563B">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巡检时间优先选择</w:t>
      </w:r>
      <w:r>
        <w:rPr>
          <w:rFonts w:hint="eastAsia" w:ascii="仿宋_GB2312" w:hAnsi="仿宋_GB2312" w:eastAsia="仿宋_GB2312" w:cs="仿宋_GB2312"/>
          <w:b/>
          <w:sz w:val="20"/>
          <w:szCs w:val="20"/>
        </w:rPr>
        <w:t>每学期开学前1-2周</w:t>
      </w:r>
      <w:r>
        <w:rPr>
          <w:rFonts w:hint="eastAsia" w:ascii="仿宋_GB2312" w:hAnsi="仿宋_GB2312" w:eastAsia="仿宋_GB2312" w:cs="仿宋_GB2312"/>
          <w:sz w:val="20"/>
          <w:szCs w:val="20"/>
        </w:rPr>
        <w:t>（2月、8月），此时校方无正常教学活动，便于开展巡检工作，确保新学期设备正常使用；若校方有特殊时间要求，可根据校方需求调整巡检时间。</w:t>
      </w:r>
    </w:p>
    <w:p w14:paraId="289500D2">
      <w:pPr>
        <w:pStyle w:val="4"/>
        <w:numPr>
          <w:ilvl w:val="0"/>
          <w:numId w:val="173"/>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巡检前准备</w:t>
      </w:r>
    </w:p>
    <w:p w14:paraId="39941E27">
      <w:pPr>
        <w:pStyle w:val="6"/>
        <w:numPr>
          <w:ilvl w:val="0"/>
          <w:numId w:val="17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巡检前7个工作日，我方编制《设备定期巡检与维护计划》，明确巡检范围、巡检内容、巡检人员、巡检时间、所需工具等，提交校方审核确认；</w:t>
      </w:r>
    </w:p>
    <w:p w14:paraId="3615D9E7">
      <w:pPr>
        <w:pStyle w:val="6"/>
        <w:numPr>
          <w:ilvl w:val="0"/>
          <w:numId w:val="17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巡检人员提前准备好巡检工具、维护耗材（如润滑油、清洁试剂、螺丝等）、检测设备，确保巡检工作顺利开展；</w:t>
      </w:r>
    </w:p>
    <w:p w14:paraId="26E20EE8">
      <w:pPr>
        <w:pStyle w:val="6"/>
        <w:numPr>
          <w:ilvl w:val="0"/>
          <w:numId w:val="17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与校方确认巡检现场配合人员，清理巡检现场，确保设备可正常操作、可全面检测。</w:t>
      </w:r>
    </w:p>
    <w:p w14:paraId="0751F10A">
      <w:pPr>
        <w:pStyle w:val="4"/>
        <w:numPr>
          <w:ilvl w:val="0"/>
          <w:numId w:val="173"/>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巡检与维护核心内容</w:t>
      </w:r>
    </w:p>
    <w:p w14:paraId="2FBBB582">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巡检覆盖项目所有硬件设备与软件系统，实行“逐台检测、逐项维护、全面校准、彻底清洁”，核心内容包括：</w:t>
      </w:r>
    </w:p>
    <w:p w14:paraId="61D98E67">
      <w:pPr>
        <w:pStyle w:val="5"/>
        <w:numPr>
          <w:ilvl w:val="0"/>
          <w:numId w:val="175"/>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硬件设备巡检与维护</w:t>
      </w:r>
    </w:p>
    <w:p w14:paraId="60DC61C7">
      <w:pPr>
        <w:pStyle w:val="6"/>
        <w:numPr>
          <w:ilvl w:val="0"/>
          <w:numId w:val="176"/>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机械结构：对所有互动展品、机械传动设备的机械结构进行紧固、润滑，检查传动部件、连接部件是否松动、磨损，及时更换磨损部件；</w:t>
      </w:r>
    </w:p>
    <w:p w14:paraId="60C36F19">
      <w:pPr>
        <w:pStyle w:val="6"/>
        <w:numPr>
          <w:ilvl w:val="0"/>
          <w:numId w:val="177"/>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电气系统：检查所有设备的电气线路、电源适配器、开关插座是否完好，有无漏电、短路隐患，确保用电安全；</w:t>
      </w:r>
    </w:p>
    <w:p w14:paraId="1314A76D">
      <w:pPr>
        <w:pStyle w:val="6"/>
        <w:numPr>
          <w:ilvl w:val="0"/>
          <w:numId w:val="178"/>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精密部件：对天文望远镜光学系统、传感器、镜头、显示屏等精密部件进行专业清洁、校准，确保精度与性能；</w:t>
      </w:r>
    </w:p>
    <w:p w14:paraId="51B8407C">
      <w:pPr>
        <w:pStyle w:val="6"/>
        <w:numPr>
          <w:ilvl w:val="0"/>
          <w:numId w:val="179"/>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设备外观：检查设备外壳、柜体是否有损坏、变形，及时进行修复与更换；</w:t>
      </w:r>
    </w:p>
    <w:p w14:paraId="2DEC664A">
      <w:pPr>
        <w:pStyle w:val="6"/>
        <w:numPr>
          <w:ilvl w:val="0"/>
          <w:numId w:val="180"/>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配件齐全：检查设备所有配件、辅材是否齐全，及时补充缺失配件。</w:t>
      </w:r>
    </w:p>
    <w:p w14:paraId="447CBEB7">
      <w:pPr>
        <w:pStyle w:val="5"/>
        <w:numPr>
          <w:ilvl w:val="0"/>
          <w:numId w:val="175"/>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软件系统巡检与维护</w:t>
      </w:r>
    </w:p>
    <w:p w14:paraId="4E599049">
      <w:pPr>
        <w:pStyle w:val="6"/>
        <w:numPr>
          <w:ilvl w:val="0"/>
          <w:numId w:val="181"/>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系统更新：为所有软件系统安装最新补丁，更新驱动程序，提升系统稳定性与兼容性；</w:t>
      </w:r>
    </w:p>
    <w:p w14:paraId="4859CD79">
      <w:pPr>
        <w:pStyle w:val="6"/>
        <w:numPr>
          <w:ilvl w:val="0"/>
          <w:numId w:val="182"/>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病毒查杀：对所有带计算机系统的设备进行全面病毒查杀，清理垃圾文件，优化系统运行速度；</w:t>
      </w:r>
    </w:p>
    <w:p w14:paraId="21F3D182">
      <w:pPr>
        <w:pStyle w:val="6"/>
        <w:numPr>
          <w:ilvl w:val="0"/>
          <w:numId w:val="183"/>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数据备份：对软件系统的核心数据、课程资源、教学记录等进行全面备份，防止数据丢失；</w:t>
      </w:r>
    </w:p>
    <w:p w14:paraId="508767F7">
      <w:pPr>
        <w:pStyle w:val="6"/>
        <w:numPr>
          <w:ilvl w:val="0"/>
          <w:numId w:val="184"/>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功能测试：全面运行测试软件系统所有功能，确保各项功能正常、无故障。</w:t>
      </w:r>
    </w:p>
    <w:p w14:paraId="3283121E">
      <w:pPr>
        <w:pStyle w:val="5"/>
        <w:numPr>
          <w:ilvl w:val="0"/>
          <w:numId w:val="175"/>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设备性能全面测试</w:t>
      </w:r>
    </w:p>
    <w:p w14:paraId="455733E8">
      <w:pPr>
        <w:pStyle w:val="6"/>
        <w:numPr>
          <w:ilvl w:val="0"/>
          <w:numId w:val="185"/>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对所有设备进行全功能、全参数测试，确保设备各项性能指标符合招投标文件与技术规格要求；</w:t>
      </w:r>
    </w:p>
    <w:p w14:paraId="12172220">
      <w:pPr>
        <w:pStyle w:val="6"/>
        <w:numPr>
          <w:ilvl w:val="0"/>
          <w:numId w:val="186"/>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对互动设备的互动灵敏度、展示设备的显示效果、实验设备的实验精度进行重点测试与校准。</w:t>
      </w:r>
    </w:p>
    <w:p w14:paraId="24FD5447">
      <w:pPr>
        <w:pStyle w:val="5"/>
        <w:numPr>
          <w:ilvl w:val="0"/>
          <w:numId w:val="175"/>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现场教学支持与答疑</w:t>
      </w:r>
    </w:p>
    <w:p w14:paraId="2A8FB05B">
      <w:pPr>
        <w:pStyle w:val="6"/>
        <w:numPr>
          <w:ilvl w:val="0"/>
          <w:numId w:val="187"/>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巡检过程中，与校方教师、实验室管理员进行现场交流，解答教师日常使用中遇到的问题；</w:t>
      </w:r>
    </w:p>
    <w:p w14:paraId="6FD1826D">
      <w:pPr>
        <w:pStyle w:val="6"/>
        <w:numPr>
          <w:ilvl w:val="0"/>
          <w:numId w:val="188"/>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针对教师操作不熟练的环节，进行针对性的现场再培训与实操指导；</w:t>
      </w:r>
    </w:p>
    <w:p w14:paraId="7437B066">
      <w:pPr>
        <w:pStyle w:val="6"/>
        <w:numPr>
          <w:ilvl w:val="0"/>
          <w:numId w:val="189"/>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收集教师对设备使用、课程资源的意见与建议，为后续服务优化提供依据。</w:t>
      </w:r>
    </w:p>
    <w:p w14:paraId="35A06591">
      <w:pPr>
        <w:pStyle w:val="4"/>
        <w:numPr>
          <w:ilvl w:val="0"/>
          <w:numId w:val="173"/>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巡检报告与后续处理</w:t>
      </w:r>
    </w:p>
    <w:p w14:paraId="701DC585">
      <w:pPr>
        <w:pStyle w:val="6"/>
        <w:numPr>
          <w:ilvl w:val="0"/>
          <w:numId w:val="19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每次巡检结束后10个工作日内，我方编制《设备定期巡检与维护报告》，报告内容包括巡检概况、巡检内容、发现的问题、处理措施、维护结果、设备运行状态评估、后续维护建议等，附巡检现场照片、检测数据等佐证材料；</w:t>
      </w:r>
    </w:p>
    <w:p w14:paraId="58FC1144">
      <w:pPr>
        <w:pStyle w:val="6"/>
        <w:numPr>
          <w:ilvl w:val="0"/>
          <w:numId w:val="19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将巡检报告提交校方审核，经校方签字确认后，一式两份，我方与校方各留存一份；</w:t>
      </w:r>
    </w:p>
    <w:p w14:paraId="05636CF5">
      <w:pPr>
        <w:pStyle w:val="6"/>
        <w:numPr>
          <w:ilvl w:val="0"/>
          <w:numId w:val="19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对巡检中发现的潜在问题与轻微故障，立即现场处理；对需后续跟进的问题，制定整改计划，明确整改时间与责任人，及时完成整改，并向校方反馈整改结果；</w:t>
      </w:r>
    </w:p>
    <w:p w14:paraId="720609C8">
      <w:pPr>
        <w:pStyle w:val="6"/>
        <w:numPr>
          <w:ilvl w:val="0"/>
          <w:numId w:val="19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根据巡检结果，为校方提供设备日常维护保养指导，协助校方建立设备日常维护台账。</w:t>
      </w:r>
    </w:p>
    <w:p w14:paraId="45FFB60D">
      <w:pPr>
        <w:pStyle w:val="3"/>
        <w:numPr>
          <w:ilvl w:val="0"/>
          <w:numId w:val="158"/>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师资后续培训与教学支持服务</w:t>
      </w:r>
    </w:p>
    <w:p w14:paraId="079A275F">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在项目前期培训基础上，进一步深化师资后续培训与教学支持服务，将服务延伸至课程实施、教学设计、实践活动组织等环节，帮助教师真正掌握设备教学应用能力，充分发挥设备与课程资源的教学价值。</w:t>
      </w:r>
    </w:p>
    <w:p w14:paraId="08C324FE">
      <w:pPr>
        <w:pStyle w:val="4"/>
        <w:numPr>
          <w:ilvl w:val="0"/>
          <w:numId w:val="191"/>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免费线下专项再培训（验收合格后1年内）</w:t>
      </w:r>
    </w:p>
    <w:p w14:paraId="38206772">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严格履行招投标承诺，在项目验收合格后</w:t>
      </w:r>
      <w:r>
        <w:rPr>
          <w:rFonts w:hint="eastAsia" w:ascii="仿宋_GB2312" w:hAnsi="仿宋_GB2312" w:eastAsia="仿宋_GB2312" w:cs="仿宋_GB2312"/>
          <w:b/>
          <w:sz w:val="20"/>
          <w:szCs w:val="20"/>
        </w:rPr>
        <w:t>6个月内</w:t>
      </w:r>
      <w:r>
        <w:rPr>
          <w:rFonts w:hint="eastAsia" w:ascii="仿宋_GB2312" w:hAnsi="仿宋_GB2312" w:eastAsia="仿宋_GB2312" w:cs="仿宋_GB2312"/>
          <w:sz w:val="20"/>
          <w:szCs w:val="20"/>
        </w:rPr>
        <w:t>，为校方提供</w:t>
      </w:r>
      <w:r>
        <w:rPr>
          <w:rFonts w:hint="eastAsia" w:ascii="仿宋_GB2312" w:hAnsi="仿宋_GB2312" w:eastAsia="仿宋_GB2312" w:cs="仿宋_GB2312"/>
          <w:b/>
          <w:sz w:val="20"/>
          <w:szCs w:val="20"/>
        </w:rPr>
        <w:t>1场免费线下师资专项再培训</w:t>
      </w:r>
      <w:r>
        <w:rPr>
          <w:rFonts w:hint="eastAsia" w:ascii="仿宋_GB2312" w:hAnsi="仿宋_GB2312" w:eastAsia="仿宋_GB2312" w:cs="仿宋_GB2312"/>
          <w:sz w:val="20"/>
          <w:szCs w:val="20"/>
        </w:rPr>
        <w:t>，培训在校区内开展，培训内容与形式结合校方前期使用反馈与教学需求定制化设计。</w:t>
      </w:r>
    </w:p>
    <w:p w14:paraId="17CAE2AB">
      <w:pPr>
        <w:pStyle w:val="6"/>
        <w:numPr>
          <w:ilvl w:val="0"/>
          <w:numId w:val="192"/>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培训对象</w:t>
      </w:r>
      <w:r>
        <w:rPr>
          <w:rFonts w:hint="eastAsia" w:ascii="仿宋_GB2312" w:hAnsi="仿宋_GB2312" w:eastAsia="仿宋_GB2312" w:cs="仿宋_GB2312"/>
          <w:sz w:val="20"/>
          <w:szCs w:val="20"/>
        </w:rPr>
        <w:t>：校区天文、科学、科创等相关学科教师、实验室管理员；</w:t>
      </w:r>
    </w:p>
    <w:p w14:paraId="663F8AF3">
      <w:pPr>
        <w:pStyle w:val="6"/>
        <w:numPr>
          <w:ilvl w:val="0"/>
          <w:numId w:val="192"/>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培训核心内容</w:t>
      </w:r>
      <w:r>
        <w:rPr>
          <w:rFonts w:hint="eastAsia" w:ascii="仿宋_GB2312" w:hAnsi="仿宋_GB2312" w:eastAsia="仿宋_GB2312" w:cs="仿宋_GB2312"/>
          <w:sz w:val="20"/>
          <w:szCs w:val="20"/>
        </w:rPr>
        <w:t>：</w:t>
      </w:r>
    </w:p>
    <w:p w14:paraId="23DB8A6F">
      <w:pPr>
        <w:pStyle w:val="6"/>
        <w:numPr>
          <w:ilvl w:val="0"/>
          <w:numId w:val="193"/>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设备深度操作：设备高级功能使用、常见故障自主排查、日常维护保养实操；</w:t>
      </w:r>
    </w:p>
    <w:p w14:paraId="3644293A">
      <w:pPr>
        <w:pStyle w:val="6"/>
        <w:numPr>
          <w:ilvl w:val="0"/>
          <w:numId w:val="194"/>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课程深度实施：探究式教学理念与设备结合、课程资源个性化调整、教学案例分析与优化；</w:t>
      </w:r>
    </w:p>
    <w:p w14:paraId="54148158">
      <w:pPr>
        <w:pStyle w:val="6"/>
        <w:numPr>
          <w:ilvl w:val="0"/>
          <w:numId w:val="195"/>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跨学科课程设计：天文+科创、天文+语文、天文+数学等跨学科主题课程设计方法与实操；</w:t>
      </w:r>
    </w:p>
    <w:p w14:paraId="2BF61B90">
      <w:pPr>
        <w:pStyle w:val="6"/>
        <w:numPr>
          <w:ilvl w:val="0"/>
          <w:numId w:val="196"/>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馆校结合活动策划：利用</w:t>
      </w:r>
      <w:r>
        <w:rPr>
          <w:rFonts w:hint="eastAsia" w:ascii="仿宋_GB2312" w:hAnsi="仿宋_GB2312" w:eastAsia="仿宋_GB2312" w:cs="仿宋_GB2312"/>
          <w:sz w:val="20"/>
          <w:szCs w:val="20"/>
          <w:lang w:val="en-US" w:eastAsia="zh-CN"/>
        </w:rPr>
        <w:t>科技</w:t>
      </w:r>
      <w:r>
        <w:rPr>
          <w:rFonts w:hint="eastAsia" w:ascii="仿宋_GB2312" w:hAnsi="仿宋_GB2312" w:eastAsia="仿宋_GB2312" w:cs="仿宋_GB2312"/>
          <w:sz w:val="20"/>
          <w:szCs w:val="20"/>
        </w:rPr>
        <w:t>馆与Stream教室设备组织校园天文科创实践活动、社团活动、科普活动的策划与实施；</w:t>
      </w:r>
    </w:p>
    <w:p w14:paraId="32D8CBB8">
      <w:pPr>
        <w:pStyle w:val="6"/>
        <w:numPr>
          <w:ilvl w:val="0"/>
          <w:numId w:val="197"/>
        </w:numPr>
        <w:ind w:left="453"/>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学生指导技巧：指导学生开展天文观测、科学探究、动手实验的技巧与方法，培养学生科学探究能力。</w:t>
      </w:r>
    </w:p>
    <w:p w14:paraId="7777EAF7">
      <w:pPr>
        <w:pStyle w:val="6"/>
        <w:numPr>
          <w:ilvl w:val="0"/>
          <w:numId w:val="192"/>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培训形式</w:t>
      </w:r>
      <w:r>
        <w:rPr>
          <w:rFonts w:hint="eastAsia" w:ascii="仿宋_GB2312" w:hAnsi="仿宋_GB2312" w:eastAsia="仿宋_GB2312" w:cs="仿宋_GB2312"/>
          <w:sz w:val="20"/>
          <w:szCs w:val="20"/>
        </w:rPr>
        <w:t>：采用“理论讲解+实操演练+课程设计工作坊+现场教学观摩”的模式，注重实操性与实用性，确保培训效果；</w:t>
      </w:r>
    </w:p>
    <w:p w14:paraId="735003F0">
      <w:pPr>
        <w:pStyle w:val="6"/>
        <w:numPr>
          <w:ilvl w:val="0"/>
          <w:numId w:val="192"/>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培训保障</w:t>
      </w:r>
      <w:r>
        <w:rPr>
          <w:rFonts w:hint="eastAsia" w:ascii="仿宋_GB2312" w:hAnsi="仿宋_GB2312" w:eastAsia="仿宋_GB2312" w:cs="仿宋_GB2312"/>
          <w:sz w:val="20"/>
          <w:szCs w:val="20"/>
        </w:rPr>
        <w:t>：配备专业培训讲师，提供完整的电子版+纸质版培训资料（培训手册、操作视频、课程案例集、设计模板等），培训结束后进行现场考核，确保教师培训达标；</w:t>
      </w:r>
    </w:p>
    <w:p w14:paraId="0D321DA3">
      <w:pPr>
        <w:pStyle w:val="6"/>
        <w:numPr>
          <w:ilvl w:val="0"/>
          <w:numId w:val="192"/>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培训效果</w:t>
      </w:r>
      <w:r>
        <w:rPr>
          <w:rFonts w:hint="eastAsia" w:ascii="仿宋_GB2312" w:hAnsi="仿宋_GB2312" w:eastAsia="仿宋_GB2312" w:cs="仿宋_GB2312"/>
          <w:sz w:val="20"/>
          <w:szCs w:val="20"/>
        </w:rPr>
        <w:t>：通过培训，确保1-3名核心教师能独立组织设备教学、设计跨学科课程、策划天文科创实践活动，能成为校区天文科创教学的骨干力量。</w:t>
      </w:r>
    </w:p>
    <w:p w14:paraId="6E36F58B">
      <w:pPr>
        <w:pStyle w:val="4"/>
        <w:numPr>
          <w:ilvl w:val="0"/>
          <w:numId w:val="191"/>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长期教学现场指导与答疑</w:t>
      </w:r>
    </w:p>
    <w:p w14:paraId="286B1862">
      <w:pPr>
        <w:pStyle w:val="6"/>
        <w:numPr>
          <w:ilvl w:val="0"/>
          <w:numId w:val="198"/>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自验收合格之日起，提供</w:t>
      </w:r>
      <w:r>
        <w:rPr>
          <w:rFonts w:hint="eastAsia" w:ascii="仿宋_GB2312" w:hAnsi="仿宋_GB2312" w:eastAsia="仿宋_GB2312" w:cs="仿宋_GB2312"/>
          <w:b/>
          <w:sz w:val="20"/>
          <w:szCs w:val="20"/>
        </w:rPr>
        <w:t>3年免费教学现场指导</w:t>
      </w:r>
      <w:r>
        <w:rPr>
          <w:rFonts w:hint="eastAsia" w:ascii="仿宋_GB2312" w:hAnsi="仿宋_GB2312" w:eastAsia="仿宋_GB2312" w:cs="仿宋_GB2312"/>
          <w:sz w:val="20"/>
          <w:szCs w:val="20"/>
        </w:rPr>
        <w:t>，我方培训支持专员每季度至少上门1次，深入课堂，为教师提供现场教学指导，协助教师解决课程实施中遇到的问题；</w:t>
      </w:r>
    </w:p>
    <w:p w14:paraId="10C4F561">
      <w:pPr>
        <w:pStyle w:val="6"/>
        <w:numPr>
          <w:ilvl w:val="0"/>
          <w:numId w:val="198"/>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校方组织天文科创实践活动、社团活动、科普活动时，我方免费提供技术支持与现场指导，协助校方做好活动策划、设备调试、学生指导等工作；</w:t>
      </w:r>
    </w:p>
    <w:p w14:paraId="3FE7F4AE">
      <w:pPr>
        <w:pStyle w:val="6"/>
        <w:numPr>
          <w:ilvl w:val="0"/>
          <w:numId w:val="198"/>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建立师资教学答疑专属渠道，教师在课程设计、教学实施中遇到的任何问题，均可通过微信服务群、服务热线进行咨询，我方专业人员</w:t>
      </w:r>
      <w:r>
        <w:rPr>
          <w:rFonts w:hint="eastAsia" w:ascii="仿宋_GB2312" w:hAnsi="仿宋_GB2312" w:eastAsia="仿宋_GB2312" w:cs="仿宋_GB2312"/>
          <w:b/>
          <w:sz w:val="20"/>
          <w:szCs w:val="20"/>
        </w:rPr>
        <w:t>24小时内</w:t>
      </w:r>
      <w:r>
        <w:rPr>
          <w:rFonts w:hint="eastAsia" w:ascii="仿宋_GB2312" w:hAnsi="仿宋_GB2312" w:eastAsia="仿宋_GB2312" w:cs="仿宋_GB2312"/>
          <w:sz w:val="20"/>
          <w:szCs w:val="20"/>
        </w:rPr>
        <w:t>给予详细解答与指导。</w:t>
      </w:r>
    </w:p>
    <w:p w14:paraId="4B05F13A">
      <w:pPr>
        <w:pStyle w:val="4"/>
        <w:numPr>
          <w:ilvl w:val="0"/>
          <w:numId w:val="191"/>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教学资源与案例共享</w:t>
      </w:r>
    </w:p>
    <w:p w14:paraId="1198DC7B">
      <w:pPr>
        <w:pStyle w:val="6"/>
        <w:numPr>
          <w:ilvl w:val="0"/>
          <w:numId w:val="199"/>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为校方建立</w:t>
      </w:r>
      <w:r>
        <w:rPr>
          <w:rFonts w:hint="eastAsia" w:ascii="仿宋_GB2312" w:hAnsi="仿宋_GB2312" w:eastAsia="仿宋_GB2312" w:cs="仿宋_GB2312"/>
          <w:b/>
          <w:sz w:val="20"/>
          <w:szCs w:val="20"/>
        </w:rPr>
        <w:t>教学资源共享库</w:t>
      </w:r>
      <w:r>
        <w:rPr>
          <w:rFonts w:hint="eastAsia" w:ascii="仿宋_GB2312" w:hAnsi="仿宋_GB2312" w:eastAsia="仿宋_GB2312" w:cs="仿宋_GB2312"/>
          <w:sz w:val="20"/>
          <w:szCs w:val="20"/>
        </w:rPr>
        <w:t>，持续更新天文科创教学案例、教学设计模板、教学课件、实验方案等资源，校方可随时查阅、下载使用；</w:t>
      </w:r>
    </w:p>
    <w:p w14:paraId="71CABA9E">
      <w:pPr>
        <w:pStyle w:val="6"/>
        <w:numPr>
          <w:ilvl w:val="0"/>
          <w:numId w:val="199"/>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定期组织校方教师参与省内外天文科创教学交流活动、线上教研会议，为教师提供学习、交流、提升的平台，分享优秀教学经验与案例。</w:t>
      </w:r>
    </w:p>
    <w:p w14:paraId="25DFADF3">
      <w:pPr>
        <w:pStyle w:val="2"/>
        <w:numPr>
          <w:ilvl w:val="0"/>
          <w:numId w:val="147"/>
        </w:numPr>
        <w:topLinePunct w:val="0"/>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本地化服务保障</w:t>
      </w:r>
    </w:p>
    <w:p w14:paraId="421A8F8D">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我方在</w:t>
      </w:r>
      <w:r>
        <w:rPr>
          <w:rFonts w:hint="eastAsia" w:ascii="仿宋_GB2312" w:hAnsi="仿宋_GB2312" w:eastAsia="仿宋_GB2312" w:cs="仿宋_GB2312"/>
          <w:b/>
          <w:sz w:val="20"/>
          <w:szCs w:val="20"/>
        </w:rPr>
        <w:t>泉州市设有专属本地服务站</w:t>
      </w:r>
      <w:r>
        <w:rPr>
          <w:rFonts w:hint="eastAsia" w:ascii="仿宋_GB2312" w:hAnsi="仿宋_GB2312" w:eastAsia="仿宋_GB2312" w:cs="仿宋_GB2312"/>
          <w:sz w:val="20"/>
          <w:szCs w:val="20"/>
        </w:rPr>
        <w:t>，配备固定的办公场地、专职的服务人员、专用的服务车辆、齐全的备品备件与检测工具，实现本项目售后服务的</w:t>
      </w:r>
      <w:r>
        <w:rPr>
          <w:rFonts w:hint="eastAsia" w:ascii="仿宋_GB2312" w:hAnsi="仿宋_GB2312" w:eastAsia="仿宋_GB2312" w:cs="仿宋_GB2312"/>
          <w:b/>
          <w:sz w:val="20"/>
          <w:szCs w:val="20"/>
        </w:rPr>
        <w:t>100%本地化</w:t>
      </w:r>
      <w:r>
        <w:rPr>
          <w:rFonts w:hint="eastAsia" w:ascii="仿宋_GB2312" w:hAnsi="仿宋_GB2312" w:eastAsia="仿宋_GB2312" w:cs="仿宋_GB2312"/>
          <w:sz w:val="20"/>
          <w:szCs w:val="20"/>
        </w:rPr>
        <w:t>，从根本上保障服务响应的及时性、现场处理的高效性。</w:t>
      </w:r>
    </w:p>
    <w:p w14:paraId="0228AA8E">
      <w:pPr>
        <w:pStyle w:val="6"/>
        <w:numPr>
          <w:ilvl w:val="0"/>
          <w:numId w:val="20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本地人员保障</w:t>
      </w:r>
      <w:r>
        <w:rPr>
          <w:rFonts w:hint="eastAsia" w:ascii="仿宋_GB2312" w:hAnsi="仿宋_GB2312" w:eastAsia="仿宋_GB2312" w:cs="仿宋_GB2312"/>
          <w:sz w:val="20"/>
          <w:szCs w:val="20"/>
        </w:rPr>
        <w:t>：泉州本地服务站为项目配备2名专职售后工程师与1名培训支持专员，均为本地常驻人员，熟悉泉州本地交通与校区情况，能快速到达现场；</w:t>
      </w:r>
    </w:p>
    <w:p w14:paraId="56B082A5">
      <w:pPr>
        <w:pStyle w:val="6"/>
        <w:numPr>
          <w:ilvl w:val="0"/>
          <w:numId w:val="20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本地设备保障</w:t>
      </w:r>
      <w:r>
        <w:rPr>
          <w:rFonts w:hint="eastAsia" w:ascii="仿宋_GB2312" w:hAnsi="仿宋_GB2312" w:eastAsia="仿宋_GB2312" w:cs="仿宋_GB2312"/>
          <w:sz w:val="20"/>
          <w:szCs w:val="20"/>
        </w:rPr>
        <w:t>：配备专用服务车辆1台，确保现场处理能快速出行；配备全套设备检测、维修、校准工具，确保现场能独立完成所有常规故障处理与设备维护；</w:t>
      </w:r>
    </w:p>
    <w:p w14:paraId="299BE1C7">
      <w:pPr>
        <w:pStyle w:val="6"/>
        <w:numPr>
          <w:ilvl w:val="0"/>
          <w:numId w:val="20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本地备件保障</w:t>
      </w:r>
      <w:r>
        <w:rPr>
          <w:rFonts w:hint="eastAsia" w:ascii="仿宋_GB2312" w:hAnsi="仿宋_GB2312" w:eastAsia="仿宋_GB2312" w:cs="仿宋_GB2312"/>
          <w:sz w:val="20"/>
          <w:szCs w:val="20"/>
        </w:rPr>
        <w:t>：泉州本地服务站设立本项目专属备件柜，配齐、配足常用备品备件与关键核心部件，实现备件本地存储、即时调取，无需跨城市调配；</w:t>
      </w:r>
    </w:p>
    <w:p w14:paraId="64011622">
      <w:pPr>
        <w:pStyle w:val="6"/>
        <w:numPr>
          <w:ilvl w:val="0"/>
          <w:numId w:val="20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本地服务时效</w:t>
      </w:r>
      <w:r>
        <w:rPr>
          <w:rFonts w:hint="eastAsia" w:ascii="仿宋_GB2312" w:hAnsi="仿宋_GB2312" w:eastAsia="仿宋_GB2312" w:cs="仿宋_GB2312"/>
          <w:sz w:val="20"/>
          <w:szCs w:val="20"/>
        </w:rPr>
        <w:t>：依托本地化服务，确保故障现场到达时限严格遵守承诺，一级故障8小时内到达，二级故障12小时内到达，远高于行业平均水平；</w:t>
      </w:r>
    </w:p>
    <w:p w14:paraId="2EDD693E">
      <w:pPr>
        <w:pStyle w:val="6"/>
        <w:numPr>
          <w:ilvl w:val="0"/>
          <w:numId w:val="20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本地服务质控</w:t>
      </w:r>
      <w:r>
        <w:rPr>
          <w:rFonts w:hint="eastAsia" w:ascii="仿宋_GB2312" w:hAnsi="仿宋_GB2312" w:eastAsia="仿宋_GB2312" w:cs="仿宋_GB2312"/>
          <w:sz w:val="20"/>
          <w:szCs w:val="20"/>
        </w:rPr>
        <w:t>：泉州本地服务站接受公司总部与华东地区服务中心的双重质控，建立服务质量考核体系，确保售后服务的专业性、规范性、高效性。</w:t>
      </w:r>
    </w:p>
    <w:p w14:paraId="325309D0">
      <w:pPr>
        <w:pStyle w:val="2"/>
        <w:numPr>
          <w:ilvl w:val="0"/>
          <w:numId w:val="147"/>
        </w:numPr>
        <w:topLinePunct w:val="0"/>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质保期后长效服务方案</w:t>
      </w:r>
    </w:p>
    <w:p w14:paraId="5BB3DA0B">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2年免费质保期结束后，我方将为校方提供</w:t>
      </w:r>
      <w:r>
        <w:rPr>
          <w:rFonts w:hint="eastAsia" w:ascii="仿宋_GB2312" w:hAnsi="仿宋_GB2312" w:eastAsia="仿宋_GB2312" w:cs="仿宋_GB2312"/>
          <w:b/>
          <w:sz w:val="20"/>
          <w:szCs w:val="20"/>
        </w:rPr>
        <w:t>终身有偿长效售后服务</w:t>
      </w:r>
      <w:r>
        <w:rPr>
          <w:rFonts w:hint="eastAsia" w:ascii="仿宋_GB2312" w:hAnsi="仿宋_GB2312" w:eastAsia="仿宋_GB2312" w:cs="仿宋_GB2312"/>
          <w:sz w:val="20"/>
          <w:szCs w:val="20"/>
        </w:rPr>
        <w:t>，始终坚持“成本收费、优质服务、长效保障”的原则，继续为校方设备运行与教学开展提供可靠支持，让校方无后顾之忧。</w:t>
      </w:r>
    </w:p>
    <w:p w14:paraId="0CC595EA">
      <w:pPr>
        <w:pStyle w:val="3"/>
        <w:numPr>
          <w:ilvl w:val="0"/>
          <w:numId w:val="201"/>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服务原则</w:t>
      </w:r>
    </w:p>
    <w:p w14:paraId="5674E2FE">
      <w:pPr>
        <w:pStyle w:val="6"/>
        <w:numPr>
          <w:ilvl w:val="0"/>
          <w:numId w:val="202"/>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成本收费原则</w:t>
      </w:r>
      <w:r>
        <w:rPr>
          <w:rFonts w:hint="eastAsia" w:ascii="仿宋_GB2312" w:hAnsi="仿宋_GB2312" w:eastAsia="仿宋_GB2312" w:cs="仿宋_GB2312"/>
          <w:sz w:val="20"/>
          <w:szCs w:val="20"/>
        </w:rPr>
        <w:t>：所有有偿服务均仅收取直接成本费用，无额外服务费、管理费、上门费等，收费标准透明、公开、合理；</w:t>
      </w:r>
    </w:p>
    <w:p w14:paraId="11F20DCC">
      <w:pPr>
        <w:pStyle w:val="6"/>
        <w:numPr>
          <w:ilvl w:val="0"/>
          <w:numId w:val="202"/>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原厂正品原则</w:t>
      </w:r>
      <w:r>
        <w:rPr>
          <w:rFonts w:hint="eastAsia" w:ascii="仿宋_GB2312" w:hAnsi="仿宋_GB2312" w:eastAsia="仿宋_GB2312" w:cs="仿宋_GB2312"/>
          <w:sz w:val="20"/>
          <w:szCs w:val="20"/>
        </w:rPr>
        <w:t>：更换的所有备件均为原厂正品，确保设备质量与运行稳定性；</w:t>
      </w:r>
    </w:p>
    <w:p w14:paraId="2D033992">
      <w:pPr>
        <w:pStyle w:val="6"/>
        <w:numPr>
          <w:ilvl w:val="0"/>
          <w:numId w:val="202"/>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服务标准不变原则</w:t>
      </w:r>
      <w:r>
        <w:rPr>
          <w:rFonts w:hint="eastAsia" w:ascii="仿宋_GB2312" w:hAnsi="仿宋_GB2312" w:eastAsia="仿宋_GB2312" w:cs="仿宋_GB2312"/>
          <w:sz w:val="20"/>
          <w:szCs w:val="20"/>
        </w:rPr>
        <w:t>：有偿服务的响应时间、处理流程、服务质量与质保期内保持一致，不降低服务标准；</w:t>
      </w:r>
    </w:p>
    <w:p w14:paraId="7BBB493E">
      <w:pPr>
        <w:pStyle w:val="6"/>
        <w:numPr>
          <w:ilvl w:val="0"/>
          <w:numId w:val="202"/>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优先服务原则</w:t>
      </w:r>
      <w:r>
        <w:rPr>
          <w:rFonts w:hint="eastAsia" w:ascii="仿宋_GB2312" w:hAnsi="仿宋_GB2312" w:eastAsia="仿宋_GB2312" w:cs="仿宋_GB2312"/>
          <w:sz w:val="20"/>
          <w:szCs w:val="20"/>
        </w:rPr>
        <w:t>：对校方的服务需求，优先安排、优先处理，确保服务效率。</w:t>
      </w:r>
    </w:p>
    <w:p w14:paraId="7E13AA8C">
      <w:pPr>
        <w:pStyle w:val="3"/>
        <w:numPr>
          <w:ilvl w:val="0"/>
          <w:numId w:val="201"/>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服务内容与收费标准</w:t>
      </w:r>
    </w:p>
    <w:p w14:paraId="6F454733">
      <w:pPr>
        <w:pStyle w:val="6"/>
        <w:numPr>
          <w:ilvl w:val="0"/>
          <w:numId w:val="203"/>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设备维修与配件更换</w:t>
      </w:r>
      <w:r>
        <w:rPr>
          <w:rFonts w:hint="eastAsia" w:ascii="仿宋_GB2312" w:hAnsi="仿宋_GB2312" w:eastAsia="仿宋_GB2312" w:cs="仿宋_GB2312"/>
          <w:sz w:val="20"/>
          <w:szCs w:val="20"/>
        </w:rPr>
        <w:t>：仅收取</w:t>
      </w:r>
      <w:r>
        <w:rPr>
          <w:rFonts w:hint="eastAsia" w:ascii="仿宋_GB2312" w:hAnsi="仿宋_GB2312" w:eastAsia="仿宋_GB2312" w:cs="仿宋_GB2312"/>
          <w:b/>
          <w:sz w:val="20"/>
          <w:szCs w:val="20"/>
        </w:rPr>
        <w:t>配件成本费</w:t>
      </w:r>
      <w:r>
        <w:rPr>
          <w:rFonts w:hint="eastAsia" w:ascii="仿宋_GB2312" w:hAnsi="仿宋_GB2312" w:eastAsia="仿宋_GB2312" w:cs="仿宋_GB2312"/>
          <w:sz w:val="20"/>
          <w:szCs w:val="20"/>
        </w:rPr>
        <w:t>，人工费用全免；配件成本费按原厂采购价收取，向校方提供采购凭证，确保透明；</w:t>
      </w:r>
    </w:p>
    <w:p w14:paraId="0C455E85">
      <w:pPr>
        <w:pStyle w:val="6"/>
        <w:numPr>
          <w:ilvl w:val="0"/>
          <w:numId w:val="203"/>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定期巡检与维护</w:t>
      </w:r>
      <w:r>
        <w:rPr>
          <w:rFonts w:hint="eastAsia" w:ascii="仿宋_GB2312" w:hAnsi="仿宋_GB2312" w:eastAsia="仿宋_GB2312" w:cs="仿宋_GB2312"/>
          <w:sz w:val="20"/>
          <w:szCs w:val="20"/>
        </w:rPr>
        <w:t>：按年度收取巡检成本费，包含人工、耗材、检测等费用，每年2次巡检的费用远低于单次故障维修费用；</w:t>
      </w:r>
    </w:p>
    <w:p w14:paraId="3638B8DC">
      <w:pPr>
        <w:pStyle w:val="6"/>
        <w:numPr>
          <w:ilvl w:val="0"/>
          <w:numId w:val="203"/>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软件系统与课程资源升级</w:t>
      </w:r>
      <w:r>
        <w:rPr>
          <w:rFonts w:hint="eastAsia" w:ascii="仿宋_GB2312" w:hAnsi="仿宋_GB2312" w:eastAsia="仿宋_GB2312" w:cs="仿宋_GB2312"/>
          <w:sz w:val="20"/>
          <w:szCs w:val="20"/>
        </w:rPr>
        <w:t>：透明定价，根据升级内容收取合理的研发与实施成本费，校方定制化升级需求另行协商；</w:t>
      </w:r>
    </w:p>
    <w:p w14:paraId="6BC48C01">
      <w:pPr>
        <w:pStyle w:val="6"/>
        <w:numPr>
          <w:ilvl w:val="0"/>
          <w:numId w:val="203"/>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师资培训与教学支持</w:t>
      </w:r>
      <w:r>
        <w:rPr>
          <w:rFonts w:hint="eastAsia" w:ascii="仿宋_GB2312" w:hAnsi="仿宋_GB2312" w:eastAsia="仿宋_GB2312" w:cs="仿宋_GB2312"/>
          <w:sz w:val="20"/>
          <w:szCs w:val="20"/>
        </w:rPr>
        <w:t>：根据培训规模与内容收取成本费，免费提供日常教学答疑与技术咨询；</w:t>
      </w:r>
    </w:p>
    <w:p w14:paraId="7D468CF9">
      <w:pPr>
        <w:pStyle w:val="6"/>
        <w:numPr>
          <w:ilvl w:val="0"/>
          <w:numId w:val="203"/>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设备升级与改造</w:t>
      </w:r>
      <w:r>
        <w:rPr>
          <w:rFonts w:hint="eastAsia" w:ascii="仿宋_GB2312" w:hAnsi="仿宋_GB2312" w:eastAsia="仿宋_GB2312" w:cs="仿宋_GB2312"/>
          <w:sz w:val="20"/>
          <w:szCs w:val="20"/>
        </w:rPr>
        <w:t>：为校方提供设备硬件升级、功能改造的专属方案，按成本价收取费用，免费提供方案设计与技术指导；</w:t>
      </w:r>
    </w:p>
    <w:p w14:paraId="4289E711">
      <w:pPr>
        <w:pStyle w:val="6"/>
        <w:numPr>
          <w:ilvl w:val="0"/>
          <w:numId w:val="203"/>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环保报废回收</w:t>
      </w:r>
      <w:r>
        <w:rPr>
          <w:rFonts w:hint="eastAsia" w:ascii="仿宋_GB2312" w:hAnsi="仿宋_GB2312" w:eastAsia="仿宋_GB2312" w:cs="仿宋_GB2312"/>
          <w:sz w:val="20"/>
          <w:szCs w:val="20"/>
        </w:rPr>
        <w:t>：对于校方淘汰的老旧设备，提供</w:t>
      </w:r>
      <w:r>
        <w:rPr>
          <w:rFonts w:hint="eastAsia" w:ascii="仿宋_GB2312" w:hAnsi="仿宋_GB2312" w:eastAsia="仿宋_GB2312" w:cs="仿宋_GB2312"/>
          <w:b/>
          <w:sz w:val="20"/>
          <w:szCs w:val="20"/>
        </w:rPr>
        <w:t>免费环保报废回收服务</w:t>
      </w:r>
      <w:r>
        <w:rPr>
          <w:rFonts w:hint="eastAsia" w:ascii="仿宋_GB2312" w:hAnsi="仿宋_GB2312" w:eastAsia="仿宋_GB2312" w:cs="仿宋_GB2312"/>
          <w:sz w:val="20"/>
          <w:szCs w:val="20"/>
        </w:rPr>
        <w:t>，按国家环保标准进行拆解、回收与处理，避免环境污染，回收残值可抵扣校方后续服务费用或设备采购费用。</w:t>
      </w:r>
    </w:p>
    <w:p w14:paraId="21AACF48">
      <w:pPr>
        <w:pStyle w:val="3"/>
        <w:numPr>
          <w:ilvl w:val="0"/>
          <w:numId w:val="201"/>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服务保障</w:t>
      </w:r>
    </w:p>
    <w:p w14:paraId="01C4CF3C">
      <w:pPr>
        <w:pStyle w:val="6"/>
        <w:numPr>
          <w:ilvl w:val="0"/>
          <w:numId w:val="20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质保期后，我方仍保留本项目专属服务团队与沟通渠道，继续为校方提供7×24小时服务响应；</w:t>
      </w:r>
    </w:p>
    <w:p w14:paraId="5385D699">
      <w:pPr>
        <w:pStyle w:val="6"/>
        <w:numPr>
          <w:ilvl w:val="0"/>
          <w:numId w:val="20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泉州本地服务站仍为校方保留备品备件存储，确保故障能及时处理；</w:t>
      </w:r>
    </w:p>
    <w:p w14:paraId="6318CA07">
      <w:pPr>
        <w:pStyle w:val="6"/>
        <w:numPr>
          <w:ilvl w:val="0"/>
          <w:numId w:val="20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为校方提供</w:t>
      </w:r>
      <w:r>
        <w:rPr>
          <w:rFonts w:hint="eastAsia" w:ascii="仿宋_GB2312" w:hAnsi="仿宋_GB2312" w:eastAsia="仿宋_GB2312" w:cs="仿宋_GB2312"/>
          <w:b/>
          <w:sz w:val="20"/>
          <w:szCs w:val="20"/>
        </w:rPr>
        <w:t>终身免费技术咨询服务</w:t>
      </w:r>
      <w:r>
        <w:rPr>
          <w:rFonts w:hint="eastAsia" w:ascii="仿宋_GB2312" w:hAnsi="仿宋_GB2312" w:eastAsia="仿宋_GB2312" w:cs="仿宋_GB2312"/>
          <w:sz w:val="20"/>
          <w:szCs w:val="20"/>
        </w:rPr>
        <w:t>，涵盖设备使用、维护、升级，课程设计、教学实施等所有相关问题；</w:t>
      </w:r>
    </w:p>
    <w:p w14:paraId="1B3DF1CA">
      <w:pPr>
        <w:pStyle w:val="6"/>
        <w:numPr>
          <w:ilvl w:val="0"/>
          <w:numId w:val="20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若校方有设备新增、更新需求，我方将为校方提供专属的整体解决方案，给予校方最优的产品价格与服务政策。</w:t>
      </w:r>
    </w:p>
    <w:p w14:paraId="3EAEB438">
      <w:pPr>
        <w:pStyle w:val="2"/>
        <w:numPr>
          <w:ilvl w:val="0"/>
          <w:numId w:val="147"/>
        </w:numPr>
        <w:topLinePunct w:val="0"/>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售后服务管理制度与档案管理</w:t>
      </w:r>
    </w:p>
    <w:p w14:paraId="2D4D2C35">
      <w:pPr>
        <w:pStyle w:val="3"/>
        <w:numPr>
          <w:ilvl w:val="0"/>
          <w:numId w:val="205"/>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售后服务管理制度</w:t>
      </w:r>
    </w:p>
    <w:p w14:paraId="5CF4E19F">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为确保售后服务标准化、规范化开展，建立完善的售后服务管理制度，包括：</w:t>
      </w:r>
    </w:p>
    <w:p w14:paraId="280B66EF">
      <w:pPr>
        <w:pStyle w:val="6"/>
        <w:numPr>
          <w:ilvl w:val="0"/>
          <w:numId w:val="206"/>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服务人员岗位职责制度</w:t>
      </w:r>
      <w:r>
        <w:rPr>
          <w:rFonts w:hint="eastAsia" w:ascii="仿宋_GB2312" w:hAnsi="仿宋_GB2312" w:eastAsia="仿宋_GB2312" w:cs="仿宋_GB2312"/>
          <w:sz w:val="20"/>
          <w:szCs w:val="20"/>
        </w:rPr>
        <w:t>：明确各服务岗位的职责、工作标准、考核要求，确保专人专岗、各司其职；</w:t>
      </w:r>
    </w:p>
    <w:p w14:paraId="50DD5704">
      <w:pPr>
        <w:pStyle w:val="6"/>
        <w:numPr>
          <w:ilvl w:val="0"/>
          <w:numId w:val="206"/>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服务响应与处理时限制度</w:t>
      </w:r>
      <w:r>
        <w:rPr>
          <w:rFonts w:hint="eastAsia" w:ascii="仿宋_GB2312" w:hAnsi="仿宋_GB2312" w:eastAsia="仿宋_GB2312" w:cs="仿宋_GB2312"/>
          <w:sz w:val="20"/>
          <w:szCs w:val="20"/>
        </w:rPr>
        <w:t>：严格规定各类服务的响应时间、处理时限，确保服务高效；</w:t>
      </w:r>
    </w:p>
    <w:p w14:paraId="12A08A25">
      <w:pPr>
        <w:pStyle w:val="6"/>
        <w:numPr>
          <w:ilvl w:val="0"/>
          <w:numId w:val="206"/>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服务质量考核制度</w:t>
      </w:r>
      <w:r>
        <w:rPr>
          <w:rFonts w:hint="eastAsia" w:ascii="仿宋_GB2312" w:hAnsi="仿宋_GB2312" w:eastAsia="仿宋_GB2312" w:cs="仿宋_GB2312"/>
          <w:sz w:val="20"/>
          <w:szCs w:val="20"/>
        </w:rPr>
        <w:t>：建立服务质量考核指标体系（响应及时率、故障解决率、校方满意度等），对服务人员进行月度、季度、年度考核，考核结果与绩效挂钩；</w:t>
      </w:r>
    </w:p>
    <w:p w14:paraId="590463C4">
      <w:pPr>
        <w:pStyle w:val="6"/>
        <w:numPr>
          <w:ilvl w:val="0"/>
          <w:numId w:val="206"/>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备品备件管理制度</w:t>
      </w:r>
      <w:r>
        <w:rPr>
          <w:rFonts w:hint="eastAsia" w:ascii="仿宋_GB2312" w:hAnsi="仿宋_GB2312" w:eastAsia="仿宋_GB2312" w:cs="仿宋_GB2312"/>
          <w:sz w:val="20"/>
          <w:szCs w:val="20"/>
        </w:rPr>
        <w:t>：建立备品备件采购、存储、调配、补充、报废的全流程管理制度，确保备件完好、账物相符；</w:t>
      </w:r>
    </w:p>
    <w:p w14:paraId="11207C73">
      <w:pPr>
        <w:pStyle w:val="6"/>
        <w:numPr>
          <w:ilvl w:val="0"/>
          <w:numId w:val="206"/>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服务现场管理制度</w:t>
      </w:r>
      <w:r>
        <w:rPr>
          <w:rFonts w:hint="eastAsia" w:ascii="仿宋_GB2312" w:hAnsi="仿宋_GB2312" w:eastAsia="仿宋_GB2312" w:cs="仿宋_GB2312"/>
          <w:sz w:val="20"/>
          <w:szCs w:val="20"/>
        </w:rPr>
        <w:t>：明确服务人员现场服务行为规范，要求文明服务、专业操作、保持现场整洁，维护校方校园环境；</w:t>
      </w:r>
    </w:p>
    <w:p w14:paraId="46535741">
      <w:pPr>
        <w:pStyle w:val="6"/>
        <w:numPr>
          <w:ilvl w:val="0"/>
          <w:numId w:val="206"/>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校方满意度回访制度</w:t>
      </w:r>
      <w:r>
        <w:rPr>
          <w:rFonts w:hint="eastAsia" w:ascii="仿宋_GB2312" w:hAnsi="仿宋_GB2312" w:eastAsia="仿宋_GB2312" w:cs="仿宋_GB2312"/>
          <w:sz w:val="20"/>
          <w:szCs w:val="20"/>
        </w:rPr>
        <w:t>：所有服务完成后，均对校方进行满意度回访，收集校方意见与建议，持续优化服务。</w:t>
      </w:r>
    </w:p>
    <w:p w14:paraId="58BC8BCB">
      <w:pPr>
        <w:pStyle w:val="3"/>
        <w:numPr>
          <w:ilvl w:val="0"/>
          <w:numId w:val="205"/>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售后服务档案管理</w:t>
      </w:r>
    </w:p>
    <w:p w14:paraId="5C609697">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建立</w:t>
      </w:r>
      <w:r>
        <w:rPr>
          <w:rFonts w:hint="eastAsia" w:ascii="仿宋_GB2312" w:hAnsi="仿宋_GB2312" w:eastAsia="仿宋_GB2312" w:cs="仿宋_GB2312"/>
          <w:b/>
          <w:sz w:val="20"/>
          <w:szCs w:val="20"/>
        </w:rPr>
        <w:t>本项目专属售后服务档案</w:t>
      </w:r>
      <w:r>
        <w:rPr>
          <w:rFonts w:hint="eastAsia" w:ascii="仿宋_GB2312" w:hAnsi="仿宋_GB2312" w:eastAsia="仿宋_GB2312" w:cs="仿宋_GB2312"/>
          <w:sz w:val="20"/>
          <w:szCs w:val="20"/>
        </w:rPr>
        <w:t>，对所有售后服务工作进行全程、详细记录，实现服务过程可追溯、可核查、可总结，档案实行</w:t>
      </w:r>
      <w:r>
        <w:rPr>
          <w:rFonts w:hint="eastAsia" w:ascii="仿宋_GB2312" w:hAnsi="仿宋_GB2312" w:eastAsia="仿宋_GB2312" w:cs="仿宋_GB2312"/>
          <w:b/>
          <w:sz w:val="20"/>
          <w:szCs w:val="20"/>
        </w:rPr>
        <w:t>电子档+纸质档</w:t>
      </w:r>
      <w:r>
        <w:rPr>
          <w:rFonts w:hint="eastAsia" w:ascii="仿宋_GB2312" w:hAnsi="仿宋_GB2312" w:eastAsia="仿宋_GB2312" w:cs="仿宋_GB2312"/>
          <w:sz w:val="20"/>
          <w:szCs w:val="20"/>
        </w:rPr>
        <w:t>双重保存，永久留存。</w:t>
      </w:r>
    </w:p>
    <w:p w14:paraId="7AAFA0D9">
      <w:pPr>
        <w:pStyle w:val="6"/>
        <w:numPr>
          <w:ilvl w:val="0"/>
          <w:numId w:val="207"/>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档案内容</w:t>
      </w:r>
      <w:r>
        <w:rPr>
          <w:rFonts w:hint="eastAsia" w:ascii="仿宋_GB2312" w:hAnsi="仿宋_GB2312" w:eastAsia="仿宋_GB2312" w:cs="仿宋_GB2312"/>
          <w:sz w:val="20"/>
          <w:szCs w:val="20"/>
        </w:rPr>
        <w:t>：包括项目合同、验收资料、服务团队信息、沟通记录、技术咨询/远程支持记录、故障处理报告单、软件/课程资源升级方案与验收报告、定期巡检与维护报告、培训资料与考核记录、备品备件台账、校方满意度回访记录等；</w:t>
      </w:r>
    </w:p>
    <w:p w14:paraId="67F571F3">
      <w:pPr>
        <w:pStyle w:val="6"/>
        <w:numPr>
          <w:ilvl w:val="0"/>
          <w:numId w:val="207"/>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档案整理</w:t>
      </w:r>
      <w:r>
        <w:rPr>
          <w:rFonts w:hint="eastAsia" w:ascii="仿宋_GB2312" w:hAnsi="仿宋_GB2312" w:eastAsia="仿宋_GB2312" w:cs="仿宋_GB2312"/>
          <w:sz w:val="20"/>
          <w:szCs w:val="20"/>
        </w:rPr>
        <w:t>：所有服务资料均在服务完成后3个工作日内整理归档，做到分类清晰、编号规范、内容完整；</w:t>
      </w:r>
    </w:p>
    <w:p w14:paraId="66E085AD">
      <w:pPr>
        <w:pStyle w:val="6"/>
        <w:numPr>
          <w:ilvl w:val="0"/>
          <w:numId w:val="207"/>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档案查阅</w:t>
      </w:r>
      <w:r>
        <w:rPr>
          <w:rFonts w:hint="eastAsia" w:ascii="仿宋_GB2312" w:hAnsi="仿宋_GB2312" w:eastAsia="仿宋_GB2312" w:cs="仿宋_GB2312"/>
          <w:sz w:val="20"/>
          <w:szCs w:val="20"/>
        </w:rPr>
        <w:t>：校方有权随时查阅、复制售后服务档案，我方将为校方提供便捷的档案查阅服务；</w:t>
      </w:r>
    </w:p>
    <w:p w14:paraId="6825A01A">
      <w:pPr>
        <w:pStyle w:val="6"/>
        <w:numPr>
          <w:ilvl w:val="0"/>
          <w:numId w:val="207"/>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档案更新</w:t>
      </w:r>
      <w:r>
        <w:rPr>
          <w:rFonts w:hint="eastAsia" w:ascii="仿宋_GB2312" w:hAnsi="仿宋_GB2312" w:eastAsia="仿宋_GB2312" w:cs="仿宋_GB2312"/>
          <w:sz w:val="20"/>
          <w:szCs w:val="20"/>
        </w:rPr>
        <w:t>：售后服务档案随项目服务开展持续更新，确保档案内容与服务实际一致。</w:t>
      </w:r>
    </w:p>
    <w:p w14:paraId="62EEE52B">
      <w:pPr>
        <w:pStyle w:val="2"/>
        <w:numPr>
          <w:ilvl w:val="0"/>
          <w:numId w:val="147"/>
        </w:numPr>
        <w:topLinePunct w:val="0"/>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服务质量保障与校方监督</w:t>
      </w:r>
    </w:p>
    <w:p w14:paraId="0779DA8A">
      <w:pPr>
        <w:pStyle w:val="3"/>
        <w:numPr>
          <w:ilvl w:val="0"/>
          <w:numId w:val="208"/>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服务质量保障措施</w:t>
      </w:r>
    </w:p>
    <w:p w14:paraId="582C5611">
      <w:pPr>
        <w:pStyle w:val="6"/>
        <w:numPr>
          <w:ilvl w:val="0"/>
          <w:numId w:val="209"/>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人员保障</w:t>
      </w:r>
      <w:r>
        <w:rPr>
          <w:rFonts w:hint="eastAsia" w:ascii="仿宋_GB2312" w:hAnsi="仿宋_GB2312" w:eastAsia="仿宋_GB2312" w:cs="仿宋_GB2312"/>
          <w:sz w:val="20"/>
          <w:szCs w:val="20"/>
        </w:rPr>
        <w:t>：所有服务人员均经专业培训考核合格，持证上岗，定期参加技能提升培训，确保专业能力符合服务要求；</w:t>
      </w:r>
    </w:p>
    <w:p w14:paraId="61723421">
      <w:pPr>
        <w:pStyle w:val="6"/>
        <w:numPr>
          <w:ilvl w:val="0"/>
          <w:numId w:val="209"/>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技术保障</w:t>
      </w:r>
      <w:r>
        <w:rPr>
          <w:rFonts w:hint="eastAsia" w:ascii="仿宋_GB2312" w:hAnsi="仿宋_GB2312" w:eastAsia="仿宋_GB2312" w:cs="仿宋_GB2312"/>
          <w:sz w:val="20"/>
          <w:szCs w:val="20"/>
        </w:rPr>
        <w:t>：公司总部技术支持中心为项目提供核心技术支撑，针对复杂故障组织技术攻关，确保故障能彻底解决；</w:t>
      </w:r>
    </w:p>
    <w:p w14:paraId="303E113B">
      <w:pPr>
        <w:pStyle w:val="6"/>
        <w:numPr>
          <w:ilvl w:val="0"/>
          <w:numId w:val="209"/>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资源保障</w:t>
      </w:r>
      <w:r>
        <w:rPr>
          <w:rFonts w:hint="eastAsia" w:ascii="仿宋_GB2312" w:hAnsi="仿宋_GB2312" w:eastAsia="仿宋_GB2312" w:cs="仿宋_GB2312"/>
          <w:sz w:val="20"/>
          <w:szCs w:val="20"/>
        </w:rPr>
        <w:t>：配齐、配足备品备件、服务工具、检测设备，确保服务工作能顺利开展；</w:t>
      </w:r>
    </w:p>
    <w:p w14:paraId="2590383D">
      <w:pPr>
        <w:pStyle w:val="6"/>
        <w:numPr>
          <w:ilvl w:val="0"/>
          <w:numId w:val="209"/>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流程保障</w:t>
      </w:r>
      <w:r>
        <w:rPr>
          <w:rFonts w:hint="eastAsia" w:ascii="仿宋_GB2312" w:hAnsi="仿宋_GB2312" w:eastAsia="仿宋_GB2312" w:cs="仿宋_GB2312"/>
          <w:sz w:val="20"/>
          <w:szCs w:val="20"/>
        </w:rPr>
        <w:t>：建立标准化、流程化的售后服务流程，所有服务工作均按流程执行，确保服务规范；</w:t>
      </w:r>
    </w:p>
    <w:p w14:paraId="3F2E37AC">
      <w:pPr>
        <w:pStyle w:val="6"/>
        <w:numPr>
          <w:ilvl w:val="0"/>
          <w:numId w:val="209"/>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质控保障</w:t>
      </w:r>
      <w:r>
        <w:rPr>
          <w:rFonts w:hint="eastAsia" w:ascii="仿宋_GB2312" w:hAnsi="仿宋_GB2312" w:eastAsia="仿宋_GB2312" w:cs="仿宋_GB2312"/>
          <w:sz w:val="20"/>
          <w:szCs w:val="20"/>
        </w:rPr>
        <w:t>：设立服务质控专员，对所有售后服务工作进行全程监督与质控，及时发现并纠正服务中的问题；</w:t>
      </w:r>
    </w:p>
    <w:p w14:paraId="1EE8C697">
      <w:pPr>
        <w:pStyle w:val="6"/>
        <w:numPr>
          <w:ilvl w:val="0"/>
          <w:numId w:val="209"/>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持续优化</w:t>
      </w:r>
      <w:r>
        <w:rPr>
          <w:rFonts w:hint="eastAsia" w:ascii="仿宋_GB2312" w:hAnsi="仿宋_GB2312" w:eastAsia="仿宋_GB2312" w:cs="仿宋_GB2312"/>
          <w:sz w:val="20"/>
          <w:szCs w:val="20"/>
        </w:rPr>
        <w:t>：定期收集校方意见与建议，对售后服务工作进行总结与分析，持续优化服务方案、服务流程、服务质量。</w:t>
      </w:r>
    </w:p>
    <w:p w14:paraId="63197B67">
      <w:pPr>
        <w:pStyle w:val="3"/>
        <w:numPr>
          <w:ilvl w:val="0"/>
          <w:numId w:val="208"/>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校方监督与投诉渠道</w:t>
      </w:r>
    </w:p>
    <w:p w14:paraId="13B4FD07">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我方自觉接受校方的全程监督，为校方提供便捷的投诉渠道，若校方对我方售后服务不满意，可通过以下渠道进行投诉：</w:t>
      </w:r>
    </w:p>
    <w:p w14:paraId="5B171201">
      <w:pPr>
        <w:pStyle w:val="6"/>
        <w:numPr>
          <w:ilvl w:val="0"/>
          <w:numId w:val="21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项目服务负责人投诉</w:t>
      </w:r>
      <w:r>
        <w:rPr>
          <w:rFonts w:hint="eastAsia" w:ascii="仿宋_GB2312" w:hAnsi="仿宋_GB2312" w:eastAsia="仿宋_GB2312" w:cs="仿宋_GB2312"/>
          <w:sz w:val="20"/>
          <w:szCs w:val="20"/>
        </w:rPr>
        <w:t>：直接向我方本项目服务负责人投诉，联系方式在服务群与服务手册中明确，投诉</w:t>
      </w:r>
      <w:r>
        <w:rPr>
          <w:rFonts w:hint="eastAsia" w:ascii="仿宋_GB2312" w:hAnsi="仿宋_GB2312" w:eastAsia="仿宋_GB2312" w:cs="仿宋_GB2312"/>
          <w:b/>
          <w:sz w:val="20"/>
          <w:szCs w:val="20"/>
        </w:rPr>
        <w:t>24小时内</w:t>
      </w:r>
      <w:r>
        <w:rPr>
          <w:rFonts w:hint="eastAsia" w:ascii="仿宋_GB2312" w:hAnsi="仿宋_GB2312" w:eastAsia="仿宋_GB2312" w:cs="仿宋_GB2312"/>
          <w:sz w:val="20"/>
          <w:szCs w:val="20"/>
        </w:rPr>
        <w:t>给予回复，</w:t>
      </w:r>
      <w:r>
        <w:rPr>
          <w:rFonts w:hint="eastAsia" w:ascii="仿宋_GB2312" w:hAnsi="仿宋_GB2312" w:eastAsia="仿宋_GB2312" w:cs="仿宋_GB2312"/>
          <w:b/>
          <w:sz w:val="20"/>
          <w:szCs w:val="20"/>
        </w:rPr>
        <w:t>3个工作日内</w:t>
      </w:r>
      <w:r>
        <w:rPr>
          <w:rFonts w:hint="eastAsia" w:ascii="仿宋_GB2312" w:hAnsi="仿宋_GB2312" w:eastAsia="仿宋_GB2312" w:cs="仿宋_GB2312"/>
          <w:sz w:val="20"/>
          <w:szCs w:val="20"/>
        </w:rPr>
        <w:t>给出处理结果；</w:t>
      </w:r>
    </w:p>
    <w:p w14:paraId="1A4D7E9D">
      <w:pPr>
        <w:pStyle w:val="6"/>
        <w:numPr>
          <w:ilvl w:val="0"/>
          <w:numId w:val="21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公司总部投诉热线</w:t>
      </w:r>
      <w:r>
        <w:rPr>
          <w:rFonts w:hint="eastAsia" w:ascii="仿宋_GB2312" w:hAnsi="仿宋_GB2312" w:eastAsia="仿宋_GB2312" w:cs="仿宋_GB2312"/>
          <w:sz w:val="20"/>
          <w:szCs w:val="20"/>
        </w:rPr>
        <w:t>：向我方公司总部客户服务中心投诉，总部将对投诉进行全程跟踪、督办，确保问题妥善解决；</w:t>
      </w:r>
    </w:p>
    <w:p w14:paraId="1CD756A9">
      <w:pPr>
        <w:pStyle w:val="6"/>
        <w:numPr>
          <w:ilvl w:val="0"/>
          <w:numId w:val="21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书面投诉</w:t>
      </w:r>
      <w:r>
        <w:rPr>
          <w:rFonts w:hint="eastAsia" w:ascii="仿宋_GB2312" w:hAnsi="仿宋_GB2312" w:eastAsia="仿宋_GB2312" w:cs="仿宋_GB2312"/>
          <w:sz w:val="20"/>
          <w:szCs w:val="20"/>
        </w:rPr>
        <w:t>：通过邮件、信函等书面形式向我方投诉，我方将在收到书面投诉后</w:t>
      </w:r>
      <w:r>
        <w:rPr>
          <w:rFonts w:hint="eastAsia" w:ascii="仿宋_GB2312" w:hAnsi="仿宋_GB2312" w:eastAsia="仿宋_GB2312" w:cs="仿宋_GB2312"/>
          <w:b/>
          <w:sz w:val="20"/>
          <w:szCs w:val="20"/>
        </w:rPr>
        <w:t>1个工作日内</w:t>
      </w:r>
      <w:r>
        <w:rPr>
          <w:rFonts w:hint="eastAsia" w:ascii="仿宋_GB2312" w:hAnsi="仿宋_GB2312" w:eastAsia="仿宋_GB2312" w:cs="仿宋_GB2312"/>
          <w:sz w:val="20"/>
          <w:szCs w:val="20"/>
        </w:rPr>
        <w:t>响应，</w:t>
      </w:r>
      <w:r>
        <w:rPr>
          <w:rFonts w:hint="eastAsia" w:ascii="仿宋_GB2312" w:hAnsi="仿宋_GB2312" w:eastAsia="仿宋_GB2312" w:cs="仿宋_GB2312"/>
          <w:b/>
          <w:sz w:val="20"/>
          <w:szCs w:val="20"/>
        </w:rPr>
        <w:t>5个工作日内</w:t>
      </w:r>
      <w:r>
        <w:rPr>
          <w:rFonts w:hint="eastAsia" w:ascii="仿宋_GB2312" w:hAnsi="仿宋_GB2312" w:eastAsia="仿宋_GB2312" w:cs="仿宋_GB2312"/>
          <w:sz w:val="20"/>
          <w:szCs w:val="20"/>
        </w:rPr>
        <w:t>完成调查与处理，并向校方提交书面处理报告。</w:t>
      </w:r>
    </w:p>
    <w:p w14:paraId="2A4CB044">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我方承诺：对校方的投诉做到</w:t>
      </w:r>
      <w:r>
        <w:rPr>
          <w:rFonts w:hint="eastAsia" w:ascii="仿宋_GB2312" w:hAnsi="仿宋_GB2312" w:eastAsia="仿宋_GB2312" w:cs="仿宋_GB2312"/>
          <w:b/>
          <w:sz w:val="20"/>
          <w:szCs w:val="20"/>
        </w:rPr>
        <w:t>有诉必接、有接必查、有查必果、有果必复</w:t>
      </w:r>
      <w:r>
        <w:rPr>
          <w:rFonts w:hint="eastAsia" w:ascii="仿宋_GB2312" w:hAnsi="仿宋_GB2312" w:eastAsia="仿宋_GB2312" w:cs="仿宋_GB2312"/>
          <w:sz w:val="20"/>
          <w:szCs w:val="20"/>
        </w:rPr>
        <w:t>，确保校方的合理诉求得到及时、妥善解决。</w:t>
      </w:r>
    </w:p>
    <w:p w14:paraId="5F177471">
      <w:pPr>
        <w:pStyle w:val="2"/>
        <w:numPr>
          <w:ilvl w:val="0"/>
          <w:numId w:val="147"/>
        </w:numPr>
        <w:topLinePunct w:val="0"/>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附则</w:t>
      </w:r>
    </w:p>
    <w:p w14:paraId="087A382C">
      <w:pPr>
        <w:pStyle w:val="6"/>
        <w:numPr>
          <w:ilvl w:val="0"/>
          <w:numId w:val="211"/>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本售后服务方案严格遵循本项目招投标文件、采购合同的所有约定，若合同内容与本方案不一致，以采购合同为准；</w:t>
      </w:r>
    </w:p>
    <w:p w14:paraId="349D9A4A">
      <w:pPr>
        <w:pStyle w:val="6"/>
        <w:numPr>
          <w:ilvl w:val="0"/>
          <w:numId w:val="211"/>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本售后服务方案自双方签署项目《验收确认书》之日起正式生效，有效期至质保期结束，质保期后按本方案长效服务条款执行；</w:t>
      </w:r>
    </w:p>
    <w:p w14:paraId="5025A9F3">
      <w:pPr>
        <w:pStyle w:val="6"/>
        <w:numPr>
          <w:ilvl w:val="0"/>
          <w:numId w:val="211"/>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本售后服务方案未尽事宜，由双方友好协商解决，协商结果以书面形式作为本方案的补充，与本方案具有同等法律效力；</w:t>
      </w:r>
    </w:p>
    <w:p w14:paraId="2E871963">
      <w:pPr>
        <w:pStyle w:val="6"/>
        <w:rPr>
          <w:rFonts w:hint="eastAsia" w:ascii="仿宋_GB2312" w:hAnsi="仿宋_GB2312" w:eastAsia="仿宋_GB2312" w:cs="仿宋_GB2312"/>
          <w:sz w:val="20"/>
          <w:szCs w:val="20"/>
        </w:rPr>
      </w:pPr>
    </w:p>
    <w:p w14:paraId="1C8DF3B1">
      <w:pPr>
        <w:rPr>
          <w:rFonts w:hint="default" w:ascii="仿宋_GB2312" w:hAnsi="仿宋_GB2312" w:eastAsia="仿宋_GB2312" w:cs="仿宋_GB2312"/>
          <w:lang w:val="en-US" w:eastAsia="zh-CN"/>
        </w:rPr>
      </w:pPr>
      <w:r>
        <w:rPr>
          <w:rFonts w:hint="default" w:ascii="仿宋_GB2312" w:hAnsi="仿宋_GB2312" w:eastAsia="仿宋_GB2312" w:cs="仿宋_GB2312"/>
          <w:lang w:val="en-US" w:eastAsia="zh-CN"/>
        </w:rPr>
        <w:br w:type="page"/>
      </w:r>
    </w:p>
    <w:p w14:paraId="161A3751">
      <w:pPr>
        <w:pStyle w:val="8"/>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泉州市实验小学大兴校区教学仪器购置(三次)项目</w:t>
      </w:r>
    </w:p>
    <w:p w14:paraId="29F850EC">
      <w:pPr>
        <w:pStyle w:val="8"/>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师资培训方案</w:t>
      </w:r>
    </w:p>
    <w:p w14:paraId="0BAB50CA">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项目编号</w:t>
      </w:r>
      <w:r>
        <w:rPr>
          <w:rFonts w:hint="eastAsia" w:ascii="仿宋_GB2312" w:hAnsi="仿宋_GB2312" w:eastAsia="仿宋_GB2312" w:cs="仿宋_GB2312"/>
          <w:sz w:val="20"/>
          <w:szCs w:val="20"/>
        </w:rPr>
        <w:t>：[350501]HXCG[GK]2025004-2</w:t>
      </w:r>
    </w:p>
    <w:p w14:paraId="699ABC9B">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备案编号</w:t>
      </w:r>
      <w:r>
        <w:rPr>
          <w:rFonts w:hint="eastAsia" w:ascii="仿宋_GB2312" w:hAnsi="仿宋_GB2312" w:eastAsia="仿宋_GB2312" w:cs="仿宋_GB2312"/>
          <w:sz w:val="20"/>
          <w:szCs w:val="20"/>
        </w:rPr>
        <w:t>：CGXM-2025-350501-02944[2025]02530</w:t>
      </w:r>
    </w:p>
    <w:p w14:paraId="63DD5BDF">
      <w:pPr>
        <w:spacing w:before="120" w:after="120" w:line="288" w:lineRule="auto"/>
        <w:ind w:left="0"/>
        <w:jc w:val="left"/>
        <w:rPr>
          <w:rFonts w:hint="eastAsia" w:ascii="仿宋_GB2312" w:hAnsi="仿宋_GB2312" w:eastAsia="仿宋_GB2312" w:cs="仿宋_GB2312"/>
          <w:sz w:val="20"/>
          <w:szCs w:val="20"/>
          <w:lang w:val="en-US" w:eastAsia="zh-CN"/>
        </w:rPr>
      </w:pPr>
      <w:r>
        <w:rPr>
          <w:rFonts w:hint="eastAsia" w:ascii="仿宋_GB2312" w:hAnsi="仿宋_GB2312" w:eastAsia="仿宋_GB2312" w:cs="仿宋_GB2312"/>
          <w:b/>
          <w:sz w:val="20"/>
          <w:szCs w:val="20"/>
        </w:rPr>
        <w:t>培训提供方</w:t>
      </w:r>
      <w:r>
        <w:rPr>
          <w:rFonts w:hint="eastAsia" w:ascii="仿宋_GB2312" w:hAnsi="仿宋_GB2312" w:eastAsia="仿宋_GB2312" w:cs="仿宋_GB2312"/>
          <w:sz w:val="20"/>
          <w:szCs w:val="20"/>
        </w:rPr>
        <w:t>：</w:t>
      </w:r>
      <w:r>
        <w:rPr>
          <w:rFonts w:hint="eastAsia" w:ascii="仿宋_GB2312" w:hAnsi="仿宋_GB2312" w:eastAsia="仿宋_GB2312" w:cs="仿宋_GB2312"/>
          <w:sz w:val="20"/>
          <w:szCs w:val="20"/>
          <w:lang w:val="en-US" w:eastAsia="zh-CN"/>
        </w:rPr>
        <w:t>北京科启星科技有限公司</w:t>
      </w:r>
    </w:p>
    <w:p w14:paraId="0CD22DDF">
      <w:pPr>
        <w:spacing w:before="120" w:after="120" w:line="288" w:lineRule="auto"/>
        <w:ind w:left="0"/>
        <w:jc w:val="left"/>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编制日期</w:t>
      </w:r>
      <w:r>
        <w:rPr>
          <w:rFonts w:hint="eastAsia" w:ascii="仿宋_GB2312" w:hAnsi="仿宋_GB2312" w:eastAsia="仿宋_GB2312" w:cs="仿宋_GB2312"/>
          <w:sz w:val="20"/>
          <w:szCs w:val="20"/>
        </w:rPr>
        <w:t>：</w:t>
      </w:r>
      <w:r>
        <w:rPr>
          <w:rFonts w:hint="eastAsia" w:ascii="仿宋_GB2312" w:hAnsi="仿宋_GB2312" w:eastAsia="仿宋_GB2312" w:cs="仿宋_GB2312"/>
          <w:sz w:val="20"/>
          <w:szCs w:val="20"/>
          <w:lang w:val="en-US" w:eastAsia="zh-CN"/>
        </w:rPr>
        <w:t>2026年2月15日</w:t>
      </w:r>
    </w:p>
    <w:p w14:paraId="07E0615B">
      <w:pPr>
        <w:pStyle w:val="2"/>
        <w:numPr>
          <w:ilvl w:val="0"/>
          <w:numId w:val="212"/>
        </w:numPr>
        <w:topLinePunct w:val="0"/>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培训总则</w:t>
      </w:r>
    </w:p>
    <w:p w14:paraId="0CD867C3">
      <w:pPr>
        <w:pStyle w:val="3"/>
        <w:numPr>
          <w:ilvl w:val="0"/>
          <w:numId w:val="213"/>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培训宗旨</w:t>
      </w:r>
    </w:p>
    <w:p w14:paraId="18E5DBBD">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以“实操为核心、教学为导向、应用为目标”，通过系统化、分层化、专业化的培训，让参训人员全面掌握项目设备操作、维护技能与配套课程教学应用方法，充分发挥天文馆、Stream教室教学设备与课程资源的教学价值，助力校区打造天文与科创特色教学体系，提升教师探究式教学能力。</w:t>
      </w:r>
    </w:p>
    <w:p w14:paraId="669EA2AF">
      <w:pPr>
        <w:pStyle w:val="3"/>
        <w:numPr>
          <w:ilvl w:val="0"/>
          <w:numId w:val="213"/>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培训核心目标</w:t>
      </w:r>
    </w:p>
    <w:p w14:paraId="38E2EFA0">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通过两轮递进式培训，确保参训教师及管理人员实现以下目标：</w:t>
      </w:r>
    </w:p>
    <w:p w14:paraId="4A8B1C8C">
      <w:pPr>
        <w:pStyle w:val="6"/>
        <w:numPr>
          <w:ilvl w:val="0"/>
          <w:numId w:val="21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操作达标</w:t>
      </w:r>
      <w:r>
        <w:rPr>
          <w:rFonts w:hint="eastAsia" w:ascii="仿宋_GB2312" w:hAnsi="仿宋_GB2312" w:eastAsia="仿宋_GB2312" w:cs="仿宋_GB2312"/>
          <w:sz w:val="20"/>
          <w:szCs w:val="20"/>
        </w:rPr>
        <w:t>：熟练掌握所有教学设备的基础操作、功能调试与教学演示方法，能独立完成设备的日常教学使用；</w:t>
      </w:r>
    </w:p>
    <w:p w14:paraId="0B53A13C">
      <w:pPr>
        <w:pStyle w:val="6"/>
        <w:numPr>
          <w:ilvl w:val="0"/>
          <w:numId w:val="21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维护到位</w:t>
      </w:r>
      <w:r>
        <w:rPr>
          <w:rFonts w:hint="eastAsia" w:ascii="仿宋_GB2312" w:hAnsi="仿宋_GB2312" w:eastAsia="仿宋_GB2312" w:cs="仿宋_GB2312"/>
          <w:sz w:val="20"/>
          <w:szCs w:val="20"/>
        </w:rPr>
        <w:t>：掌握设备日常清洁、保养规范，能识别常见故障并进行初步排查与处理，具备基础耗材更换能力；</w:t>
      </w:r>
    </w:p>
    <w:p w14:paraId="04990E20">
      <w:pPr>
        <w:pStyle w:val="6"/>
        <w:numPr>
          <w:ilvl w:val="0"/>
          <w:numId w:val="21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课程落地</w:t>
      </w:r>
      <w:r>
        <w:rPr>
          <w:rFonts w:hint="eastAsia" w:ascii="仿宋_GB2312" w:hAnsi="仿宋_GB2312" w:eastAsia="仿宋_GB2312" w:cs="仿宋_GB2312"/>
          <w:sz w:val="20"/>
          <w:szCs w:val="20"/>
        </w:rPr>
        <w:t>：理解配套课程资源的设计理念，能熟练使用教案、课件、学生手册等资源，实现设备与课程的深度融合；</w:t>
      </w:r>
    </w:p>
    <w:p w14:paraId="758E181F">
      <w:pPr>
        <w:pStyle w:val="6"/>
        <w:numPr>
          <w:ilvl w:val="0"/>
          <w:numId w:val="21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教学自主</w:t>
      </w:r>
      <w:r>
        <w:rPr>
          <w:rFonts w:hint="eastAsia" w:ascii="仿宋_GB2312" w:hAnsi="仿宋_GB2312" w:eastAsia="仿宋_GB2312" w:cs="仿宋_GB2312"/>
          <w:sz w:val="20"/>
          <w:szCs w:val="20"/>
        </w:rPr>
        <w:t>：掌握探究式教学方法，能独立开展天文与科创探究课程，能结合设备设计简单的跨学科教学活动；</w:t>
      </w:r>
    </w:p>
    <w:p w14:paraId="3C5E9685">
      <w:pPr>
        <w:pStyle w:val="6"/>
        <w:numPr>
          <w:ilvl w:val="0"/>
          <w:numId w:val="21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管理规范</w:t>
      </w:r>
      <w:r>
        <w:rPr>
          <w:rFonts w:hint="eastAsia" w:ascii="仿宋_GB2312" w:hAnsi="仿宋_GB2312" w:eastAsia="仿宋_GB2312" w:cs="仿宋_GB2312"/>
          <w:sz w:val="20"/>
          <w:szCs w:val="20"/>
        </w:rPr>
        <w:t>：实验室管理人员能建立设备日常管理台账，规范设备存放、使用、维护流程，保障设备长效稳定运行。</w:t>
      </w:r>
    </w:p>
    <w:p w14:paraId="4A678D4A">
      <w:pPr>
        <w:pStyle w:val="3"/>
        <w:numPr>
          <w:ilvl w:val="0"/>
          <w:numId w:val="213"/>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培训原则</w:t>
      </w:r>
    </w:p>
    <w:p w14:paraId="088EB113">
      <w:pPr>
        <w:pStyle w:val="6"/>
        <w:numPr>
          <w:ilvl w:val="0"/>
          <w:numId w:val="215"/>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实操性原则</w:t>
      </w:r>
      <w:r>
        <w:rPr>
          <w:rFonts w:hint="eastAsia" w:ascii="仿宋_GB2312" w:hAnsi="仿宋_GB2312" w:eastAsia="仿宋_GB2312" w:cs="仿宋_GB2312"/>
          <w:sz w:val="20"/>
          <w:szCs w:val="20"/>
        </w:rPr>
        <w:t>：培训以“现场演示+亲手操作”为主，理论讲解为辅，确保参训人员动手实操占比不低于70%；</w:t>
      </w:r>
    </w:p>
    <w:p w14:paraId="46D012DC">
      <w:pPr>
        <w:pStyle w:val="6"/>
        <w:numPr>
          <w:ilvl w:val="0"/>
          <w:numId w:val="215"/>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分层化原则</w:t>
      </w:r>
      <w:r>
        <w:rPr>
          <w:rFonts w:hint="eastAsia" w:ascii="仿宋_GB2312" w:hAnsi="仿宋_GB2312" w:eastAsia="仿宋_GB2312" w:cs="仿宋_GB2312"/>
          <w:sz w:val="20"/>
          <w:szCs w:val="20"/>
        </w:rPr>
        <w:t>：针对全体教师、骨干教师、实验室管理人员制定差异化培训内容，做到“全员普及、骨干深化、管理专项”；</w:t>
      </w:r>
    </w:p>
    <w:p w14:paraId="20313897">
      <w:pPr>
        <w:pStyle w:val="6"/>
        <w:numPr>
          <w:ilvl w:val="0"/>
          <w:numId w:val="215"/>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递进式原则</w:t>
      </w:r>
      <w:r>
        <w:rPr>
          <w:rFonts w:hint="eastAsia" w:ascii="仿宋_GB2312" w:hAnsi="仿宋_GB2312" w:eastAsia="仿宋_GB2312" w:cs="仿宋_GB2312"/>
          <w:sz w:val="20"/>
          <w:szCs w:val="20"/>
        </w:rPr>
        <w:t>：两轮培训由浅入深，第一轮聚焦“设备操作+基础维护”，第二轮聚焦“课程深化+教学应用提升”，形成能力提升闭环；</w:t>
      </w:r>
    </w:p>
    <w:p w14:paraId="5BF31E6D">
      <w:pPr>
        <w:pStyle w:val="6"/>
        <w:numPr>
          <w:ilvl w:val="0"/>
          <w:numId w:val="215"/>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教学结合原则</w:t>
      </w:r>
      <w:r>
        <w:rPr>
          <w:rFonts w:hint="eastAsia" w:ascii="仿宋_GB2312" w:hAnsi="仿宋_GB2312" w:eastAsia="仿宋_GB2312" w:cs="仿宋_GB2312"/>
          <w:sz w:val="20"/>
          <w:szCs w:val="20"/>
        </w:rPr>
        <w:t>：所有设备培训均结合教学场景开展，避免单纯的技术讲解，确保参训人员能将设备操作转化为教学能力；</w:t>
      </w:r>
    </w:p>
    <w:p w14:paraId="4DA6E877">
      <w:pPr>
        <w:pStyle w:val="6"/>
        <w:numPr>
          <w:ilvl w:val="0"/>
          <w:numId w:val="215"/>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长效性原则</w:t>
      </w:r>
      <w:r>
        <w:rPr>
          <w:rFonts w:hint="eastAsia" w:ascii="仿宋_GB2312" w:hAnsi="仿宋_GB2312" w:eastAsia="仿宋_GB2312" w:cs="仿宋_GB2312"/>
          <w:sz w:val="20"/>
          <w:szCs w:val="20"/>
        </w:rPr>
        <w:t>：培训后提供全方位后续支持，通过远程答疑、视频回放、现场回访等方式，确保培训效果持续落地。</w:t>
      </w:r>
    </w:p>
    <w:p w14:paraId="08724D53">
      <w:pPr>
        <w:pStyle w:val="2"/>
        <w:numPr>
          <w:ilvl w:val="0"/>
          <w:numId w:val="212"/>
        </w:numPr>
        <w:topLinePunct w:val="0"/>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培训对象与培训团队</w:t>
      </w:r>
    </w:p>
    <w:p w14:paraId="4E7B233B">
      <w:pPr>
        <w:pStyle w:val="3"/>
        <w:numPr>
          <w:ilvl w:val="0"/>
          <w:numId w:val="216"/>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培训对象</w:t>
      </w:r>
    </w:p>
    <w:p w14:paraId="4FAF5FB1">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本次培训面向泉州市实验小学大兴校区相关教职工，按岗位与能力需求分为三类，实行分层培训：</w:t>
      </w:r>
    </w:p>
    <w:tbl>
      <w:tblPr>
        <w:tblStyle w:val="9"/>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363"/>
        <w:gridCol w:w="2358"/>
        <w:gridCol w:w="4559"/>
      </w:tblGrid>
      <w:tr w14:paraId="24B8503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363" w:type="dxa"/>
            <w:tcMar>
              <w:top w:w="60" w:type="dxa"/>
              <w:left w:w="120" w:type="dxa"/>
              <w:bottom w:w="30" w:type="dxa"/>
              <w:right w:w="120" w:type="dxa"/>
            </w:tcMar>
            <w:vAlign w:val="center"/>
          </w:tcPr>
          <w:p w14:paraId="4D91FBD8">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培训类别</w:t>
            </w:r>
          </w:p>
        </w:tc>
        <w:tc>
          <w:tcPr>
            <w:tcW w:w="2358" w:type="dxa"/>
            <w:tcMar>
              <w:top w:w="60" w:type="dxa"/>
              <w:left w:w="120" w:type="dxa"/>
              <w:bottom w:w="30" w:type="dxa"/>
              <w:right w:w="120" w:type="dxa"/>
            </w:tcMar>
            <w:vAlign w:val="center"/>
          </w:tcPr>
          <w:p w14:paraId="1A8B04E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培训对象</w:t>
            </w:r>
          </w:p>
        </w:tc>
        <w:tc>
          <w:tcPr>
            <w:tcW w:w="4559" w:type="dxa"/>
            <w:tcMar>
              <w:top w:w="60" w:type="dxa"/>
              <w:left w:w="120" w:type="dxa"/>
              <w:bottom w:w="30" w:type="dxa"/>
              <w:right w:w="120" w:type="dxa"/>
            </w:tcMar>
            <w:vAlign w:val="center"/>
          </w:tcPr>
          <w:p w14:paraId="7213158B">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培训重点</w:t>
            </w:r>
          </w:p>
        </w:tc>
      </w:tr>
      <w:tr w14:paraId="605756E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363" w:type="dxa"/>
            <w:tcMar>
              <w:top w:w="60" w:type="dxa"/>
              <w:left w:w="120" w:type="dxa"/>
              <w:bottom w:w="30" w:type="dxa"/>
              <w:right w:w="120" w:type="dxa"/>
            </w:tcMar>
            <w:vAlign w:val="center"/>
          </w:tcPr>
          <w:p w14:paraId="6DB77DE5">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全员普及层</w:t>
            </w:r>
          </w:p>
        </w:tc>
        <w:tc>
          <w:tcPr>
            <w:tcW w:w="2358" w:type="dxa"/>
            <w:tcMar>
              <w:top w:w="60" w:type="dxa"/>
              <w:left w:w="120" w:type="dxa"/>
              <w:bottom w:w="30" w:type="dxa"/>
              <w:right w:w="120" w:type="dxa"/>
            </w:tcMar>
            <w:vAlign w:val="center"/>
          </w:tcPr>
          <w:p w14:paraId="4D8D268B">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天文、科学、科创等相关学科全体教师</w:t>
            </w:r>
          </w:p>
        </w:tc>
        <w:tc>
          <w:tcPr>
            <w:tcW w:w="4559" w:type="dxa"/>
            <w:tcMar>
              <w:top w:w="60" w:type="dxa"/>
              <w:left w:w="120" w:type="dxa"/>
              <w:bottom w:w="30" w:type="dxa"/>
              <w:right w:w="120" w:type="dxa"/>
            </w:tcMar>
            <w:vAlign w:val="center"/>
          </w:tcPr>
          <w:p w14:paraId="5A1502C0">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设备基础操作、课程基本应用、简单故障识别</w:t>
            </w:r>
          </w:p>
        </w:tc>
      </w:tr>
      <w:tr w14:paraId="47C705E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363" w:type="dxa"/>
            <w:tcMar>
              <w:top w:w="60" w:type="dxa"/>
              <w:left w:w="120" w:type="dxa"/>
              <w:bottom w:w="30" w:type="dxa"/>
              <w:right w:w="120" w:type="dxa"/>
            </w:tcMar>
            <w:vAlign w:val="center"/>
          </w:tcPr>
          <w:p w14:paraId="5AF6C0F1">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骨干深化层</w:t>
            </w:r>
          </w:p>
        </w:tc>
        <w:tc>
          <w:tcPr>
            <w:tcW w:w="2358" w:type="dxa"/>
            <w:tcMar>
              <w:top w:w="60" w:type="dxa"/>
              <w:left w:w="120" w:type="dxa"/>
              <w:bottom w:w="30" w:type="dxa"/>
              <w:right w:w="120" w:type="dxa"/>
            </w:tcMar>
            <w:vAlign w:val="center"/>
          </w:tcPr>
          <w:p w14:paraId="21AF0C59">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1-3名学科骨干教师（教学核心负责人）</w:t>
            </w:r>
          </w:p>
        </w:tc>
        <w:tc>
          <w:tcPr>
            <w:tcW w:w="4559" w:type="dxa"/>
            <w:tcMar>
              <w:top w:w="60" w:type="dxa"/>
              <w:left w:w="120" w:type="dxa"/>
              <w:bottom w:w="30" w:type="dxa"/>
              <w:right w:w="120" w:type="dxa"/>
            </w:tcMar>
            <w:vAlign w:val="center"/>
          </w:tcPr>
          <w:p w14:paraId="3D842F93">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设备高级操作、课程深度设计、探究式教学实施、跨学科课程开发</w:t>
            </w:r>
          </w:p>
        </w:tc>
      </w:tr>
      <w:tr w14:paraId="406D4E5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363" w:type="dxa"/>
            <w:tcMar>
              <w:top w:w="60" w:type="dxa"/>
              <w:left w:w="120" w:type="dxa"/>
              <w:bottom w:w="30" w:type="dxa"/>
              <w:right w:w="120" w:type="dxa"/>
            </w:tcMar>
            <w:vAlign w:val="center"/>
          </w:tcPr>
          <w:p w14:paraId="385D05E4">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管理专项层</w:t>
            </w:r>
          </w:p>
        </w:tc>
        <w:tc>
          <w:tcPr>
            <w:tcW w:w="2358" w:type="dxa"/>
            <w:tcMar>
              <w:top w:w="60" w:type="dxa"/>
              <w:left w:w="120" w:type="dxa"/>
              <w:bottom w:w="30" w:type="dxa"/>
              <w:right w:w="120" w:type="dxa"/>
            </w:tcMar>
            <w:vAlign w:val="center"/>
          </w:tcPr>
          <w:p w14:paraId="64E0A226">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实验室管理员1-2名</w:t>
            </w:r>
          </w:p>
        </w:tc>
        <w:tc>
          <w:tcPr>
            <w:tcW w:w="4559" w:type="dxa"/>
            <w:tcMar>
              <w:top w:w="60" w:type="dxa"/>
              <w:left w:w="120" w:type="dxa"/>
              <w:bottom w:w="30" w:type="dxa"/>
              <w:right w:w="120" w:type="dxa"/>
            </w:tcMar>
            <w:vAlign w:val="center"/>
          </w:tcPr>
          <w:p w14:paraId="07B0E907">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设备全流程维护、故障初步排查、耗材管理、设备台账建立、安全管理</w:t>
            </w:r>
          </w:p>
        </w:tc>
      </w:tr>
    </w:tbl>
    <w:p w14:paraId="3F0F3910">
      <w:pPr>
        <w:pStyle w:val="6"/>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培训规模</w:t>
      </w:r>
      <w:r>
        <w:rPr>
          <w:rFonts w:hint="eastAsia" w:ascii="仿宋_GB2312" w:hAnsi="仿宋_GB2312" w:eastAsia="仿宋_GB2312" w:cs="仿宋_GB2312"/>
          <w:sz w:val="20"/>
          <w:szCs w:val="20"/>
        </w:rPr>
        <w:t>：每场集中培训人数不超过30人，分组实操每组不超过5人，确保人均实操时间与指导针对性。</w:t>
      </w:r>
    </w:p>
    <w:p w14:paraId="0CD19476">
      <w:pPr>
        <w:pStyle w:val="3"/>
        <w:numPr>
          <w:ilvl w:val="0"/>
          <w:numId w:val="216"/>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专业培训团队</w:t>
      </w:r>
    </w:p>
    <w:p w14:paraId="2C93AE68">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由我方组建</w:t>
      </w:r>
      <w:r>
        <w:rPr>
          <w:rFonts w:hint="eastAsia" w:ascii="仿宋_GB2312" w:hAnsi="仿宋_GB2312" w:eastAsia="仿宋_GB2312" w:cs="仿宋_GB2312"/>
          <w:b/>
          <w:sz w:val="20"/>
          <w:szCs w:val="20"/>
        </w:rPr>
        <w:t>双师型专业培训团队</w:t>
      </w:r>
      <w:r>
        <w:rPr>
          <w:rFonts w:hint="eastAsia" w:ascii="仿宋_GB2312" w:hAnsi="仿宋_GB2312" w:eastAsia="仿宋_GB2312" w:cs="仿宋_GB2312"/>
          <w:sz w:val="20"/>
          <w:szCs w:val="20"/>
        </w:rPr>
        <w:t>，共2名核心培训师，均具备5年以上教育设备培训与课程教学指导经验，熟悉小学科学课标与探究式教学理念，全程驻校开展培训，确保培训专业性与实用性。</w:t>
      </w:r>
    </w:p>
    <w:tbl>
      <w:tblPr>
        <w:tblStyle w:val="9"/>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247"/>
        <w:gridCol w:w="884"/>
        <w:gridCol w:w="3042"/>
        <w:gridCol w:w="3107"/>
      </w:tblGrid>
      <w:tr w14:paraId="585B351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247" w:type="dxa"/>
            <w:tcMar>
              <w:top w:w="60" w:type="dxa"/>
              <w:left w:w="120" w:type="dxa"/>
              <w:bottom w:w="30" w:type="dxa"/>
              <w:right w:w="120" w:type="dxa"/>
            </w:tcMar>
            <w:vAlign w:val="center"/>
          </w:tcPr>
          <w:p w14:paraId="258453B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培训师岗位</w:t>
            </w:r>
          </w:p>
        </w:tc>
        <w:tc>
          <w:tcPr>
            <w:tcW w:w="884" w:type="dxa"/>
            <w:tcMar>
              <w:top w:w="60" w:type="dxa"/>
              <w:left w:w="120" w:type="dxa"/>
              <w:bottom w:w="30" w:type="dxa"/>
              <w:right w:w="120" w:type="dxa"/>
            </w:tcMar>
            <w:vAlign w:val="center"/>
          </w:tcPr>
          <w:p w14:paraId="1A0C9D5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人数</w:t>
            </w:r>
          </w:p>
        </w:tc>
        <w:tc>
          <w:tcPr>
            <w:tcW w:w="3042" w:type="dxa"/>
            <w:tcMar>
              <w:top w:w="60" w:type="dxa"/>
              <w:left w:w="120" w:type="dxa"/>
              <w:bottom w:w="30" w:type="dxa"/>
              <w:right w:w="120" w:type="dxa"/>
            </w:tcMar>
            <w:vAlign w:val="center"/>
          </w:tcPr>
          <w:p w14:paraId="24E9935F">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专业能力</w:t>
            </w:r>
          </w:p>
        </w:tc>
        <w:tc>
          <w:tcPr>
            <w:tcW w:w="3107" w:type="dxa"/>
            <w:tcMar>
              <w:top w:w="60" w:type="dxa"/>
              <w:left w:w="120" w:type="dxa"/>
              <w:bottom w:w="30" w:type="dxa"/>
              <w:right w:w="120" w:type="dxa"/>
            </w:tcMar>
            <w:vAlign w:val="center"/>
          </w:tcPr>
          <w:p w14:paraId="5CFF302E">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核心培训职责</w:t>
            </w:r>
          </w:p>
        </w:tc>
      </w:tr>
      <w:tr w14:paraId="066FA5A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247" w:type="dxa"/>
            <w:tcMar>
              <w:top w:w="60" w:type="dxa"/>
              <w:left w:w="120" w:type="dxa"/>
              <w:bottom w:w="30" w:type="dxa"/>
              <w:right w:w="120" w:type="dxa"/>
            </w:tcMar>
            <w:vAlign w:val="center"/>
          </w:tcPr>
          <w:p w14:paraId="1A0E2759">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技术工程师</w:t>
            </w:r>
          </w:p>
        </w:tc>
        <w:tc>
          <w:tcPr>
            <w:tcW w:w="884" w:type="dxa"/>
            <w:tcMar>
              <w:top w:w="60" w:type="dxa"/>
              <w:left w:w="120" w:type="dxa"/>
              <w:bottom w:w="30" w:type="dxa"/>
              <w:right w:w="120" w:type="dxa"/>
            </w:tcMar>
            <w:vAlign w:val="center"/>
          </w:tcPr>
          <w:p w14:paraId="17EF9945">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1名</w:t>
            </w:r>
          </w:p>
        </w:tc>
        <w:tc>
          <w:tcPr>
            <w:tcW w:w="3042" w:type="dxa"/>
            <w:tcMar>
              <w:top w:w="60" w:type="dxa"/>
              <w:left w:w="120" w:type="dxa"/>
              <w:bottom w:w="30" w:type="dxa"/>
              <w:right w:w="120" w:type="dxa"/>
            </w:tcMar>
            <w:vAlign w:val="center"/>
          </w:tcPr>
          <w:p w14:paraId="4DB795AB">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精通天文展教具、VR设备、互动展示屏、实验设备等全品类设备的操作、调试与维护，具备丰富的故障排查经验</w:t>
            </w:r>
          </w:p>
        </w:tc>
        <w:tc>
          <w:tcPr>
            <w:tcW w:w="3107" w:type="dxa"/>
            <w:tcMar>
              <w:top w:w="60" w:type="dxa"/>
              <w:left w:w="120" w:type="dxa"/>
              <w:bottom w:w="30" w:type="dxa"/>
              <w:right w:w="120" w:type="dxa"/>
            </w:tcMar>
            <w:vAlign w:val="center"/>
          </w:tcPr>
          <w:p w14:paraId="0FF7BA58">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负责所有设备的操作培训、维护培训，实验室管理员专项培训，现场实操指导，故障问题解答</w:t>
            </w:r>
          </w:p>
        </w:tc>
      </w:tr>
      <w:tr w14:paraId="4051BF4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247" w:type="dxa"/>
            <w:tcMar>
              <w:top w:w="60" w:type="dxa"/>
              <w:left w:w="120" w:type="dxa"/>
              <w:bottom w:w="30" w:type="dxa"/>
              <w:right w:w="120" w:type="dxa"/>
            </w:tcMar>
            <w:vAlign w:val="center"/>
          </w:tcPr>
          <w:p w14:paraId="12DD4D9E">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教育课程专家</w:t>
            </w:r>
          </w:p>
        </w:tc>
        <w:tc>
          <w:tcPr>
            <w:tcW w:w="884" w:type="dxa"/>
            <w:tcMar>
              <w:top w:w="60" w:type="dxa"/>
              <w:left w:w="120" w:type="dxa"/>
              <w:bottom w:w="30" w:type="dxa"/>
              <w:right w:w="120" w:type="dxa"/>
            </w:tcMar>
            <w:vAlign w:val="center"/>
          </w:tcPr>
          <w:p w14:paraId="2ADAEEC0">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1名</w:t>
            </w:r>
          </w:p>
        </w:tc>
        <w:tc>
          <w:tcPr>
            <w:tcW w:w="3042" w:type="dxa"/>
            <w:tcMar>
              <w:top w:w="60" w:type="dxa"/>
              <w:left w:w="120" w:type="dxa"/>
              <w:bottom w:w="30" w:type="dxa"/>
              <w:right w:w="120" w:type="dxa"/>
            </w:tcMar>
            <w:vAlign w:val="center"/>
          </w:tcPr>
          <w:p w14:paraId="61AAA7A0">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小学科学课标研究专家，精通探究式教学方法，熟悉天文与科创课程设计，具备丰富的校本课程开发经验</w:t>
            </w:r>
          </w:p>
        </w:tc>
        <w:tc>
          <w:tcPr>
            <w:tcW w:w="3107" w:type="dxa"/>
            <w:tcMar>
              <w:top w:w="60" w:type="dxa"/>
              <w:left w:w="120" w:type="dxa"/>
              <w:bottom w:w="30" w:type="dxa"/>
              <w:right w:w="120" w:type="dxa"/>
            </w:tcMar>
            <w:vAlign w:val="center"/>
          </w:tcPr>
          <w:p w14:paraId="7ED9C10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负责课程资源使用培训、探究式教学方法培训，骨干教师课程设计深化培训，教学案例分享与模拟指导</w:t>
            </w:r>
          </w:p>
        </w:tc>
      </w:tr>
    </w:tbl>
    <w:p w14:paraId="3A01842E">
      <w:pPr>
        <w:pStyle w:val="2"/>
        <w:numPr>
          <w:ilvl w:val="0"/>
          <w:numId w:val="212"/>
        </w:numPr>
        <w:topLinePunct w:val="0"/>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培训整体安排</w:t>
      </w:r>
    </w:p>
    <w:p w14:paraId="07479337">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本次培训共分</w:t>
      </w:r>
      <w:r>
        <w:rPr>
          <w:rFonts w:hint="eastAsia" w:ascii="仿宋_GB2312" w:hAnsi="仿宋_GB2312" w:eastAsia="仿宋_GB2312" w:cs="仿宋_GB2312"/>
          <w:b/>
          <w:sz w:val="20"/>
          <w:szCs w:val="20"/>
        </w:rPr>
        <w:t>两轮开展</w:t>
      </w:r>
      <w:r>
        <w:rPr>
          <w:rFonts w:hint="eastAsia" w:ascii="仿宋_GB2312" w:hAnsi="仿宋_GB2312" w:eastAsia="仿宋_GB2312" w:cs="仿宋_GB2312"/>
          <w:sz w:val="20"/>
          <w:szCs w:val="20"/>
        </w:rPr>
        <w:t>，总培训时长为</w:t>
      </w:r>
      <w:r>
        <w:rPr>
          <w:rFonts w:hint="eastAsia" w:ascii="仿宋_GB2312" w:hAnsi="仿宋_GB2312" w:eastAsia="仿宋_GB2312" w:cs="仿宋_GB2312"/>
          <w:b/>
          <w:sz w:val="20"/>
          <w:szCs w:val="20"/>
        </w:rPr>
        <w:t>4天/24课时</w:t>
      </w:r>
      <w:r>
        <w:rPr>
          <w:rFonts w:hint="eastAsia" w:ascii="仿宋_GB2312" w:hAnsi="仿宋_GB2312" w:eastAsia="仿宋_GB2312" w:cs="仿宋_GB2312"/>
          <w:sz w:val="20"/>
          <w:szCs w:val="20"/>
        </w:rPr>
        <w:t>（每课时60分钟），两轮培训由浅入深、层层递进，培训时间避开学校正常教学时段，确保参训人员全程参与。</w:t>
      </w:r>
    </w:p>
    <w:p w14:paraId="00A88564">
      <w:pPr>
        <w:pStyle w:val="3"/>
        <w:numPr>
          <w:ilvl w:val="0"/>
          <w:numId w:val="217"/>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培训整体规划</w:t>
      </w:r>
    </w:p>
    <w:tbl>
      <w:tblPr>
        <w:tblStyle w:val="9"/>
        <w:tblW w:w="8752" w:type="dxa"/>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215"/>
        <w:gridCol w:w="1390"/>
        <w:gridCol w:w="1358"/>
        <w:gridCol w:w="2637"/>
        <w:gridCol w:w="2152"/>
      </w:tblGrid>
      <w:tr w14:paraId="5A1E49E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215" w:type="dxa"/>
            <w:tcMar>
              <w:top w:w="60" w:type="dxa"/>
              <w:left w:w="120" w:type="dxa"/>
              <w:bottom w:w="30" w:type="dxa"/>
              <w:right w:w="120" w:type="dxa"/>
            </w:tcMar>
            <w:vAlign w:val="center"/>
          </w:tcPr>
          <w:p w14:paraId="465A235B">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培训轮次</w:t>
            </w:r>
          </w:p>
        </w:tc>
        <w:tc>
          <w:tcPr>
            <w:tcW w:w="1390" w:type="dxa"/>
            <w:tcMar>
              <w:top w:w="60" w:type="dxa"/>
              <w:left w:w="120" w:type="dxa"/>
              <w:bottom w:w="30" w:type="dxa"/>
              <w:right w:w="120" w:type="dxa"/>
            </w:tcMar>
            <w:vAlign w:val="center"/>
          </w:tcPr>
          <w:p w14:paraId="5D31CF80">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培训时间</w:t>
            </w:r>
          </w:p>
        </w:tc>
        <w:tc>
          <w:tcPr>
            <w:tcW w:w="1358" w:type="dxa"/>
            <w:tcMar>
              <w:top w:w="60" w:type="dxa"/>
              <w:left w:w="120" w:type="dxa"/>
              <w:bottom w:w="30" w:type="dxa"/>
              <w:right w:w="120" w:type="dxa"/>
            </w:tcMar>
            <w:vAlign w:val="center"/>
          </w:tcPr>
          <w:p w14:paraId="34E7004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培训核心</w:t>
            </w:r>
          </w:p>
        </w:tc>
        <w:tc>
          <w:tcPr>
            <w:tcW w:w="2637" w:type="dxa"/>
            <w:tcMar>
              <w:top w:w="60" w:type="dxa"/>
              <w:left w:w="120" w:type="dxa"/>
              <w:bottom w:w="30" w:type="dxa"/>
              <w:right w:w="120" w:type="dxa"/>
            </w:tcMar>
            <w:vAlign w:val="center"/>
          </w:tcPr>
          <w:p w14:paraId="0D48948E">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培训重点</w:t>
            </w:r>
          </w:p>
        </w:tc>
        <w:tc>
          <w:tcPr>
            <w:tcW w:w="2152" w:type="dxa"/>
            <w:tcMar>
              <w:top w:w="60" w:type="dxa"/>
              <w:left w:w="120" w:type="dxa"/>
              <w:bottom w:w="30" w:type="dxa"/>
              <w:right w:w="120" w:type="dxa"/>
            </w:tcMar>
            <w:vAlign w:val="center"/>
          </w:tcPr>
          <w:p w14:paraId="66944FD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培训目标</w:t>
            </w:r>
          </w:p>
        </w:tc>
      </w:tr>
      <w:tr w14:paraId="6F8A862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215" w:type="dxa"/>
            <w:tcMar>
              <w:top w:w="60" w:type="dxa"/>
              <w:left w:w="120" w:type="dxa"/>
              <w:bottom w:w="30" w:type="dxa"/>
              <w:right w:w="120" w:type="dxa"/>
            </w:tcMar>
            <w:vAlign w:val="center"/>
          </w:tcPr>
          <w:p w14:paraId="2DA1A75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第一轮培训</w:t>
            </w:r>
          </w:p>
        </w:tc>
        <w:tc>
          <w:tcPr>
            <w:tcW w:w="1390" w:type="dxa"/>
            <w:tcMar>
              <w:top w:w="60" w:type="dxa"/>
              <w:left w:w="120" w:type="dxa"/>
              <w:bottom w:w="30" w:type="dxa"/>
              <w:right w:w="120" w:type="dxa"/>
            </w:tcMar>
            <w:vAlign w:val="center"/>
          </w:tcPr>
          <w:p w14:paraId="66D65F88">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设备安装调试完成后3个工作日内</w:t>
            </w:r>
          </w:p>
        </w:tc>
        <w:tc>
          <w:tcPr>
            <w:tcW w:w="1358" w:type="dxa"/>
            <w:tcMar>
              <w:top w:w="60" w:type="dxa"/>
              <w:left w:w="120" w:type="dxa"/>
              <w:bottom w:w="30" w:type="dxa"/>
              <w:right w:w="120" w:type="dxa"/>
            </w:tcMar>
            <w:vAlign w:val="center"/>
          </w:tcPr>
          <w:p w14:paraId="737EF6A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设备操作与基础维护</w:t>
            </w:r>
          </w:p>
        </w:tc>
        <w:tc>
          <w:tcPr>
            <w:tcW w:w="2637" w:type="dxa"/>
            <w:tcMar>
              <w:top w:w="60" w:type="dxa"/>
              <w:left w:w="120" w:type="dxa"/>
              <w:bottom w:w="30" w:type="dxa"/>
              <w:right w:w="120" w:type="dxa"/>
            </w:tcMar>
            <w:vAlign w:val="center"/>
          </w:tcPr>
          <w:p w14:paraId="4F9F3006">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全品类设备的启动、调试、教学演示；设备日常清洁、保养；常见简单故障识别与排查；课程资源基础使用</w:t>
            </w:r>
          </w:p>
        </w:tc>
        <w:tc>
          <w:tcPr>
            <w:tcW w:w="2152" w:type="dxa"/>
            <w:tcMar>
              <w:top w:w="60" w:type="dxa"/>
              <w:left w:w="120" w:type="dxa"/>
              <w:bottom w:w="30" w:type="dxa"/>
              <w:right w:w="120" w:type="dxa"/>
            </w:tcMar>
            <w:vAlign w:val="center"/>
          </w:tcPr>
          <w:p w14:paraId="387FB3C0">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全员掌握设备基础操作与维护能力，能开展简单的课程教学，管理员能完成设备日常基础管理</w:t>
            </w:r>
          </w:p>
        </w:tc>
      </w:tr>
      <w:tr w14:paraId="1C7343A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215" w:type="dxa"/>
            <w:tcMar>
              <w:top w:w="60" w:type="dxa"/>
              <w:left w:w="120" w:type="dxa"/>
              <w:bottom w:w="30" w:type="dxa"/>
              <w:right w:w="120" w:type="dxa"/>
            </w:tcMar>
            <w:vAlign w:val="center"/>
          </w:tcPr>
          <w:p w14:paraId="2EE9676A">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第二轮培训</w:t>
            </w:r>
          </w:p>
        </w:tc>
        <w:tc>
          <w:tcPr>
            <w:tcW w:w="1390" w:type="dxa"/>
            <w:tcMar>
              <w:top w:w="60" w:type="dxa"/>
              <w:left w:w="120" w:type="dxa"/>
              <w:bottom w:w="30" w:type="dxa"/>
              <w:right w:w="120" w:type="dxa"/>
            </w:tcMar>
            <w:vAlign w:val="center"/>
          </w:tcPr>
          <w:p w14:paraId="1408EA7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第一轮培训结束后1个月内（设备首次使用后）</w:t>
            </w:r>
          </w:p>
        </w:tc>
        <w:tc>
          <w:tcPr>
            <w:tcW w:w="1358" w:type="dxa"/>
            <w:tcMar>
              <w:top w:w="60" w:type="dxa"/>
              <w:left w:w="120" w:type="dxa"/>
              <w:bottom w:w="30" w:type="dxa"/>
              <w:right w:w="120" w:type="dxa"/>
            </w:tcMar>
            <w:vAlign w:val="center"/>
          </w:tcPr>
          <w:p w14:paraId="1069092F">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课程深化与教学应用提升</w:t>
            </w:r>
          </w:p>
        </w:tc>
        <w:tc>
          <w:tcPr>
            <w:tcW w:w="2637" w:type="dxa"/>
            <w:tcMar>
              <w:top w:w="60" w:type="dxa"/>
              <w:left w:w="120" w:type="dxa"/>
              <w:bottom w:w="30" w:type="dxa"/>
              <w:right w:w="120" w:type="dxa"/>
            </w:tcMar>
            <w:vAlign w:val="center"/>
          </w:tcPr>
          <w:p w14:paraId="0CEA2168">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设备高级功能教学应用；探究式教学方法落地；设备与课程深度融合技巧；跨学科课程设计；教学案例优化；设备复杂故障初步处理</w:t>
            </w:r>
          </w:p>
        </w:tc>
        <w:tc>
          <w:tcPr>
            <w:tcW w:w="2152" w:type="dxa"/>
            <w:tcMar>
              <w:top w:w="60" w:type="dxa"/>
              <w:left w:w="120" w:type="dxa"/>
              <w:bottom w:w="30" w:type="dxa"/>
              <w:right w:w="120" w:type="dxa"/>
            </w:tcMar>
            <w:vAlign w:val="center"/>
          </w:tcPr>
          <w:p w14:paraId="3CBC31EF">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骨干教师能独立设计探究式课程与跨学科教学活动，全员能熟练开展设备配套课程教学，管理员能处理常见设备故障</w:t>
            </w:r>
          </w:p>
        </w:tc>
      </w:tr>
    </w:tbl>
    <w:p w14:paraId="24338DF1">
      <w:pPr>
        <w:pStyle w:val="3"/>
        <w:numPr>
          <w:ilvl w:val="0"/>
          <w:numId w:val="217"/>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第一轮培训详细计划（设备操作与基础维护·2天/12课时）</w:t>
      </w:r>
    </w:p>
    <w:tbl>
      <w:tblPr>
        <w:tblStyle w:val="9"/>
        <w:tblW w:w="8710" w:type="dxa"/>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autofit"/>
        <w:tblCellMar>
          <w:top w:w="0" w:type="dxa"/>
          <w:left w:w="10" w:type="dxa"/>
          <w:bottom w:w="0" w:type="dxa"/>
          <w:right w:w="10" w:type="dxa"/>
        </w:tblCellMar>
      </w:tblPr>
      <w:tblGrid>
        <w:gridCol w:w="853"/>
        <w:gridCol w:w="1431"/>
        <w:gridCol w:w="629"/>
        <w:gridCol w:w="2295"/>
        <w:gridCol w:w="660"/>
        <w:gridCol w:w="813"/>
        <w:gridCol w:w="861"/>
        <w:gridCol w:w="1168"/>
      </w:tblGrid>
      <w:tr w14:paraId="3D744410">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0" w:type="auto"/>
            <w:tcMar>
              <w:top w:w="60" w:type="dxa"/>
              <w:left w:w="120" w:type="dxa"/>
              <w:bottom w:w="30" w:type="dxa"/>
              <w:right w:w="120" w:type="dxa"/>
            </w:tcMar>
            <w:vAlign w:val="center"/>
          </w:tcPr>
          <w:p w14:paraId="2541441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w:t>
            </w:r>
          </w:p>
          <w:p w14:paraId="449C202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日期</w:t>
            </w:r>
          </w:p>
        </w:tc>
        <w:tc>
          <w:tcPr>
            <w:tcW w:w="0" w:type="auto"/>
            <w:tcMar>
              <w:top w:w="60" w:type="dxa"/>
              <w:left w:w="120" w:type="dxa"/>
              <w:bottom w:w="30" w:type="dxa"/>
              <w:right w:w="120" w:type="dxa"/>
            </w:tcMar>
            <w:vAlign w:val="center"/>
          </w:tcPr>
          <w:p w14:paraId="377329A6">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w:t>
            </w:r>
          </w:p>
          <w:p w14:paraId="6C1B7E3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时段</w:t>
            </w:r>
          </w:p>
        </w:tc>
        <w:tc>
          <w:tcPr>
            <w:tcW w:w="0" w:type="auto"/>
            <w:tcMar>
              <w:top w:w="60" w:type="dxa"/>
              <w:left w:w="120" w:type="dxa"/>
              <w:bottom w:w="30" w:type="dxa"/>
              <w:right w:w="120" w:type="dxa"/>
            </w:tcMar>
            <w:vAlign w:val="center"/>
          </w:tcPr>
          <w:p w14:paraId="303F7E3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w:t>
            </w:r>
          </w:p>
          <w:p w14:paraId="7B35858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模块</w:t>
            </w:r>
          </w:p>
        </w:tc>
        <w:tc>
          <w:tcPr>
            <w:tcW w:w="0" w:type="auto"/>
            <w:tcMar>
              <w:top w:w="60" w:type="dxa"/>
              <w:left w:w="120" w:type="dxa"/>
              <w:bottom w:w="30" w:type="dxa"/>
              <w:right w:w="120" w:type="dxa"/>
            </w:tcMar>
            <w:vAlign w:val="center"/>
          </w:tcPr>
          <w:p w14:paraId="3CF5CFF6">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w:t>
            </w:r>
          </w:p>
          <w:p w14:paraId="08F5EE11">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内容</w:t>
            </w:r>
          </w:p>
        </w:tc>
        <w:tc>
          <w:tcPr>
            <w:tcW w:w="0" w:type="auto"/>
            <w:tcMar>
              <w:top w:w="60" w:type="dxa"/>
              <w:left w:w="120" w:type="dxa"/>
              <w:bottom w:w="30" w:type="dxa"/>
              <w:right w:w="120" w:type="dxa"/>
            </w:tcMar>
            <w:vAlign w:val="center"/>
          </w:tcPr>
          <w:p w14:paraId="32A86DCA">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w:t>
            </w:r>
          </w:p>
          <w:p w14:paraId="0E867634">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方式</w:t>
            </w:r>
          </w:p>
        </w:tc>
        <w:tc>
          <w:tcPr>
            <w:tcW w:w="0" w:type="auto"/>
            <w:tcMar>
              <w:top w:w="60" w:type="dxa"/>
              <w:left w:w="120" w:type="dxa"/>
              <w:bottom w:w="30" w:type="dxa"/>
              <w:right w:w="120" w:type="dxa"/>
            </w:tcMar>
            <w:vAlign w:val="center"/>
          </w:tcPr>
          <w:p w14:paraId="43A24D61">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w:t>
            </w:r>
          </w:p>
          <w:p w14:paraId="646F8181">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对象</w:t>
            </w:r>
          </w:p>
        </w:tc>
        <w:tc>
          <w:tcPr>
            <w:tcW w:w="861" w:type="dxa"/>
            <w:tcMar>
              <w:top w:w="60" w:type="dxa"/>
              <w:left w:w="120" w:type="dxa"/>
              <w:bottom w:w="30" w:type="dxa"/>
              <w:right w:w="120" w:type="dxa"/>
            </w:tcMar>
            <w:vAlign w:val="center"/>
          </w:tcPr>
          <w:p w14:paraId="5CD096A7">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培训师</w:t>
            </w:r>
          </w:p>
        </w:tc>
        <w:tc>
          <w:tcPr>
            <w:tcW w:w="1168" w:type="dxa"/>
            <w:tcMar>
              <w:top w:w="60" w:type="dxa"/>
              <w:left w:w="120" w:type="dxa"/>
              <w:bottom w:w="30" w:type="dxa"/>
              <w:right w:w="120" w:type="dxa"/>
            </w:tcMar>
            <w:vAlign w:val="center"/>
          </w:tcPr>
          <w:p w14:paraId="658931B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考核要点</w:t>
            </w:r>
          </w:p>
        </w:tc>
      </w:tr>
      <w:tr w14:paraId="118266D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0" w:type="auto"/>
            <w:tcMar>
              <w:top w:w="60" w:type="dxa"/>
              <w:left w:w="120" w:type="dxa"/>
              <w:bottom w:w="30" w:type="dxa"/>
              <w:right w:w="120" w:type="dxa"/>
            </w:tcMar>
            <w:vAlign w:val="center"/>
          </w:tcPr>
          <w:p w14:paraId="62F7FC7A">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第一天</w:t>
            </w:r>
            <w:r>
              <w:rPr>
                <w:rFonts w:hint="eastAsia" w:ascii="仿宋_GB2312" w:hAnsi="仿宋_GB2312" w:eastAsia="仿宋_GB2312" w:cs="仿宋_GB2312"/>
                <w:sz w:val="20"/>
                <w:szCs w:val="20"/>
              </w:rPr>
              <w:t>设备操作专场</w:t>
            </w:r>
          </w:p>
        </w:tc>
        <w:tc>
          <w:tcPr>
            <w:tcW w:w="0" w:type="auto"/>
            <w:tcMar>
              <w:top w:w="60" w:type="dxa"/>
              <w:left w:w="120" w:type="dxa"/>
              <w:bottom w:w="30" w:type="dxa"/>
              <w:right w:w="120" w:type="dxa"/>
            </w:tcMar>
            <w:vAlign w:val="center"/>
          </w:tcPr>
          <w:p w14:paraId="76C5EF63">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09:00-10:30（1.5课时）</w:t>
            </w:r>
          </w:p>
        </w:tc>
        <w:tc>
          <w:tcPr>
            <w:tcW w:w="0" w:type="auto"/>
            <w:tcMar>
              <w:top w:w="60" w:type="dxa"/>
              <w:left w:w="120" w:type="dxa"/>
              <w:bottom w:w="30" w:type="dxa"/>
              <w:right w:w="120" w:type="dxa"/>
            </w:tcMar>
            <w:vAlign w:val="center"/>
          </w:tcPr>
          <w:p w14:paraId="5B4B8E35">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开班仪式+培训导学</w:t>
            </w:r>
          </w:p>
        </w:tc>
        <w:tc>
          <w:tcPr>
            <w:tcW w:w="0" w:type="auto"/>
            <w:tcMar>
              <w:top w:w="60" w:type="dxa"/>
              <w:left w:w="120" w:type="dxa"/>
              <w:bottom w:w="30" w:type="dxa"/>
              <w:right w:w="120" w:type="dxa"/>
            </w:tcMar>
            <w:vAlign w:val="center"/>
          </w:tcPr>
          <w:p w14:paraId="69007563">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培训宗旨、目标、整体安排；2. 项目设备整体介绍与教学应用价值；3. 培训纪律与考核要求</w:t>
            </w:r>
          </w:p>
        </w:tc>
        <w:tc>
          <w:tcPr>
            <w:tcW w:w="0" w:type="auto"/>
            <w:tcMar>
              <w:top w:w="60" w:type="dxa"/>
              <w:left w:w="120" w:type="dxa"/>
              <w:bottom w:w="30" w:type="dxa"/>
              <w:right w:w="120" w:type="dxa"/>
            </w:tcMar>
            <w:vAlign w:val="center"/>
          </w:tcPr>
          <w:p w14:paraId="1CC1226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专题讲解+互动答疑</w:t>
            </w:r>
          </w:p>
        </w:tc>
        <w:tc>
          <w:tcPr>
            <w:tcW w:w="0" w:type="auto"/>
            <w:tcMar>
              <w:top w:w="60" w:type="dxa"/>
              <w:left w:w="120" w:type="dxa"/>
              <w:bottom w:w="30" w:type="dxa"/>
              <w:right w:w="120" w:type="dxa"/>
            </w:tcMar>
            <w:vAlign w:val="center"/>
          </w:tcPr>
          <w:p w14:paraId="22323270">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全体参训人员</w:t>
            </w:r>
          </w:p>
        </w:tc>
        <w:tc>
          <w:tcPr>
            <w:tcW w:w="861" w:type="dxa"/>
            <w:tcMar>
              <w:top w:w="60" w:type="dxa"/>
              <w:left w:w="120" w:type="dxa"/>
              <w:bottom w:w="30" w:type="dxa"/>
              <w:right w:w="120" w:type="dxa"/>
            </w:tcMar>
            <w:vAlign w:val="center"/>
          </w:tcPr>
          <w:p w14:paraId="4BCD88BF">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技术工程师+课程专家</w:t>
            </w:r>
          </w:p>
        </w:tc>
        <w:tc>
          <w:tcPr>
            <w:tcW w:w="1168" w:type="dxa"/>
            <w:tcMar>
              <w:top w:w="60" w:type="dxa"/>
              <w:left w:w="120" w:type="dxa"/>
              <w:bottom w:w="30" w:type="dxa"/>
              <w:right w:w="120" w:type="dxa"/>
            </w:tcMar>
            <w:vAlign w:val="center"/>
          </w:tcPr>
          <w:p w14:paraId="50084F71">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w:t>
            </w:r>
          </w:p>
        </w:tc>
      </w:tr>
      <w:tr w14:paraId="55C8DB9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0" w:type="auto"/>
            <w:tcMar>
              <w:top w:w="60" w:type="dxa"/>
              <w:left w:w="120" w:type="dxa"/>
              <w:bottom w:w="30" w:type="dxa"/>
              <w:right w:w="120" w:type="dxa"/>
            </w:tcMar>
            <w:vAlign w:val="center"/>
          </w:tcPr>
          <w:p w14:paraId="08AE5B58">
            <w:pPr>
              <w:jc w:val="center"/>
              <w:rPr>
                <w:rFonts w:hint="eastAsia" w:ascii="仿宋_GB2312" w:hAnsi="仿宋_GB2312" w:eastAsia="仿宋_GB2312" w:cs="仿宋_GB2312"/>
                <w:sz w:val="20"/>
                <w:szCs w:val="20"/>
              </w:rPr>
            </w:pPr>
          </w:p>
        </w:tc>
        <w:tc>
          <w:tcPr>
            <w:tcW w:w="0" w:type="auto"/>
            <w:tcMar>
              <w:top w:w="60" w:type="dxa"/>
              <w:left w:w="120" w:type="dxa"/>
              <w:bottom w:w="30" w:type="dxa"/>
              <w:right w:w="120" w:type="dxa"/>
            </w:tcMar>
            <w:vAlign w:val="center"/>
          </w:tcPr>
          <w:p w14:paraId="00D75B25">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10:40-12:00（1.5课时）</w:t>
            </w:r>
          </w:p>
        </w:tc>
        <w:tc>
          <w:tcPr>
            <w:tcW w:w="0" w:type="auto"/>
            <w:tcMar>
              <w:top w:w="60" w:type="dxa"/>
              <w:left w:w="120" w:type="dxa"/>
              <w:bottom w:w="30" w:type="dxa"/>
              <w:right w:w="120" w:type="dxa"/>
            </w:tcMar>
            <w:vAlign w:val="center"/>
          </w:tcPr>
          <w:p w14:paraId="53B4C690">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天文展教具操作</w:t>
            </w:r>
          </w:p>
        </w:tc>
        <w:tc>
          <w:tcPr>
            <w:tcW w:w="0" w:type="auto"/>
            <w:tcMar>
              <w:top w:w="60" w:type="dxa"/>
              <w:left w:w="120" w:type="dxa"/>
              <w:bottom w:w="30" w:type="dxa"/>
              <w:right w:w="120" w:type="dxa"/>
            </w:tcMar>
            <w:vAlign w:val="center"/>
          </w:tcPr>
          <w:p w14:paraId="48144639">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“走过四季”“月相变化”“测量地球的周长”等核心互动展品的启动、参数调试、教学演示方法；2. 展品互动功能与教学环节的结合技巧；3. 展品操作安全注意事项</w:t>
            </w:r>
          </w:p>
        </w:tc>
        <w:tc>
          <w:tcPr>
            <w:tcW w:w="0" w:type="auto"/>
            <w:tcMar>
              <w:top w:w="60" w:type="dxa"/>
              <w:left w:w="120" w:type="dxa"/>
              <w:bottom w:w="30" w:type="dxa"/>
              <w:right w:w="120" w:type="dxa"/>
            </w:tcMar>
            <w:vAlign w:val="center"/>
          </w:tcPr>
          <w:p w14:paraId="745D3AC9">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现场演示+分组实操+一对一指导</w:t>
            </w:r>
          </w:p>
        </w:tc>
        <w:tc>
          <w:tcPr>
            <w:tcW w:w="0" w:type="auto"/>
            <w:tcMar>
              <w:top w:w="60" w:type="dxa"/>
              <w:left w:w="120" w:type="dxa"/>
              <w:bottom w:w="30" w:type="dxa"/>
              <w:right w:w="120" w:type="dxa"/>
            </w:tcMar>
            <w:vAlign w:val="center"/>
          </w:tcPr>
          <w:p w14:paraId="79A0148B">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全体参训人员</w:t>
            </w:r>
          </w:p>
        </w:tc>
        <w:tc>
          <w:tcPr>
            <w:tcW w:w="861" w:type="dxa"/>
            <w:tcMar>
              <w:top w:w="60" w:type="dxa"/>
              <w:left w:w="120" w:type="dxa"/>
              <w:bottom w:w="30" w:type="dxa"/>
              <w:right w:w="120" w:type="dxa"/>
            </w:tcMar>
            <w:vAlign w:val="center"/>
          </w:tcPr>
          <w:p w14:paraId="2935F50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技术工程师</w:t>
            </w:r>
          </w:p>
        </w:tc>
        <w:tc>
          <w:tcPr>
            <w:tcW w:w="1168" w:type="dxa"/>
            <w:tcMar>
              <w:top w:w="60" w:type="dxa"/>
              <w:left w:w="120" w:type="dxa"/>
              <w:bottom w:w="30" w:type="dxa"/>
              <w:right w:w="120" w:type="dxa"/>
            </w:tcMar>
            <w:vAlign w:val="center"/>
          </w:tcPr>
          <w:p w14:paraId="406DEF65">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能独立完成展品启动、调试与基础教学演示</w:t>
            </w:r>
          </w:p>
        </w:tc>
      </w:tr>
      <w:tr w14:paraId="7B18EE4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0" w:type="auto"/>
            <w:tcMar>
              <w:top w:w="60" w:type="dxa"/>
              <w:left w:w="120" w:type="dxa"/>
              <w:bottom w:w="30" w:type="dxa"/>
              <w:right w:w="120" w:type="dxa"/>
            </w:tcMar>
            <w:vAlign w:val="center"/>
          </w:tcPr>
          <w:p w14:paraId="1B0E6ABA">
            <w:pPr>
              <w:jc w:val="center"/>
              <w:rPr>
                <w:rFonts w:hint="eastAsia" w:ascii="仿宋_GB2312" w:hAnsi="仿宋_GB2312" w:eastAsia="仿宋_GB2312" w:cs="仿宋_GB2312"/>
                <w:sz w:val="20"/>
                <w:szCs w:val="20"/>
              </w:rPr>
            </w:pPr>
          </w:p>
        </w:tc>
        <w:tc>
          <w:tcPr>
            <w:tcW w:w="0" w:type="auto"/>
            <w:tcMar>
              <w:top w:w="60" w:type="dxa"/>
              <w:left w:w="120" w:type="dxa"/>
              <w:bottom w:w="30" w:type="dxa"/>
              <w:right w:w="120" w:type="dxa"/>
            </w:tcMar>
            <w:vAlign w:val="center"/>
          </w:tcPr>
          <w:p w14:paraId="6BE5A355">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14:30-16:00（1.5课时）</w:t>
            </w:r>
          </w:p>
        </w:tc>
        <w:tc>
          <w:tcPr>
            <w:tcW w:w="0" w:type="auto"/>
            <w:tcMar>
              <w:top w:w="60" w:type="dxa"/>
              <w:left w:w="120" w:type="dxa"/>
              <w:bottom w:w="30" w:type="dxa"/>
              <w:right w:w="120" w:type="dxa"/>
            </w:tcMar>
            <w:vAlign w:val="center"/>
          </w:tcPr>
          <w:p w14:paraId="6CB07F5A">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智能设备操作</w:t>
            </w:r>
          </w:p>
        </w:tc>
        <w:tc>
          <w:tcPr>
            <w:tcW w:w="0" w:type="auto"/>
            <w:tcMar>
              <w:top w:w="60" w:type="dxa"/>
              <w:left w:w="120" w:type="dxa"/>
              <w:bottom w:w="30" w:type="dxa"/>
              <w:right w:w="120" w:type="dxa"/>
            </w:tcMar>
            <w:vAlign w:val="center"/>
          </w:tcPr>
          <w:p w14:paraId="6A025157">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VR虚拟体验学习机的开机、内容切换、教学模式设置、设备关机规范；2. 55寸终端互动展示屏、无线投屏控制器的连接、设置、教学展示应用；3. VR设备教学使用中的学生指导技巧</w:t>
            </w:r>
          </w:p>
        </w:tc>
        <w:tc>
          <w:tcPr>
            <w:tcW w:w="0" w:type="auto"/>
            <w:tcMar>
              <w:top w:w="60" w:type="dxa"/>
              <w:left w:w="120" w:type="dxa"/>
              <w:bottom w:w="30" w:type="dxa"/>
              <w:right w:w="120" w:type="dxa"/>
            </w:tcMar>
            <w:vAlign w:val="center"/>
          </w:tcPr>
          <w:p w14:paraId="1FCBF6E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现场演示+分组实操+教学场景模拟</w:t>
            </w:r>
          </w:p>
        </w:tc>
        <w:tc>
          <w:tcPr>
            <w:tcW w:w="0" w:type="auto"/>
            <w:tcMar>
              <w:top w:w="60" w:type="dxa"/>
              <w:left w:w="120" w:type="dxa"/>
              <w:bottom w:w="30" w:type="dxa"/>
              <w:right w:w="120" w:type="dxa"/>
            </w:tcMar>
            <w:vAlign w:val="center"/>
          </w:tcPr>
          <w:p w14:paraId="2569F931">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全体参训人员</w:t>
            </w:r>
          </w:p>
        </w:tc>
        <w:tc>
          <w:tcPr>
            <w:tcW w:w="861" w:type="dxa"/>
            <w:tcMar>
              <w:top w:w="60" w:type="dxa"/>
              <w:left w:w="120" w:type="dxa"/>
              <w:bottom w:w="30" w:type="dxa"/>
              <w:right w:w="120" w:type="dxa"/>
            </w:tcMar>
            <w:vAlign w:val="center"/>
          </w:tcPr>
          <w:p w14:paraId="741A98C4">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技术工程师</w:t>
            </w:r>
          </w:p>
        </w:tc>
        <w:tc>
          <w:tcPr>
            <w:tcW w:w="1168" w:type="dxa"/>
            <w:tcMar>
              <w:top w:w="60" w:type="dxa"/>
              <w:left w:w="120" w:type="dxa"/>
              <w:bottom w:w="30" w:type="dxa"/>
              <w:right w:w="120" w:type="dxa"/>
            </w:tcMar>
            <w:vAlign w:val="center"/>
          </w:tcPr>
          <w:p w14:paraId="06BF635B">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能独立操作VR设备、互动展示屏，完成基础教学展示</w:t>
            </w:r>
          </w:p>
        </w:tc>
      </w:tr>
      <w:tr w14:paraId="52B26BB0">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0" w:type="auto"/>
            <w:tcMar>
              <w:top w:w="60" w:type="dxa"/>
              <w:left w:w="120" w:type="dxa"/>
              <w:bottom w:w="30" w:type="dxa"/>
              <w:right w:w="120" w:type="dxa"/>
            </w:tcMar>
            <w:vAlign w:val="center"/>
          </w:tcPr>
          <w:p w14:paraId="091FC222">
            <w:pPr>
              <w:jc w:val="center"/>
              <w:rPr>
                <w:rFonts w:hint="eastAsia" w:ascii="仿宋_GB2312" w:hAnsi="仿宋_GB2312" w:eastAsia="仿宋_GB2312" w:cs="仿宋_GB2312"/>
                <w:sz w:val="20"/>
                <w:szCs w:val="20"/>
              </w:rPr>
            </w:pPr>
          </w:p>
        </w:tc>
        <w:tc>
          <w:tcPr>
            <w:tcW w:w="0" w:type="auto"/>
            <w:tcMar>
              <w:top w:w="60" w:type="dxa"/>
              <w:left w:w="120" w:type="dxa"/>
              <w:bottom w:w="30" w:type="dxa"/>
              <w:right w:w="120" w:type="dxa"/>
            </w:tcMar>
            <w:vAlign w:val="center"/>
          </w:tcPr>
          <w:p w14:paraId="7716DE01">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16:10-17:30（1.5课时）</w:t>
            </w:r>
          </w:p>
        </w:tc>
        <w:tc>
          <w:tcPr>
            <w:tcW w:w="0" w:type="auto"/>
            <w:tcMar>
              <w:top w:w="60" w:type="dxa"/>
              <w:left w:w="120" w:type="dxa"/>
              <w:bottom w:w="30" w:type="dxa"/>
              <w:right w:w="120" w:type="dxa"/>
            </w:tcMar>
            <w:vAlign w:val="center"/>
          </w:tcPr>
          <w:p w14:paraId="681CFF4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实验与手工设备操作</w:t>
            </w:r>
          </w:p>
        </w:tc>
        <w:tc>
          <w:tcPr>
            <w:tcW w:w="0" w:type="auto"/>
            <w:tcMar>
              <w:top w:w="60" w:type="dxa"/>
              <w:left w:w="120" w:type="dxa"/>
              <w:bottom w:w="30" w:type="dxa"/>
              <w:right w:w="120" w:type="dxa"/>
            </w:tcMar>
            <w:vAlign w:val="center"/>
          </w:tcPr>
          <w:p w14:paraId="58E7B3EF">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中药研磨设备、织布机、发酵桶等手工设备的正确使用方法；2. 科学探究实验套装、编程设备的基础操作；3. 实验设备使用后的整理与存放规范</w:t>
            </w:r>
          </w:p>
        </w:tc>
        <w:tc>
          <w:tcPr>
            <w:tcW w:w="0" w:type="auto"/>
            <w:tcMar>
              <w:top w:w="60" w:type="dxa"/>
              <w:left w:w="120" w:type="dxa"/>
              <w:bottom w:w="30" w:type="dxa"/>
              <w:right w:w="120" w:type="dxa"/>
            </w:tcMar>
            <w:vAlign w:val="center"/>
          </w:tcPr>
          <w:p w14:paraId="1AAA352F">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现场演示+分组实操+错误操作警示</w:t>
            </w:r>
          </w:p>
        </w:tc>
        <w:tc>
          <w:tcPr>
            <w:tcW w:w="0" w:type="auto"/>
            <w:tcMar>
              <w:top w:w="60" w:type="dxa"/>
              <w:left w:w="120" w:type="dxa"/>
              <w:bottom w:w="30" w:type="dxa"/>
              <w:right w:w="120" w:type="dxa"/>
            </w:tcMar>
            <w:vAlign w:val="center"/>
          </w:tcPr>
          <w:p w14:paraId="642E9C75">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全体参训人员</w:t>
            </w:r>
          </w:p>
        </w:tc>
        <w:tc>
          <w:tcPr>
            <w:tcW w:w="861" w:type="dxa"/>
            <w:tcMar>
              <w:top w:w="60" w:type="dxa"/>
              <w:left w:w="120" w:type="dxa"/>
              <w:bottom w:w="30" w:type="dxa"/>
              <w:right w:w="120" w:type="dxa"/>
            </w:tcMar>
            <w:vAlign w:val="center"/>
          </w:tcPr>
          <w:p w14:paraId="600DC090">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技术工程师</w:t>
            </w:r>
          </w:p>
        </w:tc>
        <w:tc>
          <w:tcPr>
            <w:tcW w:w="1168" w:type="dxa"/>
            <w:tcMar>
              <w:top w:w="60" w:type="dxa"/>
              <w:left w:w="120" w:type="dxa"/>
              <w:bottom w:w="30" w:type="dxa"/>
              <w:right w:w="120" w:type="dxa"/>
            </w:tcMar>
            <w:vAlign w:val="center"/>
          </w:tcPr>
          <w:p w14:paraId="4F3EB8F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能独立使用实验/手工设备，操作规范无安全隐患</w:t>
            </w:r>
          </w:p>
        </w:tc>
      </w:tr>
      <w:tr w14:paraId="7184486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0" w:type="auto"/>
            <w:tcMar>
              <w:top w:w="60" w:type="dxa"/>
              <w:left w:w="120" w:type="dxa"/>
              <w:bottom w:w="30" w:type="dxa"/>
              <w:right w:w="120" w:type="dxa"/>
            </w:tcMar>
            <w:vAlign w:val="center"/>
          </w:tcPr>
          <w:p w14:paraId="72616F9A">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第二天</w:t>
            </w:r>
            <w:r>
              <w:rPr>
                <w:rFonts w:hint="eastAsia" w:ascii="仿宋_GB2312" w:hAnsi="仿宋_GB2312" w:eastAsia="仿宋_GB2312" w:cs="仿宋_GB2312"/>
                <w:sz w:val="20"/>
                <w:szCs w:val="20"/>
              </w:rPr>
              <w:t>（基础维护+课程基础应用）</w:t>
            </w:r>
          </w:p>
        </w:tc>
        <w:tc>
          <w:tcPr>
            <w:tcW w:w="0" w:type="auto"/>
            <w:tcMar>
              <w:top w:w="60" w:type="dxa"/>
              <w:left w:w="120" w:type="dxa"/>
              <w:bottom w:w="30" w:type="dxa"/>
              <w:right w:w="120" w:type="dxa"/>
            </w:tcMar>
            <w:vAlign w:val="center"/>
          </w:tcPr>
          <w:p w14:paraId="118D3F87">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09:00-10:30（1.5课时）</w:t>
            </w:r>
          </w:p>
        </w:tc>
        <w:tc>
          <w:tcPr>
            <w:tcW w:w="0" w:type="auto"/>
            <w:tcMar>
              <w:top w:w="60" w:type="dxa"/>
              <w:left w:w="120" w:type="dxa"/>
              <w:bottom w:w="30" w:type="dxa"/>
              <w:right w:w="120" w:type="dxa"/>
            </w:tcMar>
            <w:vAlign w:val="center"/>
          </w:tcPr>
          <w:p w14:paraId="640AAF8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设备日常维护与清洁</w:t>
            </w:r>
          </w:p>
        </w:tc>
        <w:tc>
          <w:tcPr>
            <w:tcW w:w="0" w:type="auto"/>
            <w:tcMar>
              <w:top w:w="60" w:type="dxa"/>
              <w:left w:w="120" w:type="dxa"/>
              <w:bottom w:w="30" w:type="dxa"/>
              <w:right w:w="120" w:type="dxa"/>
            </w:tcMar>
            <w:vAlign w:val="center"/>
          </w:tcPr>
          <w:p w14:paraId="64B2BF91">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天文展教具、VR设备、互动屏等不同设备的清洁工具与保养规范；</w:t>
            </w:r>
            <w:r>
              <w:rPr>
                <w:rFonts w:hint="eastAsia" w:ascii="仿宋_GB2312" w:hAnsi="仿宋_GB2312" w:eastAsia="仿宋_GB2312" w:cs="仿宋_GB2312"/>
                <w:sz w:val="20"/>
                <w:szCs w:val="20"/>
                <w:lang w:val="en-US" w:eastAsia="zh-CN"/>
              </w:rPr>
              <w:t>2</w:t>
            </w:r>
            <w:r>
              <w:rPr>
                <w:rFonts w:hint="eastAsia" w:ascii="仿宋_GB2312" w:hAnsi="仿宋_GB2312" w:eastAsia="仿宋_GB2312" w:cs="仿宋_GB2312"/>
                <w:sz w:val="20"/>
                <w:szCs w:val="20"/>
              </w:rPr>
              <w:t>. 设备机械结构、精密部件（镜头、传感器）的保护方法；3. 设备存放环境要求（温湿度、电源、防尘）</w:t>
            </w:r>
          </w:p>
        </w:tc>
        <w:tc>
          <w:tcPr>
            <w:tcW w:w="0" w:type="auto"/>
            <w:tcMar>
              <w:top w:w="60" w:type="dxa"/>
              <w:left w:w="120" w:type="dxa"/>
              <w:bottom w:w="30" w:type="dxa"/>
              <w:right w:w="120" w:type="dxa"/>
            </w:tcMar>
            <w:vAlign w:val="center"/>
          </w:tcPr>
          <w:p w14:paraId="142F1CD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案例讲解+现场实操+规范演示</w:t>
            </w:r>
          </w:p>
        </w:tc>
        <w:tc>
          <w:tcPr>
            <w:tcW w:w="0" w:type="auto"/>
            <w:tcMar>
              <w:top w:w="60" w:type="dxa"/>
              <w:left w:w="120" w:type="dxa"/>
              <w:bottom w:w="30" w:type="dxa"/>
              <w:right w:w="120" w:type="dxa"/>
            </w:tcMar>
            <w:vAlign w:val="center"/>
          </w:tcPr>
          <w:p w14:paraId="4548FE6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全体参训人员（管理员重点）</w:t>
            </w:r>
          </w:p>
        </w:tc>
        <w:tc>
          <w:tcPr>
            <w:tcW w:w="861" w:type="dxa"/>
            <w:tcMar>
              <w:top w:w="60" w:type="dxa"/>
              <w:left w:w="120" w:type="dxa"/>
              <w:bottom w:w="30" w:type="dxa"/>
              <w:right w:w="120" w:type="dxa"/>
            </w:tcMar>
            <w:vAlign w:val="center"/>
          </w:tcPr>
          <w:p w14:paraId="04337068">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技术工程师</w:t>
            </w:r>
          </w:p>
        </w:tc>
        <w:tc>
          <w:tcPr>
            <w:tcW w:w="1168" w:type="dxa"/>
            <w:tcMar>
              <w:top w:w="60" w:type="dxa"/>
              <w:left w:w="120" w:type="dxa"/>
              <w:bottom w:w="30" w:type="dxa"/>
              <w:right w:w="120" w:type="dxa"/>
            </w:tcMar>
            <w:vAlign w:val="center"/>
          </w:tcPr>
          <w:p w14:paraId="166EC085">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能掌握不同设备的清洁保养方法，规范操作</w:t>
            </w:r>
          </w:p>
        </w:tc>
      </w:tr>
      <w:tr w14:paraId="115521D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0" w:type="auto"/>
            <w:tcMar>
              <w:top w:w="60" w:type="dxa"/>
              <w:left w:w="120" w:type="dxa"/>
              <w:bottom w:w="30" w:type="dxa"/>
              <w:right w:w="120" w:type="dxa"/>
            </w:tcMar>
            <w:vAlign w:val="center"/>
          </w:tcPr>
          <w:p w14:paraId="51F19E35">
            <w:pPr>
              <w:jc w:val="center"/>
              <w:rPr>
                <w:rFonts w:hint="eastAsia" w:ascii="仿宋_GB2312" w:hAnsi="仿宋_GB2312" w:eastAsia="仿宋_GB2312" w:cs="仿宋_GB2312"/>
                <w:sz w:val="20"/>
                <w:szCs w:val="20"/>
              </w:rPr>
            </w:pPr>
          </w:p>
        </w:tc>
        <w:tc>
          <w:tcPr>
            <w:tcW w:w="0" w:type="auto"/>
            <w:tcMar>
              <w:top w:w="60" w:type="dxa"/>
              <w:left w:w="120" w:type="dxa"/>
              <w:bottom w:w="30" w:type="dxa"/>
              <w:right w:w="120" w:type="dxa"/>
            </w:tcMar>
            <w:vAlign w:val="center"/>
          </w:tcPr>
          <w:p w14:paraId="21C2C159">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10:40-12:00（1.5课时）</w:t>
            </w:r>
          </w:p>
        </w:tc>
        <w:tc>
          <w:tcPr>
            <w:tcW w:w="0" w:type="auto"/>
            <w:tcMar>
              <w:top w:w="60" w:type="dxa"/>
              <w:left w:w="120" w:type="dxa"/>
              <w:bottom w:w="30" w:type="dxa"/>
              <w:right w:w="120" w:type="dxa"/>
            </w:tcMar>
            <w:vAlign w:val="center"/>
          </w:tcPr>
          <w:p w14:paraId="67CC9AD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常见简单故障排查与耗材更换</w:t>
            </w:r>
          </w:p>
        </w:tc>
        <w:tc>
          <w:tcPr>
            <w:tcW w:w="0" w:type="auto"/>
            <w:tcMar>
              <w:top w:w="60" w:type="dxa"/>
              <w:left w:w="120" w:type="dxa"/>
              <w:bottom w:w="30" w:type="dxa"/>
              <w:right w:w="120" w:type="dxa"/>
            </w:tcMar>
            <w:vAlign w:val="center"/>
          </w:tcPr>
          <w:p w14:paraId="65C1F0A1">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设备无法启动、画面无显示、连接失败等常见故障的识别方法；2. 简单故障的初步排查与解决技巧（如重启、线路检查、参数复位）；3. VR电池、研磨碗、滤纸等常用耗材的更换方法</w:t>
            </w:r>
          </w:p>
        </w:tc>
        <w:tc>
          <w:tcPr>
            <w:tcW w:w="0" w:type="auto"/>
            <w:tcMar>
              <w:top w:w="60" w:type="dxa"/>
              <w:left w:w="120" w:type="dxa"/>
              <w:bottom w:w="30" w:type="dxa"/>
              <w:right w:w="120" w:type="dxa"/>
            </w:tcMar>
            <w:vAlign w:val="center"/>
          </w:tcPr>
          <w:p w14:paraId="70251BB8">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模拟故障+实操排查+现场演示</w:t>
            </w:r>
          </w:p>
        </w:tc>
        <w:tc>
          <w:tcPr>
            <w:tcW w:w="0" w:type="auto"/>
            <w:tcMar>
              <w:top w:w="60" w:type="dxa"/>
              <w:left w:w="120" w:type="dxa"/>
              <w:bottom w:w="30" w:type="dxa"/>
              <w:right w:w="120" w:type="dxa"/>
            </w:tcMar>
            <w:vAlign w:val="center"/>
          </w:tcPr>
          <w:p w14:paraId="326E1C37">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全体参训人员（管理员重点）</w:t>
            </w:r>
          </w:p>
        </w:tc>
        <w:tc>
          <w:tcPr>
            <w:tcW w:w="861" w:type="dxa"/>
            <w:tcMar>
              <w:top w:w="60" w:type="dxa"/>
              <w:left w:w="120" w:type="dxa"/>
              <w:bottom w:w="30" w:type="dxa"/>
              <w:right w:w="120" w:type="dxa"/>
            </w:tcMar>
            <w:vAlign w:val="center"/>
          </w:tcPr>
          <w:p w14:paraId="2C2D9B7F">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技术工程师</w:t>
            </w:r>
          </w:p>
        </w:tc>
        <w:tc>
          <w:tcPr>
            <w:tcW w:w="1168" w:type="dxa"/>
            <w:tcMar>
              <w:top w:w="60" w:type="dxa"/>
              <w:left w:w="120" w:type="dxa"/>
              <w:bottom w:w="30" w:type="dxa"/>
              <w:right w:w="120" w:type="dxa"/>
            </w:tcMar>
            <w:vAlign w:val="center"/>
          </w:tcPr>
          <w:p w14:paraId="38E1031F">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能识别3种以上常见故障，完成基础耗材更换</w:t>
            </w:r>
          </w:p>
        </w:tc>
      </w:tr>
      <w:tr w14:paraId="2B774D0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0" w:type="auto"/>
            <w:tcMar>
              <w:top w:w="60" w:type="dxa"/>
              <w:left w:w="120" w:type="dxa"/>
              <w:bottom w:w="30" w:type="dxa"/>
              <w:right w:w="120" w:type="dxa"/>
            </w:tcMar>
            <w:vAlign w:val="center"/>
          </w:tcPr>
          <w:p w14:paraId="66452FB9">
            <w:pPr>
              <w:jc w:val="center"/>
              <w:rPr>
                <w:rFonts w:hint="eastAsia" w:ascii="仿宋_GB2312" w:hAnsi="仿宋_GB2312" w:eastAsia="仿宋_GB2312" w:cs="仿宋_GB2312"/>
                <w:sz w:val="20"/>
                <w:szCs w:val="20"/>
              </w:rPr>
            </w:pPr>
          </w:p>
        </w:tc>
        <w:tc>
          <w:tcPr>
            <w:tcW w:w="0" w:type="auto"/>
            <w:tcMar>
              <w:top w:w="60" w:type="dxa"/>
              <w:left w:w="120" w:type="dxa"/>
              <w:bottom w:w="30" w:type="dxa"/>
              <w:right w:w="120" w:type="dxa"/>
            </w:tcMar>
            <w:vAlign w:val="center"/>
          </w:tcPr>
          <w:p w14:paraId="7DEE6A2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14:30-16:00（1.5课时）</w:t>
            </w:r>
          </w:p>
        </w:tc>
        <w:tc>
          <w:tcPr>
            <w:tcW w:w="0" w:type="auto"/>
            <w:tcMar>
              <w:top w:w="60" w:type="dxa"/>
              <w:left w:w="120" w:type="dxa"/>
              <w:bottom w:w="30" w:type="dxa"/>
              <w:right w:w="120" w:type="dxa"/>
            </w:tcMar>
            <w:vAlign w:val="center"/>
          </w:tcPr>
          <w:p w14:paraId="12C370DB">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课程资源基础使用</w:t>
            </w:r>
          </w:p>
        </w:tc>
        <w:tc>
          <w:tcPr>
            <w:tcW w:w="0" w:type="auto"/>
            <w:tcMar>
              <w:top w:w="60" w:type="dxa"/>
              <w:left w:w="120" w:type="dxa"/>
              <w:bottom w:w="30" w:type="dxa"/>
              <w:right w:w="120" w:type="dxa"/>
            </w:tcMar>
            <w:vAlign w:val="center"/>
          </w:tcPr>
          <w:p w14:paraId="0240AEC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28个主题天文课程、科创课程资源包（教案、课件、学生手册、实验记录表）整体介绍；2. 课程资源的查阅、调取、打印与个性化修改基础方法；3. 设备操作与课程基础环节的匹配技巧</w:t>
            </w:r>
          </w:p>
        </w:tc>
        <w:tc>
          <w:tcPr>
            <w:tcW w:w="0" w:type="auto"/>
            <w:tcMar>
              <w:top w:w="60" w:type="dxa"/>
              <w:left w:w="120" w:type="dxa"/>
              <w:bottom w:w="30" w:type="dxa"/>
              <w:right w:w="120" w:type="dxa"/>
            </w:tcMar>
            <w:vAlign w:val="center"/>
          </w:tcPr>
          <w:p w14:paraId="0B007E25">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专题讲解+现场操作+案例演示</w:t>
            </w:r>
          </w:p>
        </w:tc>
        <w:tc>
          <w:tcPr>
            <w:tcW w:w="0" w:type="auto"/>
            <w:tcMar>
              <w:top w:w="60" w:type="dxa"/>
              <w:left w:w="120" w:type="dxa"/>
              <w:bottom w:w="30" w:type="dxa"/>
              <w:right w:w="120" w:type="dxa"/>
            </w:tcMar>
            <w:vAlign w:val="center"/>
          </w:tcPr>
          <w:p w14:paraId="40F8614B">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全体参训人员</w:t>
            </w:r>
          </w:p>
        </w:tc>
        <w:tc>
          <w:tcPr>
            <w:tcW w:w="861" w:type="dxa"/>
            <w:tcMar>
              <w:top w:w="60" w:type="dxa"/>
              <w:left w:w="120" w:type="dxa"/>
              <w:bottom w:w="30" w:type="dxa"/>
              <w:right w:w="120" w:type="dxa"/>
            </w:tcMar>
            <w:vAlign w:val="center"/>
          </w:tcPr>
          <w:p w14:paraId="62698083">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课程专家</w:t>
            </w:r>
          </w:p>
        </w:tc>
        <w:tc>
          <w:tcPr>
            <w:tcW w:w="1168" w:type="dxa"/>
            <w:tcMar>
              <w:top w:w="60" w:type="dxa"/>
              <w:left w:w="120" w:type="dxa"/>
              <w:bottom w:w="30" w:type="dxa"/>
              <w:right w:w="120" w:type="dxa"/>
            </w:tcMar>
            <w:vAlign w:val="center"/>
          </w:tcPr>
          <w:p w14:paraId="7B43827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能熟练调取、使用课程资源，实现设备与课程基础匹配</w:t>
            </w:r>
          </w:p>
        </w:tc>
      </w:tr>
      <w:tr w14:paraId="6CC669A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0" w:type="auto"/>
            <w:tcMar>
              <w:top w:w="60" w:type="dxa"/>
              <w:left w:w="120" w:type="dxa"/>
              <w:bottom w:w="30" w:type="dxa"/>
              <w:right w:w="120" w:type="dxa"/>
            </w:tcMar>
            <w:vAlign w:val="center"/>
          </w:tcPr>
          <w:p w14:paraId="491D01BA">
            <w:pPr>
              <w:jc w:val="center"/>
              <w:rPr>
                <w:rFonts w:hint="eastAsia" w:ascii="仿宋_GB2312" w:hAnsi="仿宋_GB2312" w:eastAsia="仿宋_GB2312" w:cs="仿宋_GB2312"/>
                <w:sz w:val="20"/>
                <w:szCs w:val="20"/>
              </w:rPr>
            </w:pPr>
          </w:p>
        </w:tc>
        <w:tc>
          <w:tcPr>
            <w:tcW w:w="0" w:type="auto"/>
            <w:tcMar>
              <w:top w:w="60" w:type="dxa"/>
              <w:left w:w="120" w:type="dxa"/>
              <w:bottom w:w="30" w:type="dxa"/>
              <w:right w:w="120" w:type="dxa"/>
            </w:tcMar>
            <w:vAlign w:val="center"/>
          </w:tcPr>
          <w:p w14:paraId="214403B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16:10-17:30（1.5课时）</w:t>
            </w:r>
          </w:p>
        </w:tc>
        <w:tc>
          <w:tcPr>
            <w:tcW w:w="0" w:type="auto"/>
            <w:tcMar>
              <w:top w:w="60" w:type="dxa"/>
              <w:left w:w="120" w:type="dxa"/>
              <w:bottom w:w="30" w:type="dxa"/>
              <w:right w:w="120" w:type="dxa"/>
            </w:tcMar>
            <w:vAlign w:val="center"/>
          </w:tcPr>
          <w:p w14:paraId="1A11E475">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第一轮培训考核与答疑</w:t>
            </w:r>
          </w:p>
        </w:tc>
        <w:tc>
          <w:tcPr>
            <w:tcW w:w="0" w:type="auto"/>
            <w:tcMar>
              <w:top w:w="60" w:type="dxa"/>
              <w:left w:w="120" w:type="dxa"/>
              <w:bottom w:w="30" w:type="dxa"/>
              <w:right w:w="120" w:type="dxa"/>
            </w:tcMar>
            <w:vAlign w:val="center"/>
          </w:tcPr>
          <w:p w14:paraId="024EE87E">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设备操作实操考核（随机抽取设备进行操作演示）；2. 维护与课程基础应用笔试（选择题+简答题）；3. 参训人员问题集中答疑，培训内容梳理</w:t>
            </w:r>
          </w:p>
        </w:tc>
        <w:tc>
          <w:tcPr>
            <w:tcW w:w="0" w:type="auto"/>
            <w:tcMar>
              <w:top w:w="60" w:type="dxa"/>
              <w:left w:w="120" w:type="dxa"/>
              <w:bottom w:w="30" w:type="dxa"/>
              <w:right w:w="120" w:type="dxa"/>
            </w:tcMar>
            <w:vAlign w:val="center"/>
          </w:tcPr>
          <w:p w14:paraId="0C65E700">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实操考核+笔试+集中答疑</w:t>
            </w:r>
          </w:p>
        </w:tc>
        <w:tc>
          <w:tcPr>
            <w:tcW w:w="0" w:type="auto"/>
            <w:tcMar>
              <w:top w:w="60" w:type="dxa"/>
              <w:left w:w="120" w:type="dxa"/>
              <w:bottom w:w="30" w:type="dxa"/>
              <w:right w:w="120" w:type="dxa"/>
            </w:tcMar>
            <w:vAlign w:val="center"/>
          </w:tcPr>
          <w:p w14:paraId="58175BF5">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全体参训人员</w:t>
            </w:r>
          </w:p>
        </w:tc>
        <w:tc>
          <w:tcPr>
            <w:tcW w:w="861" w:type="dxa"/>
            <w:tcMar>
              <w:top w:w="60" w:type="dxa"/>
              <w:left w:w="120" w:type="dxa"/>
              <w:bottom w:w="30" w:type="dxa"/>
              <w:right w:w="120" w:type="dxa"/>
            </w:tcMar>
            <w:vAlign w:val="center"/>
          </w:tcPr>
          <w:p w14:paraId="03B7085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技术工程师+课程专家</w:t>
            </w:r>
          </w:p>
        </w:tc>
        <w:tc>
          <w:tcPr>
            <w:tcW w:w="1168" w:type="dxa"/>
            <w:tcMar>
              <w:top w:w="60" w:type="dxa"/>
              <w:left w:w="120" w:type="dxa"/>
              <w:bottom w:w="30" w:type="dxa"/>
              <w:right w:w="120" w:type="dxa"/>
            </w:tcMar>
            <w:vAlign w:val="center"/>
          </w:tcPr>
          <w:p w14:paraId="6555C305">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实操考核通过率100%，笔试合格率≥95%</w:t>
            </w:r>
          </w:p>
        </w:tc>
      </w:tr>
    </w:tbl>
    <w:p w14:paraId="6B0CE547">
      <w:pPr>
        <w:pStyle w:val="3"/>
        <w:numPr>
          <w:ilvl w:val="0"/>
          <w:numId w:val="217"/>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第二轮培训详细计划（课程深化与教学应用提升·2天/12课时）</w:t>
      </w:r>
    </w:p>
    <w:tbl>
      <w:tblPr>
        <w:tblStyle w:val="9"/>
        <w:tblW w:w="8752" w:type="dxa"/>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autofit"/>
        <w:tblCellMar>
          <w:top w:w="0" w:type="dxa"/>
          <w:left w:w="10" w:type="dxa"/>
          <w:bottom w:w="0" w:type="dxa"/>
          <w:right w:w="10" w:type="dxa"/>
        </w:tblCellMar>
      </w:tblPr>
      <w:tblGrid>
        <w:gridCol w:w="818"/>
        <w:gridCol w:w="1429"/>
        <w:gridCol w:w="672"/>
        <w:gridCol w:w="2270"/>
        <w:gridCol w:w="657"/>
        <w:gridCol w:w="826"/>
        <w:gridCol w:w="733"/>
        <w:gridCol w:w="1347"/>
      </w:tblGrid>
      <w:tr w14:paraId="3A27445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0" w:type="auto"/>
            <w:tcMar>
              <w:top w:w="60" w:type="dxa"/>
              <w:left w:w="120" w:type="dxa"/>
              <w:bottom w:w="30" w:type="dxa"/>
              <w:right w:w="120" w:type="dxa"/>
            </w:tcMar>
            <w:vAlign w:val="center"/>
          </w:tcPr>
          <w:p w14:paraId="153C7FC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培训日期</w:t>
            </w:r>
          </w:p>
        </w:tc>
        <w:tc>
          <w:tcPr>
            <w:tcW w:w="0" w:type="auto"/>
            <w:tcMar>
              <w:top w:w="60" w:type="dxa"/>
              <w:left w:w="120" w:type="dxa"/>
              <w:bottom w:w="30" w:type="dxa"/>
              <w:right w:w="120" w:type="dxa"/>
            </w:tcMar>
            <w:vAlign w:val="center"/>
          </w:tcPr>
          <w:p w14:paraId="2A133657">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培训时段</w:t>
            </w:r>
          </w:p>
        </w:tc>
        <w:tc>
          <w:tcPr>
            <w:tcW w:w="0" w:type="auto"/>
            <w:tcMar>
              <w:top w:w="60" w:type="dxa"/>
              <w:left w:w="120" w:type="dxa"/>
              <w:bottom w:w="30" w:type="dxa"/>
              <w:right w:w="120" w:type="dxa"/>
            </w:tcMar>
            <w:vAlign w:val="center"/>
          </w:tcPr>
          <w:p w14:paraId="30035EF5">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培训模块</w:t>
            </w:r>
          </w:p>
        </w:tc>
        <w:tc>
          <w:tcPr>
            <w:tcW w:w="0" w:type="auto"/>
            <w:tcMar>
              <w:top w:w="60" w:type="dxa"/>
              <w:left w:w="120" w:type="dxa"/>
              <w:bottom w:w="30" w:type="dxa"/>
              <w:right w:w="120" w:type="dxa"/>
            </w:tcMar>
            <w:vAlign w:val="center"/>
          </w:tcPr>
          <w:p w14:paraId="5B0C4F45">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培训内容</w:t>
            </w:r>
          </w:p>
        </w:tc>
        <w:tc>
          <w:tcPr>
            <w:tcW w:w="0" w:type="auto"/>
            <w:tcMar>
              <w:top w:w="60" w:type="dxa"/>
              <w:left w:w="120" w:type="dxa"/>
              <w:bottom w:w="30" w:type="dxa"/>
              <w:right w:w="120" w:type="dxa"/>
            </w:tcMar>
            <w:vAlign w:val="center"/>
          </w:tcPr>
          <w:p w14:paraId="2D2A0B7A">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培训方式</w:t>
            </w:r>
          </w:p>
        </w:tc>
        <w:tc>
          <w:tcPr>
            <w:tcW w:w="0" w:type="auto"/>
            <w:tcMar>
              <w:top w:w="60" w:type="dxa"/>
              <w:left w:w="120" w:type="dxa"/>
              <w:bottom w:w="30" w:type="dxa"/>
              <w:right w:w="120" w:type="dxa"/>
            </w:tcMar>
            <w:vAlign w:val="center"/>
          </w:tcPr>
          <w:p w14:paraId="0856E1B4">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培训对象</w:t>
            </w:r>
          </w:p>
        </w:tc>
        <w:tc>
          <w:tcPr>
            <w:tcW w:w="733" w:type="dxa"/>
            <w:tcMar>
              <w:top w:w="60" w:type="dxa"/>
              <w:left w:w="120" w:type="dxa"/>
              <w:bottom w:w="30" w:type="dxa"/>
              <w:right w:w="120" w:type="dxa"/>
            </w:tcMar>
            <w:vAlign w:val="center"/>
          </w:tcPr>
          <w:p w14:paraId="0F313A9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培训师</w:t>
            </w:r>
          </w:p>
        </w:tc>
        <w:tc>
          <w:tcPr>
            <w:tcW w:w="1347" w:type="dxa"/>
            <w:tcMar>
              <w:top w:w="60" w:type="dxa"/>
              <w:left w:w="120" w:type="dxa"/>
              <w:bottom w:w="30" w:type="dxa"/>
              <w:right w:w="120" w:type="dxa"/>
            </w:tcMar>
            <w:vAlign w:val="center"/>
          </w:tcPr>
          <w:p w14:paraId="04D7964D">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考核要点</w:t>
            </w:r>
          </w:p>
        </w:tc>
      </w:tr>
      <w:tr w14:paraId="2D9541A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0" w:type="auto"/>
            <w:tcMar>
              <w:top w:w="60" w:type="dxa"/>
              <w:left w:w="120" w:type="dxa"/>
              <w:bottom w:w="30" w:type="dxa"/>
              <w:right w:w="120" w:type="dxa"/>
            </w:tcMar>
            <w:vAlign w:val="center"/>
          </w:tcPr>
          <w:p w14:paraId="2BD1AD96">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第一天</w:t>
            </w:r>
            <w:r>
              <w:rPr>
                <w:rFonts w:hint="eastAsia" w:ascii="仿宋_GB2312" w:hAnsi="仿宋_GB2312" w:eastAsia="仿宋_GB2312" w:cs="仿宋_GB2312"/>
                <w:sz w:val="20"/>
                <w:szCs w:val="20"/>
              </w:rPr>
              <w:t>（课程深化专场）</w:t>
            </w:r>
          </w:p>
        </w:tc>
        <w:tc>
          <w:tcPr>
            <w:tcW w:w="0" w:type="auto"/>
            <w:tcMar>
              <w:top w:w="60" w:type="dxa"/>
              <w:left w:w="120" w:type="dxa"/>
              <w:bottom w:w="30" w:type="dxa"/>
              <w:right w:w="120" w:type="dxa"/>
            </w:tcMar>
            <w:vAlign w:val="center"/>
          </w:tcPr>
          <w:p w14:paraId="520352A5">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09:00-10:30（1.5课时）</w:t>
            </w:r>
          </w:p>
        </w:tc>
        <w:tc>
          <w:tcPr>
            <w:tcW w:w="0" w:type="auto"/>
            <w:tcMar>
              <w:top w:w="60" w:type="dxa"/>
              <w:left w:w="120" w:type="dxa"/>
              <w:bottom w:w="30" w:type="dxa"/>
              <w:right w:w="120" w:type="dxa"/>
            </w:tcMar>
            <w:vAlign w:val="center"/>
          </w:tcPr>
          <w:p w14:paraId="4EE8DE90">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培训回顾与导学</w:t>
            </w:r>
          </w:p>
        </w:tc>
        <w:tc>
          <w:tcPr>
            <w:tcW w:w="0" w:type="auto"/>
            <w:tcMar>
              <w:top w:w="60" w:type="dxa"/>
              <w:left w:w="120" w:type="dxa"/>
              <w:bottom w:w="30" w:type="dxa"/>
              <w:right w:w="120" w:type="dxa"/>
            </w:tcMar>
            <w:vAlign w:val="center"/>
          </w:tcPr>
          <w:p w14:paraId="518ED9B0">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第一轮培训效果复盘，常见问题梳理；2. 第二轮培训核心目标、内容与安排；3. 设备教学应用中的典型问题分析</w:t>
            </w:r>
          </w:p>
        </w:tc>
        <w:tc>
          <w:tcPr>
            <w:tcW w:w="0" w:type="auto"/>
            <w:tcMar>
              <w:top w:w="60" w:type="dxa"/>
              <w:left w:w="120" w:type="dxa"/>
              <w:bottom w:w="30" w:type="dxa"/>
              <w:right w:w="120" w:type="dxa"/>
            </w:tcMar>
            <w:vAlign w:val="center"/>
          </w:tcPr>
          <w:p w14:paraId="21635076">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专题讲解+互动交流</w:t>
            </w:r>
          </w:p>
        </w:tc>
        <w:tc>
          <w:tcPr>
            <w:tcW w:w="0" w:type="auto"/>
            <w:tcMar>
              <w:top w:w="60" w:type="dxa"/>
              <w:left w:w="120" w:type="dxa"/>
              <w:bottom w:w="30" w:type="dxa"/>
              <w:right w:w="120" w:type="dxa"/>
            </w:tcMar>
            <w:vAlign w:val="center"/>
          </w:tcPr>
          <w:p w14:paraId="096FDCD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全体参训人员</w:t>
            </w:r>
          </w:p>
        </w:tc>
        <w:tc>
          <w:tcPr>
            <w:tcW w:w="733" w:type="dxa"/>
            <w:tcMar>
              <w:top w:w="60" w:type="dxa"/>
              <w:left w:w="120" w:type="dxa"/>
              <w:bottom w:w="30" w:type="dxa"/>
              <w:right w:w="120" w:type="dxa"/>
            </w:tcMar>
            <w:vAlign w:val="center"/>
          </w:tcPr>
          <w:p w14:paraId="78CF801E">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课程专家+技术工程师</w:t>
            </w:r>
          </w:p>
        </w:tc>
        <w:tc>
          <w:tcPr>
            <w:tcW w:w="1347" w:type="dxa"/>
            <w:tcMar>
              <w:top w:w="60" w:type="dxa"/>
              <w:left w:w="120" w:type="dxa"/>
              <w:bottom w:w="30" w:type="dxa"/>
              <w:right w:w="120" w:type="dxa"/>
            </w:tcMar>
            <w:vAlign w:val="center"/>
          </w:tcPr>
          <w:p w14:paraId="31E2685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无</w:t>
            </w:r>
          </w:p>
        </w:tc>
      </w:tr>
      <w:tr w14:paraId="5A33265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0" w:type="auto"/>
            <w:tcMar>
              <w:top w:w="60" w:type="dxa"/>
              <w:left w:w="120" w:type="dxa"/>
              <w:bottom w:w="30" w:type="dxa"/>
              <w:right w:w="120" w:type="dxa"/>
            </w:tcMar>
            <w:vAlign w:val="center"/>
          </w:tcPr>
          <w:p w14:paraId="7D1431FE">
            <w:pPr>
              <w:jc w:val="center"/>
              <w:rPr>
                <w:rFonts w:hint="eastAsia" w:ascii="仿宋_GB2312" w:hAnsi="仿宋_GB2312" w:eastAsia="仿宋_GB2312" w:cs="仿宋_GB2312"/>
                <w:sz w:val="20"/>
                <w:szCs w:val="20"/>
              </w:rPr>
            </w:pPr>
          </w:p>
        </w:tc>
        <w:tc>
          <w:tcPr>
            <w:tcW w:w="0" w:type="auto"/>
            <w:tcMar>
              <w:top w:w="60" w:type="dxa"/>
              <w:left w:w="120" w:type="dxa"/>
              <w:bottom w:w="30" w:type="dxa"/>
              <w:right w:w="120" w:type="dxa"/>
            </w:tcMar>
            <w:vAlign w:val="center"/>
          </w:tcPr>
          <w:p w14:paraId="2C868D00">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10:40-12:00（1.5课时）</w:t>
            </w:r>
          </w:p>
        </w:tc>
        <w:tc>
          <w:tcPr>
            <w:tcW w:w="0" w:type="auto"/>
            <w:tcMar>
              <w:top w:w="60" w:type="dxa"/>
              <w:left w:w="120" w:type="dxa"/>
              <w:bottom w:w="30" w:type="dxa"/>
              <w:right w:w="120" w:type="dxa"/>
            </w:tcMar>
            <w:vAlign w:val="center"/>
          </w:tcPr>
          <w:p w14:paraId="6DD4A81E">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设备高级功能教学应用</w:t>
            </w:r>
          </w:p>
        </w:tc>
        <w:tc>
          <w:tcPr>
            <w:tcW w:w="0" w:type="auto"/>
            <w:tcMar>
              <w:top w:w="60" w:type="dxa"/>
              <w:left w:w="120" w:type="dxa"/>
              <w:bottom w:w="30" w:type="dxa"/>
              <w:right w:w="120" w:type="dxa"/>
            </w:tcMar>
            <w:vAlign w:val="center"/>
          </w:tcPr>
          <w:p w14:paraId="63F7A7F7">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天文展教具高级参数调试与个性化教学演示设计；2. VR虚拟体验学习机教学场景定制、学生学习数据查看功能使用；3. 互动展示屏多屏联动、教学素材编辑与展示技巧</w:t>
            </w:r>
          </w:p>
        </w:tc>
        <w:tc>
          <w:tcPr>
            <w:tcW w:w="0" w:type="auto"/>
            <w:tcMar>
              <w:top w:w="60" w:type="dxa"/>
              <w:left w:w="120" w:type="dxa"/>
              <w:bottom w:w="30" w:type="dxa"/>
              <w:right w:w="120" w:type="dxa"/>
            </w:tcMar>
            <w:vAlign w:val="center"/>
          </w:tcPr>
          <w:p w14:paraId="604709D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现场演示+教学场景设计+实操指导</w:t>
            </w:r>
          </w:p>
        </w:tc>
        <w:tc>
          <w:tcPr>
            <w:tcW w:w="0" w:type="auto"/>
            <w:tcMar>
              <w:top w:w="60" w:type="dxa"/>
              <w:left w:w="120" w:type="dxa"/>
              <w:bottom w:w="30" w:type="dxa"/>
              <w:right w:w="120" w:type="dxa"/>
            </w:tcMar>
            <w:vAlign w:val="center"/>
          </w:tcPr>
          <w:p w14:paraId="3F6D401F">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全体参训人员（骨干教师重点）</w:t>
            </w:r>
          </w:p>
        </w:tc>
        <w:tc>
          <w:tcPr>
            <w:tcW w:w="733" w:type="dxa"/>
            <w:tcMar>
              <w:top w:w="60" w:type="dxa"/>
              <w:left w:w="120" w:type="dxa"/>
              <w:bottom w:w="30" w:type="dxa"/>
              <w:right w:w="120" w:type="dxa"/>
            </w:tcMar>
            <w:vAlign w:val="center"/>
          </w:tcPr>
          <w:p w14:paraId="3E23D6EE">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技术工程师</w:t>
            </w:r>
          </w:p>
        </w:tc>
        <w:tc>
          <w:tcPr>
            <w:tcW w:w="1347" w:type="dxa"/>
            <w:tcMar>
              <w:top w:w="60" w:type="dxa"/>
              <w:left w:w="120" w:type="dxa"/>
              <w:bottom w:w="30" w:type="dxa"/>
              <w:right w:w="120" w:type="dxa"/>
            </w:tcMar>
            <w:vAlign w:val="center"/>
          </w:tcPr>
          <w:p w14:paraId="5334BAC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能利用设备高级功能设计个性化教学演示环节</w:t>
            </w:r>
          </w:p>
        </w:tc>
      </w:tr>
      <w:tr w14:paraId="1253955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0" w:type="auto"/>
            <w:tcMar>
              <w:top w:w="60" w:type="dxa"/>
              <w:left w:w="120" w:type="dxa"/>
              <w:bottom w:w="30" w:type="dxa"/>
              <w:right w:w="120" w:type="dxa"/>
            </w:tcMar>
            <w:vAlign w:val="center"/>
          </w:tcPr>
          <w:p w14:paraId="014913C1">
            <w:pPr>
              <w:jc w:val="center"/>
              <w:rPr>
                <w:rFonts w:hint="eastAsia" w:ascii="仿宋_GB2312" w:hAnsi="仿宋_GB2312" w:eastAsia="仿宋_GB2312" w:cs="仿宋_GB2312"/>
                <w:sz w:val="20"/>
                <w:szCs w:val="20"/>
              </w:rPr>
            </w:pPr>
          </w:p>
        </w:tc>
        <w:tc>
          <w:tcPr>
            <w:tcW w:w="0" w:type="auto"/>
            <w:tcMar>
              <w:top w:w="60" w:type="dxa"/>
              <w:left w:w="120" w:type="dxa"/>
              <w:bottom w:w="30" w:type="dxa"/>
              <w:right w:w="120" w:type="dxa"/>
            </w:tcMar>
            <w:vAlign w:val="center"/>
          </w:tcPr>
          <w:p w14:paraId="2A41DF20">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14:30-16:00（1.5课时）</w:t>
            </w:r>
          </w:p>
        </w:tc>
        <w:tc>
          <w:tcPr>
            <w:tcW w:w="0" w:type="auto"/>
            <w:tcMar>
              <w:top w:w="60" w:type="dxa"/>
              <w:left w:w="120" w:type="dxa"/>
              <w:bottom w:w="30" w:type="dxa"/>
              <w:right w:w="120" w:type="dxa"/>
            </w:tcMar>
            <w:vAlign w:val="center"/>
          </w:tcPr>
          <w:p w14:paraId="3DFB3644">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探究式教学方法落地实操</w:t>
            </w:r>
          </w:p>
        </w:tc>
        <w:tc>
          <w:tcPr>
            <w:tcW w:w="0" w:type="auto"/>
            <w:tcMar>
              <w:top w:w="60" w:type="dxa"/>
              <w:left w:w="120" w:type="dxa"/>
              <w:bottom w:w="30" w:type="dxa"/>
              <w:right w:w="120" w:type="dxa"/>
            </w:tcMar>
            <w:vAlign w:val="center"/>
          </w:tcPr>
          <w:p w14:paraId="3CF0B55B">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小学科学探究式教学的核心流程与实施策略；2. 配套课程中探究环节的设计与实施技巧；3. 如何引导学生通过设备操作开展科学探究活动</w:t>
            </w:r>
          </w:p>
        </w:tc>
        <w:tc>
          <w:tcPr>
            <w:tcW w:w="0" w:type="auto"/>
            <w:tcMar>
              <w:top w:w="60" w:type="dxa"/>
              <w:left w:w="120" w:type="dxa"/>
              <w:bottom w:w="30" w:type="dxa"/>
              <w:right w:w="120" w:type="dxa"/>
            </w:tcMar>
            <w:vAlign w:val="center"/>
          </w:tcPr>
          <w:p w14:paraId="7194D270">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专题讲座+教学案例分析+小组研讨</w:t>
            </w:r>
          </w:p>
        </w:tc>
        <w:tc>
          <w:tcPr>
            <w:tcW w:w="0" w:type="auto"/>
            <w:tcMar>
              <w:top w:w="60" w:type="dxa"/>
              <w:left w:w="120" w:type="dxa"/>
              <w:bottom w:w="30" w:type="dxa"/>
              <w:right w:w="120" w:type="dxa"/>
            </w:tcMar>
            <w:vAlign w:val="center"/>
          </w:tcPr>
          <w:p w14:paraId="24DE94DB">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全体参训人员</w:t>
            </w:r>
          </w:p>
        </w:tc>
        <w:tc>
          <w:tcPr>
            <w:tcW w:w="733" w:type="dxa"/>
            <w:tcMar>
              <w:top w:w="60" w:type="dxa"/>
              <w:left w:w="120" w:type="dxa"/>
              <w:bottom w:w="30" w:type="dxa"/>
              <w:right w:w="120" w:type="dxa"/>
            </w:tcMar>
            <w:vAlign w:val="center"/>
          </w:tcPr>
          <w:p w14:paraId="6E956C8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课程专家</w:t>
            </w:r>
          </w:p>
        </w:tc>
        <w:tc>
          <w:tcPr>
            <w:tcW w:w="1347" w:type="dxa"/>
            <w:tcMar>
              <w:top w:w="60" w:type="dxa"/>
              <w:left w:w="120" w:type="dxa"/>
              <w:bottom w:w="30" w:type="dxa"/>
              <w:right w:w="120" w:type="dxa"/>
            </w:tcMar>
            <w:vAlign w:val="center"/>
          </w:tcPr>
          <w:p w14:paraId="419EF71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能阐述探究式教学流程，设计简单的探究教学环节</w:t>
            </w:r>
          </w:p>
        </w:tc>
      </w:tr>
      <w:tr w14:paraId="132AEB4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0" w:type="auto"/>
            <w:tcMar>
              <w:top w:w="60" w:type="dxa"/>
              <w:left w:w="120" w:type="dxa"/>
              <w:bottom w:w="30" w:type="dxa"/>
              <w:right w:w="120" w:type="dxa"/>
            </w:tcMar>
            <w:vAlign w:val="center"/>
          </w:tcPr>
          <w:p w14:paraId="47F579A4">
            <w:pPr>
              <w:jc w:val="center"/>
              <w:rPr>
                <w:rFonts w:hint="eastAsia" w:ascii="仿宋_GB2312" w:hAnsi="仿宋_GB2312" w:eastAsia="仿宋_GB2312" w:cs="仿宋_GB2312"/>
                <w:sz w:val="20"/>
                <w:szCs w:val="20"/>
              </w:rPr>
            </w:pPr>
          </w:p>
        </w:tc>
        <w:tc>
          <w:tcPr>
            <w:tcW w:w="0" w:type="auto"/>
            <w:tcMar>
              <w:top w:w="60" w:type="dxa"/>
              <w:left w:w="120" w:type="dxa"/>
              <w:bottom w:w="30" w:type="dxa"/>
              <w:right w:w="120" w:type="dxa"/>
            </w:tcMar>
            <w:vAlign w:val="center"/>
          </w:tcPr>
          <w:p w14:paraId="0D6570D0">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16:10-17:30（1.5课时）</w:t>
            </w:r>
          </w:p>
        </w:tc>
        <w:tc>
          <w:tcPr>
            <w:tcW w:w="0" w:type="auto"/>
            <w:tcMar>
              <w:top w:w="60" w:type="dxa"/>
              <w:left w:w="120" w:type="dxa"/>
              <w:bottom w:w="30" w:type="dxa"/>
              <w:right w:w="120" w:type="dxa"/>
            </w:tcMar>
            <w:vAlign w:val="center"/>
          </w:tcPr>
          <w:p w14:paraId="0C0BFC57">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设备与课程深度融合技巧</w:t>
            </w:r>
          </w:p>
        </w:tc>
        <w:tc>
          <w:tcPr>
            <w:tcW w:w="0" w:type="auto"/>
            <w:tcMar>
              <w:top w:w="60" w:type="dxa"/>
              <w:left w:w="120" w:type="dxa"/>
              <w:bottom w:w="30" w:type="dxa"/>
              <w:right w:w="120" w:type="dxa"/>
            </w:tcMar>
            <w:vAlign w:val="center"/>
          </w:tcPr>
          <w:p w14:paraId="42B53364">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核心课程（如“月相变化”“走过四季”）与对应设备的教学环节深度匹配设计；2. 利用设备操作突破教学重难点的方法；3. 设备操作过程中的学生提问引导与答疑技巧</w:t>
            </w:r>
          </w:p>
        </w:tc>
        <w:tc>
          <w:tcPr>
            <w:tcW w:w="0" w:type="auto"/>
            <w:tcMar>
              <w:top w:w="60" w:type="dxa"/>
              <w:left w:w="120" w:type="dxa"/>
              <w:bottom w:w="30" w:type="dxa"/>
              <w:right w:w="120" w:type="dxa"/>
            </w:tcMar>
            <w:vAlign w:val="center"/>
          </w:tcPr>
          <w:p w14:paraId="5397EF45">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案例分享+教学模拟+一对一指导</w:t>
            </w:r>
          </w:p>
        </w:tc>
        <w:tc>
          <w:tcPr>
            <w:tcW w:w="0" w:type="auto"/>
            <w:tcMar>
              <w:top w:w="60" w:type="dxa"/>
              <w:left w:w="120" w:type="dxa"/>
              <w:bottom w:w="30" w:type="dxa"/>
              <w:right w:w="120" w:type="dxa"/>
            </w:tcMar>
            <w:vAlign w:val="center"/>
          </w:tcPr>
          <w:p w14:paraId="1882F243">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全体参训人员</w:t>
            </w:r>
          </w:p>
        </w:tc>
        <w:tc>
          <w:tcPr>
            <w:tcW w:w="733" w:type="dxa"/>
            <w:tcMar>
              <w:top w:w="60" w:type="dxa"/>
              <w:left w:w="120" w:type="dxa"/>
              <w:bottom w:w="30" w:type="dxa"/>
              <w:right w:w="120" w:type="dxa"/>
            </w:tcMar>
            <w:vAlign w:val="center"/>
          </w:tcPr>
          <w:p w14:paraId="06F834A7">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课程专家+技术工程师</w:t>
            </w:r>
          </w:p>
        </w:tc>
        <w:tc>
          <w:tcPr>
            <w:tcW w:w="1347" w:type="dxa"/>
            <w:tcMar>
              <w:top w:w="60" w:type="dxa"/>
              <w:left w:w="120" w:type="dxa"/>
              <w:bottom w:w="30" w:type="dxa"/>
              <w:right w:w="120" w:type="dxa"/>
            </w:tcMar>
            <w:vAlign w:val="center"/>
          </w:tcPr>
          <w:p w14:paraId="717D4379">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能完成1节核心课程的设备与教学环节融合设计</w:t>
            </w:r>
          </w:p>
        </w:tc>
      </w:tr>
      <w:tr w14:paraId="16EC96D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0" w:type="auto"/>
            <w:tcMar>
              <w:top w:w="60" w:type="dxa"/>
              <w:left w:w="120" w:type="dxa"/>
              <w:bottom w:w="30" w:type="dxa"/>
              <w:right w:w="120" w:type="dxa"/>
            </w:tcMar>
            <w:vAlign w:val="center"/>
          </w:tcPr>
          <w:p w14:paraId="5C7717A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b/>
                <w:sz w:val="20"/>
                <w:szCs w:val="20"/>
              </w:rPr>
              <w:t>第二天</w:t>
            </w:r>
            <w:r>
              <w:rPr>
                <w:rFonts w:hint="eastAsia" w:ascii="仿宋_GB2312" w:hAnsi="仿宋_GB2312" w:eastAsia="仿宋_GB2312" w:cs="仿宋_GB2312"/>
                <w:sz w:val="20"/>
                <w:szCs w:val="20"/>
              </w:rPr>
              <w:t>（教学应用提升+考核）</w:t>
            </w:r>
          </w:p>
        </w:tc>
        <w:tc>
          <w:tcPr>
            <w:tcW w:w="0" w:type="auto"/>
            <w:tcMar>
              <w:top w:w="60" w:type="dxa"/>
              <w:left w:w="120" w:type="dxa"/>
              <w:bottom w:w="30" w:type="dxa"/>
              <w:right w:w="120" w:type="dxa"/>
            </w:tcMar>
            <w:vAlign w:val="center"/>
          </w:tcPr>
          <w:p w14:paraId="3D9ECE49">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09:00-10:30（1.5课时）</w:t>
            </w:r>
          </w:p>
        </w:tc>
        <w:tc>
          <w:tcPr>
            <w:tcW w:w="0" w:type="auto"/>
            <w:tcMar>
              <w:top w:w="60" w:type="dxa"/>
              <w:left w:w="120" w:type="dxa"/>
              <w:bottom w:w="30" w:type="dxa"/>
              <w:right w:w="120" w:type="dxa"/>
            </w:tcMar>
            <w:vAlign w:val="center"/>
          </w:tcPr>
          <w:p w14:paraId="31CFCE8A">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跨学科课程设计入门</w:t>
            </w:r>
          </w:p>
        </w:tc>
        <w:tc>
          <w:tcPr>
            <w:tcW w:w="0" w:type="auto"/>
            <w:tcMar>
              <w:top w:w="60" w:type="dxa"/>
              <w:left w:w="120" w:type="dxa"/>
              <w:bottom w:w="30" w:type="dxa"/>
              <w:right w:w="120" w:type="dxa"/>
            </w:tcMar>
            <w:vAlign w:val="center"/>
          </w:tcPr>
          <w:p w14:paraId="5591449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天文+语文、天文+数学、天文+科创等跨学科课程设计思路；2. 利用项目设备设计跨学科教学活动的方法；3. 跨学科课程案例分享与解析</w:t>
            </w:r>
          </w:p>
        </w:tc>
        <w:tc>
          <w:tcPr>
            <w:tcW w:w="0" w:type="auto"/>
            <w:tcMar>
              <w:top w:w="60" w:type="dxa"/>
              <w:left w:w="120" w:type="dxa"/>
              <w:bottom w:w="30" w:type="dxa"/>
              <w:right w:w="120" w:type="dxa"/>
            </w:tcMar>
            <w:vAlign w:val="center"/>
          </w:tcPr>
          <w:p w14:paraId="737FD31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专题讲座+小组研讨+案例演示</w:t>
            </w:r>
          </w:p>
        </w:tc>
        <w:tc>
          <w:tcPr>
            <w:tcW w:w="0" w:type="auto"/>
            <w:tcMar>
              <w:top w:w="60" w:type="dxa"/>
              <w:left w:w="120" w:type="dxa"/>
              <w:bottom w:w="30" w:type="dxa"/>
              <w:right w:w="120" w:type="dxa"/>
            </w:tcMar>
            <w:vAlign w:val="center"/>
          </w:tcPr>
          <w:p w14:paraId="19B36977">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骨干教师（全员旁听）</w:t>
            </w:r>
          </w:p>
        </w:tc>
        <w:tc>
          <w:tcPr>
            <w:tcW w:w="733" w:type="dxa"/>
            <w:tcMar>
              <w:top w:w="60" w:type="dxa"/>
              <w:left w:w="120" w:type="dxa"/>
              <w:bottom w:w="30" w:type="dxa"/>
              <w:right w:w="120" w:type="dxa"/>
            </w:tcMar>
            <w:vAlign w:val="center"/>
          </w:tcPr>
          <w:p w14:paraId="06C4A883">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课程专家</w:t>
            </w:r>
          </w:p>
        </w:tc>
        <w:tc>
          <w:tcPr>
            <w:tcW w:w="1347" w:type="dxa"/>
            <w:tcMar>
              <w:top w:w="60" w:type="dxa"/>
              <w:left w:w="120" w:type="dxa"/>
              <w:bottom w:w="30" w:type="dxa"/>
              <w:right w:w="120" w:type="dxa"/>
            </w:tcMar>
            <w:vAlign w:val="center"/>
          </w:tcPr>
          <w:p w14:paraId="51D840BF">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骨干教师能完成1个跨学科教学活动初步设计</w:t>
            </w:r>
          </w:p>
        </w:tc>
      </w:tr>
      <w:tr w14:paraId="2B37F337">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0" w:type="auto"/>
            <w:tcMar>
              <w:top w:w="60" w:type="dxa"/>
              <w:left w:w="120" w:type="dxa"/>
              <w:bottom w:w="30" w:type="dxa"/>
              <w:right w:w="120" w:type="dxa"/>
            </w:tcMar>
            <w:vAlign w:val="center"/>
          </w:tcPr>
          <w:p w14:paraId="34DDB74C">
            <w:pPr>
              <w:jc w:val="center"/>
              <w:rPr>
                <w:rFonts w:hint="eastAsia" w:ascii="仿宋_GB2312" w:hAnsi="仿宋_GB2312" w:eastAsia="仿宋_GB2312" w:cs="仿宋_GB2312"/>
                <w:sz w:val="20"/>
                <w:szCs w:val="20"/>
              </w:rPr>
            </w:pPr>
          </w:p>
        </w:tc>
        <w:tc>
          <w:tcPr>
            <w:tcW w:w="0" w:type="auto"/>
            <w:tcMar>
              <w:top w:w="60" w:type="dxa"/>
              <w:left w:w="120" w:type="dxa"/>
              <w:bottom w:w="30" w:type="dxa"/>
              <w:right w:w="120" w:type="dxa"/>
            </w:tcMar>
            <w:vAlign w:val="center"/>
          </w:tcPr>
          <w:p w14:paraId="29833BC1">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10:40-12:00（1.5课时）</w:t>
            </w:r>
          </w:p>
        </w:tc>
        <w:tc>
          <w:tcPr>
            <w:tcW w:w="0" w:type="auto"/>
            <w:tcMar>
              <w:top w:w="60" w:type="dxa"/>
              <w:left w:w="120" w:type="dxa"/>
              <w:bottom w:w="30" w:type="dxa"/>
              <w:right w:w="120" w:type="dxa"/>
            </w:tcMar>
            <w:vAlign w:val="center"/>
          </w:tcPr>
          <w:p w14:paraId="3024A290">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设备复杂故障与管理专项</w:t>
            </w:r>
          </w:p>
        </w:tc>
        <w:tc>
          <w:tcPr>
            <w:tcW w:w="0" w:type="auto"/>
            <w:tcMar>
              <w:top w:w="60" w:type="dxa"/>
              <w:left w:w="120" w:type="dxa"/>
              <w:bottom w:w="30" w:type="dxa"/>
              <w:right w:w="120" w:type="dxa"/>
            </w:tcMar>
            <w:vAlign w:val="center"/>
          </w:tcPr>
          <w:p w14:paraId="4B8AE5F1">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设备传感器失灵、传动部件卡顿等较复杂故障的初步排查方法；2. 实验室设备日常管理台账建立方法（使用记录、维护记录、耗材台账）；3. 设备教学使用中的安全管理与应急处理流程</w:t>
            </w:r>
          </w:p>
        </w:tc>
        <w:tc>
          <w:tcPr>
            <w:tcW w:w="0" w:type="auto"/>
            <w:tcMar>
              <w:top w:w="60" w:type="dxa"/>
              <w:left w:w="120" w:type="dxa"/>
              <w:bottom w:w="30" w:type="dxa"/>
              <w:right w:w="120" w:type="dxa"/>
            </w:tcMar>
            <w:vAlign w:val="center"/>
          </w:tcPr>
          <w:p w14:paraId="1AD1F9E8">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案例讲解+模拟操作+台账模板演示</w:t>
            </w:r>
          </w:p>
        </w:tc>
        <w:tc>
          <w:tcPr>
            <w:tcW w:w="0" w:type="auto"/>
            <w:tcMar>
              <w:top w:w="60" w:type="dxa"/>
              <w:left w:w="120" w:type="dxa"/>
              <w:bottom w:w="30" w:type="dxa"/>
              <w:right w:w="120" w:type="dxa"/>
            </w:tcMar>
            <w:vAlign w:val="center"/>
          </w:tcPr>
          <w:p w14:paraId="42569EC5">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管理员+骨干教师</w:t>
            </w:r>
          </w:p>
        </w:tc>
        <w:tc>
          <w:tcPr>
            <w:tcW w:w="733" w:type="dxa"/>
            <w:tcMar>
              <w:top w:w="60" w:type="dxa"/>
              <w:left w:w="120" w:type="dxa"/>
              <w:bottom w:w="30" w:type="dxa"/>
              <w:right w:w="120" w:type="dxa"/>
            </w:tcMar>
            <w:vAlign w:val="center"/>
          </w:tcPr>
          <w:p w14:paraId="1AD7FF2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技术工程师</w:t>
            </w:r>
          </w:p>
        </w:tc>
        <w:tc>
          <w:tcPr>
            <w:tcW w:w="1347" w:type="dxa"/>
            <w:tcMar>
              <w:top w:w="60" w:type="dxa"/>
              <w:left w:w="120" w:type="dxa"/>
              <w:bottom w:w="30" w:type="dxa"/>
              <w:right w:w="120" w:type="dxa"/>
            </w:tcMar>
            <w:vAlign w:val="center"/>
          </w:tcPr>
          <w:p w14:paraId="0A5C24B3">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管理员能建立设备管理台账，排查2种以上较复杂故障</w:t>
            </w:r>
          </w:p>
        </w:tc>
      </w:tr>
      <w:tr w14:paraId="0ECFBDF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0" w:type="auto"/>
            <w:tcMar>
              <w:top w:w="60" w:type="dxa"/>
              <w:left w:w="120" w:type="dxa"/>
              <w:bottom w:w="30" w:type="dxa"/>
              <w:right w:w="120" w:type="dxa"/>
            </w:tcMar>
            <w:vAlign w:val="center"/>
          </w:tcPr>
          <w:p w14:paraId="6648BB01">
            <w:pPr>
              <w:jc w:val="center"/>
              <w:rPr>
                <w:rFonts w:hint="eastAsia" w:ascii="仿宋_GB2312" w:hAnsi="仿宋_GB2312" w:eastAsia="仿宋_GB2312" w:cs="仿宋_GB2312"/>
                <w:sz w:val="20"/>
                <w:szCs w:val="20"/>
              </w:rPr>
            </w:pPr>
          </w:p>
        </w:tc>
        <w:tc>
          <w:tcPr>
            <w:tcW w:w="0" w:type="auto"/>
            <w:tcMar>
              <w:top w:w="60" w:type="dxa"/>
              <w:left w:w="120" w:type="dxa"/>
              <w:bottom w:w="30" w:type="dxa"/>
              <w:right w:w="120" w:type="dxa"/>
            </w:tcMar>
            <w:vAlign w:val="center"/>
          </w:tcPr>
          <w:p w14:paraId="72A79BEB">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14:30-16:00（1.5课时）</w:t>
            </w:r>
          </w:p>
        </w:tc>
        <w:tc>
          <w:tcPr>
            <w:tcW w:w="0" w:type="auto"/>
            <w:tcMar>
              <w:top w:w="60" w:type="dxa"/>
              <w:left w:w="120" w:type="dxa"/>
              <w:bottom w:w="30" w:type="dxa"/>
              <w:right w:w="120" w:type="dxa"/>
            </w:tcMar>
            <w:vAlign w:val="center"/>
          </w:tcPr>
          <w:p w14:paraId="0F886C6E">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教学案例设计与模拟授课</w:t>
            </w:r>
          </w:p>
        </w:tc>
        <w:tc>
          <w:tcPr>
            <w:tcW w:w="0" w:type="auto"/>
            <w:tcMar>
              <w:top w:w="60" w:type="dxa"/>
              <w:left w:w="120" w:type="dxa"/>
              <w:bottom w:w="30" w:type="dxa"/>
              <w:right w:w="120" w:type="dxa"/>
            </w:tcMar>
            <w:vAlign w:val="center"/>
          </w:tcPr>
          <w:p w14:paraId="0053058C">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参训人员分组完成1节完整的课程教学设计（结合设备操作）；2. 每组选派1名教师进行15分钟模拟授课；3. 培训师现场点评、优化指导</w:t>
            </w:r>
          </w:p>
        </w:tc>
        <w:tc>
          <w:tcPr>
            <w:tcW w:w="0" w:type="auto"/>
            <w:tcMar>
              <w:top w:w="60" w:type="dxa"/>
              <w:left w:w="120" w:type="dxa"/>
              <w:bottom w:w="30" w:type="dxa"/>
              <w:right w:w="120" w:type="dxa"/>
            </w:tcMar>
            <w:vAlign w:val="center"/>
          </w:tcPr>
          <w:p w14:paraId="2E71CB5F">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分组设计+模拟授课+现场点评</w:t>
            </w:r>
          </w:p>
        </w:tc>
        <w:tc>
          <w:tcPr>
            <w:tcW w:w="0" w:type="auto"/>
            <w:tcMar>
              <w:top w:w="60" w:type="dxa"/>
              <w:left w:w="120" w:type="dxa"/>
              <w:bottom w:w="30" w:type="dxa"/>
              <w:right w:w="120" w:type="dxa"/>
            </w:tcMar>
            <w:vAlign w:val="center"/>
          </w:tcPr>
          <w:p w14:paraId="4B61B7B8">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全体参训人员（骨干教师为主）</w:t>
            </w:r>
          </w:p>
        </w:tc>
        <w:tc>
          <w:tcPr>
            <w:tcW w:w="733" w:type="dxa"/>
            <w:tcMar>
              <w:top w:w="60" w:type="dxa"/>
              <w:left w:w="120" w:type="dxa"/>
              <w:bottom w:w="30" w:type="dxa"/>
              <w:right w:w="120" w:type="dxa"/>
            </w:tcMar>
            <w:vAlign w:val="center"/>
          </w:tcPr>
          <w:p w14:paraId="6EED0DD7">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课程专家+技术工程师</w:t>
            </w:r>
          </w:p>
        </w:tc>
        <w:tc>
          <w:tcPr>
            <w:tcW w:w="1347" w:type="dxa"/>
            <w:tcMar>
              <w:top w:w="60" w:type="dxa"/>
              <w:left w:w="120" w:type="dxa"/>
              <w:bottom w:w="30" w:type="dxa"/>
              <w:right w:w="120" w:type="dxa"/>
            </w:tcMar>
            <w:vAlign w:val="center"/>
          </w:tcPr>
          <w:p w14:paraId="58B515A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教学设计完整，能结合设备完成模拟授课，教学环节合理</w:t>
            </w:r>
          </w:p>
        </w:tc>
      </w:tr>
      <w:tr w14:paraId="360E38B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0" w:type="auto"/>
            <w:tcMar>
              <w:top w:w="60" w:type="dxa"/>
              <w:left w:w="120" w:type="dxa"/>
              <w:bottom w:w="30" w:type="dxa"/>
              <w:right w:w="120" w:type="dxa"/>
            </w:tcMar>
            <w:vAlign w:val="center"/>
          </w:tcPr>
          <w:p w14:paraId="6382B80D">
            <w:pPr>
              <w:jc w:val="center"/>
              <w:rPr>
                <w:rFonts w:hint="eastAsia" w:ascii="仿宋_GB2312" w:hAnsi="仿宋_GB2312" w:eastAsia="仿宋_GB2312" w:cs="仿宋_GB2312"/>
                <w:sz w:val="20"/>
                <w:szCs w:val="20"/>
              </w:rPr>
            </w:pPr>
          </w:p>
        </w:tc>
        <w:tc>
          <w:tcPr>
            <w:tcW w:w="0" w:type="auto"/>
            <w:tcMar>
              <w:top w:w="60" w:type="dxa"/>
              <w:left w:w="120" w:type="dxa"/>
              <w:bottom w:w="30" w:type="dxa"/>
              <w:right w:w="120" w:type="dxa"/>
            </w:tcMar>
            <w:vAlign w:val="center"/>
          </w:tcPr>
          <w:p w14:paraId="41CC17F7">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16:10-17:30（1.5课时）</w:t>
            </w:r>
          </w:p>
        </w:tc>
        <w:tc>
          <w:tcPr>
            <w:tcW w:w="0" w:type="auto"/>
            <w:tcMar>
              <w:top w:w="60" w:type="dxa"/>
              <w:left w:w="120" w:type="dxa"/>
              <w:bottom w:w="30" w:type="dxa"/>
              <w:right w:w="120" w:type="dxa"/>
            </w:tcMar>
            <w:vAlign w:val="center"/>
          </w:tcPr>
          <w:p w14:paraId="55902EC3">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第二轮培训考核+总结+后续支持说明</w:t>
            </w:r>
          </w:p>
        </w:tc>
        <w:tc>
          <w:tcPr>
            <w:tcW w:w="0" w:type="auto"/>
            <w:tcMar>
              <w:top w:w="60" w:type="dxa"/>
              <w:left w:w="120" w:type="dxa"/>
              <w:bottom w:w="30" w:type="dxa"/>
              <w:right w:w="120" w:type="dxa"/>
            </w:tcMar>
            <w:vAlign w:val="center"/>
          </w:tcPr>
          <w:p w14:paraId="4C2014F9">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 课程设计与模拟授课考核；2. 设备高级功能与故障排查实操考核；3. 培训整体内容总结，后续支持渠道与服务说明；4. 参训人员满意度调查</w:t>
            </w:r>
          </w:p>
        </w:tc>
        <w:tc>
          <w:tcPr>
            <w:tcW w:w="0" w:type="auto"/>
            <w:tcMar>
              <w:top w:w="60" w:type="dxa"/>
              <w:left w:w="120" w:type="dxa"/>
              <w:bottom w:w="30" w:type="dxa"/>
              <w:right w:w="120" w:type="dxa"/>
            </w:tcMar>
            <w:vAlign w:val="center"/>
          </w:tcPr>
          <w:p w14:paraId="26A8480A">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综合考核+总结讲解+问卷调研</w:t>
            </w:r>
          </w:p>
        </w:tc>
        <w:tc>
          <w:tcPr>
            <w:tcW w:w="0" w:type="auto"/>
            <w:tcMar>
              <w:top w:w="60" w:type="dxa"/>
              <w:left w:w="120" w:type="dxa"/>
              <w:bottom w:w="30" w:type="dxa"/>
              <w:right w:w="120" w:type="dxa"/>
            </w:tcMar>
            <w:vAlign w:val="center"/>
          </w:tcPr>
          <w:p w14:paraId="0E0A196A">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全体参训人员</w:t>
            </w:r>
          </w:p>
        </w:tc>
        <w:tc>
          <w:tcPr>
            <w:tcW w:w="733" w:type="dxa"/>
            <w:tcMar>
              <w:top w:w="60" w:type="dxa"/>
              <w:left w:w="120" w:type="dxa"/>
              <w:bottom w:w="30" w:type="dxa"/>
              <w:right w:w="120" w:type="dxa"/>
            </w:tcMar>
            <w:vAlign w:val="center"/>
          </w:tcPr>
          <w:p w14:paraId="23A50711">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课程专家+技术工程师</w:t>
            </w:r>
          </w:p>
        </w:tc>
        <w:tc>
          <w:tcPr>
            <w:tcW w:w="1347" w:type="dxa"/>
            <w:tcMar>
              <w:top w:w="60" w:type="dxa"/>
              <w:left w:w="120" w:type="dxa"/>
              <w:bottom w:w="30" w:type="dxa"/>
              <w:right w:w="120" w:type="dxa"/>
            </w:tcMar>
            <w:vAlign w:val="center"/>
          </w:tcPr>
          <w:p w14:paraId="5895ADD0">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综合考核通过率100%，满意度≥95%</w:t>
            </w:r>
          </w:p>
        </w:tc>
      </w:tr>
    </w:tbl>
    <w:p w14:paraId="640A7D13">
      <w:pPr>
        <w:pStyle w:val="2"/>
        <w:numPr>
          <w:ilvl w:val="0"/>
          <w:numId w:val="212"/>
        </w:numPr>
        <w:topLinePunct w:val="0"/>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培训形式与特色</w:t>
      </w:r>
    </w:p>
    <w:p w14:paraId="1FAF9E44">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本次培训采“多形式结合、重实操、强互动”的培训模式，确保培训效果落地，具体形式包括：</w:t>
      </w:r>
    </w:p>
    <w:p w14:paraId="26527252">
      <w:pPr>
        <w:pStyle w:val="6"/>
        <w:numPr>
          <w:ilvl w:val="0"/>
          <w:numId w:val="218"/>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现场驻场演示</w:t>
      </w:r>
      <w:r>
        <w:rPr>
          <w:rFonts w:hint="eastAsia" w:ascii="仿宋_GB2312" w:hAnsi="仿宋_GB2312" w:eastAsia="仿宋_GB2312" w:cs="仿宋_GB2312"/>
          <w:sz w:val="20"/>
          <w:szCs w:val="20"/>
        </w:rPr>
        <w:t>：所有培训均在学校天文馆、Stream教室开展，培训师现场演示设备操作与教学方法，参训人员身临其境，贴合实际教学场景；</w:t>
      </w:r>
    </w:p>
    <w:p w14:paraId="7F2F5949">
      <w:pPr>
        <w:pStyle w:val="6"/>
        <w:numPr>
          <w:ilvl w:val="0"/>
          <w:numId w:val="218"/>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分层分组实操</w:t>
      </w:r>
      <w:r>
        <w:rPr>
          <w:rFonts w:hint="eastAsia" w:ascii="仿宋_GB2312" w:hAnsi="仿宋_GB2312" w:eastAsia="仿宋_GB2312" w:cs="仿宋_GB2312"/>
          <w:sz w:val="20"/>
          <w:szCs w:val="20"/>
        </w:rPr>
        <w:t>：按培训对象与设备类型分组，每组不超过5人，确保每位参训人员都有充足的动手实操时间，培训师一对一指导，及时纠正错误操作；</w:t>
      </w:r>
    </w:p>
    <w:p w14:paraId="7EE8B347">
      <w:pPr>
        <w:pStyle w:val="6"/>
        <w:numPr>
          <w:ilvl w:val="0"/>
          <w:numId w:val="218"/>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教学场景模拟</w:t>
      </w:r>
      <w:r>
        <w:rPr>
          <w:rFonts w:hint="eastAsia" w:ascii="仿宋_GB2312" w:hAnsi="仿宋_GB2312" w:eastAsia="仿宋_GB2312" w:cs="仿宋_GB2312"/>
          <w:sz w:val="20"/>
          <w:szCs w:val="20"/>
        </w:rPr>
        <w:t>：结合实际课堂教学场景，开展设备操作与课程教学融合模拟，让参训人员快速将培训内容转化为教学能力；</w:t>
      </w:r>
    </w:p>
    <w:p w14:paraId="2723F99D">
      <w:pPr>
        <w:pStyle w:val="6"/>
        <w:numPr>
          <w:ilvl w:val="0"/>
          <w:numId w:val="218"/>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小组研讨设计</w:t>
      </w:r>
      <w:r>
        <w:rPr>
          <w:rFonts w:hint="eastAsia" w:ascii="仿宋_GB2312" w:hAnsi="仿宋_GB2312" w:eastAsia="仿宋_GB2312" w:cs="仿宋_GB2312"/>
          <w:sz w:val="20"/>
          <w:szCs w:val="20"/>
        </w:rPr>
        <w:t>：通过小组研讨完成课程设计、跨学科活动设计，激发参训人员思维，实现经验共享与能力提升；</w:t>
      </w:r>
    </w:p>
    <w:p w14:paraId="5C863F0A">
      <w:pPr>
        <w:pStyle w:val="6"/>
        <w:numPr>
          <w:ilvl w:val="0"/>
          <w:numId w:val="218"/>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案例讲解分析</w:t>
      </w:r>
      <w:r>
        <w:rPr>
          <w:rFonts w:hint="eastAsia" w:ascii="仿宋_GB2312" w:hAnsi="仿宋_GB2312" w:eastAsia="仿宋_GB2312" w:cs="仿宋_GB2312"/>
          <w:sz w:val="20"/>
          <w:szCs w:val="20"/>
        </w:rPr>
        <w:t>：结合设备操作、故障处理、课程教学的典型案例，进行深度分析与讲解，让参训人员掌握实际问题的解决方法；</w:t>
      </w:r>
    </w:p>
    <w:p w14:paraId="69EDE160">
      <w:pPr>
        <w:pStyle w:val="6"/>
        <w:numPr>
          <w:ilvl w:val="0"/>
          <w:numId w:val="218"/>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一对一深化指导</w:t>
      </w:r>
      <w:r>
        <w:rPr>
          <w:rFonts w:hint="eastAsia" w:ascii="仿宋_GB2312" w:hAnsi="仿宋_GB2312" w:eastAsia="仿宋_GB2312" w:cs="仿宋_GB2312"/>
          <w:sz w:val="20"/>
          <w:szCs w:val="20"/>
        </w:rPr>
        <w:t>：针对骨干教师与实验室管理员，开展专项一对一指导，确保核心人员实现能力深化提升。</w:t>
      </w:r>
    </w:p>
    <w:p w14:paraId="391250C4">
      <w:pPr>
        <w:pStyle w:val="2"/>
        <w:numPr>
          <w:ilvl w:val="0"/>
          <w:numId w:val="212"/>
        </w:numPr>
        <w:topLinePunct w:val="0"/>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培训材料与资源保障</w:t>
      </w:r>
    </w:p>
    <w:p w14:paraId="57E38A3E">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为确保培训顺利开展与参训人员后续复习，我方将提供</w:t>
      </w:r>
      <w:r>
        <w:rPr>
          <w:rFonts w:hint="eastAsia" w:ascii="仿宋_GB2312" w:hAnsi="仿宋_GB2312" w:eastAsia="仿宋_GB2312" w:cs="仿宋_GB2312"/>
          <w:b/>
          <w:sz w:val="20"/>
          <w:szCs w:val="20"/>
        </w:rPr>
        <w:t>全套电子+纸质版培训材料与资源</w:t>
      </w:r>
      <w:r>
        <w:rPr>
          <w:rFonts w:hint="eastAsia" w:ascii="仿宋_GB2312" w:hAnsi="仿宋_GB2312" w:eastAsia="仿宋_GB2312" w:cs="仿宋_GB2312"/>
          <w:sz w:val="20"/>
          <w:szCs w:val="20"/>
        </w:rPr>
        <w:t>，做到“人手一套、全程配套、后续可查”，具体包括：</w:t>
      </w:r>
    </w:p>
    <w:p w14:paraId="6B407838">
      <w:pPr>
        <w:pStyle w:val="3"/>
        <w:numPr>
          <w:ilvl w:val="0"/>
          <w:numId w:val="219"/>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纸质版材料（人手1套）</w:t>
      </w:r>
    </w:p>
    <w:p w14:paraId="1752A22E">
      <w:pPr>
        <w:pStyle w:val="6"/>
        <w:numPr>
          <w:ilvl w:val="0"/>
          <w:numId w:val="22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《项目设备操作与维护手册》（全彩印刷，含设备操作步骤、维护规范、故障排查指南）；</w:t>
      </w:r>
    </w:p>
    <w:p w14:paraId="18784C14">
      <w:pPr>
        <w:pStyle w:val="6"/>
        <w:numPr>
          <w:ilvl w:val="0"/>
          <w:numId w:val="22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《培训讲义》（含两轮培训所有模块核心内容、案例、实操步骤）；</w:t>
      </w:r>
    </w:p>
    <w:p w14:paraId="391FF157">
      <w:pPr>
        <w:pStyle w:val="6"/>
        <w:numPr>
          <w:ilvl w:val="0"/>
          <w:numId w:val="22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《课程资源使用指南》（含课程资源包介绍、调取方法、教学匹配技巧）；</w:t>
      </w:r>
    </w:p>
    <w:p w14:paraId="47481034">
      <w:pPr>
        <w:pStyle w:val="6"/>
        <w:numPr>
          <w:ilvl w:val="0"/>
          <w:numId w:val="22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《实验室设备管理台账模板》（含使用记录、维护记录、耗材台账等）；</w:t>
      </w:r>
    </w:p>
    <w:p w14:paraId="37B3643D">
      <w:pPr>
        <w:pStyle w:val="6"/>
        <w:numPr>
          <w:ilvl w:val="0"/>
          <w:numId w:val="22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培训考核表、满意度调查表、培训反馈表。</w:t>
      </w:r>
    </w:p>
    <w:p w14:paraId="6A8DDD65">
      <w:pPr>
        <w:pStyle w:val="3"/>
        <w:numPr>
          <w:ilvl w:val="0"/>
          <w:numId w:val="219"/>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电子版资源（U盘+网盘双渠道发放）</w:t>
      </w:r>
    </w:p>
    <w:p w14:paraId="0BFAF7AF">
      <w:pPr>
        <w:pStyle w:val="6"/>
        <w:numPr>
          <w:ilvl w:val="0"/>
          <w:numId w:val="221"/>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所有纸质版材料的电子档（Word/PDF格式，可编辑）；</w:t>
      </w:r>
    </w:p>
    <w:p w14:paraId="7856F989">
      <w:pPr>
        <w:pStyle w:val="6"/>
        <w:numPr>
          <w:ilvl w:val="0"/>
          <w:numId w:val="221"/>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全套课程资源包（含28个主题课程教案、PPT课件、学生手册、实验记录表）；</w:t>
      </w:r>
    </w:p>
    <w:p w14:paraId="2C907E56">
      <w:pPr>
        <w:pStyle w:val="6"/>
        <w:numPr>
          <w:ilvl w:val="0"/>
          <w:numId w:val="221"/>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设备操作、维护、故障排查的全程培训视频（分模块录制，清晰易懂）；</w:t>
      </w:r>
    </w:p>
    <w:p w14:paraId="1EF632CF">
      <w:pPr>
        <w:pStyle w:val="6"/>
        <w:numPr>
          <w:ilvl w:val="0"/>
          <w:numId w:val="221"/>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教学案例集（含探究式教学案例、跨学科教学案例、设备与课程融合案例）；</w:t>
      </w:r>
    </w:p>
    <w:p w14:paraId="7201F526">
      <w:pPr>
        <w:pStyle w:val="6"/>
        <w:numPr>
          <w:ilvl w:val="0"/>
          <w:numId w:val="221"/>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相关教学辅助资料（小学科学课标解读、探究式教学方法手册）。</w:t>
      </w:r>
    </w:p>
    <w:p w14:paraId="647828D7">
      <w:pPr>
        <w:pStyle w:val="3"/>
        <w:numPr>
          <w:ilvl w:val="0"/>
          <w:numId w:val="219"/>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现场实操保障</w:t>
      </w:r>
    </w:p>
    <w:p w14:paraId="61696918">
      <w:pPr>
        <w:pStyle w:val="6"/>
        <w:numPr>
          <w:ilvl w:val="0"/>
          <w:numId w:val="222"/>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培训现场确保所有设备正常运行，备齐常用耗材、维修工具、清洁用品；</w:t>
      </w:r>
    </w:p>
    <w:p w14:paraId="0FA93D1C">
      <w:pPr>
        <w:pStyle w:val="6"/>
        <w:numPr>
          <w:ilvl w:val="0"/>
          <w:numId w:val="222"/>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为每组参训人员配备1套实操设备，确保人均实操无冲突；</w:t>
      </w:r>
    </w:p>
    <w:p w14:paraId="3C58D255">
      <w:pPr>
        <w:pStyle w:val="6"/>
        <w:numPr>
          <w:ilvl w:val="0"/>
          <w:numId w:val="222"/>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培训现场安排专人负责设备保障，及时处理培训过程中设备出现的问题。</w:t>
      </w:r>
    </w:p>
    <w:p w14:paraId="2F8F6ACA">
      <w:pPr>
        <w:pStyle w:val="2"/>
        <w:numPr>
          <w:ilvl w:val="0"/>
          <w:numId w:val="212"/>
        </w:numPr>
        <w:topLinePunct w:val="0"/>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培训考核与效果评估</w:t>
      </w:r>
    </w:p>
    <w:p w14:paraId="725D7DAF">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为确保培训效果，建立“全程跟踪、分层考核、综合评估”的考核评估体系，两轮培训均设置专项考核，考核合格后方为培训通过，未合格人员将进行免费一对一补课，直至考核通过。</w:t>
      </w:r>
    </w:p>
    <w:p w14:paraId="55789890">
      <w:pPr>
        <w:pStyle w:val="3"/>
        <w:numPr>
          <w:ilvl w:val="0"/>
          <w:numId w:val="223"/>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考核方式</w:t>
      </w:r>
    </w:p>
    <w:p w14:paraId="069A8238">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采用“实操考核+笔试考核+综合能力考核”相结合的方式，不同培训轮次考核重点不同：</w:t>
      </w:r>
    </w:p>
    <w:p w14:paraId="493EC2AE">
      <w:pPr>
        <w:pStyle w:val="6"/>
        <w:numPr>
          <w:ilvl w:val="0"/>
          <w:numId w:val="22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第一轮考核</w:t>
      </w:r>
      <w:r>
        <w:rPr>
          <w:rFonts w:hint="eastAsia" w:ascii="仿宋_GB2312" w:hAnsi="仿宋_GB2312" w:eastAsia="仿宋_GB2312" w:cs="仿宋_GB2312"/>
          <w:sz w:val="20"/>
          <w:szCs w:val="20"/>
        </w:rPr>
        <w:t>：以实操考核（70%）+笔试考核（30%）为主，侧重设备操作与基础维护能力；</w:t>
      </w:r>
    </w:p>
    <w:p w14:paraId="090B2B36">
      <w:pPr>
        <w:pStyle w:val="6"/>
        <w:numPr>
          <w:ilvl w:val="0"/>
          <w:numId w:val="22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第二轮考核</w:t>
      </w:r>
      <w:r>
        <w:rPr>
          <w:rFonts w:hint="eastAsia" w:ascii="仿宋_GB2312" w:hAnsi="仿宋_GB2312" w:eastAsia="仿宋_GB2312" w:cs="仿宋_GB2312"/>
          <w:sz w:val="20"/>
          <w:szCs w:val="20"/>
        </w:rPr>
        <w:t>：以综合能力考核（80%）+实操考核（20%）为主，侧重课程设计、教学应用与设备高级操作能力。</w:t>
      </w:r>
    </w:p>
    <w:p w14:paraId="3FEB8A0F">
      <w:pPr>
        <w:pStyle w:val="3"/>
        <w:numPr>
          <w:ilvl w:val="0"/>
          <w:numId w:val="223"/>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考核标准</w:t>
      </w:r>
    </w:p>
    <w:p w14:paraId="150D1F1B">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所有考核实行</w:t>
      </w:r>
      <w:r>
        <w:rPr>
          <w:rFonts w:hint="eastAsia" w:ascii="仿宋_GB2312" w:hAnsi="仿宋_GB2312" w:eastAsia="仿宋_GB2312" w:cs="仿宋_GB2312"/>
          <w:b/>
          <w:sz w:val="20"/>
          <w:szCs w:val="20"/>
        </w:rPr>
        <w:t>百分制</w:t>
      </w:r>
      <w:r>
        <w:rPr>
          <w:rFonts w:hint="eastAsia" w:ascii="仿宋_GB2312" w:hAnsi="仿宋_GB2312" w:eastAsia="仿宋_GB2312" w:cs="仿宋_GB2312"/>
          <w:sz w:val="20"/>
          <w:szCs w:val="20"/>
        </w:rPr>
        <w:t>，80分及以上为合格，90分及以上为优秀，具体考核标准如下：</w:t>
      </w:r>
    </w:p>
    <w:tbl>
      <w:tblPr>
        <w:tblStyle w:val="9"/>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173"/>
        <w:gridCol w:w="2664"/>
        <w:gridCol w:w="4443"/>
      </w:tblGrid>
      <w:tr w14:paraId="058DE88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173" w:type="dxa"/>
            <w:tcMar>
              <w:top w:w="60" w:type="dxa"/>
              <w:left w:w="120" w:type="dxa"/>
              <w:bottom w:w="30" w:type="dxa"/>
              <w:right w:w="120" w:type="dxa"/>
            </w:tcMar>
            <w:vAlign w:val="center"/>
          </w:tcPr>
          <w:p w14:paraId="2911B294">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考核类型</w:t>
            </w:r>
          </w:p>
        </w:tc>
        <w:tc>
          <w:tcPr>
            <w:tcW w:w="2664" w:type="dxa"/>
            <w:tcMar>
              <w:top w:w="60" w:type="dxa"/>
              <w:left w:w="120" w:type="dxa"/>
              <w:bottom w:w="30" w:type="dxa"/>
              <w:right w:w="120" w:type="dxa"/>
            </w:tcMar>
            <w:vAlign w:val="center"/>
          </w:tcPr>
          <w:p w14:paraId="74653511">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考核内容</w:t>
            </w:r>
          </w:p>
        </w:tc>
        <w:tc>
          <w:tcPr>
            <w:tcW w:w="4443" w:type="dxa"/>
            <w:tcMar>
              <w:top w:w="60" w:type="dxa"/>
              <w:left w:w="120" w:type="dxa"/>
              <w:bottom w:w="30" w:type="dxa"/>
              <w:right w:w="120" w:type="dxa"/>
            </w:tcMar>
            <w:vAlign w:val="center"/>
          </w:tcPr>
          <w:p w14:paraId="1EBD613E">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合格标准</w:t>
            </w:r>
          </w:p>
        </w:tc>
      </w:tr>
      <w:tr w14:paraId="2349288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173" w:type="dxa"/>
            <w:tcMar>
              <w:top w:w="60" w:type="dxa"/>
              <w:left w:w="120" w:type="dxa"/>
              <w:bottom w:w="30" w:type="dxa"/>
              <w:right w:w="120" w:type="dxa"/>
            </w:tcMar>
            <w:vAlign w:val="center"/>
          </w:tcPr>
          <w:p w14:paraId="0C183058">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实操考核</w:t>
            </w:r>
          </w:p>
        </w:tc>
        <w:tc>
          <w:tcPr>
            <w:tcW w:w="2664" w:type="dxa"/>
            <w:tcMar>
              <w:top w:w="60" w:type="dxa"/>
              <w:left w:w="120" w:type="dxa"/>
              <w:bottom w:w="30" w:type="dxa"/>
              <w:right w:w="120" w:type="dxa"/>
            </w:tcMar>
            <w:vAlign w:val="center"/>
          </w:tcPr>
          <w:p w14:paraId="1CE07E92">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设备启动、调试、教学演示、故障排查、耗材更换、台账建立等</w:t>
            </w:r>
          </w:p>
        </w:tc>
        <w:tc>
          <w:tcPr>
            <w:tcW w:w="4443" w:type="dxa"/>
            <w:tcMar>
              <w:top w:w="60" w:type="dxa"/>
              <w:left w:w="120" w:type="dxa"/>
              <w:bottom w:w="30" w:type="dxa"/>
              <w:right w:w="120" w:type="dxa"/>
            </w:tcMar>
            <w:vAlign w:val="center"/>
          </w:tcPr>
          <w:p w14:paraId="6604527A">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能独立完成指定操作，操作规范、步骤正确、无安全隐患，结果达标</w:t>
            </w:r>
          </w:p>
        </w:tc>
      </w:tr>
      <w:tr w14:paraId="1DE6444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173" w:type="dxa"/>
            <w:tcMar>
              <w:top w:w="60" w:type="dxa"/>
              <w:left w:w="120" w:type="dxa"/>
              <w:bottom w:w="30" w:type="dxa"/>
              <w:right w:w="120" w:type="dxa"/>
            </w:tcMar>
            <w:vAlign w:val="center"/>
          </w:tcPr>
          <w:p w14:paraId="499F34FF">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笔试考核</w:t>
            </w:r>
          </w:p>
        </w:tc>
        <w:tc>
          <w:tcPr>
            <w:tcW w:w="2664" w:type="dxa"/>
            <w:tcMar>
              <w:top w:w="60" w:type="dxa"/>
              <w:left w:w="120" w:type="dxa"/>
              <w:bottom w:w="30" w:type="dxa"/>
              <w:right w:w="120" w:type="dxa"/>
            </w:tcMar>
            <w:vAlign w:val="center"/>
          </w:tcPr>
          <w:p w14:paraId="6B8DC238">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设备维护规范、故障识别方法、课程资源基础常识、安全须知等</w:t>
            </w:r>
          </w:p>
        </w:tc>
        <w:tc>
          <w:tcPr>
            <w:tcW w:w="4443" w:type="dxa"/>
            <w:tcMar>
              <w:top w:w="60" w:type="dxa"/>
              <w:left w:w="120" w:type="dxa"/>
              <w:bottom w:w="30" w:type="dxa"/>
              <w:right w:w="120" w:type="dxa"/>
            </w:tcMar>
            <w:vAlign w:val="center"/>
          </w:tcPr>
          <w:p w14:paraId="7944C809">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客观题正确率≥80%，主观题回答完整、要点准确</w:t>
            </w:r>
          </w:p>
        </w:tc>
      </w:tr>
      <w:tr w14:paraId="14A8971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173" w:type="dxa"/>
            <w:tcMar>
              <w:top w:w="60" w:type="dxa"/>
              <w:left w:w="120" w:type="dxa"/>
              <w:bottom w:w="30" w:type="dxa"/>
              <w:right w:w="120" w:type="dxa"/>
            </w:tcMar>
            <w:vAlign w:val="center"/>
          </w:tcPr>
          <w:p w14:paraId="3B5C3611">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综合能力考核</w:t>
            </w:r>
          </w:p>
        </w:tc>
        <w:tc>
          <w:tcPr>
            <w:tcW w:w="2664" w:type="dxa"/>
            <w:tcMar>
              <w:top w:w="60" w:type="dxa"/>
              <w:left w:w="120" w:type="dxa"/>
              <w:bottom w:w="30" w:type="dxa"/>
              <w:right w:w="120" w:type="dxa"/>
            </w:tcMar>
            <w:vAlign w:val="center"/>
          </w:tcPr>
          <w:p w14:paraId="099A92E9">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课程教学设计、模拟授课、跨学科活动设计等</w:t>
            </w:r>
          </w:p>
        </w:tc>
        <w:tc>
          <w:tcPr>
            <w:tcW w:w="4443" w:type="dxa"/>
            <w:tcMar>
              <w:top w:w="60" w:type="dxa"/>
              <w:left w:w="120" w:type="dxa"/>
              <w:bottom w:w="30" w:type="dxa"/>
              <w:right w:w="120" w:type="dxa"/>
            </w:tcMar>
            <w:vAlign w:val="center"/>
          </w:tcPr>
          <w:p w14:paraId="7ACE3CEA">
            <w:pPr>
              <w:spacing w:before="120" w:after="120" w:line="288" w:lineRule="auto"/>
              <w:ind w:left="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教学设计完整、教学环节合理、设备与课程融合到位、模拟授课流畅</w:t>
            </w:r>
          </w:p>
        </w:tc>
      </w:tr>
    </w:tbl>
    <w:p w14:paraId="3802C563">
      <w:pPr>
        <w:pStyle w:val="3"/>
        <w:numPr>
          <w:ilvl w:val="0"/>
          <w:numId w:val="223"/>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效果评估</w:t>
      </w:r>
    </w:p>
    <w:p w14:paraId="40E48303">
      <w:pPr>
        <w:pStyle w:val="6"/>
        <w:numPr>
          <w:ilvl w:val="0"/>
          <w:numId w:val="225"/>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培训过程评估</w:t>
      </w:r>
      <w:r>
        <w:rPr>
          <w:rFonts w:hint="eastAsia" w:ascii="仿宋_GB2312" w:hAnsi="仿宋_GB2312" w:eastAsia="仿宋_GB2312" w:cs="仿宋_GB2312"/>
          <w:sz w:val="20"/>
          <w:szCs w:val="20"/>
        </w:rPr>
        <w:t>：培训师全程跟踪参训人员的课堂表现、实操情况，及时记录问题并进行现场指导；</w:t>
      </w:r>
    </w:p>
    <w:p w14:paraId="5A59C730">
      <w:pPr>
        <w:pStyle w:val="6"/>
        <w:numPr>
          <w:ilvl w:val="0"/>
          <w:numId w:val="225"/>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培训结束评估</w:t>
      </w:r>
      <w:r>
        <w:rPr>
          <w:rFonts w:hint="eastAsia" w:ascii="仿宋_GB2312" w:hAnsi="仿宋_GB2312" w:eastAsia="仿宋_GB2312" w:cs="仿宋_GB2312"/>
          <w:sz w:val="20"/>
          <w:szCs w:val="20"/>
        </w:rPr>
        <w:t>：通过考核成绩、满意度调查表，评估参训人员对培训内容、培训方式、培训师的满意度；</w:t>
      </w:r>
    </w:p>
    <w:p w14:paraId="0DFBC9B4">
      <w:pPr>
        <w:pStyle w:val="6"/>
        <w:numPr>
          <w:ilvl w:val="0"/>
          <w:numId w:val="225"/>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b/>
          <w:sz w:val="20"/>
          <w:szCs w:val="20"/>
        </w:rPr>
        <w:t>培训后回访评估</w:t>
      </w:r>
      <w:r>
        <w:rPr>
          <w:rFonts w:hint="eastAsia" w:ascii="仿宋_GB2312" w:hAnsi="仿宋_GB2312" w:eastAsia="仿宋_GB2312" w:cs="仿宋_GB2312"/>
          <w:sz w:val="20"/>
          <w:szCs w:val="20"/>
        </w:rPr>
        <w:t>：培训结束后1个月内，通过现场回访、电话沟通等方式，了解参训人员在实际教学中对培训内容的应用情况，评估培训效果落地情况。</w:t>
      </w:r>
    </w:p>
    <w:p w14:paraId="1EEC642C">
      <w:pPr>
        <w:pStyle w:val="3"/>
        <w:numPr>
          <w:ilvl w:val="0"/>
          <w:numId w:val="223"/>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评估结果输出</w:t>
      </w:r>
    </w:p>
    <w:p w14:paraId="2ABAC685">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培训全部结束后，我方将在10个工作日内为校方出具《培训总结报告》，内容包括：</w:t>
      </w:r>
    </w:p>
    <w:p w14:paraId="3B250341">
      <w:pPr>
        <w:pStyle w:val="6"/>
        <w:numPr>
          <w:ilvl w:val="0"/>
          <w:numId w:val="226"/>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培训整体开展情况（参训人员、培训时长、培训内容完成情况）；</w:t>
      </w:r>
    </w:p>
    <w:p w14:paraId="6365E657">
      <w:pPr>
        <w:pStyle w:val="6"/>
        <w:numPr>
          <w:ilvl w:val="0"/>
          <w:numId w:val="226"/>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参训人员考核成绩统计（全员成绩、合格率、优秀率）；</w:t>
      </w:r>
    </w:p>
    <w:p w14:paraId="7CB17DF7">
      <w:pPr>
        <w:pStyle w:val="6"/>
        <w:numPr>
          <w:ilvl w:val="0"/>
          <w:numId w:val="226"/>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培训效果评估分析（参训人员能力提升情况、存在的问题）；</w:t>
      </w:r>
    </w:p>
    <w:p w14:paraId="7A3B7624">
      <w:pPr>
        <w:pStyle w:val="6"/>
        <w:numPr>
          <w:ilvl w:val="0"/>
          <w:numId w:val="226"/>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后续教学应用建议（设备使用、课程教学、师资培养）；</w:t>
      </w:r>
    </w:p>
    <w:p w14:paraId="40031E9F">
      <w:pPr>
        <w:pStyle w:val="6"/>
        <w:numPr>
          <w:ilvl w:val="0"/>
          <w:numId w:val="226"/>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培训现场照片、视频等佐证材料。</w:t>
      </w:r>
    </w:p>
    <w:p w14:paraId="22DECB9C">
      <w:pPr>
        <w:pStyle w:val="2"/>
        <w:numPr>
          <w:ilvl w:val="0"/>
          <w:numId w:val="212"/>
        </w:numPr>
        <w:topLinePunct w:val="0"/>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培训后续支持与服务</w:t>
      </w:r>
    </w:p>
    <w:p w14:paraId="7DAE8D9C">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为确保培训效果持续落地，我方将提供</w:t>
      </w:r>
      <w:r>
        <w:rPr>
          <w:rFonts w:hint="eastAsia" w:ascii="仿宋_GB2312" w:hAnsi="仿宋_GB2312" w:eastAsia="仿宋_GB2312" w:cs="仿宋_GB2312"/>
          <w:b/>
          <w:sz w:val="20"/>
          <w:szCs w:val="20"/>
        </w:rPr>
        <w:t>全方位、长效化的培训后续支持</w:t>
      </w:r>
      <w:r>
        <w:rPr>
          <w:rFonts w:hint="eastAsia" w:ascii="仿宋_GB2312" w:hAnsi="仿宋_GB2312" w:eastAsia="仿宋_GB2312" w:cs="仿宋_GB2312"/>
          <w:sz w:val="20"/>
          <w:szCs w:val="20"/>
        </w:rPr>
        <w:t>，从“培训结束”到“教学落地”全程护航，具体支持内容包括：</w:t>
      </w:r>
    </w:p>
    <w:p w14:paraId="52CEC8D8">
      <w:pPr>
        <w:pStyle w:val="3"/>
        <w:numPr>
          <w:ilvl w:val="0"/>
          <w:numId w:val="227"/>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技术与教学答疑支持</w:t>
      </w:r>
    </w:p>
    <w:p w14:paraId="2EEAE775">
      <w:pPr>
        <w:pStyle w:val="6"/>
        <w:numPr>
          <w:ilvl w:val="0"/>
          <w:numId w:val="228"/>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建立</w:t>
      </w:r>
      <w:r>
        <w:rPr>
          <w:rFonts w:hint="eastAsia" w:ascii="仿宋_GB2312" w:hAnsi="仿宋_GB2312" w:eastAsia="仿宋_GB2312" w:cs="仿宋_GB2312"/>
          <w:b/>
          <w:sz w:val="20"/>
          <w:szCs w:val="20"/>
        </w:rPr>
        <w:t>培训专属微信答疑群</w:t>
      </w:r>
      <w:r>
        <w:rPr>
          <w:rFonts w:hint="eastAsia" w:ascii="仿宋_GB2312" w:hAnsi="仿宋_GB2312" w:eastAsia="仿宋_GB2312" w:cs="仿宋_GB2312"/>
          <w:sz w:val="20"/>
          <w:szCs w:val="20"/>
        </w:rPr>
        <w:t>（含参训人员、培训师、技术工程师），提供</w:t>
      </w:r>
      <w:r>
        <w:rPr>
          <w:rFonts w:hint="eastAsia" w:ascii="仿宋_GB2312" w:hAnsi="仿宋_GB2312" w:eastAsia="仿宋_GB2312" w:cs="仿宋_GB2312"/>
          <w:b/>
          <w:sz w:val="20"/>
          <w:szCs w:val="20"/>
        </w:rPr>
        <w:t>3年免费在线答疑</w:t>
      </w:r>
      <w:r>
        <w:rPr>
          <w:rFonts w:hint="eastAsia" w:ascii="仿宋_GB2312" w:hAnsi="仿宋_GB2312" w:eastAsia="仿宋_GB2312" w:cs="仿宋_GB2312"/>
          <w:sz w:val="20"/>
          <w:szCs w:val="20"/>
        </w:rPr>
        <w:t>，参训人员在设备使用、课程教学中遇到的问题，群内</w:t>
      </w:r>
      <w:r>
        <w:rPr>
          <w:rFonts w:hint="eastAsia" w:ascii="仿宋_GB2312" w:hAnsi="仿宋_GB2312" w:eastAsia="仿宋_GB2312" w:cs="仿宋_GB2312"/>
          <w:b/>
          <w:sz w:val="20"/>
          <w:szCs w:val="20"/>
        </w:rPr>
        <w:t>24小时内</w:t>
      </w:r>
      <w:r>
        <w:rPr>
          <w:rFonts w:hint="eastAsia" w:ascii="仿宋_GB2312" w:hAnsi="仿宋_GB2312" w:eastAsia="仿宋_GB2312" w:cs="仿宋_GB2312"/>
          <w:sz w:val="20"/>
          <w:szCs w:val="20"/>
        </w:rPr>
        <w:t>给予专业解答；</w:t>
      </w:r>
    </w:p>
    <w:p w14:paraId="449116B7">
      <w:pPr>
        <w:pStyle w:val="6"/>
        <w:numPr>
          <w:ilvl w:val="0"/>
          <w:numId w:val="228"/>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提供</w:t>
      </w:r>
      <w:r>
        <w:rPr>
          <w:rFonts w:hint="eastAsia" w:ascii="仿宋_GB2312" w:hAnsi="仿宋_GB2312" w:eastAsia="仿宋_GB2312" w:cs="仿宋_GB2312"/>
          <w:b/>
          <w:sz w:val="20"/>
          <w:szCs w:val="20"/>
        </w:rPr>
        <w:t>7×8小时专属咨询热线</w:t>
      </w:r>
      <w:r>
        <w:rPr>
          <w:rFonts w:hint="eastAsia" w:ascii="仿宋_GB2312" w:hAnsi="仿宋_GB2312" w:eastAsia="仿宋_GB2312" w:cs="仿宋_GB2312"/>
          <w:sz w:val="20"/>
          <w:szCs w:val="20"/>
        </w:rPr>
        <w:t>，由培训师与技术工程师值守，为参训人员提供电话答疑与指导。</w:t>
      </w:r>
    </w:p>
    <w:p w14:paraId="2577AD5B">
      <w:pPr>
        <w:pStyle w:val="3"/>
        <w:numPr>
          <w:ilvl w:val="0"/>
          <w:numId w:val="227"/>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视频与资源更新支持</w:t>
      </w:r>
    </w:p>
    <w:p w14:paraId="61683B5A">
      <w:pPr>
        <w:pStyle w:val="6"/>
        <w:numPr>
          <w:ilvl w:val="0"/>
          <w:numId w:val="229"/>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培训视频永久留存，参训人员可随时通过网盘调取复习，我方将根据设备升级、课程更新及时补充相关视频资料；</w:t>
      </w:r>
    </w:p>
    <w:p w14:paraId="24A5F576">
      <w:pPr>
        <w:pStyle w:val="6"/>
        <w:numPr>
          <w:ilvl w:val="0"/>
          <w:numId w:val="229"/>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为校方免费提供</w:t>
      </w:r>
      <w:r>
        <w:rPr>
          <w:rFonts w:hint="eastAsia" w:ascii="仿宋_GB2312" w:hAnsi="仿宋_GB2312" w:eastAsia="仿宋_GB2312" w:cs="仿宋_GB2312"/>
          <w:b/>
          <w:sz w:val="20"/>
          <w:szCs w:val="20"/>
        </w:rPr>
        <w:t>1年课程资源更新服务</w:t>
      </w:r>
      <w:r>
        <w:rPr>
          <w:rFonts w:hint="eastAsia" w:ascii="仿宋_GB2312" w:hAnsi="仿宋_GB2312" w:eastAsia="仿宋_GB2312" w:cs="仿宋_GB2312"/>
          <w:sz w:val="20"/>
          <w:szCs w:val="20"/>
        </w:rPr>
        <w:t>，及时补充新的教学案例、课程设计模板，适配小学科学课标最新要求。</w:t>
      </w:r>
    </w:p>
    <w:p w14:paraId="7790FB02">
      <w:pPr>
        <w:pStyle w:val="3"/>
        <w:numPr>
          <w:ilvl w:val="0"/>
          <w:numId w:val="227"/>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现场回访与辅导支持</w:t>
      </w:r>
    </w:p>
    <w:p w14:paraId="257045F7">
      <w:pPr>
        <w:pStyle w:val="6"/>
        <w:numPr>
          <w:ilvl w:val="0"/>
          <w:numId w:val="23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第二轮培训结束后1个月内，安排培训师</w:t>
      </w:r>
      <w:r>
        <w:rPr>
          <w:rFonts w:hint="eastAsia" w:ascii="仿宋_GB2312" w:hAnsi="仿宋_GB2312" w:eastAsia="仿宋_GB2312" w:cs="仿宋_GB2312"/>
          <w:b/>
          <w:sz w:val="20"/>
          <w:szCs w:val="20"/>
        </w:rPr>
        <w:t>免费上门现场回访1次</w:t>
      </w:r>
      <w:r>
        <w:rPr>
          <w:rFonts w:hint="eastAsia" w:ascii="仿宋_GB2312" w:hAnsi="仿宋_GB2312" w:eastAsia="仿宋_GB2312" w:cs="仿宋_GB2312"/>
          <w:sz w:val="20"/>
          <w:szCs w:val="20"/>
        </w:rPr>
        <w:t>，深入课堂了解参训人员教学应用情况，进行现场教学指导，解决实际教学中遇到的问题；</w:t>
      </w:r>
    </w:p>
    <w:p w14:paraId="57FA20C8">
      <w:pPr>
        <w:pStyle w:val="6"/>
        <w:numPr>
          <w:ilvl w:val="0"/>
          <w:numId w:val="230"/>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校方若有课程设计、教学活动组织等需求，我方将根据校方要求</w:t>
      </w:r>
      <w:r>
        <w:rPr>
          <w:rFonts w:hint="eastAsia" w:ascii="仿宋_GB2312" w:hAnsi="仿宋_GB2312" w:eastAsia="仿宋_GB2312" w:cs="仿宋_GB2312"/>
          <w:b/>
          <w:sz w:val="20"/>
          <w:szCs w:val="20"/>
        </w:rPr>
        <w:t>免费提供1次现场辅导</w:t>
      </w:r>
      <w:r>
        <w:rPr>
          <w:rFonts w:hint="eastAsia" w:ascii="仿宋_GB2312" w:hAnsi="仿宋_GB2312" w:eastAsia="仿宋_GB2312" w:cs="仿宋_GB2312"/>
          <w:sz w:val="20"/>
          <w:szCs w:val="20"/>
        </w:rPr>
        <w:t>，协助校方开展天文科创教学活动。</w:t>
      </w:r>
    </w:p>
    <w:p w14:paraId="3D7AEDFB">
      <w:pPr>
        <w:pStyle w:val="3"/>
        <w:numPr>
          <w:ilvl w:val="0"/>
          <w:numId w:val="227"/>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补充培训支持</w:t>
      </w:r>
    </w:p>
    <w:p w14:paraId="56C3366E">
      <w:pPr>
        <w:pStyle w:val="6"/>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若校方因教师岗位调整、新教师入职等原因需要补充培训，我方将为校方提供</w:t>
      </w:r>
      <w:r>
        <w:rPr>
          <w:rFonts w:hint="eastAsia" w:ascii="仿宋_GB2312" w:hAnsi="仿宋_GB2312" w:eastAsia="仿宋_GB2312" w:cs="仿宋_GB2312"/>
          <w:b/>
          <w:sz w:val="20"/>
          <w:szCs w:val="20"/>
          <w:lang w:val="en-US" w:eastAsia="zh-CN"/>
        </w:rPr>
        <w:t>线上</w:t>
      </w:r>
      <w:r>
        <w:rPr>
          <w:rFonts w:hint="eastAsia" w:ascii="仿宋_GB2312" w:hAnsi="仿宋_GB2312" w:eastAsia="仿宋_GB2312" w:cs="仿宋_GB2312"/>
          <w:b/>
          <w:sz w:val="20"/>
          <w:szCs w:val="20"/>
        </w:rPr>
        <w:t>免费的补充培训</w:t>
      </w:r>
      <w:r>
        <w:rPr>
          <w:rFonts w:hint="eastAsia" w:ascii="仿宋_GB2312" w:hAnsi="仿宋_GB2312" w:eastAsia="仿宋_GB2312" w:cs="仿宋_GB2312"/>
          <w:sz w:val="20"/>
          <w:szCs w:val="20"/>
        </w:rPr>
        <w:t>（限本次培训内容），确保新参训人员快速掌握设备操作与课程教学能力。</w:t>
      </w:r>
    </w:p>
    <w:p w14:paraId="250E40C6">
      <w:pPr>
        <w:pStyle w:val="3"/>
        <w:numPr>
          <w:ilvl w:val="0"/>
          <w:numId w:val="227"/>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教学交流与资源共享支持</w:t>
      </w:r>
    </w:p>
    <w:p w14:paraId="068C3F0A">
      <w:pPr>
        <w:pStyle w:val="6"/>
        <w:numPr>
          <w:ilvl w:val="0"/>
          <w:numId w:val="231"/>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定期组织校方参训人员参与</w:t>
      </w:r>
      <w:r>
        <w:rPr>
          <w:rFonts w:hint="eastAsia" w:ascii="仿宋_GB2312" w:hAnsi="仿宋_GB2312" w:eastAsia="仿宋_GB2312" w:cs="仿宋_GB2312"/>
          <w:b/>
          <w:sz w:val="20"/>
          <w:szCs w:val="20"/>
        </w:rPr>
        <w:t>省内外天文科创教学交流活动</w:t>
      </w:r>
      <w:r>
        <w:rPr>
          <w:rFonts w:hint="eastAsia" w:ascii="仿宋_GB2312" w:hAnsi="仿宋_GB2312" w:eastAsia="仿宋_GB2312" w:cs="仿宋_GB2312"/>
          <w:sz w:val="20"/>
          <w:szCs w:val="20"/>
        </w:rPr>
        <w:t>，为教师提供学习、交流、提升的平台；</w:t>
      </w:r>
    </w:p>
    <w:p w14:paraId="40A08DE9">
      <w:pPr>
        <w:pStyle w:val="6"/>
        <w:numPr>
          <w:ilvl w:val="0"/>
          <w:numId w:val="231"/>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为校方提供</w:t>
      </w:r>
      <w:r>
        <w:rPr>
          <w:rFonts w:hint="eastAsia" w:ascii="仿宋_GB2312" w:hAnsi="仿宋_GB2312" w:eastAsia="仿宋_GB2312" w:cs="仿宋_GB2312"/>
          <w:b/>
          <w:sz w:val="20"/>
          <w:szCs w:val="20"/>
        </w:rPr>
        <w:t>教学资源共享库</w:t>
      </w:r>
      <w:r>
        <w:rPr>
          <w:rFonts w:hint="eastAsia" w:ascii="仿宋_GB2312" w:hAnsi="仿宋_GB2312" w:eastAsia="仿宋_GB2312" w:cs="仿宋_GB2312"/>
          <w:sz w:val="20"/>
          <w:szCs w:val="20"/>
        </w:rPr>
        <w:t>账号，持续更新天文、科创教学资源，校方可随时查阅、下载使用。</w:t>
      </w:r>
    </w:p>
    <w:p w14:paraId="516D5407">
      <w:pPr>
        <w:pStyle w:val="2"/>
        <w:numPr>
          <w:ilvl w:val="0"/>
          <w:numId w:val="212"/>
        </w:numPr>
        <w:topLinePunct w:val="0"/>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培训纪律与要求</w:t>
      </w:r>
    </w:p>
    <w:p w14:paraId="550BC0BA">
      <w:pPr>
        <w:pStyle w:val="3"/>
        <w:numPr>
          <w:ilvl w:val="0"/>
          <w:numId w:val="232"/>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参训人员纪律</w:t>
      </w:r>
    </w:p>
    <w:p w14:paraId="5E2ABF5E">
      <w:pPr>
        <w:pStyle w:val="6"/>
        <w:numPr>
          <w:ilvl w:val="0"/>
          <w:numId w:val="233"/>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严格遵守培训时间，不迟到、不早退、不缺席，特殊情况需提前向校方培训负责人请假；</w:t>
      </w:r>
    </w:p>
    <w:p w14:paraId="1F854175">
      <w:pPr>
        <w:pStyle w:val="6"/>
        <w:numPr>
          <w:ilvl w:val="0"/>
          <w:numId w:val="233"/>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培训期间将手机调至静音或震动模式，不随意走动、不喧哗，保持培训现场秩序；</w:t>
      </w:r>
    </w:p>
    <w:p w14:paraId="7DA88AB3">
      <w:pPr>
        <w:pStyle w:val="6"/>
        <w:numPr>
          <w:ilvl w:val="0"/>
          <w:numId w:val="233"/>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积极参与培训互动与实操环节，认真做好学习笔记，主动提出问题与培训师、同事交流；</w:t>
      </w:r>
    </w:p>
    <w:p w14:paraId="360B27C0">
      <w:pPr>
        <w:pStyle w:val="6"/>
        <w:numPr>
          <w:ilvl w:val="0"/>
          <w:numId w:val="233"/>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爱护培训现场设备与物资，严格按照培训师指导进行设备操作，严禁违规操作导致设备损坏；</w:t>
      </w:r>
    </w:p>
    <w:p w14:paraId="679D7ABE">
      <w:pPr>
        <w:pStyle w:val="6"/>
        <w:numPr>
          <w:ilvl w:val="0"/>
          <w:numId w:val="233"/>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培训结束后及时提交培训反馈表，积极配合培训考核与效果评估工作。</w:t>
      </w:r>
    </w:p>
    <w:p w14:paraId="1BB6A230">
      <w:pPr>
        <w:pStyle w:val="3"/>
        <w:numPr>
          <w:ilvl w:val="0"/>
          <w:numId w:val="232"/>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培训师要求</w:t>
      </w:r>
    </w:p>
    <w:p w14:paraId="28618FBB">
      <w:pPr>
        <w:pStyle w:val="6"/>
        <w:numPr>
          <w:ilvl w:val="0"/>
          <w:numId w:val="23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严格按照培训计划开展培训，不随意更改培训内容与时间，确保培训进度与质量；</w:t>
      </w:r>
    </w:p>
    <w:p w14:paraId="103C0DBA">
      <w:pPr>
        <w:pStyle w:val="6"/>
        <w:numPr>
          <w:ilvl w:val="0"/>
          <w:numId w:val="23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培训前充分准备培训材料与设备，培训过程中语言通俗易懂、讲解清晰、实操规范；</w:t>
      </w:r>
    </w:p>
    <w:p w14:paraId="2A8C4614">
      <w:pPr>
        <w:pStyle w:val="6"/>
        <w:numPr>
          <w:ilvl w:val="0"/>
          <w:numId w:val="23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耐心解答参训人员的问题，认真指导实操环节，及时纠正错误操作，确保每位参训人员都能掌握培训内容；</w:t>
      </w:r>
    </w:p>
    <w:p w14:paraId="435C8253">
      <w:pPr>
        <w:pStyle w:val="6"/>
        <w:numPr>
          <w:ilvl w:val="0"/>
          <w:numId w:val="23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培训过程中全程跟踪参训人员学习情况，做好记录，及时调整培训方式，提升培训效果；</w:t>
      </w:r>
    </w:p>
    <w:p w14:paraId="7154BC72">
      <w:pPr>
        <w:pStyle w:val="6"/>
        <w:numPr>
          <w:ilvl w:val="0"/>
          <w:numId w:val="234"/>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培训结束后及时整理考核成绩与培训资料，按要求出具《培训总结报告》。</w:t>
      </w:r>
    </w:p>
    <w:p w14:paraId="1D17BA2D">
      <w:pPr>
        <w:pStyle w:val="3"/>
        <w:numPr>
          <w:ilvl w:val="0"/>
          <w:numId w:val="232"/>
        </w:numPr>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校方配合要求</w:t>
      </w:r>
    </w:p>
    <w:p w14:paraId="7B93D78B">
      <w:pPr>
        <w:pStyle w:val="6"/>
        <w:numPr>
          <w:ilvl w:val="0"/>
          <w:numId w:val="235"/>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安排专人负责本次培训的组织协调工作，提前通知参训人员培训时间、地点，确保参训人员全员到位；</w:t>
      </w:r>
    </w:p>
    <w:p w14:paraId="4A29E8A4">
      <w:pPr>
        <w:pStyle w:val="6"/>
        <w:numPr>
          <w:ilvl w:val="0"/>
          <w:numId w:val="235"/>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提供培训所需的场地（天文馆、Stream教室）、桌椅、投影设备等，确保培训现场设施齐全；</w:t>
      </w:r>
    </w:p>
    <w:p w14:paraId="12A71300">
      <w:pPr>
        <w:pStyle w:val="6"/>
        <w:numPr>
          <w:ilvl w:val="0"/>
          <w:numId w:val="235"/>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协助维护培训现场秩序，配合培训师开展实操考核、模拟授课等环节；</w:t>
      </w:r>
    </w:p>
    <w:p w14:paraId="7EEA1FB5">
      <w:pPr>
        <w:pStyle w:val="6"/>
        <w:numPr>
          <w:ilvl w:val="0"/>
          <w:numId w:val="235"/>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及时收集参训人员的培训反馈，与我方沟通培训过程中出现的问题，确保培训顺利开展。</w:t>
      </w:r>
    </w:p>
    <w:p w14:paraId="496393DE">
      <w:pPr>
        <w:pStyle w:val="2"/>
        <w:numPr>
          <w:ilvl w:val="0"/>
          <w:numId w:val="212"/>
        </w:numPr>
        <w:topLinePunct w:val="0"/>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附则</w:t>
      </w:r>
    </w:p>
    <w:p w14:paraId="21725B4B">
      <w:pPr>
        <w:pStyle w:val="6"/>
        <w:numPr>
          <w:ilvl w:val="0"/>
          <w:numId w:val="236"/>
        </w:numPr>
        <w:ind w:left="0" w:leftChars="0" w:firstLine="480" w:firstLineChars="0"/>
        <w:rPr>
          <w:rFonts w:hint="eastAsia" w:ascii="仿宋_GB2312" w:hAnsi="仿宋_GB2312" w:eastAsia="仿宋_GB2312" w:cs="仿宋_GB2312"/>
          <w:b w:val="0"/>
          <w:color w:val="3370FF"/>
          <w:sz w:val="20"/>
          <w:szCs w:val="20"/>
        </w:rPr>
      </w:pPr>
      <w:r>
        <w:rPr>
          <w:rFonts w:hint="eastAsia" w:ascii="仿宋_GB2312" w:hAnsi="仿宋_GB2312" w:eastAsia="仿宋_GB2312" w:cs="仿宋_GB2312"/>
          <w:sz w:val="20"/>
          <w:szCs w:val="20"/>
        </w:rPr>
        <w:t>本培训方案严格遵循本项目招投标文件、采购合同的所有约定，若合同内容与本方案不一致，以采购合同为准；</w:t>
      </w:r>
    </w:p>
    <w:p w14:paraId="311900C1">
      <w:pPr>
        <w:pStyle w:val="6"/>
        <w:numPr>
          <w:ilvl w:val="0"/>
          <w:numId w:val="236"/>
        </w:numPr>
        <w:ind w:left="0" w:leftChars="0" w:firstLine="480" w:firstLineChars="0"/>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本培训方案的培训时间、内容可根据校方实际教学需求进行微调，微调需由双方提前沟通确认</w:t>
      </w:r>
      <w:r>
        <w:rPr>
          <w:rFonts w:hint="eastAsia" w:ascii="仿宋_GB2312" w:hAnsi="仿宋_GB2312" w:eastAsia="仿宋_GB2312" w:cs="仿宋_GB2312"/>
          <w:sz w:val="20"/>
          <w:szCs w:val="20"/>
          <w:lang w:eastAsia="zh-CN"/>
        </w:rPr>
        <w:t>。</w:t>
      </w:r>
    </w:p>
    <w:p w14:paraId="79D4435C">
      <w:pPr>
        <w:bidi w:val="0"/>
        <w:rPr>
          <w:rFonts w:hint="default"/>
          <w:lang w:val="en-US" w:eastAsia="zh-CN"/>
        </w:rPr>
      </w:pPr>
      <w:r>
        <w:rPr>
          <w:rFonts w:hint="default"/>
          <w:lang w:val="en-US" w:eastAsia="zh-CN"/>
        </w:rPr>
        <w:br w:type="page"/>
      </w:r>
    </w:p>
    <w:p w14:paraId="7E4A79BD">
      <w:pPr>
        <w:pStyle w:val="2"/>
        <w:numPr>
          <w:ilvl w:val="0"/>
          <w:numId w:val="212"/>
        </w:numPr>
        <w:topLinePunct w:val="0"/>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sz w:val="20"/>
          <w:szCs w:val="20"/>
        </w:rPr>
        <w:t>“★”条款证明材料</w:t>
      </w:r>
    </w:p>
    <w:p w14:paraId="0E85848C">
      <w:pPr>
        <w:pStyle w:val="4"/>
        <w:bidi w:val="0"/>
      </w:pPr>
      <w:r>
        <w:rPr>
          <w:rFonts w:hint="eastAsia"/>
          <w:lang w:val="en-US" w:eastAsia="zh-Hans"/>
        </w:rPr>
        <w:t>（一）</w:t>
      </w:r>
      <w:r>
        <w:t>走过四季</w:t>
      </w:r>
    </w:p>
    <w:p w14:paraId="506F8F0A">
      <w:pPr>
        <w:pStyle w:val="11"/>
        <w:numPr>
          <w:ilvl w:val="0"/>
          <w:numId w:val="0"/>
        </w:numPr>
        <w:jc w:val="left"/>
        <w:rPr>
          <w:rFonts w:ascii="仿宋_GB2312" w:hAnsi="仿宋_GB2312" w:eastAsia="仿宋_GB2312" w:cs="仿宋_GB2312"/>
          <w:b/>
          <w:sz w:val="20"/>
        </w:rPr>
      </w:pPr>
      <w:r>
        <w:rPr>
          <w:rFonts w:ascii="仿宋_GB2312" w:hAnsi="仿宋_GB2312" w:eastAsia="仿宋_GB2312" w:cs="仿宋_GB2312"/>
          <w:sz w:val="24"/>
        </w:rPr>
        <w:t>★</w:t>
      </w:r>
      <w:r>
        <w:rPr>
          <w:rFonts w:ascii="仿宋_GB2312" w:hAnsi="仿宋_GB2312" w:eastAsia="仿宋_GB2312" w:cs="仿宋_GB2312"/>
          <w:sz w:val="20"/>
        </w:rPr>
        <w:t>6、需配套“四季更替”探究式课程，</w:t>
      </w:r>
      <w:r>
        <w:rPr>
          <w:rFonts w:ascii="仿宋_GB2312" w:hAnsi="仿宋_GB2312" w:eastAsia="仿宋_GB2312" w:cs="仿宋_GB2312"/>
          <w:b/>
          <w:sz w:val="20"/>
        </w:rPr>
        <w:t>提供该课程设计、教学课件、学生手册等。</w:t>
      </w:r>
    </w:p>
    <w:p w14:paraId="0D701C60">
      <w:pPr>
        <w:pStyle w:val="5"/>
        <w:bidi w:val="0"/>
        <w:rPr>
          <w:rFonts w:hint="eastAsia"/>
          <w:lang w:val="en-US" w:eastAsia="zh-CN"/>
        </w:rPr>
      </w:pPr>
      <w:r>
        <w:rPr>
          <w:rFonts w:hint="eastAsia"/>
          <w:lang w:val="en-US" w:eastAsia="zh-CN"/>
        </w:rPr>
        <w:t>课程设计</w:t>
      </w:r>
    </w:p>
    <w:p w14:paraId="7F6EBEC4">
      <w:pPr>
        <w:bidi w:val="0"/>
        <w:rPr>
          <w:rFonts w:hint="eastAsia"/>
          <w:lang w:val="en-US" w:eastAsia="zh-CN"/>
        </w:rPr>
      </w:pPr>
      <w:r>
        <w:rPr>
          <w:rFonts w:hint="default"/>
          <w:lang w:val="en-US" w:eastAsia="zh-CN"/>
        </w:rPr>
        <w:drawing>
          <wp:inline distT="0" distB="0" distL="114300" distR="114300">
            <wp:extent cx="5102860" cy="7214870"/>
            <wp:effectExtent l="0" t="0" r="3175" b="6985"/>
            <wp:docPr id="33" name="图片 33" descr="四季变化 课程设计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四季变化 课程设计_01"/>
                    <pic:cNvPicPr>
                      <a:picLocks noChangeAspect="1"/>
                    </pic:cNvPicPr>
                  </pic:nvPicPr>
                  <pic:blipFill>
                    <a:blip r:embed="rId4"/>
                    <a:stretch>
                      <a:fillRect/>
                    </a:stretch>
                  </pic:blipFill>
                  <pic:spPr>
                    <a:xfrm>
                      <a:off x="0" y="0"/>
                      <a:ext cx="5102860" cy="7214870"/>
                    </a:xfrm>
                    <a:prstGeom prst="rect">
                      <a:avLst/>
                    </a:prstGeom>
                  </pic:spPr>
                </pic:pic>
              </a:graphicData>
            </a:graphic>
          </wp:inline>
        </w:drawing>
      </w:r>
    </w:p>
    <w:p w14:paraId="12E3E063">
      <w:pPr>
        <w:pStyle w:val="11"/>
        <w:numPr>
          <w:ilvl w:val="0"/>
          <w:numId w:val="0"/>
        </w:numPr>
        <w:jc w:val="left"/>
        <w:rPr>
          <w:rFonts w:hint="default" w:ascii="仿宋_GB2312" w:hAnsi="仿宋_GB2312" w:eastAsia="仿宋_GB2312" w:cs="仿宋_GB2312"/>
          <w:b w:val="0"/>
          <w:bCs/>
          <w:sz w:val="20"/>
          <w:lang w:val="en-US" w:eastAsia="zh-CN"/>
        </w:rPr>
      </w:pPr>
      <w:r>
        <w:rPr>
          <w:rFonts w:hint="default" w:ascii="仿宋_GB2312" w:hAnsi="仿宋_GB2312" w:eastAsia="仿宋_GB2312" w:cs="仿宋_GB2312"/>
          <w:b w:val="0"/>
          <w:bCs/>
          <w:sz w:val="20"/>
          <w:lang w:val="en-US" w:eastAsia="zh-CN"/>
        </w:rPr>
        <w:drawing>
          <wp:inline distT="0" distB="0" distL="114300" distR="114300">
            <wp:extent cx="5268595" cy="7447280"/>
            <wp:effectExtent l="0" t="0" r="10160" b="1270"/>
            <wp:docPr id="34" name="图片 34" descr="四季变化 课程设计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四季变化 课程设计_02"/>
                    <pic:cNvPicPr>
                      <a:picLocks noChangeAspect="1"/>
                    </pic:cNvPicPr>
                  </pic:nvPicPr>
                  <pic:blipFill>
                    <a:blip r:embed="rId5"/>
                    <a:stretch>
                      <a:fillRect/>
                    </a:stretch>
                  </pic:blipFill>
                  <pic:spPr>
                    <a:xfrm>
                      <a:off x="0" y="0"/>
                      <a:ext cx="5268595" cy="7447280"/>
                    </a:xfrm>
                    <a:prstGeom prst="rect">
                      <a:avLst/>
                    </a:prstGeom>
                  </pic:spPr>
                </pic:pic>
              </a:graphicData>
            </a:graphic>
          </wp:inline>
        </w:drawing>
      </w:r>
      <w:r>
        <w:rPr>
          <w:rFonts w:hint="default" w:ascii="仿宋_GB2312" w:hAnsi="仿宋_GB2312" w:eastAsia="仿宋_GB2312" w:cs="仿宋_GB2312"/>
          <w:b w:val="0"/>
          <w:bCs/>
          <w:sz w:val="20"/>
          <w:lang w:val="en-US" w:eastAsia="zh-CN"/>
        </w:rPr>
        <w:drawing>
          <wp:inline distT="0" distB="0" distL="114300" distR="114300">
            <wp:extent cx="5268595" cy="7447280"/>
            <wp:effectExtent l="0" t="0" r="10160" b="1270"/>
            <wp:docPr id="35" name="图片 35" descr="四季变化 课程设计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四季变化 课程设计_03"/>
                    <pic:cNvPicPr>
                      <a:picLocks noChangeAspect="1"/>
                    </pic:cNvPicPr>
                  </pic:nvPicPr>
                  <pic:blipFill>
                    <a:blip r:embed="rId6"/>
                    <a:stretch>
                      <a:fillRect/>
                    </a:stretch>
                  </pic:blipFill>
                  <pic:spPr>
                    <a:xfrm>
                      <a:off x="0" y="0"/>
                      <a:ext cx="5268595" cy="7447280"/>
                    </a:xfrm>
                    <a:prstGeom prst="rect">
                      <a:avLst/>
                    </a:prstGeom>
                  </pic:spPr>
                </pic:pic>
              </a:graphicData>
            </a:graphic>
          </wp:inline>
        </w:drawing>
      </w:r>
      <w:r>
        <w:rPr>
          <w:rFonts w:hint="default" w:ascii="仿宋_GB2312" w:hAnsi="仿宋_GB2312" w:eastAsia="仿宋_GB2312" w:cs="仿宋_GB2312"/>
          <w:b w:val="0"/>
          <w:bCs/>
          <w:sz w:val="20"/>
          <w:lang w:val="en-US" w:eastAsia="zh-CN"/>
        </w:rPr>
        <w:drawing>
          <wp:inline distT="0" distB="0" distL="114300" distR="114300">
            <wp:extent cx="5268595" cy="7447280"/>
            <wp:effectExtent l="0" t="0" r="10160" b="1270"/>
            <wp:docPr id="36" name="图片 36" descr="四季变化 课程设计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四季变化 课程设计_04"/>
                    <pic:cNvPicPr>
                      <a:picLocks noChangeAspect="1"/>
                    </pic:cNvPicPr>
                  </pic:nvPicPr>
                  <pic:blipFill>
                    <a:blip r:embed="rId7"/>
                    <a:stretch>
                      <a:fillRect/>
                    </a:stretch>
                  </pic:blipFill>
                  <pic:spPr>
                    <a:xfrm>
                      <a:off x="0" y="0"/>
                      <a:ext cx="5268595" cy="7447280"/>
                    </a:xfrm>
                    <a:prstGeom prst="rect">
                      <a:avLst/>
                    </a:prstGeom>
                  </pic:spPr>
                </pic:pic>
              </a:graphicData>
            </a:graphic>
          </wp:inline>
        </w:drawing>
      </w:r>
      <w:r>
        <w:rPr>
          <w:rFonts w:hint="default" w:ascii="仿宋_GB2312" w:hAnsi="仿宋_GB2312" w:eastAsia="仿宋_GB2312" w:cs="仿宋_GB2312"/>
          <w:b w:val="0"/>
          <w:bCs/>
          <w:sz w:val="20"/>
          <w:lang w:val="en-US" w:eastAsia="zh-CN"/>
        </w:rPr>
        <w:drawing>
          <wp:inline distT="0" distB="0" distL="114300" distR="114300">
            <wp:extent cx="5268595" cy="7447280"/>
            <wp:effectExtent l="0" t="0" r="10160" b="1270"/>
            <wp:docPr id="37" name="图片 37" descr="四季变化 课程设计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四季变化 课程设计_05"/>
                    <pic:cNvPicPr>
                      <a:picLocks noChangeAspect="1"/>
                    </pic:cNvPicPr>
                  </pic:nvPicPr>
                  <pic:blipFill>
                    <a:blip r:embed="rId8"/>
                    <a:stretch>
                      <a:fillRect/>
                    </a:stretch>
                  </pic:blipFill>
                  <pic:spPr>
                    <a:xfrm>
                      <a:off x="0" y="0"/>
                      <a:ext cx="5268595" cy="7447280"/>
                    </a:xfrm>
                    <a:prstGeom prst="rect">
                      <a:avLst/>
                    </a:prstGeom>
                  </pic:spPr>
                </pic:pic>
              </a:graphicData>
            </a:graphic>
          </wp:inline>
        </w:drawing>
      </w:r>
      <w:r>
        <w:rPr>
          <w:rFonts w:hint="default" w:ascii="仿宋_GB2312" w:hAnsi="仿宋_GB2312" w:eastAsia="仿宋_GB2312" w:cs="仿宋_GB2312"/>
          <w:b w:val="0"/>
          <w:bCs/>
          <w:sz w:val="20"/>
          <w:lang w:val="en-US" w:eastAsia="zh-CN"/>
        </w:rPr>
        <w:drawing>
          <wp:inline distT="0" distB="0" distL="114300" distR="114300">
            <wp:extent cx="5268595" cy="7447280"/>
            <wp:effectExtent l="0" t="0" r="10160" b="1270"/>
            <wp:docPr id="38" name="图片 38" descr="四季变化 课程设计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四季变化 课程设计_06"/>
                    <pic:cNvPicPr>
                      <a:picLocks noChangeAspect="1"/>
                    </pic:cNvPicPr>
                  </pic:nvPicPr>
                  <pic:blipFill>
                    <a:blip r:embed="rId9"/>
                    <a:stretch>
                      <a:fillRect/>
                    </a:stretch>
                  </pic:blipFill>
                  <pic:spPr>
                    <a:xfrm>
                      <a:off x="0" y="0"/>
                      <a:ext cx="5268595" cy="7447280"/>
                    </a:xfrm>
                    <a:prstGeom prst="rect">
                      <a:avLst/>
                    </a:prstGeom>
                  </pic:spPr>
                </pic:pic>
              </a:graphicData>
            </a:graphic>
          </wp:inline>
        </w:drawing>
      </w:r>
    </w:p>
    <w:p w14:paraId="6A25E368">
      <w:pPr>
        <w:rPr>
          <w:rFonts w:hint="eastAsia"/>
          <w:lang w:val="en-US" w:eastAsia="zh-CN"/>
        </w:rPr>
      </w:pPr>
      <w:r>
        <w:rPr>
          <w:rFonts w:hint="eastAsia"/>
          <w:lang w:val="en-US" w:eastAsia="zh-CN"/>
        </w:rPr>
        <w:br w:type="page"/>
      </w:r>
    </w:p>
    <w:p w14:paraId="4BC24D4D">
      <w:pPr>
        <w:pStyle w:val="5"/>
        <w:bidi w:val="0"/>
        <w:rPr>
          <w:rFonts w:hint="eastAsia"/>
          <w:lang w:val="en-US" w:eastAsia="zh-CN"/>
        </w:rPr>
      </w:pPr>
      <w:r>
        <w:rPr>
          <w:rFonts w:hint="eastAsia"/>
          <w:lang w:val="en-US" w:eastAsia="zh-CN"/>
        </w:rPr>
        <w:t>教学课件</w:t>
      </w:r>
    </w:p>
    <w:p w14:paraId="152E7955">
      <w:pPr>
        <w:bidi w:val="0"/>
        <w:rPr>
          <w:rFonts w:hint="default"/>
          <w:lang w:val="en-US" w:eastAsia="zh-CN"/>
        </w:rPr>
      </w:pPr>
      <w:r>
        <w:rPr>
          <w:rFonts w:hint="default"/>
          <w:lang w:val="en-US" w:eastAsia="zh-CN"/>
        </w:rPr>
        <w:drawing>
          <wp:inline distT="0" distB="0" distL="114300" distR="114300">
            <wp:extent cx="5266690" cy="2962910"/>
            <wp:effectExtent l="0" t="0" r="1270" b="5715"/>
            <wp:docPr id="67" name="图片 67" descr="四季变化教学课件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四季变化教学课件_01"/>
                    <pic:cNvPicPr>
                      <a:picLocks noChangeAspect="1"/>
                    </pic:cNvPicPr>
                  </pic:nvPicPr>
                  <pic:blipFill>
                    <a:blip r:embed="rId10"/>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66" name="图片 66" descr="四季变化教学课件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四季变化教学课件_02"/>
                    <pic:cNvPicPr>
                      <a:picLocks noChangeAspect="1"/>
                    </pic:cNvPicPr>
                  </pic:nvPicPr>
                  <pic:blipFill>
                    <a:blip r:embed="rId11"/>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65" name="图片 65" descr="四季变化教学课件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四季变化教学课件_03"/>
                    <pic:cNvPicPr>
                      <a:picLocks noChangeAspect="1"/>
                    </pic:cNvPicPr>
                  </pic:nvPicPr>
                  <pic:blipFill>
                    <a:blip r:embed="rId12"/>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64" name="图片 64" descr="四季变化教学课件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四季变化教学课件_04"/>
                    <pic:cNvPicPr>
                      <a:picLocks noChangeAspect="1"/>
                    </pic:cNvPicPr>
                  </pic:nvPicPr>
                  <pic:blipFill>
                    <a:blip r:embed="rId13"/>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63" name="图片 63" descr="四季变化教学课件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四季变化教学课件_05"/>
                    <pic:cNvPicPr>
                      <a:picLocks noChangeAspect="1"/>
                    </pic:cNvPicPr>
                  </pic:nvPicPr>
                  <pic:blipFill>
                    <a:blip r:embed="rId14"/>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62" name="图片 62" descr="四季变化教学课件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四季变化教学课件_06"/>
                    <pic:cNvPicPr>
                      <a:picLocks noChangeAspect="1"/>
                    </pic:cNvPicPr>
                  </pic:nvPicPr>
                  <pic:blipFill>
                    <a:blip r:embed="rId15"/>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61" name="图片 61" descr="四季变化教学课件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四季变化教学课件_07"/>
                    <pic:cNvPicPr>
                      <a:picLocks noChangeAspect="1"/>
                    </pic:cNvPicPr>
                  </pic:nvPicPr>
                  <pic:blipFill>
                    <a:blip r:embed="rId16"/>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60" name="图片 60" descr="四季变化教学课件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四季变化教学课件_08"/>
                    <pic:cNvPicPr>
                      <a:picLocks noChangeAspect="1"/>
                    </pic:cNvPicPr>
                  </pic:nvPicPr>
                  <pic:blipFill>
                    <a:blip r:embed="rId17"/>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59" name="图片 59" descr="四季变化教学课件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四季变化教学课件_09"/>
                    <pic:cNvPicPr>
                      <a:picLocks noChangeAspect="1"/>
                    </pic:cNvPicPr>
                  </pic:nvPicPr>
                  <pic:blipFill>
                    <a:blip r:embed="rId18"/>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58" name="图片 58" descr="四季变化教学课件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四季变化教学课件_10"/>
                    <pic:cNvPicPr>
                      <a:picLocks noChangeAspect="1"/>
                    </pic:cNvPicPr>
                  </pic:nvPicPr>
                  <pic:blipFill>
                    <a:blip r:embed="rId19"/>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57" name="图片 57" descr="四季变化教学课件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四季变化教学课件_11"/>
                    <pic:cNvPicPr>
                      <a:picLocks noChangeAspect="1"/>
                    </pic:cNvPicPr>
                  </pic:nvPicPr>
                  <pic:blipFill>
                    <a:blip r:embed="rId20"/>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56" name="图片 56" descr="四季变化教学课件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四季变化教学课件_12"/>
                    <pic:cNvPicPr>
                      <a:picLocks noChangeAspect="1"/>
                    </pic:cNvPicPr>
                  </pic:nvPicPr>
                  <pic:blipFill>
                    <a:blip r:embed="rId21"/>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55" name="图片 55" descr="四季变化教学课件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四季变化教学课件_13"/>
                    <pic:cNvPicPr>
                      <a:picLocks noChangeAspect="1"/>
                    </pic:cNvPicPr>
                  </pic:nvPicPr>
                  <pic:blipFill>
                    <a:blip r:embed="rId22"/>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54" name="图片 54" descr="四季变化教学课件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四季变化教学课件_14"/>
                    <pic:cNvPicPr>
                      <a:picLocks noChangeAspect="1"/>
                    </pic:cNvPicPr>
                  </pic:nvPicPr>
                  <pic:blipFill>
                    <a:blip r:embed="rId23"/>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53" name="图片 53" descr="四季变化教学课件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四季变化教学课件_15"/>
                    <pic:cNvPicPr>
                      <a:picLocks noChangeAspect="1"/>
                    </pic:cNvPicPr>
                  </pic:nvPicPr>
                  <pic:blipFill>
                    <a:blip r:embed="rId24"/>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52" name="图片 52" descr="四季变化教学课件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四季变化教学课件_16"/>
                    <pic:cNvPicPr>
                      <a:picLocks noChangeAspect="1"/>
                    </pic:cNvPicPr>
                  </pic:nvPicPr>
                  <pic:blipFill>
                    <a:blip r:embed="rId25"/>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51" name="图片 51" descr="四季变化教学课件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四季变化教学课件_17"/>
                    <pic:cNvPicPr>
                      <a:picLocks noChangeAspect="1"/>
                    </pic:cNvPicPr>
                  </pic:nvPicPr>
                  <pic:blipFill>
                    <a:blip r:embed="rId26"/>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50" name="图片 50" descr="四季变化教学课件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四季变化教学课件_18"/>
                    <pic:cNvPicPr>
                      <a:picLocks noChangeAspect="1"/>
                    </pic:cNvPicPr>
                  </pic:nvPicPr>
                  <pic:blipFill>
                    <a:blip r:embed="rId27"/>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49" name="图片 49" descr="四季变化教学课件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四季变化教学课件_19"/>
                    <pic:cNvPicPr>
                      <a:picLocks noChangeAspect="1"/>
                    </pic:cNvPicPr>
                  </pic:nvPicPr>
                  <pic:blipFill>
                    <a:blip r:embed="rId28"/>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48" name="图片 48" descr="四季变化教学课件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四季变化教学课件_20"/>
                    <pic:cNvPicPr>
                      <a:picLocks noChangeAspect="1"/>
                    </pic:cNvPicPr>
                  </pic:nvPicPr>
                  <pic:blipFill>
                    <a:blip r:embed="rId29"/>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47" name="图片 47" descr="四季变化教学课件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四季变化教学课件_21"/>
                    <pic:cNvPicPr>
                      <a:picLocks noChangeAspect="1"/>
                    </pic:cNvPicPr>
                  </pic:nvPicPr>
                  <pic:blipFill>
                    <a:blip r:embed="rId30"/>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46" name="图片 46" descr="四季变化教学课件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四季变化教学课件_22"/>
                    <pic:cNvPicPr>
                      <a:picLocks noChangeAspect="1"/>
                    </pic:cNvPicPr>
                  </pic:nvPicPr>
                  <pic:blipFill>
                    <a:blip r:embed="rId31"/>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45" name="图片 45" descr="四季变化教学课件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四季变化教学课件_23"/>
                    <pic:cNvPicPr>
                      <a:picLocks noChangeAspect="1"/>
                    </pic:cNvPicPr>
                  </pic:nvPicPr>
                  <pic:blipFill>
                    <a:blip r:embed="rId32"/>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44" name="图片 44" descr="四季变化教学课件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四季变化教学课件_24"/>
                    <pic:cNvPicPr>
                      <a:picLocks noChangeAspect="1"/>
                    </pic:cNvPicPr>
                  </pic:nvPicPr>
                  <pic:blipFill>
                    <a:blip r:embed="rId33"/>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43" name="图片 43" descr="四季变化教学课件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四季变化教学课件_25"/>
                    <pic:cNvPicPr>
                      <a:picLocks noChangeAspect="1"/>
                    </pic:cNvPicPr>
                  </pic:nvPicPr>
                  <pic:blipFill>
                    <a:blip r:embed="rId34"/>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42" name="图片 42" descr="四季变化教学课件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四季变化教学课件_26"/>
                    <pic:cNvPicPr>
                      <a:picLocks noChangeAspect="1"/>
                    </pic:cNvPicPr>
                  </pic:nvPicPr>
                  <pic:blipFill>
                    <a:blip r:embed="rId35"/>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41" name="图片 41" descr="四季变化教学课件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四季变化教学课件_27"/>
                    <pic:cNvPicPr>
                      <a:picLocks noChangeAspect="1"/>
                    </pic:cNvPicPr>
                  </pic:nvPicPr>
                  <pic:blipFill>
                    <a:blip r:embed="rId36"/>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40" name="图片 40" descr="四季变化教学课件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四季变化教学课件_28"/>
                    <pic:cNvPicPr>
                      <a:picLocks noChangeAspect="1"/>
                    </pic:cNvPicPr>
                  </pic:nvPicPr>
                  <pic:blipFill>
                    <a:blip r:embed="rId37"/>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39" name="图片 39" descr="四季变化教学课件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四季变化教学课件_29"/>
                    <pic:cNvPicPr>
                      <a:picLocks noChangeAspect="1"/>
                    </pic:cNvPicPr>
                  </pic:nvPicPr>
                  <pic:blipFill>
                    <a:blip r:embed="rId38"/>
                    <a:stretch>
                      <a:fillRect/>
                    </a:stretch>
                  </pic:blipFill>
                  <pic:spPr>
                    <a:xfrm>
                      <a:off x="0" y="0"/>
                      <a:ext cx="5266690" cy="2962910"/>
                    </a:xfrm>
                    <a:prstGeom prst="rect">
                      <a:avLst/>
                    </a:prstGeom>
                  </pic:spPr>
                </pic:pic>
              </a:graphicData>
            </a:graphic>
          </wp:inline>
        </w:drawing>
      </w:r>
    </w:p>
    <w:p w14:paraId="2397E0AB">
      <w:pPr>
        <w:rPr>
          <w:rFonts w:hint="default"/>
          <w:lang w:val="en-US" w:eastAsia="zh-CN"/>
        </w:rPr>
      </w:pPr>
      <w:r>
        <w:rPr>
          <w:rFonts w:hint="default"/>
          <w:lang w:val="en-US" w:eastAsia="zh-CN"/>
        </w:rPr>
        <w:br w:type="page"/>
      </w:r>
    </w:p>
    <w:p w14:paraId="7C521075">
      <w:pPr>
        <w:pStyle w:val="5"/>
        <w:bidi w:val="0"/>
        <w:rPr>
          <w:rFonts w:hint="eastAsia"/>
          <w:lang w:val="en-US" w:eastAsia="zh-CN"/>
        </w:rPr>
      </w:pPr>
      <w:r>
        <w:rPr>
          <w:rFonts w:hint="eastAsia"/>
          <w:lang w:val="en-US" w:eastAsia="zh-CN"/>
        </w:rPr>
        <w:t>学生手册</w:t>
      </w:r>
    </w:p>
    <w:p w14:paraId="4509F148">
      <w:pPr>
        <w:rPr>
          <w:rFonts w:hint="default"/>
          <w:lang w:val="en-US" w:eastAsia="zh-CN"/>
        </w:rPr>
      </w:pPr>
      <w:r>
        <w:rPr>
          <w:rFonts w:hint="default"/>
          <w:lang w:val="en-US" w:eastAsia="zh-CN"/>
        </w:rPr>
        <w:drawing>
          <wp:inline distT="0" distB="0" distL="114300" distR="114300">
            <wp:extent cx="5034915" cy="7554595"/>
            <wp:effectExtent l="0" t="0" r="6350" b="1905"/>
            <wp:docPr id="71" name="图片 71" descr="四季变化学生手册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四季变化学生手册_01"/>
                    <pic:cNvPicPr>
                      <a:picLocks noChangeAspect="1"/>
                    </pic:cNvPicPr>
                  </pic:nvPicPr>
                  <pic:blipFill>
                    <a:blip r:embed="rId39"/>
                    <a:stretch>
                      <a:fillRect/>
                    </a:stretch>
                  </pic:blipFill>
                  <pic:spPr>
                    <a:xfrm>
                      <a:off x="0" y="0"/>
                      <a:ext cx="5034915" cy="7554595"/>
                    </a:xfrm>
                    <a:prstGeom prst="rect">
                      <a:avLst/>
                    </a:prstGeom>
                  </pic:spPr>
                </pic:pic>
              </a:graphicData>
            </a:graphic>
          </wp:inline>
        </w:drawing>
      </w:r>
      <w:r>
        <w:rPr>
          <w:rFonts w:hint="default"/>
          <w:lang w:val="en-US" w:eastAsia="zh-CN"/>
        </w:rPr>
        <w:drawing>
          <wp:inline distT="0" distB="0" distL="114300" distR="114300">
            <wp:extent cx="5034915" cy="7554595"/>
            <wp:effectExtent l="0" t="0" r="6350" b="1905"/>
            <wp:docPr id="70" name="图片 70" descr="四季变化学生手册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四季变化学生手册_02"/>
                    <pic:cNvPicPr>
                      <a:picLocks noChangeAspect="1"/>
                    </pic:cNvPicPr>
                  </pic:nvPicPr>
                  <pic:blipFill>
                    <a:blip r:embed="rId40"/>
                    <a:stretch>
                      <a:fillRect/>
                    </a:stretch>
                  </pic:blipFill>
                  <pic:spPr>
                    <a:xfrm>
                      <a:off x="0" y="0"/>
                      <a:ext cx="5034915" cy="7554595"/>
                    </a:xfrm>
                    <a:prstGeom prst="rect">
                      <a:avLst/>
                    </a:prstGeom>
                  </pic:spPr>
                </pic:pic>
              </a:graphicData>
            </a:graphic>
          </wp:inline>
        </w:drawing>
      </w:r>
    </w:p>
    <w:p w14:paraId="252A8A89">
      <w:pPr>
        <w:pStyle w:val="4"/>
        <w:bidi w:val="0"/>
        <w:rPr>
          <w:rFonts w:ascii="仿宋_GB2312" w:hAnsi="仿宋_GB2312" w:eastAsia="仿宋_GB2312" w:cs="仿宋_GB2312"/>
        </w:rPr>
      </w:pPr>
      <w:r>
        <w:rPr>
          <w:rFonts w:hint="default"/>
          <w:lang w:val="en-US" w:eastAsia="zh-CN"/>
        </w:rPr>
        <w:br w:type="page"/>
      </w:r>
      <w:r>
        <w:rPr>
          <w:rFonts w:hint="eastAsia"/>
          <w:lang w:val="en-US" w:eastAsia="zh-CN"/>
        </w:rPr>
        <w:t>（二）</w:t>
      </w:r>
      <w:r>
        <w:t>月相变化</w:t>
      </w:r>
    </w:p>
    <w:p w14:paraId="437604FF">
      <w:pPr>
        <w:numPr>
          <w:ilvl w:val="0"/>
          <w:numId w:val="0"/>
        </w:numPr>
        <w:rPr>
          <w:rFonts w:ascii="仿宋_GB2312" w:hAnsi="仿宋_GB2312" w:eastAsia="仿宋_GB2312" w:cs="仿宋_GB2312"/>
          <w:b/>
          <w:sz w:val="21"/>
        </w:rPr>
      </w:pPr>
      <w:r>
        <w:rPr>
          <w:rFonts w:ascii="仿宋_GB2312" w:hAnsi="仿宋_GB2312" w:eastAsia="仿宋_GB2312" w:cs="仿宋_GB2312"/>
          <w:sz w:val="24"/>
        </w:rPr>
        <w:t>★</w:t>
      </w:r>
      <w:r>
        <w:rPr>
          <w:rFonts w:ascii="仿宋_GB2312" w:hAnsi="仿宋_GB2312" w:eastAsia="仿宋_GB2312" w:cs="仿宋_GB2312"/>
          <w:sz w:val="20"/>
        </w:rPr>
        <w:t>6、</w:t>
      </w:r>
      <w:r>
        <w:rPr>
          <w:rFonts w:ascii="仿宋_GB2312" w:hAnsi="仿宋_GB2312" w:eastAsia="仿宋_GB2312" w:cs="仿宋_GB2312"/>
          <w:sz w:val="21"/>
        </w:rPr>
        <w:t>需配套“月相变化”探究式课程，</w:t>
      </w:r>
      <w:r>
        <w:rPr>
          <w:rFonts w:ascii="仿宋_GB2312" w:hAnsi="仿宋_GB2312" w:eastAsia="仿宋_GB2312" w:cs="仿宋_GB2312"/>
          <w:b/>
          <w:sz w:val="21"/>
        </w:rPr>
        <w:t>提供该课程设计、教学课件、学生手册等。</w:t>
      </w:r>
    </w:p>
    <w:p w14:paraId="0202EEDA">
      <w:pPr>
        <w:pStyle w:val="5"/>
        <w:bidi w:val="0"/>
        <w:rPr>
          <w:rFonts w:hint="eastAsia"/>
          <w:lang w:val="en-US" w:eastAsia="zh-CN"/>
        </w:rPr>
      </w:pPr>
      <w:r>
        <w:rPr>
          <w:rFonts w:hint="eastAsia"/>
          <w:lang w:val="en-US" w:eastAsia="zh-CN"/>
        </w:rPr>
        <w:t>课程设计</w:t>
      </w:r>
    </w:p>
    <w:p w14:paraId="6A60B564">
      <w:pPr>
        <w:rPr>
          <w:rFonts w:hint="eastAsia"/>
          <w:lang w:val="en-US" w:eastAsia="zh-CN"/>
        </w:rPr>
      </w:pPr>
      <w:r>
        <w:rPr>
          <w:rFonts w:hint="eastAsia"/>
          <w:lang w:val="en-US" w:eastAsia="zh-CN"/>
        </w:rPr>
        <w:drawing>
          <wp:inline distT="0" distB="0" distL="114300" distR="114300">
            <wp:extent cx="4745990" cy="6670675"/>
            <wp:effectExtent l="0" t="0" r="3810" b="635"/>
            <wp:docPr id="83" name="图片 83" descr="月相变化 课程设计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月相变化 课程设计_01"/>
                    <pic:cNvPicPr>
                      <a:picLocks noChangeAspect="1"/>
                    </pic:cNvPicPr>
                  </pic:nvPicPr>
                  <pic:blipFill>
                    <a:blip r:embed="rId41"/>
                    <a:stretch>
                      <a:fillRect/>
                    </a:stretch>
                  </pic:blipFill>
                  <pic:spPr>
                    <a:xfrm>
                      <a:off x="0" y="0"/>
                      <a:ext cx="4745990" cy="6670675"/>
                    </a:xfrm>
                    <a:prstGeom prst="rect">
                      <a:avLst/>
                    </a:prstGeom>
                  </pic:spPr>
                </pic:pic>
              </a:graphicData>
            </a:graphic>
          </wp:inline>
        </w:drawing>
      </w:r>
      <w:r>
        <w:rPr>
          <w:rFonts w:hint="eastAsia"/>
          <w:lang w:val="en-US" w:eastAsia="zh-CN"/>
        </w:rPr>
        <w:drawing>
          <wp:inline distT="0" distB="0" distL="114300" distR="114300">
            <wp:extent cx="5272405" cy="7409815"/>
            <wp:effectExtent l="0" t="0" r="6350" b="6350"/>
            <wp:docPr id="82" name="图片 82" descr="月相变化 课程设计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月相变化 课程设计_02"/>
                    <pic:cNvPicPr>
                      <a:picLocks noChangeAspect="1"/>
                    </pic:cNvPicPr>
                  </pic:nvPicPr>
                  <pic:blipFill>
                    <a:blip r:embed="rId42"/>
                    <a:stretch>
                      <a:fillRect/>
                    </a:stretch>
                  </pic:blipFill>
                  <pic:spPr>
                    <a:xfrm>
                      <a:off x="0" y="0"/>
                      <a:ext cx="5272405" cy="7409815"/>
                    </a:xfrm>
                    <a:prstGeom prst="rect">
                      <a:avLst/>
                    </a:prstGeom>
                  </pic:spPr>
                </pic:pic>
              </a:graphicData>
            </a:graphic>
          </wp:inline>
        </w:drawing>
      </w:r>
      <w:r>
        <w:rPr>
          <w:rFonts w:hint="eastAsia"/>
          <w:lang w:val="en-US" w:eastAsia="zh-CN"/>
        </w:rPr>
        <w:drawing>
          <wp:inline distT="0" distB="0" distL="114300" distR="114300">
            <wp:extent cx="5272405" cy="7409815"/>
            <wp:effectExtent l="0" t="0" r="6350" b="6350"/>
            <wp:docPr id="81" name="图片 81" descr="月相变化 课程设计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月相变化 课程设计_03"/>
                    <pic:cNvPicPr>
                      <a:picLocks noChangeAspect="1"/>
                    </pic:cNvPicPr>
                  </pic:nvPicPr>
                  <pic:blipFill>
                    <a:blip r:embed="rId43"/>
                    <a:stretch>
                      <a:fillRect/>
                    </a:stretch>
                  </pic:blipFill>
                  <pic:spPr>
                    <a:xfrm>
                      <a:off x="0" y="0"/>
                      <a:ext cx="5272405" cy="7409815"/>
                    </a:xfrm>
                    <a:prstGeom prst="rect">
                      <a:avLst/>
                    </a:prstGeom>
                  </pic:spPr>
                </pic:pic>
              </a:graphicData>
            </a:graphic>
          </wp:inline>
        </w:drawing>
      </w:r>
      <w:r>
        <w:rPr>
          <w:rFonts w:hint="eastAsia"/>
          <w:lang w:val="en-US" w:eastAsia="zh-CN"/>
        </w:rPr>
        <w:drawing>
          <wp:inline distT="0" distB="0" distL="114300" distR="114300">
            <wp:extent cx="5272405" cy="7409815"/>
            <wp:effectExtent l="0" t="0" r="6350" b="6350"/>
            <wp:docPr id="80" name="图片 80" descr="月相变化 课程设计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月相变化 课程设计_04"/>
                    <pic:cNvPicPr>
                      <a:picLocks noChangeAspect="1"/>
                    </pic:cNvPicPr>
                  </pic:nvPicPr>
                  <pic:blipFill>
                    <a:blip r:embed="rId44"/>
                    <a:stretch>
                      <a:fillRect/>
                    </a:stretch>
                  </pic:blipFill>
                  <pic:spPr>
                    <a:xfrm>
                      <a:off x="0" y="0"/>
                      <a:ext cx="5272405" cy="7409815"/>
                    </a:xfrm>
                    <a:prstGeom prst="rect">
                      <a:avLst/>
                    </a:prstGeom>
                  </pic:spPr>
                </pic:pic>
              </a:graphicData>
            </a:graphic>
          </wp:inline>
        </w:drawing>
      </w:r>
      <w:r>
        <w:rPr>
          <w:rFonts w:hint="eastAsia"/>
          <w:lang w:val="en-US" w:eastAsia="zh-CN"/>
        </w:rPr>
        <w:drawing>
          <wp:inline distT="0" distB="0" distL="114300" distR="114300">
            <wp:extent cx="5272405" cy="7409815"/>
            <wp:effectExtent l="0" t="0" r="6350" b="6350"/>
            <wp:docPr id="79" name="图片 79" descr="月相变化 课程设计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月相变化 课程设计_05"/>
                    <pic:cNvPicPr>
                      <a:picLocks noChangeAspect="1"/>
                    </pic:cNvPicPr>
                  </pic:nvPicPr>
                  <pic:blipFill>
                    <a:blip r:embed="rId45"/>
                    <a:stretch>
                      <a:fillRect/>
                    </a:stretch>
                  </pic:blipFill>
                  <pic:spPr>
                    <a:xfrm>
                      <a:off x="0" y="0"/>
                      <a:ext cx="5272405" cy="7409815"/>
                    </a:xfrm>
                    <a:prstGeom prst="rect">
                      <a:avLst/>
                    </a:prstGeom>
                  </pic:spPr>
                </pic:pic>
              </a:graphicData>
            </a:graphic>
          </wp:inline>
        </w:drawing>
      </w:r>
      <w:r>
        <w:rPr>
          <w:rFonts w:hint="eastAsia"/>
          <w:lang w:val="en-US" w:eastAsia="zh-CN"/>
        </w:rPr>
        <w:drawing>
          <wp:inline distT="0" distB="0" distL="114300" distR="114300">
            <wp:extent cx="5272405" cy="7409815"/>
            <wp:effectExtent l="0" t="0" r="6350" b="6350"/>
            <wp:docPr id="78" name="图片 78" descr="月相变化 课程设计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月相变化 课程设计_06"/>
                    <pic:cNvPicPr>
                      <a:picLocks noChangeAspect="1"/>
                    </pic:cNvPicPr>
                  </pic:nvPicPr>
                  <pic:blipFill>
                    <a:blip r:embed="rId46"/>
                    <a:stretch>
                      <a:fillRect/>
                    </a:stretch>
                  </pic:blipFill>
                  <pic:spPr>
                    <a:xfrm>
                      <a:off x="0" y="0"/>
                      <a:ext cx="5272405" cy="7409815"/>
                    </a:xfrm>
                    <a:prstGeom prst="rect">
                      <a:avLst/>
                    </a:prstGeom>
                  </pic:spPr>
                </pic:pic>
              </a:graphicData>
            </a:graphic>
          </wp:inline>
        </w:drawing>
      </w:r>
      <w:r>
        <w:rPr>
          <w:rFonts w:hint="eastAsia"/>
          <w:lang w:val="en-US" w:eastAsia="zh-CN"/>
        </w:rPr>
        <w:drawing>
          <wp:inline distT="0" distB="0" distL="114300" distR="114300">
            <wp:extent cx="5272405" cy="7409815"/>
            <wp:effectExtent l="0" t="0" r="6350" b="6350"/>
            <wp:docPr id="77" name="图片 77" descr="月相变化 课程设计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月相变化 课程设计_07"/>
                    <pic:cNvPicPr>
                      <a:picLocks noChangeAspect="1"/>
                    </pic:cNvPicPr>
                  </pic:nvPicPr>
                  <pic:blipFill>
                    <a:blip r:embed="rId47"/>
                    <a:stretch>
                      <a:fillRect/>
                    </a:stretch>
                  </pic:blipFill>
                  <pic:spPr>
                    <a:xfrm>
                      <a:off x="0" y="0"/>
                      <a:ext cx="5272405" cy="7409815"/>
                    </a:xfrm>
                    <a:prstGeom prst="rect">
                      <a:avLst/>
                    </a:prstGeom>
                  </pic:spPr>
                </pic:pic>
              </a:graphicData>
            </a:graphic>
          </wp:inline>
        </w:drawing>
      </w:r>
      <w:r>
        <w:rPr>
          <w:rFonts w:hint="eastAsia"/>
          <w:lang w:val="en-US" w:eastAsia="zh-CN"/>
        </w:rPr>
        <w:drawing>
          <wp:inline distT="0" distB="0" distL="114300" distR="114300">
            <wp:extent cx="5272405" cy="7409815"/>
            <wp:effectExtent l="0" t="0" r="6350" b="6350"/>
            <wp:docPr id="76" name="图片 76" descr="月相变化 课程设计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月相变化 课程设计_08"/>
                    <pic:cNvPicPr>
                      <a:picLocks noChangeAspect="1"/>
                    </pic:cNvPicPr>
                  </pic:nvPicPr>
                  <pic:blipFill>
                    <a:blip r:embed="rId48"/>
                    <a:stretch>
                      <a:fillRect/>
                    </a:stretch>
                  </pic:blipFill>
                  <pic:spPr>
                    <a:xfrm>
                      <a:off x="0" y="0"/>
                      <a:ext cx="5272405" cy="7409815"/>
                    </a:xfrm>
                    <a:prstGeom prst="rect">
                      <a:avLst/>
                    </a:prstGeom>
                  </pic:spPr>
                </pic:pic>
              </a:graphicData>
            </a:graphic>
          </wp:inline>
        </w:drawing>
      </w:r>
      <w:r>
        <w:rPr>
          <w:rFonts w:hint="eastAsia"/>
          <w:lang w:val="en-US" w:eastAsia="zh-CN"/>
        </w:rPr>
        <w:drawing>
          <wp:inline distT="0" distB="0" distL="114300" distR="114300">
            <wp:extent cx="5272405" cy="7409815"/>
            <wp:effectExtent l="0" t="0" r="6350" b="6350"/>
            <wp:docPr id="75" name="图片 75" descr="月相变化 课程设计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月相变化 课程设计_09"/>
                    <pic:cNvPicPr>
                      <a:picLocks noChangeAspect="1"/>
                    </pic:cNvPicPr>
                  </pic:nvPicPr>
                  <pic:blipFill>
                    <a:blip r:embed="rId49"/>
                    <a:stretch>
                      <a:fillRect/>
                    </a:stretch>
                  </pic:blipFill>
                  <pic:spPr>
                    <a:xfrm>
                      <a:off x="0" y="0"/>
                      <a:ext cx="5272405" cy="7409815"/>
                    </a:xfrm>
                    <a:prstGeom prst="rect">
                      <a:avLst/>
                    </a:prstGeom>
                  </pic:spPr>
                </pic:pic>
              </a:graphicData>
            </a:graphic>
          </wp:inline>
        </w:drawing>
      </w:r>
      <w:r>
        <w:rPr>
          <w:rFonts w:hint="eastAsia"/>
          <w:lang w:val="en-US" w:eastAsia="zh-CN"/>
        </w:rPr>
        <w:drawing>
          <wp:inline distT="0" distB="0" distL="114300" distR="114300">
            <wp:extent cx="5272405" cy="7409815"/>
            <wp:effectExtent l="0" t="0" r="6350" b="6350"/>
            <wp:docPr id="74" name="图片 74" descr="月相变化 课程设计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月相变化 课程设计_10"/>
                    <pic:cNvPicPr>
                      <a:picLocks noChangeAspect="1"/>
                    </pic:cNvPicPr>
                  </pic:nvPicPr>
                  <pic:blipFill>
                    <a:blip r:embed="rId50"/>
                    <a:stretch>
                      <a:fillRect/>
                    </a:stretch>
                  </pic:blipFill>
                  <pic:spPr>
                    <a:xfrm>
                      <a:off x="0" y="0"/>
                      <a:ext cx="5272405" cy="7409815"/>
                    </a:xfrm>
                    <a:prstGeom prst="rect">
                      <a:avLst/>
                    </a:prstGeom>
                  </pic:spPr>
                </pic:pic>
              </a:graphicData>
            </a:graphic>
          </wp:inline>
        </w:drawing>
      </w:r>
      <w:r>
        <w:rPr>
          <w:rFonts w:hint="eastAsia"/>
          <w:lang w:val="en-US" w:eastAsia="zh-CN"/>
        </w:rPr>
        <w:drawing>
          <wp:inline distT="0" distB="0" distL="114300" distR="114300">
            <wp:extent cx="5272405" cy="7409815"/>
            <wp:effectExtent l="0" t="0" r="6350" b="6350"/>
            <wp:docPr id="73" name="图片 73" descr="月相变化 课程设计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月相变化 课程设计_11"/>
                    <pic:cNvPicPr>
                      <a:picLocks noChangeAspect="1"/>
                    </pic:cNvPicPr>
                  </pic:nvPicPr>
                  <pic:blipFill>
                    <a:blip r:embed="rId51"/>
                    <a:stretch>
                      <a:fillRect/>
                    </a:stretch>
                  </pic:blipFill>
                  <pic:spPr>
                    <a:xfrm>
                      <a:off x="0" y="0"/>
                      <a:ext cx="5272405" cy="7409815"/>
                    </a:xfrm>
                    <a:prstGeom prst="rect">
                      <a:avLst/>
                    </a:prstGeom>
                  </pic:spPr>
                </pic:pic>
              </a:graphicData>
            </a:graphic>
          </wp:inline>
        </w:drawing>
      </w:r>
      <w:r>
        <w:rPr>
          <w:rFonts w:hint="eastAsia"/>
          <w:lang w:val="en-US" w:eastAsia="zh-CN"/>
        </w:rPr>
        <w:drawing>
          <wp:inline distT="0" distB="0" distL="114300" distR="114300">
            <wp:extent cx="5272405" cy="7409815"/>
            <wp:effectExtent l="0" t="0" r="6350" b="6350"/>
            <wp:docPr id="72" name="图片 72" descr="月相变化 课程设计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月相变化 课程设计_12"/>
                    <pic:cNvPicPr>
                      <a:picLocks noChangeAspect="1"/>
                    </pic:cNvPicPr>
                  </pic:nvPicPr>
                  <pic:blipFill>
                    <a:blip r:embed="rId52"/>
                    <a:stretch>
                      <a:fillRect/>
                    </a:stretch>
                  </pic:blipFill>
                  <pic:spPr>
                    <a:xfrm>
                      <a:off x="0" y="0"/>
                      <a:ext cx="5272405" cy="7409815"/>
                    </a:xfrm>
                    <a:prstGeom prst="rect">
                      <a:avLst/>
                    </a:prstGeom>
                  </pic:spPr>
                </pic:pic>
              </a:graphicData>
            </a:graphic>
          </wp:inline>
        </w:drawing>
      </w:r>
    </w:p>
    <w:p w14:paraId="19B1479D">
      <w:pPr>
        <w:rPr>
          <w:rFonts w:hint="eastAsia"/>
          <w:lang w:val="en-US" w:eastAsia="zh-CN"/>
        </w:rPr>
      </w:pPr>
      <w:r>
        <w:rPr>
          <w:rFonts w:hint="eastAsia"/>
          <w:lang w:val="en-US" w:eastAsia="zh-CN"/>
        </w:rPr>
        <w:br w:type="page"/>
      </w:r>
    </w:p>
    <w:p w14:paraId="772F7C40">
      <w:pPr>
        <w:pStyle w:val="5"/>
        <w:bidi w:val="0"/>
        <w:rPr>
          <w:rFonts w:hint="eastAsia"/>
          <w:lang w:val="en-US" w:eastAsia="zh-CN"/>
        </w:rPr>
      </w:pPr>
      <w:r>
        <w:rPr>
          <w:rFonts w:hint="eastAsia"/>
          <w:lang w:val="en-US" w:eastAsia="zh-CN"/>
        </w:rPr>
        <w:t>教学课件</w:t>
      </w:r>
    </w:p>
    <w:p w14:paraId="1056BBF1">
      <w:pPr>
        <w:rPr>
          <w:rFonts w:hint="eastAsia"/>
          <w:lang w:val="en-US" w:eastAsia="zh-CN"/>
        </w:rPr>
      </w:pPr>
      <w:r>
        <w:rPr>
          <w:rFonts w:hint="eastAsia"/>
          <w:lang w:val="en-US" w:eastAsia="zh-CN"/>
        </w:rPr>
        <w:drawing>
          <wp:inline distT="0" distB="0" distL="114300" distR="114300">
            <wp:extent cx="5266690" cy="2962910"/>
            <wp:effectExtent l="0" t="0" r="1270" b="5715"/>
            <wp:docPr id="113" name="图片 113" descr="月相变化 教学课件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descr="月相变化 教学课件_01"/>
                    <pic:cNvPicPr>
                      <a:picLocks noChangeAspect="1"/>
                    </pic:cNvPicPr>
                  </pic:nvPicPr>
                  <pic:blipFill>
                    <a:blip r:embed="rId53"/>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12" name="图片 112" descr="月相变化 教学课件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月相变化 教学课件_02"/>
                    <pic:cNvPicPr>
                      <a:picLocks noChangeAspect="1"/>
                    </pic:cNvPicPr>
                  </pic:nvPicPr>
                  <pic:blipFill>
                    <a:blip r:embed="rId54"/>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11" name="图片 111" descr="月相变化 教学课件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月相变化 教学课件_03"/>
                    <pic:cNvPicPr>
                      <a:picLocks noChangeAspect="1"/>
                    </pic:cNvPicPr>
                  </pic:nvPicPr>
                  <pic:blipFill>
                    <a:blip r:embed="rId55"/>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10" name="图片 110" descr="月相变化 教学课件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月相变化 教学课件_04"/>
                    <pic:cNvPicPr>
                      <a:picLocks noChangeAspect="1"/>
                    </pic:cNvPicPr>
                  </pic:nvPicPr>
                  <pic:blipFill>
                    <a:blip r:embed="rId56"/>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09" name="图片 109" descr="月相变化 教学课件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月相变化 教学课件_05"/>
                    <pic:cNvPicPr>
                      <a:picLocks noChangeAspect="1"/>
                    </pic:cNvPicPr>
                  </pic:nvPicPr>
                  <pic:blipFill>
                    <a:blip r:embed="rId57"/>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08" name="图片 108" descr="月相变化 教学课件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月相变化 教学课件_06"/>
                    <pic:cNvPicPr>
                      <a:picLocks noChangeAspect="1"/>
                    </pic:cNvPicPr>
                  </pic:nvPicPr>
                  <pic:blipFill>
                    <a:blip r:embed="rId58"/>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07" name="图片 107" descr="月相变化 教学课件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月相变化 教学课件_07"/>
                    <pic:cNvPicPr>
                      <a:picLocks noChangeAspect="1"/>
                    </pic:cNvPicPr>
                  </pic:nvPicPr>
                  <pic:blipFill>
                    <a:blip r:embed="rId59"/>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06" name="图片 106" descr="月相变化 教学课件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月相变化 教学课件_08"/>
                    <pic:cNvPicPr>
                      <a:picLocks noChangeAspect="1"/>
                    </pic:cNvPicPr>
                  </pic:nvPicPr>
                  <pic:blipFill>
                    <a:blip r:embed="rId60"/>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05" name="图片 105" descr="月相变化 教学课件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月相变化 教学课件_09"/>
                    <pic:cNvPicPr>
                      <a:picLocks noChangeAspect="1"/>
                    </pic:cNvPicPr>
                  </pic:nvPicPr>
                  <pic:blipFill>
                    <a:blip r:embed="rId61"/>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04" name="图片 104" descr="月相变化 教学课件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月相变化 教学课件_10"/>
                    <pic:cNvPicPr>
                      <a:picLocks noChangeAspect="1"/>
                    </pic:cNvPicPr>
                  </pic:nvPicPr>
                  <pic:blipFill>
                    <a:blip r:embed="rId62"/>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03" name="图片 103" descr="月相变化 教学课件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月相变化 教学课件_11"/>
                    <pic:cNvPicPr>
                      <a:picLocks noChangeAspect="1"/>
                    </pic:cNvPicPr>
                  </pic:nvPicPr>
                  <pic:blipFill>
                    <a:blip r:embed="rId63"/>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02" name="图片 102" descr="月相变化 教学课件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月相变化 教学课件_12"/>
                    <pic:cNvPicPr>
                      <a:picLocks noChangeAspect="1"/>
                    </pic:cNvPicPr>
                  </pic:nvPicPr>
                  <pic:blipFill>
                    <a:blip r:embed="rId64"/>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01" name="图片 101" descr="月相变化 教学课件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月相变化 教学课件_13"/>
                    <pic:cNvPicPr>
                      <a:picLocks noChangeAspect="1"/>
                    </pic:cNvPicPr>
                  </pic:nvPicPr>
                  <pic:blipFill>
                    <a:blip r:embed="rId65"/>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00" name="图片 100" descr="月相变化 教学课件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月相变化 教学课件_14"/>
                    <pic:cNvPicPr>
                      <a:picLocks noChangeAspect="1"/>
                    </pic:cNvPicPr>
                  </pic:nvPicPr>
                  <pic:blipFill>
                    <a:blip r:embed="rId66"/>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99" name="图片 99" descr="月相变化 教学课件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月相变化 教学课件_15"/>
                    <pic:cNvPicPr>
                      <a:picLocks noChangeAspect="1"/>
                    </pic:cNvPicPr>
                  </pic:nvPicPr>
                  <pic:blipFill>
                    <a:blip r:embed="rId67"/>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98" name="图片 98" descr="月相变化 教学课件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月相变化 教学课件_16"/>
                    <pic:cNvPicPr>
                      <a:picLocks noChangeAspect="1"/>
                    </pic:cNvPicPr>
                  </pic:nvPicPr>
                  <pic:blipFill>
                    <a:blip r:embed="rId68"/>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97" name="图片 97" descr="月相变化 教学课件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月相变化 教学课件_17"/>
                    <pic:cNvPicPr>
                      <a:picLocks noChangeAspect="1"/>
                    </pic:cNvPicPr>
                  </pic:nvPicPr>
                  <pic:blipFill>
                    <a:blip r:embed="rId69"/>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96" name="图片 96" descr="月相变化 教学课件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月相变化 教学课件_18"/>
                    <pic:cNvPicPr>
                      <a:picLocks noChangeAspect="1"/>
                    </pic:cNvPicPr>
                  </pic:nvPicPr>
                  <pic:blipFill>
                    <a:blip r:embed="rId70"/>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95" name="图片 95" descr="月相变化 教学课件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月相变化 教学课件_19"/>
                    <pic:cNvPicPr>
                      <a:picLocks noChangeAspect="1"/>
                    </pic:cNvPicPr>
                  </pic:nvPicPr>
                  <pic:blipFill>
                    <a:blip r:embed="rId71"/>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94" name="图片 94" descr="月相变化 教学课件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月相变化 教学课件_20"/>
                    <pic:cNvPicPr>
                      <a:picLocks noChangeAspect="1"/>
                    </pic:cNvPicPr>
                  </pic:nvPicPr>
                  <pic:blipFill>
                    <a:blip r:embed="rId72"/>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93" name="图片 93" descr="月相变化 教学课件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月相变化 教学课件_21"/>
                    <pic:cNvPicPr>
                      <a:picLocks noChangeAspect="1"/>
                    </pic:cNvPicPr>
                  </pic:nvPicPr>
                  <pic:blipFill>
                    <a:blip r:embed="rId73"/>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92" name="图片 92" descr="月相变化 教学课件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月相变化 教学课件_22"/>
                    <pic:cNvPicPr>
                      <a:picLocks noChangeAspect="1"/>
                    </pic:cNvPicPr>
                  </pic:nvPicPr>
                  <pic:blipFill>
                    <a:blip r:embed="rId74"/>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91" name="图片 91" descr="月相变化 教学课件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月相变化 教学课件_23"/>
                    <pic:cNvPicPr>
                      <a:picLocks noChangeAspect="1"/>
                    </pic:cNvPicPr>
                  </pic:nvPicPr>
                  <pic:blipFill>
                    <a:blip r:embed="rId75"/>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90" name="图片 90" descr="月相变化 教学课件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月相变化 教学课件_24"/>
                    <pic:cNvPicPr>
                      <a:picLocks noChangeAspect="1"/>
                    </pic:cNvPicPr>
                  </pic:nvPicPr>
                  <pic:blipFill>
                    <a:blip r:embed="rId76"/>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89" name="图片 89" descr="月相变化 教学课件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月相变化 教学课件_25"/>
                    <pic:cNvPicPr>
                      <a:picLocks noChangeAspect="1"/>
                    </pic:cNvPicPr>
                  </pic:nvPicPr>
                  <pic:blipFill>
                    <a:blip r:embed="rId77"/>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88" name="图片 88" descr="月相变化 教学课件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月相变化 教学课件_26"/>
                    <pic:cNvPicPr>
                      <a:picLocks noChangeAspect="1"/>
                    </pic:cNvPicPr>
                  </pic:nvPicPr>
                  <pic:blipFill>
                    <a:blip r:embed="rId78"/>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87" name="图片 87" descr="月相变化 教学课件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月相变化 教学课件_27"/>
                    <pic:cNvPicPr>
                      <a:picLocks noChangeAspect="1"/>
                    </pic:cNvPicPr>
                  </pic:nvPicPr>
                  <pic:blipFill>
                    <a:blip r:embed="rId79"/>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86" name="图片 86" descr="月相变化 教学课件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月相变化 教学课件_28"/>
                    <pic:cNvPicPr>
                      <a:picLocks noChangeAspect="1"/>
                    </pic:cNvPicPr>
                  </pic:nvPicPr>
                  <pic:blipFill>
                    <a:blip r:embed="rId80"/>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85" name="图片 85" descr="月相变化 教学课件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月相变化 教学课件_29"/>
                    <pic:cNvPicPr>
                      <a:picLocks noChangeAspect="1"/>
                    </pic:cNvPicPr>
                  </pic:nvPicPr>
                  <pic:blipFill>
                    <a:blip r:embed="rId81"/>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84" name="图片 84" descr="月相变化 教学课件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月相变化 教学课件_30"/>
                    <pic:cNvPicPr>
                      <a:picLocks noChangeAspect="1"/>
                    </pic:cNvPicPr>
                  </pic:nvPicPr>
                  <pic:blipFill>
                    <a:blip r:embed="rId82"/>
                    <a:stretch>
                      <a:fillRect/>
                    </a:stretch>
                  </pic:blipFill>
                  <pic:spPr>
                    <a:xfrm>
                      <a:off x="0" y="0"/>
                      <a:ext cx="5266690" cy="2962910"/>
                    </a:xfrm>
                    <a:prstGeom prst="rect">
                      <a:avLst/>
                    </a:prstGeom>
                  </pic:spPr>
                </pic:pic>
              </a:graphicData>
            </a:graphic>
          </wp:inline>
        </w:drawing>
      </w:r>
    </w:p>
    <w:p w14:paraId="57C1051F">
      <w:pPr>
        <w:rPr>
          <w:rFonts w:hint="eastAsia"/>
          <w:lang w:val="en-US" w:eastAsia="zh-CN"/>
        </w:rPr>
      </w:pPr>
      <w:r>
        <w:rPr>
          <w:rFonts w:hint="eastAsia"/>
          <w:lang w:val="en-US" w:eastAsia="zh-CN"/>
        </w:rPr>
        <w:br w:type="page"/>
      </w:r>
    </w:p>
    <w:p w14:paraId="4EBCBFEE">
      <w:pPr>
        <w:pStyle w:val="5"/>
        <w:bidi w:val="0"/>
        <w:rPr>
          <w:rFonts w:hint="eastAsia"/>
          <w:lang w:val="en-US" w:eastAsia="zh-CN"/>
        </w:rPr>
      </w:pPr>
      <w:r>
        <w:rPr>
          <w:rFonts w:hint="eastAsia"/>
          <w:lang w:val="en-US" w:eastAsia="zh-CN"/>
        </w:rPr>
        <w:t>学生手册</w:t>
      </w:r>
    </w:p>
    <w:p w14:paraId="7A5CD2B1">
      <w:pPr>
        <w:rPr>
          <w:rFonts w:hint="default"/>
          <w:lang w:val="en-US" w:eastAsia="zh-CN"/>
        </w:rPr>
      </w:pPr>
      <w:r>
        <w:rPr>
          <w:rFonts w:hint="default"/>
          <w:lang w:val="en-US" w:eastAsia="zh-CN"/>
        </w:rPr>
        <w:drawing>
          <wp:inline distT="0" distB="0" distL="114300" distR="114300">
            <wp:extent cx="5269230" cy="7147560"/>
            <wp:effectExtent l="0" t="0" r="9525" b="9525"/>
            <wp:docPr id="117" name="图片 117" descr="月相变化 学生手册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月相变化 学生手册_01"/>
                    <pic:cNvPicPr>
                      <a:picLocks noChangeAspect="1"/>
                    </pic:cNvPicPr>
                  </pic:nvPicPr>
                  <pic:blipFill>
                    <a:blip r:embed="rId83"/>
                    <a:stretch>
                      <a:fillRect/>
                    </a:stretch>
                  </pic:blipFill>
                  <pic:spPr>
                    <a:xfrm>
                      <a:off x="0" y="0"/>
                      <a:ext cx="5269230" cy="7147560"/>
                    </a:xfrm>
                    <a:prstGeom prst="rect">
                      <a:avLst/>
                    </a:prstGeom>
                  </pic:spPr>
                </pic:pic>
              </a:graphicData>
            </a:graphic>
          </wp:inline>
        </w:drawing>
      </w:r>
      <w:r>
        <w:rPr>
          <w:rFonts w:hint="default"/>
          <w:lang w:val="en-US" w:eastAsia="zh-CN"/>
        </w:rPr>
        <w:drawing>
          <wp:inline distT="0" distB="0" distL="114300" distR="114300">
            <wp:extent cx="5269230" cy="7147560"/>
            <wp:effectExtent l="0" t="0" r="9525" b="9525"/>
            <wp:docPr id="116" name="图片 116" descr="月相变化 学生手册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月相变化 学生手册_02"/>
                    <pic:cNvPicPr>
                      <a:picLocks noChangeAspect="1"/>
                    </pic:cNvPicPr>
                  </pic:nvPicPr>
                  <pic:blipFill>
                    <a:blip r:embed="rId84"/>
                    <a:stretch>
                      <a:fillRect/>
                    </a:stretch>
                  </pic:blipFill>
                  <pic:spPr>
                    <a:xfrm>
                      <a:off x="0" y="0"/>
                      <a:ext cx="5269230" cy="7147560"/>
                    </a:xfrm>
                    <a:prstGeom prst="rect">
                      <a:avLst/>
                    </a:prstGeom>
                  </pic:spPr>
                </pic:pic>
              </a:graphicData>
            </a:graphic>
          </wp:inline>
        </w:drawing>
      </w:r>
      <w:r>
        <w:rPr>
          <w:rFonts w:hint="default"/>
          <w:lang w:val="en-US" w:eastAsia="zh-CN"/>
        </w:rPr>
        <w:drawing>
          <wp:inline distT="0" distB="0" distL="114300" distR="114300">
            <wp:extent cx="5269230" cy="7147560"/>
            <wp:effectExtent l="0" t="0" r="9525" b="9525"/>
            <wp:docPr id="115" name="图片 115" descr="月相变化 学生手册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月相变化 学生手册_03"/>
                    <pic:cNvPicPr>
                      <a:picLocks noChangeAspect="1"/>
                    </pic:cNvPicPr>
                  </pic:nvPicPr>
                  <pic:blipFill>
                    <a:blip r:embed="rId85"/>
                    <a:stretch>
                      <a:fillRect/>
                    </a:stretch>
                  </pic:blipFill>
                  <pic:spPr>
                    <a:xfrm>
                      <a:off x="0" y="0"/>
                      <a:ext cx="5269230" cy="7147560"/>
                    </a:xfrm>
                    <a:prstGeom prst="rect">
                      <a:avLst/>
                    </a:prstGeom>
                  </pic:spPr>
                </pic:pic>
              </a:graphicData>
            </a:graphic>
          </wp:inline>
        </w:drawing>
      </w:r>
      <w:r>
        <w:rPr>
          <w:rFonts w:hint="default"/>
          <w:lang w:val="en-US" w:eastAsia="zh-CN"/>
        </w:rPr>
        <w:drawing>
          <wp:inline distT="0" distB="0" distL="114300" distR="114300">
            <wp:extent cx="5269230" cy="7147560"/>
            <wp:effectExtent l="0" t="0" r="9525" b="9525"/>
            <wp:docPr id="114" name="图片 114" descr="月相变化 学生手册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月相变化 学生手册_04"/>
                    <pic:cNvPicPr>
                      <a:picLocks noChangeAspect="1"/>
                    </pic:cNvPicPr>
                  </pic:nvPicPr>
                  <pic:blipFill>
                    <a:blip r:embed="rId86"/>
                    <a:stretch>
                      <a:fillRect/>
                    </a:stretch>
                  </pic:blipFill>
                  <pic:spPr>
                    <a:xfrm>
                      <a:off x="0" y="0"/>
                      <a:ext cx="5269230" cy="7147560"/>
                    </a:xfrm>
                    <a:prstGeom prst="rect">
                      <a:avLst/>
                    </a:prstGeom>
                  </pic:spPr>
                </pic:pic>
              </a:graphicData>
            </a:graphic>
          </wp:inline>
        </w:drawing>
      </w:r>
    </w:p>
    <w:p w14:paraId="04E25B1E">
      <w:pPr>
        <w:rPr>
          <w:rFonts w:hint="default"/>
          <w:lang w:val="en-US" w:eastAsia="zh-CN"/>
        </w:rPr>
      </w:pPr>
      <w:r>
        <w:rPr>
          <w:rFonts w:hint="default"/>
          <w:lang w:val="en-US" w:eastAsia="zh-CN"/>
        </w:rPr>
        <w:br w:type="page"/>
      </w:r>
    </w:p>
    <w:p w14:paraId="56B1D761">
      <w:pPr>
        <w:pStyle w:val="4"/>
        <w:numPr>
          <w:ilvl w:val="0"/>
          <w:numId w:val="0"/>
        </w:numPr>
        <w:bidi w:val="0"/>
      </w:pPr>
      <w:r>
        <w:rPr>
          <w:rFonts w:hint="eastAsia" w:asciiTheme="minorHAnsi" w:hAnsiTheme="minorHAnsi" w:eastAsiaTheme="minorEastAsia" w:cstheme="minorBidi"/>
          <w:b/>
          <w:kern w:val="2"/>
          <w:sz w:val="32"/>
          <w:szCs w:val="24"/>
          <w:lang w:val="en-US" w:eastAsia="zh-CN" w:bidi="ar-SA"/>
        </w:rPr>
        <w:t>（四）</w:t>
      </w:r>
      <w:r>
        <w:t>测量地球的周长</w:t>
      </w:r>
    </w:p>
    <w:p w14:paraId="4C57FA19">
      <w:pPr>
        <w:numPr>
          <w:ilvl w:val="0"/>
          <w:numId w:val="0"/>
        </w:numPr>
      </w:pPr>
      <w:r>
        <w:rPr>
          <w:rFonts w:ascii="仿宋_GB2312" w:hAnsi="仿宋_GB2312" w:eastAsia="仿宋_GB2312" w:cs="仿宋_GB2312"/>
          <w:sz w:val="24"/>
        </w:rPr>
        <w:t>★</w:t>
      </w:r>
      <w:r>
        <w:rPr>
          <w:rFonts w:ascii="仿宋_GB2312" w:hAnsi="仿宋_GB2312" w:eastAsia="仿宋_GB2312" w:cs="仿宋_GB2312"/>
          <w:sz w:val="20"/>
        </w:rPr>
        <w:t>5、需配套“如何测量地球周长”探究式课程，</w:t>
      </w:r>
      <w:r>
        <w:rPr>
          <w:rFonts w:ascii="仿宋_GB2312" w:hAnsi="仿宋_GB2312" w:eastAsia="仿宋_GB2312" w:cs="仿宋_GB2312"/>
          <w:b/>
          <w:sz w:val="20"/>
        </w:rPr>
        <w:t>提供该课程设计、教学课件、学生手册等。</w:t>
      </w:r>
    </w:p>
    <w:p w14:paraId="05E5A48A">
      <w:pPr>
        <w:pStyle w:val="5"/>
        <w:bidi w:val="0"/>
        <w:rPr>
          <w:rFonts w:hint="eastAsia"/>
          <w:lang w:val="en-US" w:eastAsia="zh-CN"/>
        </w:rPr>
      </w:pPr>
      <w:r>
        <w:rPr>
          <w:rFonts w:hint="eastAsia"/>
          <w:lang w:val="en-US" w:eastAsia="zh-CN"/>
        </w:rPr>
        <w:t>课程设计</w:t>
      </w:r>
    </w:p>
    <w:p w14:paraId="6292B399">
      <w:pPr>
        <w:numPr>
          <w:ilvl w:val="0"/>
          <w:numId w:val="0"/>
        </w:numPr>
        <w:rPr>
          <w:rFonts w:hint="eastAsia"/>
          <w:lang w:val="en-US" w:eastAsia="zh-CN"/>
        </w:rPr>
      </w:pPr>
      <w:r>
        <w:rPr>
          <w:rFonts w:hint="eastAsia"/>
          <w:lang w:val="en-US" w:eastAsia="zh-CN"/>
        </w:rPr>
        <w:drawing>
          <wp:inline distT="0" distB="0" distL="114300" distR="114300">
            <wp:extent cx="4697730" cy="6602730"/>
            <wp:effectExtent l="0" t="0" r="8890" b="3810"/>
            <wp:docPr id="161" name="图片 161" descr="如何测量地球周长 教案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descr="如何测量地球周长 教案_01"/>
                    <pic:cNvPicPr>
                      <a:picLocks noChangeAspect="1"/>
                    </pic:cNvPicPr>
                  </pic:nvPicPr>
                  <pic:blipFill>
                    <a:blip r:embed="rId87"/>
                    <a:stretch>
                      <a:fillRect/>
                    </a:stretch>
                  </pic:blipFill>
                  <pic:spPr>
                    <a:xfrm>
                      <a:off x="0" y="0"/>
                      <a:ext cx="4697730" cy="6602730"/>
                    </a:xfrm>
                    <a:prstGeom prst="rect">
                      <a:avLst/>
                    </a:prstGeom>
                  </pic:spPr>
                </pic:pic>
              </a:graphicData>
            </a:graphic>
          </wp:inline>
        </w:drawing>
      </w:r>
      <w:r>
        <w:rPr>
          <w:rFonts w:hint="eastAsia"/>
          <w:lang w:val="en-US" w:eastAsia="zh-CN"/>
        </w:rPr>
        <w:drawing>
          <wp:inline distT="0" distB="0" distL="114300" distR="114300">
            <wp:extent cx="5272405" cy="7409815"/>
            <wp:effectExtent l="0" t="0" r="6350" b="6350"/>
            <wp:docPr id="160" name="图片 160" descr="如何测量地球周长 教案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descr="如何测量地球周长 教案_02"/>
                    <pic:cNvPicPr>
                      <a:picLocks noChangeAspect="1"/>
                    </pic:cNvPicPr>
                  </pic:nvPicPr>
                  <pic:blipFill>
                    <a:blip r:embed="rId88"/>
                    <a:stretch>
                      <a:fillRect/>
                    </a:stretch>
                  </pic:blipFill>
                  <pic:spPr>
                    <a:xfrm>
                      <a:off x="0" y="0"/>
                      <a:ext cx="5272405" cy="7409815"/>
                    </a:xfrm>
                    <a:prstGeom prst="rect">
                      <a:avLst/>
                    </a:prstGeom>
                  </pic:spPr>
                </pic:pic>
              </a:graphicData>
            </a:graphic>
          </wp:inline>
        </w:drawing>
      </w:r>
      <w:r>
        <w:rPr>
          <w:rFonts w:hint="eastAsia"/>
          <w:lang w:val="en-US" w:eastAsia="zh-CN"/>
        </w:rPr>
        <w:drawing>
          <wp:inline distT="0" distB="0" distL="114300" distR="114300">
            <wp:extent cx="5272405" cy="7409815"/>
            <wp:effectExtent l="0" t="0" r="6350" b="6350"/>
            <wp:docPr id="159" name="图片 159" descr="如何测量地球周长 教案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descr="如何测量地球周长 教案_03"/>
                    <pic:cNvPicPr>
                      <a:picLocks noChangeAspect="1"/>
                    </pic:cNvPicPr>
                  </pic:nvPicPr>
                  <pic:blipFill>
                    <a:blip r:embed="rId89"/>
                    <a:stretch>
                      <a:fillRect/>
                    </a:stretch>
                  </pic:blipFill>
                  <pic:spPr>
                    <a:xfrm>
                      <a:off x="0" y="0"/>
                      <a:ext cx="5272405" cy="7409815"/>
                    </a:xfrm>
                    <a:prstGeom prst="rect">
                      <a:avLst/>
                    </a:prstGeom>
                  </pic:spPr>
                </pic:pic>
              </a:graphicData>
            </a:graphic>
          </wp:inline>
        </w:drawing>
      </w:r>
      <w:r>
        <w:rPr>
          <w:rFonts w:hint="eastAsia"/>
          <w:lang w:val="en-US" w:eastAsia="zh-CN"/>
        </w:rPr>
        <w:drawing>
          <wp:inline distT="0" distB="0" distL="114300" distR="114300">
            <wp:extent cx="5272405" cy="7409815"/>
            <wp:effectExtent l="0" t="0" r="6350" b="6350"/>
            <wp:docPr id="158" name="图片 158" descr="如何测量地球周长 教案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如何测量地球周长 教案_04"/>
                    <pic:cNvPicPr>
                      <a:picLocks noChangeAspect="1"/>
                    </pic:cNvPicPr>
                  </pic:nvPicPr>
                  <pic:blipFill>
                    <a:blip r:embed="rId90"/>
                    <a:stretch>
                      <a:fillRect/>
                    </a:stretch>
                  </pic:blipFill>
                  <pic:spPr>
                    <a:xfrm>
                      <a:off x="0" y="0"/>
                      <a:ext cx="5272405" cy="7409815"/>
                    </a:xfrm>
                    <a:prstGeom prst="rect">
                      <a:avLst/>
                    </a:prstGeom>
                  </pic:spPr>
                </pic:pic>
              </a:graphicData>
            </a:graphic>
          </wp:inline>
        </w:drawing>
      </w:r>
      <w:r>
        <w:rPr>
          <w:rFonts w:hint="eastAsia"/>
          <w:lang w:val="en-US" w:eastAsia="zh-CN"/>
        </w:rPr>
        <w:drawing>
          <wp:inline distT="0" distB="0" distL="114300" distR="114300">
            <wp:extent cx="5272405" cy="7409815"/>
            <wp:effectExtent l="0" t="0" r="6350" b="6350"/>
            <wp:docPr id="157" name="图片 157" descr="如何测量地球周长 教案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descr="如何测量地球周长 教案_05"/>
                    <pic:cNvPicPr>
                      <a:picLocks noChangeAspect="1"/>
                    </pic:cNvPicPr>
                  </pic:nvPicPr>
                  <pic:blipFill>
                    <a:blip r:embed="rId91"/>
                    <a:stretch>
                      <a:fillRect/>
                    </a:stretch>
                  </pic:blipFill>
                  <pic:spPr>
                    <a:xfrm>
                      <a:off x="0" y="0"/>
                      <a:ext cx="5272405" cy="7409815"/>
                    </a:xfrm>
                    <a:prstGeom prst="rect">
                      <a:avLst/>
                    </a:prstGeom>
                  </pic:spPr>
                </pic:pic>
              </a:graphicData>
            </a:graphic>
          </wp:inline>
        </w:drawing>
      </w:r>
      <w:r>
        <w:rPr>
          <w:rFonts w:hint="eastAsia"/>
          <w:lang w:val="en-US" w:eastAsia="zh-CN"/>
        </w:rPr>
        <w:drawing>
          <wp:inline distT="0" distB="0" distL="114300" distR="114300">
            <wp:extent cx="5272405" cy="7409815"/>
            <wp:effectExtent l="0" t="0" r="6350" b="6350"/>
            <wp:docPr id="156" name="图片 156" descr="如何测量地球周长 教案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descr="如何测量地球周长 教案_06"/>
                    <pic:cNvPicPr>
                      <a:picLocks noChangeAspect="1"/>
                    </pic:cNvPicPr>
                  </pic:nvPicPr>
                  <pic:blipFill>
                    <a:blip r:embed="rId92"/>
                    <a:stretch>
                      <a:fillRect/>
                    </a:stretch>
                  </pic:blipFill>
                  <pic:spPr>
                    <a:xfrm>
                      <a:off x="0" y="0"/>
                      <a:ext cx="5272405" cy="7409815"/>
                    </a:xfrm>
                    <a:prstGeom prst="rect">
                      <a:avLst/>
                    </a:prstGeom>
                  </pic:spPr>
                </pic:pic>
              </a:graphicData>
            </a:graphic>
          </wp:inline>
        </w:drawing>
      </w:r>
      <w:r>
        <w:rPr>
          <w:rFonts w:hint="eastAsia"/>
          <w:lang w:val="en-US" w:eastAsia="zh-CN"/>
        </w:rPr>
        <w:drawing>
          <wp:inline distT="0" distB="0" distL="114300" distR="114300">
            <wp:extent cx="5272405" cy="7409815"/>
            <wp:effectExtent l="0" t="0" r="6350" b="6350"/>
            <wp:docPr id="155" name="图片 155" descr="如何测量地球周长 教案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descr="如何测量地球周长 教案_07"/>
                    <pic:cNvPicPr>
                      <a:picLocks noChangeAspect="1"/>
                    </pic:cNvPicPr>
                  </pic:nvPicPr>
                  <pic:blipFill>
                    <a:blip r:embed="rId93"/>
                    <a:stretch>
                      <a:fillRect/>
                    </a:stretch>
                  </pic:blipFill>
                  <pic:spPr>
                    <a:xfrm>
                      <a:off x="0" y="0"/>
                      <a:ext cx="5272405" cy="7409815"/>
                    </a:xfrm>
                    <a:prstGeom prst="rect">
                      <a:avLst/>
                    </a:prstGeom>
                  </pic:spPr>
                </pic:pic>
              </a:graphicData>
            </a:graphic>
          </wp:inline>
        </w:drawing>
      </w:r>
    </w:p>
    <w:p w14:paraId="00687D59">
      <w:pPr>
        <w:rPr>
          <w:rFonts w:hint="eastAsia"/>
          <w:lang w:val="en-US" w:eastAsia="zh-CN"/>
        </w:rPr>
      </w:pPr>
      <w:r>
        <w:rPr>
          <w:rFonts w:hint="eastAsia"/>
          <w:lang w:val="en-US" w:eastAsia="zh-CN"/>
        </w:rPr>
        <w:br w:type="page"/>
      </w:r>
    </w:p>
    <w:p w14:paraId="5B8FE320">
      <w:pPr>
        <w:pStyle w:val="5"/>
        <w:bidi w:val="0"/>
        <w:rPr>
          <w:rFonts w:hint="eastAsia"/>
          <w:lang w:val="en-US" w:eastAsia="zh-CN"/>
        </w:rPr>
      </w:pPr>
      <w:r>
        <w:rPr>
          <w:rFonts w:hint="eastAsia"/>
          <w:lang w:val="en-US" w:eastAsia="zh-CN"/>
        </w:rPr>
        <w:t>教学课件</w:t>
      </w:r>
    </w:p>
    <w:p w14:paraId="78B2226D">
      <w:pPr>
        <w:numPr>
          <w:ilvl w:val="0"/>
          <w:numId w:val="0"/>
        </w:numPr>
        <w:rPr>
          <w:rFonts w:hint="eastAsia"/>
          <w:lang w:val="en-US" w:eastAsia="zh-CN"/>
        </w:rPr>
      </w:pPr>
      <w:r>
        <w:rPr>
          <w:rFonts w:hint="eastAsia"/>
          <w:lang w:val="en-US" w:eastAsia="zh-CN"/>
        </w:rPr>
        <w:drawing>
          <wp:inline distT="0" distB="0" distL="114300" distR="114300">
            <wp:extent cx="5266690" cy="2962910"/>
            <wp:effectExtent l="0" t="0" r="1270" b="5715"/>
            <wp:docPr id="186" name="图片 186" descr="如何测量地球周长 课件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descr="如何测量地球周长 课件_01"/>
                    <pic:cNvPicPr>
                      <a:picLocks noChangeAspect="1"/>
                    </pic:cNvPicPr>
                  </pic:nvPicPr>
                  <pic:blipFill>
                    <a:blip r:embed="rId94"/>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85" name="图片 185" descr="如何测量地球周长 课件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descr="如何测量地球周长 课件_02"/>
                    <pic:cNvPicPr>
                      <a:picLocks noChangeAspect="1"/>
                    </pic:cNvPicPr>
                  </pic:nvPicPr>
                  <pic:blipFill>
                    <a:blip r:embed="rId95"/>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84" name="图片 184" descr="如何测量地球周长 课件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descr="如何测量地球周长 课件_03"/>
                    <pic:cNvPicPr>
                      <a:picLocks noChangeAspect="1"/>
                    </pic:cNvPicPr>
                  </pic:nvPicPr>
                  <pic:blipFill>
                    <a:blip r:embed="rId96"/>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83" name="图片 183" descr="如何测量地球周长 课件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descr="如何测量地球周长 课件_04"/>
                    <pic:cNvPicPr>
                      <a:picLocks noChangeAspect="1"/>
                    </pic:cNvPicPr>
                  </pic:nvPicPr>
                  <pic:blipFill>
                    <a:blip r:embed="rId97"/>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82" name="图片 182" descr="如何测量地球周长 课件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descr="如何测量地球周长 课件_05"/>
                    <pic:cNvPicPr>
                      <a:picLocks noChangeAspect="1"/>
                    </pic:cNvPicPr>
                  </pic:nvPicPr>
                  <pic:blipFill>
                    <a:blip r:embed="rId98"/>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81" name="图片 181" descr="如何测量地球周长 课件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descr="如何测量地球周长 课件_06"/>
                    <pic:cNvPicPr>
                      <a:picLocks noChangeAspect="1"/>
                    </pic:cNvPicPr>
                  </pic:nvPicPr>
                  <pic:blipFill>
                    <a:blip r:embed="rId99"/>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80" name="图片 180" descr="如何测量地球周长 课件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descr="如何测量地球周长 课件_07"/>
                    <pic:cNvPicPr>
                      <a:picLocks noChangeAspect="1"/>
                    </pic:cNvPicPr>
                  </pic:nvPicPr>
                  <pic:blipFill>
                    <a:blip r:embed="rId100"/>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79" name="图片 179" descr="如何测量地球周长 课件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descr="如何测量地球周长 课件_08"/>
                    <pic:cNvPicPr>
                      <a:picLocks noChangeAspect="1"/>
                    </pic:cNvPicPr>
                  </pic:nvPicPr>
                  <pic:blipFill>
                    <a:blip r:embed="rId101"/>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78" name="图片 178" descr="如何测量地球周长 课件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descr="如何测量地球周长 课件_09"/>
                    <pic:cNvPicPr>
                      <a:picLocks noChangeAspect="1"/>
                    </pic:cNvPicPr>
                  </pic:nvPicPr>
                  <pic:blipFill>
                    <a:blip r:embed="rId102"/>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77" name="图片 177" descr="如何测量地球周长 课件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descr="如何测量地球周长 课件_10"/>
                    <pic:cNvPicPr>
                      <a:picLocks noChangeAspect="1"/>
                    </pic:cNvPicPr>
                  </pic:nvPicPr>
                  <pic:blipFill>
                    <a:blip r:embed="rId103"/>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76" name="图片 176" descr="如何测量地球周长 课件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descr="如何测量地球周长 课件_11"/>
                    <pic:cNvPicPr>
                      <a:picLocks noChangeAspect="1"/>
                    </pic:cNvPicPr>
                  </pic:nvPicPr>
                  <pic:blipFill>
                    <a:blip r:embed="rId104"/>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75" name="图片 175" descr="如何测量地球周长 课件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descr="如何测量地球周长 课件_12"/>
                    <pic:cNvPicPr>
                      <a:picLocks noChangeAspect="1"/>
                    </pic:cNvPicPr>
                  </pic:nvPicPr>
                  <pic:blipFill>
                    <a:blip r:embed="rId105"/>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74" name="图片 174" descr="如何测量地球周长 课件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descr="如何测量地球周长 课件_13"/>
                    <pic:cNvPicPr>
                      <a:picLocks noChangeAspect="1"/>
                    </pic:cNvPicPr>
                  </pic:nvPicPr>
                  <pic:blipFill>
                    <a:blip r:embed="rId106"/>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73" name="图片 173" descr="如何测量地球周长 课件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descr="如何测量地球周长 课件_14"/>
                    <pic:cNvPicPr>
                      <a:picLocks noChangeAspect="1"/>
                    </pic:cNvPicPr>
                  </pic:nvPicPr>
                  <pic:blipFill>
                    <a:blip r:embed="rId107"/>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72" name="图片 172" descr="如何测量地球周长 课件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descr="如何测量地球周长 课件_15"/>
                    <pic:cNvPicPr>
                      <a:picLocks noChangeAspect="1"/>
                    </pic:cNvPicPr>
                  </pic:nvPicPr>
                  <pic:blipFill>
                    <a:blip r:embed="rId108"/>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71" name="图片 171" descr="如何测量地球周长 课件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descr="如何测量地球周长 课件_16"/>
                    <pic:cNvPicPr>
                      <a:picLocks noChangeAspect="1"/>
                    </pic:cNvPicPr>
                  </pic:nvPicPr>
                  <pic:blipFill>
                    <a:blip r:embed="rId109"/>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70" name="图片 170" descr="如何测量地球周长 课件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descr="如何测量地球周长 课件_17"/>
                    <pic:cNvPicPr>
                      <a:picLocks noChangeAspect="1"/>
                    </pic:cNvPicPr>
                  </pic:nvPicPr>
                  <pic:blipFill>
                    <a:blip r:embed="rId110"/>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69" name="图片 169" descr="如何测量地球周长 课件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descr="如何测量地球周长 课件_18"/>
                    <pic:cNvPicPr>
                      <a:picLocks noChangeAspect="1"/>
                    </pic:cNvPicPr>
                  </pic:nvPicPr>
                  <pic:blipFill>
                    <a:blip r:embed="rId111"/>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68" name="图片 168" descr="如何测量地球周长 课件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descr="如何测量地球周长 课件_19"/>
                    <pic:cNvPicPr>
                      <a:picLocks noChangeAspect="1"/>
                    </pic:cNvPicPr>
                  </pic:nvPicPr>
                  <pic:blipFill>
                    <a:blip r:embed="rId112"/>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67" name="图片 167" descr="如何测量地球周长 课件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descr="如何测量地球周长 课件_20"/>
                    <pic:cNvPicPr>
                      <a:picLocks noChangeAspect="1"/>
                    </pic:cNvPicPr>
                  </pic:nvPicPr>
                  <pic:blipFill>
                    <a:blip r:embed="rId113"/>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66" name="图片 166" descr="如何测量地球周长 课件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descr="如何测量地球周长 课件_21"/>
                    <pic:cNvPicPr>
                      <a:picLocks noChangeAspect="1"/>
                    </pic:cNvPicPr>
                  </pic:nvPicPr>
                  <pic:blipFill>
                    <a:blip r:embed="rId114"/>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65" name="图片 165" descr="如何测量地球周长 课件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descr="如何测量地球周长 课件_22"/>
                    <pic:cNvPicPr>
                      <a:picLocks noChangeAspect="1"/>
                    </pic:cNvPicPr>
                  </pic:nvPicPr>
                  <pic:blipFill>
                    <a:blip r:embed="rId115"/>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64" name="图片 164" descr="如何测量地球周长 课件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descr="如何测量地球周长 课件_23"/>
                    <pic:cNvPicPr>
                      <a:picLocks noChangeAspect="1"/>
                    </pic:cNvPicPr>
                  </pic:nvPicPr>
                  <pic:blipFill>
                    <a:blip r:embed="rId116"/>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63" name="图片 163" descr="如何测量地球周长 课件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descr="如何测量地球周长 课件_24"/>
                    <pic:cNvPicPr>
                      <a:picLocks noChangeAspect="1"/>
                    </pic:cNvPicPr>
                  </pic:nvPicPr>
                  <pic:blipFill>
                    <a:blip r:embed="rId117"/>
                    <a:stretch>
                      <a:fillRect/>
                    </a:stretch>
                  </pic:blipFill>
                  <pic:spPr>
                    <a:xfrm>
                      <a:off x="0" y="0"/>
                      <a:ext cx="5266690" cy="2962910"/>
                    </a:xfrm>
                    <a:prstGeom prst="rect">
                      <a:avLst/>
                    </a:prstGeom>
                  </pic:spPr>
                </pic:pic>
              </a:graphicData>
            </a:graphic>
          </wp:inline>
        </w:drawing>
      </w:r>
      <w:r>
        <w:rPr>
          <w:rFonts w:hint="eastAsia"/>
          <w:lang w:val="en-US" w:eastAsia="zh-CN"/>
        </w:rPr>
        <w:drawing>
          <wp:inline distT="0" distB="0" distL="114300" distR="114300">
            <wp:extent cx="5266690" cy="2962910"/>
            <wp:effectExtent l="0" t="0" r="1270" b="5715"/>
            <wp:docPr id="162" name="图片 162" descr="如何测量地球周长 课件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descr="如何测量地球周长 课件_25"/>
                    <pic:cNvPicPr>
                      <a:picLocks noChangeAspect="1"/>
                    </pic:cNvPicPr>
                  </pic:nvPicPr>
                  <pic:blipFill>
                    <a:blip r:embed="rId118"/>
                    <a:stretch>
                      <a:fillRect/>
                    </a:stretch>
                  </pic:blipFill>
                  <pic:spPr>
                    <a:xfrm>
                      <a:off x="0" y="0"/>
                      <a:ext cx="5266690" cy="2962910"/>
                    </a:xfrm>
                    <a:prstGeom prst="rect">
                      <a:avLst/>
                    </a:prstGeom>
                  </pic:spPr>
                </pic:pic>
              </a:graphicData>
            </a:graphic>
          </wp:inline>
        </w:drawing>
      </w:r>
    </w:p>
    <w:p w14:paraId="560C4384">
      <w:pPr>
        <w:rPr>
          <w:rFonts w:hint="eastAsia"/>
          <w:lang w:val="en-US" w:eastAsia="zh-CN"/>
        </w:rPr>
      </w:pPr>
      <w:r>
        <w:rPr>
          <w:rFonts w:hint="eastAsia"/>
          <w:lang w:val="en-US" w:eastAsia="zh-CN"/>
        </w:rPr>
        <w:br w:type="page"/>
      </w:r>
    </w:p>
    <w:p w14:paraId="4D78DC05">
      <w:pPr>
        <w:pStyle w:val="5"/>
        <w:bidi w:val="0"/>
        <w:rPr>
          <w:rFonts w:hint="eastAsia"/>
          <w:lang w:val="en-US" w:eastAsia="zh-CN"/>
        </w:rPr>
      </w:pPr>
      <w:r>
        <w:rPr>
          <w:rFonts w:hint="eastAsia"/>
          <w:lang w:val="en-US" w:eastAsia="zh-CN"/>
        </w:rPr>
        <w:t>学生手册</w:t>
      </w:r>
    </w:p>
    <w:p w14:paraId="486F5090">
      <w:pPr>
        <w:numPr>
          <w:ilvl w:val="0"/>
          <w:numId w:val="0"/>
        </w:numPr>
        <w:rPr>
          <w:rFonts w:hint="default"/>
          <w:lang w:val="en-US" w:eastAsia="zh-CN"/>
        </w:rPr>
      </w:pPr>
      <w:r>
        <w:rPr>
          <w:rFonts w:hint="default"/>
          <w:lang w:val="en-US" w:eastAsia="zh-CN"/>
        </w:rPr>
        <w:drawing>
          <wp:inline distT="0" distB="0" distL="114300" distR="114300">
            <wp:extent cx="5269230" cy="7450455"/>
            <wp:effectExtent l="0" t="0" r="9525" b="8890"/>
            <wp:docPr id="188" name="图片 188" descr="如何测量地球周长 学生手册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descr="如何测量地球周长 学生手册_01"/>
                    <pic:cNvPicPr>
                      <a:picLocks noChangeAspect="1"/>
                    </pic:cNvPicPr>
                  </pic:nvPicPr>
                  <pic:blipFill>
                    <a:blip r:embed="rId119"/>
                    <a:stretch>
                      <a:fillRect/>
                    </a:stretch>
                  </pic:blipFill>
                  <pic:spPr>
                    <a:xfrm>
                      <a:off x="0" y="0"/>
                      <a:ext cx="5269230" cy="7450455"/>
                    </a:xfrm>
                    <a:prstGeom prst="rect">
                      <a:avLst/>
                    </a:prstGeom>
                  </pic:spPr>
                </pic:pic>
              </a:graphicData>
            </a:graphic>
          </wp:inline>
        </w:drawing>
      </w:r>
      <w:r>
        <w:rPr>
          <w:rFonts w:hint="default"/>
          <w:lang w:val="en-US" w:eastAsia="zh-CN"/>
        </w:rPr>
        <w:drawing>
          <wp:inline distT="0" distB="0" distL="114300" distR="114300">
            <wp:extent cx="5269230" cy="7450455"/>
            <wp:effectExtent l="0" t="0" r="9525" b="8890"/>
            <wp:docPr id="187" name="图片 187" descr="如何测量地球周长 学生手册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如何测量地球周长 学生手册_02"/>
                    <pic:cNvPicPr>
                      <a:picLocks noChangeAspect="1"/>
                    </pic:cNvPicPr>
                  </pic:nvPicPr>
                  <pic:blipFill>
                    <a:blip r:embed="rId120"/>
                    <a:stretch>
                      <a:fillRect/>
                    </a:stretch>
                  </pic:blipFill>
                  <pic:spPr>
                    <a:xfrm>
                      <a:off x="0" y="0"/>
                      <a:ext cx="5269230" cy="7450455"/>
                    </a:xfrm>
                    <a:prstGeom prst="rect">
                      <a:avLst/>
                    </a:prstGeom>
                  </pic:spPr>
                </pic:pic>
              </a:graphicData>
            </a:graphic>
          </wp:inline>
        </w:drawing>
      </w:r>
    </w:p>
    <w:p w14:paraId="1E3CD9C5">
      <w:pPr>
        <w:rPr>
          <w:rFonts w:hint="default"/>
          <w:lang w:val="en-US" w:eastAsia="zh-CN"/>
        </w:rPr>
      </w:pPr>
      <w:r>
        <w:rPr>
          <w:rFonts w:hint="default"/>
          <w:lang w:val="en-US" w:eastAsia="zh-CN"/>
        </w:rPr>
        <w:br w:type="page"/>
      </w:r>
    </w:p>
    <w:p w14:paraId="4412D2F9">
      <w:pPr>
        <w:pStyle w:val="4"/>
        <w:numPr>
          <w:ilvl w:val="0"/>
          <w:numId w:val="0"/>
        </w:numPr>
        <w:bidi w:val="0"/>
      </w:pPr>
      <w:r>
        <w:rPr>
          <w:rFonts w:hint="eastAsia" w:asciiTheme="minorHAnsi" w:hAnsiTheme="minorHAnsi" w:eastAsiaTheme="minorEastAsia" w:cstheme="minorBidi"/>
          <w:b/>
          <w:kern w:val="2"/>
          <w:sz w:val="32"/>
          <w:szCs w:val="24"/>
          <w:lang w:val="en-US" w:eastAsia="zh-CN" w:bidi="ar-SA"/>
        </w:rPr>
        <w:t>（五）</w:t>
      </w:r>
      <w:r>
        <w:t>月球两面</w:t>
      </w:r>
    </w:p>
    <w:p w14:paraId="1D6AE5B8">
      <w:pPr>
        <w:numPr>
          <w:ilvl w:val="0"/>
          <w:numId w:val="0"/>
        </w:numPr>
        <w:rPr>
          <w:rFonts w:ascii="仿宋_GB2312" w:hAnsi="仿宋_GB2312" w:eastAsia="仿宋_GB2312" w:cs="仿宋_GB2312"/>
          <w:b/>
          <w:sz w:val="20"/>
        </w:rPr>
      </w:pPr>
      <w:r>
        <w:rPr>
          <w:rFonts w:ascii="仿宋_GB2312" w:hAnsi="仿宋_GB2312" w:eastAsia="仿宋_GB2312" w:cs="仿宋_GB2312"/>
          <w:sz w:val="24"/>
        </w:rPr>
        <w:t>★</w:t>
      </w:r>
      <w:r>
        <w:rPr>
          <w:rFonts w:ascii="仿宋_GB2312" w:hAnsi="仿宋_GB2312" w:eastAsia="仿宋_GB2312" w:cs="仿宋_GB2312"/>
          <w:sz w:val="20"/>
        </w:rPr>
        <w:t>6、需配套“为什么看不到月球背面”探究式课程，</w:t>
      </w:r>
      <w:r>
        <w:rPr>
          <w:rFonts w:ascii="仿宋_GB2312" w:hAnsi="仿宋_GB2312" w:eastAsia="仿宋_GB2312" w:cs="仿宋_GB2312"/>
          <w:b/>
          <w:sz w:val="20"/>
        </w:rPr>
        <w:t>提供该课程设计、教学课件、学生手册等。</w:t>
      </w:r>
    </w:p>
    <w:p w14:paraId="5869A8EA">
      <w:pPr>
        <w:pStyle w:val="5"/>
        <w:bidi w:val="0"/>
        <w:rPr>
          <w:rFonts w:hint="eastAsia"/>
          <w:lang w:val="en-US" w:eastAsia="zh-CN"/>
        </w:rPr>
      </w:pPr>
      <w:r>
        <w:rPr>
          <w:rFonts w:hint="eastAsia"/>
          <w:lang w:val="en-US" w:eastAsia="zh-CN"/>
        </w:rPr>
        <w:t>课程设计</w:t>
      </w:r>
    </w:p>
    <w:p w14:paraId="34848C20">
      <w:pPr>
        <w:numPr>
          <w:ilvl w:val="0"/>
          <w:numId w:val="0"/>
        </w:numPr>
        <w:rPr>
          <w:rFonts w:hint="eastAsia" w:ascii="仿宋_GB2312" w:hAnsi="仿宋_GB2312" w:eastAsia="仿宋_GB2312" w:cs="仿宋_GB2312"/>
          <w:b/>
          <w:sz w:val="20"/>
          <w:lang w:val="en-US" w:eastAsia="zh-CN"/>
        </w:rPr>
      </w:pPr>
      <w:r>
        <w:rPr>
          <w:rFonts w:hint="eastAsia" w:ascii="仿宋_GB2312" w:hAnsi="仿宋_GB2312" w:eastAsia="仿宋_GB2312" w:cs="仿宋_GB2312"/>
          <w:b/>
          <w:sz w:val="20"/>
          <w:lang w:val="en-US" w:eastAsia="zh-CN"/>
        </w:rPr>
        <w:drawing>
          <wp:inline distT="0" distB="0" distL="114300" distR="114300">
            <wp:extent cx="4816475" cy="6808470"/>
            <wp:effectExtent l="0" t="0" r="8890" b="3175"/>
            <wp:docPr id="122" name="图片 122" descr="为什么看不到月球背面  课程设计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为什么看不到月球背面  课程设计_01"/>
                    <pic:cNvPicPr>
                      <a:picLocks noChangeAspect="1"/>
                    </pic:cNvPicPr>
                  </pic:nvPicPr>
                  <pic:blipFill>
                    <a:blip r:embed="rId121"/>
                    <a:stretch>
                      <a:fillRect/>
                    </a:stretch>
                  </pic:blipFill>
                  <pic:spPr>
                    <a:xfrm>
                      <a:off x="0" y="0"/>
                      <a:ext cx="4816475" cy="680847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8595" cy="7447280"/>
            <wp:effectExtent l="0" t="0" r="10160" b="1270"/>
            <wp:docPr id="121" name="图片 121" descr="为什么看不到月球背面  课程设计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为什么看不到月球背面  课程设计_02"/>
                    <pic:cNvPicPr>
                      <a:picLocks noChangeAspect="1"/>
                    </pic:cNvPicPr>
                  </pic:nvPicPr>
                  <pic:blipFill>
                    <a:blip r:embed="rId122"/>
                    <a:stretch>
                      <a:fillRect/>
                    </a:stretch>
                  </pic:blipFill>
                  <pic:spPr>
                    <a:xfrm>
                      <a:off x="0" y="0"/>
                      <a:ext cx="5268595" cy="744728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8595" cy="7447280"/>
            <wp:effectExtent l="0" t="0" r="10160" b="1270"/>
            <wp:docPr id="120" name="图片 120" descr="为什么看不到月球背面  课程设计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为什么看不到月球背面  课程设计_03"/>
                    <pic:cNvPicPr>
                      <a:picLocks noChangeAspect="1"/>
                    </pic:cNvPicPr>
                  </pic:nvPicPr>
                  <pic:blipFill>
                    <a:blip r:embed="rId123"/>
                    <a:stretch>
                      <a:fillRect/>
                    </a:stretch>
                  </pic:blipFill>
                  <pic:spPr>
                    <a:xfrm>
                      <a:off x="0" y="0"/>
                      <a:ext cx="5268595" cy="744728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8595" cy="7447280"/>
            <wp:effectExtent l="0" t="0" r="10160" b="1270"/>
            <wp:docPr id="119" name="图片 119" descr="为什么看不到月球背面  课程设计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为什么看不到月球背面  课程设计_04"/>
                    <pic:cNvPicPr>
                      <a:picLocks noChangeAspect="1"/>
                    </pic:cNvPicPr>
                  </pic:nvPicPr>
                  <pic:blipFill>
                    <a:blip r:embed="rId124"/>
                    <a:stretch>
                      <a:fillRect/>
                    </a:stretch>
                  </pic:blipFill>
                  <pic:spPr>
                    <a:xfrm>
                      <a:off x="0" y="0"/>
                      <a:ext cx="5268595" cy="744728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8595" cy="7447280"/>
            <wp:effectExtent l="0" t="0" r="10160" b="1270"/>
            <wp:docPr id="118" name="图片 118" descr="为什么看不到月球背面  课程设计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为什么看不到月球背面  课程设计_05"/>
                    <pic:cNvPicPr>
                      <a:picLocks noChangeAspect="1"/>
                    </pic:cNvPicPr>
                  </pic:nvPicPr>
                  <pic:blipFill>
                    <a:blip r:embed="rId125"/>
                    <a:stretch>
                      <a:fillRect/>
                    </a:stretch>
                  </pic:blipFill>
                  <pic:spPr>
                    <a:xfrm>
                      <a:off x="0" y="0"/>
                      <a:ext cx="5268595" cy="7447280"/>
                    </a:xfrm>
                    <a:prstGeom prst="rect">
                      <a:avLst/>
                    </a:prstGeom>
                  </pic:spPr>
                </pic:pic>
              </a:graphicData>
            </a:graphic>
          </wp:inline>
        </w:drawing>
      </w:r>
    </w:p>
    <w:p w14:paraId="2107899A">
      <w:pPr>
        <w:rPr>
          <w:rFonts w:hint="eastAsia"/>
          <w:lang w:val="en-US" w:eastAsia="zh-CN"/>
        </w:rPr>
      </w:pPr>
      <w:r>
        <w:rPr>
          <w:rFonts w:hint="eastAsia"/>
          <w:lang w:val="en-US" w:eastAsia="zh-CN"/>
        </w:rPr>
        <w:br w:type="page"/>
      </w:r>
    </w:p>
    <w:p w14:paraId="2F73B935">
      <w:pPr>
        <w:pStyle w:val="5"/>
        <w:bidi w:val="0"/>
        <w:rPr>
          <w:rFonts w:hint="eastAsia"/>
          <w:lang w:val="en-US" w:eastAsia="zh-CN"/>
        </w:rPr>
      </w:pPr>
      <w:r>
        <w:rPr>
          <w:rFonts w:hint="eastAsia"/>
          <w:lang w:val="en-US" w:eastAsia="zh-CN"/>
        </w:rPr>
        <w:t>教学课件</w:t>
      </w:r>
    </w:p>
    <w:p w14:paraId="46F1FB5A">
      <w:pPr>
        <w:numPr>
          <w:ilvl w:val="0"/>
          <w:numId w:val="0"/>
        </w:numPr>
        <w:rPr>
          <w:rFonts w:hint="eastAsia" w:ascii="仿宋_GB2312" w:hAnsi="仿宋_GB2312" w:eastAsia="仿宋_GB2312" w:cs="仿宋_GB2312"/>
          <w:b/>
          <w:sz w:val="20"/>
          <w:lang w:val="en-US" w:eastAsia="zh-CN"/>
        </w:rPr>
      </w:pP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52" name="图片 152" descr="为什么看不到月球背面  教学课件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descr="为什么看不到月球背面  教学课件_01"/>
                    <pic:cNvPicPr>
                      <a:picLocks noChangeAspect="1"/>
                    </pic:cNvPicPr>
                  </pic:nvPicPr>
                  <pic:blipFill>
                    <a:blip r:embed="rId126"/>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51" name="图片 151" descr="为什么看不到月球背面  教学课件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descr="为什么看不到月球背面  教学课件_02"/>
                    <pic:cNvPicPr>
                      <a:picLocks noChangeAspect="1"/>
                    </pic:cNvPicPr>
                  </pic:nvPicPr>
                  <pic:blipFill>
                    <a:blip r:embed="rId127"/>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50" name="图片 150" descr="为什么看不到月球背面  教学课件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为什么看不到月球背面  教学课件_03"/>
                    <pic:cNvPicPr>
                      <a:picLocks noChangeAspect="1"/>
                    </pic:cNvPicPr>
                  </pic:nvPicPr>
                  <pic:blipFill>
                    <a:blip r:embed="rId128"/>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49" name="图片 149" descr="为什么看不到月球背面  教学课件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为什么看不到月球背面  教学课件_04"/>
                    <pic:cNvPicPr>
                      <a:picLocks noChangeAspect="1"/>
                    </pic:cNvPicPr>
                  </pic:nvPicPr>
                  <pic:blipFill>
                    <a:blip r:embed="rId129"/>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48" name="图片 148" descr="为什么看不到月球背面  教学课件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为什么看不到月球背面  教学课件_05"/>
                    <pic:cNvPicPr>
                      <a:picLocks noChangeAspect="1"/>
                    </pic:cNvPicPr>
                  </pic:nvPicPr>
                  <pic:blipFill>
                    <a:blip r:embed="rId130"/>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47" name="图片 147" descr="为什么看不到月球背面  教学课件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为什么看不到月球背面  教学课件_06"/>
                    <pic:cNvPicPr>
                      <a:picLocks noChangeAspect="1"/>
                    </pic:cNvPicPr>
                  </pic:nvPicPr>
                  <pic:blipFill>
                    <a:blip r:embed="rId131"/>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46" name="图片 146" descr="为什么看不到月球背面  教学课件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为什么看不到月球背面  教学课件_07"/>
                    <pic:cNvPicPr>
                      <a:picLocks noChangeAspect="1"/>
                    </pic:cNvPicPr>
                  </pic:nvPicPr>
                  <pic:blipFill>
                    <a:blip r:embed="rId132"/>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45" name="图片 145" descr="为什么看不到月球背面  教学课件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为什么看不到月球背面  教学课件_08"/>
                    <pic:cNvPicPr>
                      <a:picLocks noChangeAspect="1"/>
                    </pic:cNvPicPr>
                  </pic:nvPicPr>
                  <pic:blipFill>
                    <a:blip r:embed="rId133"/>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44" name="图片 144" descr="为什么看不到月球背面  教学课件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为什么看不到月球背面  教学课件_09"/>
                    <pic:cNvPicPr>
                      <a:picLocks noChangeAspect="1"/>
                    </pic:cNvPicPr>
                  </pic:nvPicPr>
                  <pic:blipFill>
                    <a:blip r:embed="rId134"/>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43" name="图片 143" descr="为什么看不到月球背面  教学课件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为什么看不到月球背面  教学课件_10"/>
                    <pic:cNvPicPr>
                      <a:picLocks noChangeAspect="1"/>
                    </pic:cNvPicPr>
                  </pic:nvPicPr>
                  <pic:blipFill>
                    <a:blip r:embed="rId135"/>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42" name="图片 142" descr="为什么看不到月球背面  教学课件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descr="为什么看不到月球背面  教学课件_11"/>
                    <pic:cNvPicPr>
                      <a:picLocks noChangeAspect="1"/>
                    </pic:cNvPicPr>
                  </pic:nvPicPr>
                  <pic:blipFill>
                    <a:blip r:embed="rId136"/>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41" name="图片 141" descr="为什么看不到月球背面  教学课件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为什么看不到月球背面  教学课件_12"/>
                    <pic:cNvPicPr>
                      <a:picLocks noChangeAspect="1"/>
                    </pic:cNvPicPr>
                  </pic:nvPicPr>
                  <pic:blipFill>
                    <a:blip r:embed="rId137"/>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40" name="图片 140" descr="为什么看不到月球背面  教学课件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为什么看不到月球背面  教学课件_13"/>
                    <pic:cNvPicPr>
                      <a:picLocks noChangeAspect="1"/>
                    </pic:cNvPicPr>
                  </pic:nvPicPr>
                  <pic:blipFill>
                    <a:blip r:embed="rId138"/>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39" name="图片 139" descr="为什么看不到月球背面  教学课件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为什么看不到月球背面  教学课件_14"/>
                    <pic:cNvPicPr>
                      <a:picLocks noChangeAspect="1"/>
                    </pic:cNvPicPr>
                  </pic:nvPicPr>
                  <pic:blipFill>
                    <a:blip r:embed="rId139"/>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38" name="图片 138" descr="为什么看不到月球背面  教学课件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为什么看不到月球背面  教学课件_15"/>
                    <pic:cNvPicPr>
                      <a:picLocks noChangeAspect="1"/>
                    </pic:cNvPicPr>
                  </pic:nvPicPr>
                  <pic:blipFill>
                    <a:blip r:embed="rId140"/>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37" name="图片 137" descr="为什么看不到月球背面  教学课件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为什么看不到月球背面  教学课件_16"/>
                    <pic:cNvPicPr>
                      <a:picLocks noChangeAspect="1"/>
                    </pic:cNvPicPr>
                  </pic:nvPicPr>
                  <pic:blipFill>
                    <a:blip r:embed="rId141"/>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36" name="图片 136" descr="为什么看不到月球背面  教学课件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descr="为什么看不到月球背面  教学课件_17"/>
                    <pic:cNvPicPr>
                      <a:picLocks noChangeAspect="1"/>
                    </pic:cNvPicPr>
                  </pic:nvPicPr>
                  <pic:blipFill>
                    <a:blip r:embed="rId142"/>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35" name="图片 135" descr="为什么看不到月球背面  教学课件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为什么看不到月球背面  教学课件_18"/>
                    <pic:cNvPicPr>
                      <a:picLocks noChangeAspect="1"/>
                    </pic:cNvPicPr>
                  </pic:nvPicPr>
                  <pic:blipFill>
                    <a:blip r:embed="rId143"/>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34" name="图片 134" descr="为什么看不到月球背面  教学课件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为什么看不到月球背面  教学课件_19"/>
                    <pic:cNvPicPr>
                      <a:picLocks noChangeAspect="1"/>
                    </pic:cNvPicPr>
                  </pic:nvPicPr>
                  <pic:blipFill>
                    <a:blip r:embed="rId144"/>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33" name="图片 133" descr="为什么看不到月球背面  教学课件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为什么看不到月球背面  教学课件_20"/>
                    <pic:cNvPicPr>
                      <a:picLocks noChangeAspect="1"/>
                    </pic:cNvPicPr>
                  </pic:nvPicPr>
                  <pic:blipFill>
                    <a:blip r:embed="rId145"/>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32" name="图片 132" descr="为什么看不到月球背面  教学课件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为什么看不到月球背面  教学课件_21"/>
                    <pic:cNvPicPr>
                      <a:picLocks noChangeAspect="1"/>
                    </pic:cNvPicPr>
                  </pic:nvPicPr>
                  <pic:blipFill>
                    <a:blip r:embed="rId146"/>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31" name="图片 131" descr="为什么看不到月球背面  教学课件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为什么看不到月球背面  教学课件_22"/>
                    <pic:cNvPicPr>
                      <a:picLocks noChangeAspect="1"/>
                    </pic:cNvPicPr>
                  </pic:nvPicPr>
                  <pic:blipFill>
                    <a:blip r:embed="rId147"/>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30" name="图片 130" descr="为什么看不到月球背面  教学课件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为什么看不到月球背面  教学课件_23"/>
                    <pic:cNvPicPr>
                      <a:picLocks noChangeAspect="1"/>
                    </pic:cNvPicPr>
                  </pic:nvPicPr>
                  <pic:blipFill>
                    <a:blip r:embed="rId148"/>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29" name="图片 129" descr="为什么看不到月球背面  教学课件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为什么看不到月球背面  教学课件_24"/>
                    <pic:cNvPicPr>
                      <a:picLocks noChangeAspect="1"/>
                    </pic:cNvPicPr>
                  </pic:nvPicPr>
                  <pic:blipFill>
                    <a:blip r:embed="rId149"/>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28" name="图片 128" descr="为什么看不到月球背面  教学课件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为什么看不到月球背面  教学课件_25"/>
                    <pic:cNvPicPr>
                      <a:picLocks noChangeAspect="1"/>
                    </pic:cNvPicPr>
                  </pic:nvPicPr>
                  <pic:blipFill>
                    <a:blip r:embed="rId150"/>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27" name="图片 127" descr="为什么看不到月球背面  教学课件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为什么看不到月球背面  教学课件_26"/>
                    <pic:cNvPicPr>
                      <a:picLocks noChangeAspect="1"/>
                    </pic:cNvPicPr>
                  </pic:nvPicPr>
                  <pic:blipFill>
                    <a:blip r:embed="rId151"/>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26" name="图片 126" descr="为什么看不到月球背面  教学课件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为什么看不到月球背面  教学课件_27"/>
                    <pic:cNvPicPr>
                      <a:picLocks noChangeAspect="1"/>
                    </pic:cNvPicPr>
                  </pic:nvPicPr>
                  <pic:blipFill>
                    <a:blip r:embed="rId152"/>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25" name="图片 125" descr="为什么看不到月球背面  教学课件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为什么看不到月球背面  教学课件_28"/>
                    <pic:cNvPicPr>
                      <a:picLocks noChangeAspect="1"/>
                    </pic:cNvPicPr>
                  </pic:nvPicPr>
                  <pic:blipFill>
                    <a:blip r:embed="rId153"/>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24" name="图片 124" descr="为什么看不到月球背面  教学课件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为什么看不到月球背面  教学课件_29"/>
                    <pic:cNvPicPr>
                      <a:picLocks noChangeAspect="1"/>
                    </pic:cNvPicPr>
                  </pic:nvPicPr>
                  <pic:blipFill>
                    <a:blip r:embed="rId154"/>
                    <a:stretch>
                      <a:fillRect/>
                    </a:stretch>
                  </pic:blipFill>
                  <pic:spPr>
                    <a:xfrm>
                      <a:off x="0" y="0"/>
                      <a:ext cx="5266690" cy="2962910"/>
                    </a:xfrm>
                    <a:prstGeom prst="rect">
                      <a:avLst/>
                    </a:prstGeom>
                  </pic:spPr>
                </pic:pic>
              </a:graphicData>
            </a:graphic>
          </wp:inline>
        </w:drawing>
      </w:r>
      <w:r>
        <w:rPr>
          <w:rFonts w:hint="eastAsia" w:ascii="仿宋_GB2312" w:hAnsi="仿宋_GB2312" w:eastAsia="仿宋_GB2312" w:cs="仿宋_GB2312"/>
          <w:b/>
          <w:sz w:val="20"/>
          <w:lang w:val="en-US" w:eastAsia="zh-CN"/>
        </w:rPr>
        <w:drawing>
          <wp:inline distT="0" distB="0" distL="114300" distR="114300">
            <wp:extent cx="5266690" cy="2962910"/>
            <wp:effectExtent l="0" t="0" r="1270" b="5715"/>
            <wp:docPr id="123" name="图片 123" descr="为什么看不到月球背面  教学课件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为什么看不到月球背面  教学课件_30"/>
                    <pic:cNvPicPr>
                      <a:picLocks noChangeAspect="1"/>
                    </pic:cNvPicPr>
                  </pic:nvPicPr>
                  <pic:blipFill>
                    <a:blip r:embed="rId38"/>
                    <a:stretch>
                      <a:fillRect/>
                    </a:stretch>
                  </pic:blipFill>
                  <pic:spPr>
                    <a:xfrm>
                      <a:off x="0" y="0"/>
                      <a:ext cx="5266690" cy="2962910"/>
                    </a:xfrm>
                    <a:prstGeom prst="rect">
                      <a:avLst/>
                    </a:prstGeom>
                  </pic:spPr>
                </pic:pic>
              </a:graphicData>
            </a:graphic>
          </wp:inline>
        </w:drawing>
      </w:r>
    </w:p>
    <w:p w14:paraId="5E3A56FB">
      <w:pPr>
        <w:rPr>
          <w:rFonts w:hint="eastAsia"/>
          <w:lang w:val="en-US" w:eastAsia="zh-CN"/>
        </w:rPr>
      </w:pPr>
      <w:r>
        <w:rPr>
          <w:rFonts w:hint="eastAsia"/>
          <w:lang w:val="en-US" w:eastAsia="zh-CN"/>
        </w:rPr>
        <w:br w:type="page"/>
      </w:r>
    </w:p>
    <w:p w14:paraId="58B42832">
      <w:pPr>
        <w:pStyle w:val="5"/>
        <w:bidi w:val="0"/>
        <w:rPr>
          <w:rFonts w:hint="eastAsia"/>
          <w:lang w:val="en-US" w:eastAsia="zh-CN"/>
        </w:rPr>
      </w:pPr>
      <w:r>
        <w:rPr>
          <w:rFonts w:hint="eastAsia"/>
          <w:lang w:val="en-US" w:eastAsia="zh-CN"/>
        </w:rPr>
        <w:t>学生手册</w:t>
      </w:r>
    </w:p>
    <w:p w14:paraId="3FA6F23E">
      <w:pPr>
        <w:numPr>
          <w:ilvl w:val="0"/>
          <w:numId w:val="0"/>
        </w:numPr>
        <w:rPr>
          <w:rFonts w:hint="default" w:ascii="仿宋_GB2312" w:hAnsi="仿宋_GB2312" w:eastAsia="仿宋_GB2312" w:cs="仿宋_GB2312"/>
          <w:b/>
          <w:sz w:val="20"/>
          <w:lang w:val="en-US" w:eastAsia="zh-CN"/>
        </w:rPr>
      </w:pPr>
      <w:r>
        <w:rPr>
          <w:rFonts w:hint="default" w:ascii="仿宋_GB2312" w:hAnsi="仿宋_GB2312" w:eastAsia="仿宋_GB2312" w:cs="仿宋_GB2312"/>
          <w:b/>
          <w:sz w:val="20"/>
          <w:lang w:val="en-US" w:eastAsia="zh-CN"/>
        </w:rPr>
        <w:drawing>
          <wp:inline distT="0" distB="0" distL="114300" distR="114300">
            <wp:extent cx="5273040" cy="7157720"/>
            <wp:effectExtent l="0" t="0" r="5715" b="10160"/>
            <wp:docPr id="154" name="图片 154" descr="为什么看不到月球背面  学生手册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descr="为什么看不到月球背面  学生手册_01"/>
                    <pic:cNvPicPr>
                      <a:picLocks noChangeAspect="1"/>
                    </pic:cNvPicPr>
                  </pic:nvPicPr>
                  <pic:blipFill>
                    <a:blip r:embed="rId155"/>
                    <a:stretch>
                      <a:fillRect/>
                    </a:stretch>
                  </pic:blipFill>
                  <pic:spPr>
                    <a:xfrm>
                      <a:off x="0" y="0"/>
                      <a:ext cx="5273040" cy="7157720"/>
                    </a:xfrm>
                    <a:prstGeom prst="rect">
                      <a:avLst/>
                    </a:prstGeom>
                  </pic:spPr>
                </pic:pic>
              </a:graphicData>
            </a:graphic>
          </wp:inline>
        </w:drawing>
      </w:r>
      <w:r>
        <w:rPr>
          <w:rFonts w:hint="default" w:ascii="仿宋_GB2312" w:hAnsi="仿宋_GB2312" w:eastAsia="仿宋_GB2312" w:cs="仿宋_GB2312"/>
          <w:b/>
          <w:sz w:val="20"/>
          <w:lang w:val="en-US" w:eastAsia="zh-CN"/>
        </w:rPr>
        <w:drawing>
          <wp:inline distT="0" distB="0" distL="114300" distR="114300">
            <wp:extent cx="5273040" cy="7157720"/>
            <wp:effectExtent l="0" t="0" r="5715" b="10160"/>
            <wp:docPr id="153" name="图片 153" descr="为什么看不到月球背面  学生手册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descr="为什么看不到月球背面  学生手册_02"/>
                    <pic:cNvPicPr>
                      <a:picLocks noChangeAspect="1"/>
                    </pic:cNvPicPr>
                  </pic:nvPicPr>
                  <pic:blipFill>
                    <a:blip r:embed="rId156"/>
                    <a:stretch>
                      <a:fillRect/>
                    </a:stretch>
                  </pic:blipFill>
                  <pic:spPr>
                    <a:xfrm>
                      <a:off x="0" y="0"/>
                      <a:ext cx="5273040" cy="7157720"/>
                    </a:xfrm>
                    <a:prstGeom prst="rect">
                      <a:avLst/>
                    </a:prstGeom>
                  </pic:spPr>
                </pic:pic>
              </a:graphicData>
            </a:graphic>
          </wp:inline>
        </w:drawing>
      </w:r>
    </w:p>
    <w:p w14:paraId="1187D1B0">
      <w:pPr>
        <w:rPr>
          <w:rFonts w:hint="default" w:ascii="仿宋_GB2312" w:hAnsi="仿宋_GB2312" w:eastAsia="仿宋_GB2312" w:cs="仿宋_GB2312"/>
          <w:b/>
          <w:sz w:val="20"/>
          <w:lang w:val="en-US" w:eastAsia="zh-CN"/>
        </w:rPr>
      </w:pPr>
      <w:r>
        <w:rPr>
          <w:rFonts w:hint="default" w:ascii="仿宋_GB2312" w:hAnsi="仿宋_GB2312" w:eastAsia="仿宋_GB2312" w:cs="仿宋_GB2312"/>
          <w:b/>
          <w:sz w:val="20"/>
          <w:lang w:val="en-US" w:eastAsia="zh-CN"/>
        </w:rPr>
        <w:br w:type="page"/>
      </w:r>
    </w:p>
    <w:p w14:paraId="3A182284">
      <w:pPr>
        <w:pStyle w:val="4"/>
        <w:bidi w:val="0"/>
        <w:rPr>
          <w:rFonts w:hint="default"/>
          <w:lang w:val="en-US" w:eastAsia="zh-CN"/>
        </w:rPr>
      </w:pPr>
      <w:r>
        <w:rPr>
          <w:rFonts w:hint="eastAsia"/>
          <w:lang w:val="en-US" w:eastAsia="zh-CN"/>
        </w:rPr>
        <w:t>28个主题天文课程资源介绍</w:t>
      </w:r>
    </w:p>
    <w:p w14:paraId="314AAFE4">
      <w:pPr>
        <w:numPr>
          <w:ilvl w:val="0"/>
          <w:numId w:val="0"/>
        </w:numPr>
        <w:rPr>
          <w:rFonts w:hint="default"/>
          <w:lang w:val="en-US" w:eastAsia="zh-CN"/>
        </w:rPr>
      </w:pPr>
      <w:r>
        <w:rPr>
          <w:rFonts w:hint="default"/>
          <w:lang w:val="en-US" w:eastAsia="zh-CN"/>
        </w:rPr>
        <w:t>配套28个主题天文课程资源，并支持2022年小学科学课标对接；</w:t>
      </w:r>
    </w:p>
    <w:p w14:paraId="07299155">
      <w:pPr>
        <w:numPr>
          <w:ilvl w:val="0"/>
          <w:numId w:val="0"/>
        </w:numPr>
        <w:rPr>
          <w:rFonts w:hint="default"/>
          <w:lang w:val="en-US" w:eastAsia="zh-CN"/>
        </w:rPr>
      </w:pPr>
      <w:r>
        <w:rPr>
          <w:rFonts w:hint="default"/>
          <w:lang w:val="en-US" w:eastAsia="zh-CN"/>
        </w:rPr>
        <w:t>提供课程设计说明书、教学课件、学生手册、实验记录表。</w:t>
      </w:r>
    </w:p>
    <w:p w14:paraId="1958DB0D">
      <w:pPr>
        <w:numPr>
          <w:ilvl w:val="0"/>
          <w:numId w:val="0"/>
        </w:numPr>
        <w:rPr>
          <w:rFonts w:hint="default"/>
          <w:lang w:val="en-US" w:eastAsia="zh-CN"/>
        </w:rPr>
      </w:pPr>
      <w:r>
        <w:rPr>
          <w:rFonts w:hint="default"/>
          <w:lang w:val="en-US" w:eastAsia="zh-CN"/>
        </w:rPr>
        <w:drawing>
          <wp:inline distT="0" distB="0" distL="114300" distR="114300">
            <wp:extent cx="5266690" cy="2962910"/>
            <wp:effectExtent l="0" t="0" r="1270" b="5715"/>
            <wp:docPr id="212" name="图片 212" descr="28节天文课程资源主题介绍、课程设计说明、课件、手册、记录表案例展示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28节天文课程资源主题介绍、课程设计说明、课件、手册、记录表案例展示_01"/>
                    <pic:cNvPicPr>
                      <a:picLocks noChangeAspect="1"/>
                    </pic:cNvPicPr>
                  </pic:nvPicPr>
                  <pic:blipFill>
                    <a:blip r:embed="rId157"/>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11" name="图片 211" descr="28节天文课程资源主题介绍、课程设计说明、课件、手册、记录表案例展示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descr="28节天文课程资源主题介绍、课程设计说明、课件、手册、记录表案例展示_02"/>
                    <pic:cNvPicPr>
                      <a:picLocks noChangeAspect="1"/>
                    </pic:cNvPicPr>
                  </pic:nvPicPr>
                  <pic:blipFill>
                    <a:blip r:embed="rId158"/>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10" name="图片 210" descr="28节天文课程资源主题介绍、课程设计说明、课件、手册、记录表案例展示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descr="28节天文课程资源主题介绍、课程设计说明、课件、手册、记录表案例展示_03"/>
                    <pic:cNvPicPr>
                      <a:picLocks noChangeAspect="1"/>
                    </pic:cNvPicPr>
                  </pic:nvPicPr>
                  <pic:blipFill>
                    <a:blip r:embed="rId159"/>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09" name="图片 209" descr="28节天文课程资源主题介绍、课程设计说明、课件、手册、记录表案例展示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descr="28节天文课程资源主题介绍、课程设计说明、课件、手册、记录表案例展示_04"/>
                    <pic:cNvPicPr>
                      <a:picLocks noChangeAspect="1"/>
                    </pic:cNvPicPr>
                  </pic:nvPicPr>
                  <pic:blipFill>
                    <a:blip r:embed="rId160"/>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08" name="图片 208" descr="28节天文课程资源主题介绍、课程设计说明、课件、手册、记录表案例展示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28节天文课程资源主题介绍、课程设计说明、课件、手册、记录表案例展示_05"/>
                    <pic:cNvPicPr>
                      <a:picLocks noChangeAspect="1"/>
                    </pic:cNvPicPr>
                  </pic:nvPicPr>
                  <pic:blipFill>
                    <a:blip r:embed="rId161"/>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07" name="图片 207" descr="28节天文课程资源主题介绍、课程设计说明、课件、手册、记录表案例展示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descr="28节天文课程资源主题介绍、课程设计说明、课件、手册、记录表案例展示_06"/>
                    <pic:cNvPicPr>
                      <a:picLocks noChangeAspect="1"/>
                    </pic:cNvPicPr>
                  </pic:nvPicPr>
                  <pic:blipFill>
                    <a:blip r:embed="rId162"/>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06" name="图片 206" descr="28节天文课程资源主题介绍、课程设计说明、课件、手册、记录表案例展示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descr="28节天文课程资源主题介绍、课程设计说明、课件、手册、记录表案例展示_07"/>
                    <pic:cNvPicPr>
                      <a:picLocks noChangeAspect="1"/>
                    </pic:cNvPicPr>
                  </pic:nvPicPr>
                  <pic:blipFill>
                    <a:blip r:embed="rId163"/>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05" name="图片 205" descr="28节天文课程资源主题介绍、课程设计说明、课件、手册、记录表案例展示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28节天文课程资源主题介绍、课程设计说明、课件、手册、记录表案例展示_08"/>
                    <pic:cNvPicPr>
                      <a:picLocks noChangeAspect="1"/>
                    </pic:cNvPicPr>
                  </pic:nvPicPr>
                  <pic:blipFill>
                    <a:blip r:embed="rId164"/>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04" name="图片 204" descr="28节天文课程资源主题介绍、课程设计说明、课件、手册、记录表案例展示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descr="28节天文课程资源主题介绍、课程设计说明、课件、手册、记录表案例展示_09"/>
                    <pic:cNvPicPr>
                      <a:picLocks noChangeAspect="1"/>
                    </pic:cNvPicPr>
                  </pic:nvPicPr>
                  <pic:blipFill>
                    <a:blip r:embed="rId165"/>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03" name="图片 203" descr="28节天文课程资源主题介绍、课程设计说明、课件、手册、记录表案例展示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descr="28节天文课程资源主题介绍、课程设计说明、课件、手册、记录表案例展示_10"/>
                    <pic:cNvPicPr>
                      <a:picLocks noChangeAspect="1"/>
                    </pic:cNvPicPr>
                  </pic:nvPicPr>
                  <pic:blipFill>
                    <a:blip r:embed="rId166"/>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02" name="图片 202" descr="28节天文课程资源主题介绍、课程设计说明、课件、手册、记录表案例展示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descr="28节天文课程资源主题介绍、课程设计说明、课件、手册、记录表案例展示_11"/>
                    <pic:cNvPicPr>
                      <a:picLocks noChangeAspect="1"/>
                    </pic:cNvPicPr>
                  </pic:nvPicPr>
                  <pic:blipFill>
                    <a:blip r:embed="rId167"/>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01" name="图片 201" descr="28节天文课程资源主题介绍、课程设计说明、课件、手册、记录表案例展示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descr="28节天文课程资源主题介绍、课程设计说明、课件、手册、记录表案例展示_12"/>
                    <pic:cNvPicPr>
                      <a:picLocks noChangeAspect="1"/>
                    </pic:cNvPicPr>
                  </pic:nvPicPr>
                  <pic:blipFill>
                    <a:blip r:embed="rId168"/>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00" name="图片 200" descr="28节天文课程资源主题介绍、课程设计说明、课件、手册、记录表案例展示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descr="28节天文课程资源主题介绍、课程设计说明、课件、手册、记录表案例展示_13"/>
                    <pic:cNvPicPr>
                      <a:picLocks noChangeAspect="1"/>
                    </pic:cNvPicPr>
                  </pic:nvPicPr>
                  <pic:blipFill>
                    <a:blip r:embed="rId169"/>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199" name="图片 199" descr="28节天文课程资源主题介绍、课程设计说明、课件、手册、记录表案例展示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descr="28节天文课程资源主题介绍、课程设计说明、课件、手册、记录表案例展示_14"/>
                    <pic:cNvPicPr>
                      <a:picLocks noChangeAspect="1"/>
                    </pic:cNvPicPr>
                  </pic:nvPicPr>
                  <pic:blipFill>
                    <a:blip r:embed="rId170"/>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198" name="图片 198" descr="28节天文课程资源主题介绍、课程设计说明、课件、手册、记录表案例展示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descr="28节天文课程资源主题介绍、课程设计说明、课件、手册、记录表案例展示_15"/>
                    <pic:cNvPicPr>
                      <a:picLocks noChangeAspect="1"/>
                    </pic:cNvPicPr>
                  </pic:nvPicPr>
                  <pic:blipFill>
                    <a:blip r:embed="rId171"/>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197" name="图片 197" descr="28节天文课程资源主题介绍、课程设计说明、课件、手册、记录表案例展示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descr="28节天文课程资源主题介绍、课程设计说明、课件、手册、记录表案例展示_16"/>
                    <pic:cNvPicPr>
                      <a:picLocks noChangeAspect="1"/>
                    </pic:cNvPicPr>
                  </pic:nvPicPr>
                  <pic:blipFill>
                    <a:blip r:embed="rId172"/>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196" name="图片 196" descr="28节天文课程资源主题介绍、课程设计说明、课件、手册、记录表案例展示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descr="28节天文课程资源主题介绍、课程设计说明、课件、手册、记录表案例展示_17"/>
                    <pic:cNvPicPr>
                      <a:picLocks noChangeAspect="1"/>
                    </pic:cNvPicPr>
                  </pic:nvPicPr>
                  <pic:blipFill>
                    <a:blip r:embed="rId173"/>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195" name="图片 195" descr="28节天文课程资源主题介绍、课程设计说明、课件、手册、记录表案例展示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descr="28节天文课程资源主题介绍、课程设计说明、课件、手册、记录表案例展示_18"/>
                    <pic:cNvPicPr>
                      <a:picLocks noChangeAspect="1"/>
                    </pic:cNvPicPr>
                  </pic:nvPicPr>
                  <pic:blipFill>
                    <a:blip r:embed="rId174"/>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194" name="图片 194" descr="28节天文课程资源主题介绍、课程设计说明、课件、手册、记录表案例展示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descr="28节天文课程资源主题介绍、课程设计说明、课件、手册、记录表案例展示_19"/>
                    <pic:cNvPicPr>
                      <a:picLocks noChangeAspect="1"/>
                    </pic:cNvPicPr>
                  </pic:nvPicPr>
                  <pic:blipFill>
                    <a:blip r:embed="rId175"/>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193" name="图片 193" descr="28节天文课程资源主题介绍、课程设计说明、课件、手册、记录表案例展示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descr="28节天文课程资源主题介绍、课程设计说明、课件、手册、记录表案例展示_20"/>
                    <pic:cNvPicPr>
                      <a:picLocks noChangeAspect="1"/>
                    </pic:cNvPicPr>
                  </pic:nvPicPr>
                  <pic:blipFill>
                    <a:blip r:embed="rId176"/>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192" name="图片 192" descr="28节天文课程资源主题介绍、课程设计说明、课件、手册、记录表案例展示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descr="28节天文课程资源主题介绍、课程设计说明、课件、手册、记录表案例展示_21"/>
                    <pic:cNvPicPr>
                      <a:picLocks noChangeAspect="1"/>
                    </pic:cNvPicPr>
                  </pic:nvPicPr>
                  <pic:blipFill>
                    <a:blip r:embed="rId177"/>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191" name="图片 191" descr="28节天文课程资源主题介绍、课程设计说明、课件、手册、记录表案例展示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descr="28节天文课程资源主题介绍、课程设计说明、课件、手册、记录表案例展示_22"/>
                    <pic:cNvPicPr>
                      <a:picLocks noChangeAspect="1"/>
                    </pic:cNvPicPr>
                  </pic:nvPicPr>
                  <pic:blipFill>
                    <a:blip r:embed="rId178"/>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190" name="图片 190" descr="28节天文课程资源主题介绍、课程设计说明、课件、手册、记录表案例展示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descr="28节天文课程资源主题介绍、课程设计说明、课件、手册、记录表案例展示_23"/>
                    <pic:cNvPicPr>
                      <a:picLocks noChangeAspect="1"/>
                    </pic:cNvPicPr>
                  </pic:nvPicPr>
                  <pic:blipFill>
                    <a:blip r:embed="rId179"/>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189" name="图片 189" descr="28节天文课程资源主题介绍、课程设计说明、课件、手册、记录表案例展示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descr="28节天文课程资源主题介绍、课程设计说明、课件、手册、记录表案例展示_24"/>
                    <pic:cNvPicPr>
                      <a:picLocks noChangeAspect="1"/>
                    </pic:cNvPicPr>
                  </pic:nvPicPr>
                  <pic:blipFill>
                    <a:blip r:embed="rId180"/>
                    <a:stretch>
                      <a:fillRect/>
                    </a:stretch>
                  </pic:blipFill>
                  <pic:spPr>
                    <a:xfrm>
                      <a:off x="0" y="0"/>
                      <a:ext cx="5266690" cy="2962910"/>
                    </a:xfrm>
                    <a:prstGeom prst="rect">
                      <a:avLst/>
                    </a:prstGeom>
                  </pic:spPr>
                </pic:pic>
              </a:graphicData>
            </a:graphic>
          </wp:inline>
        </w:drawing>
      </w:r>
    </w:p>
    <w:p w14:paraId="7D6692F5">
      <w:pPr>
        <w:rPr>
          <w:rFonts w:hint="default"/>
          <w:lang w:val="en-US" w:eastAsia="zh-CN"/>
        </w:rPr>
      </w:pPr>
      <w:r>
        <w:rPr>
          <w:rFonts w:hint="default"/>
          <w:lang w:val="en-US" w:eastAsia="zh-CN"/>
        </w:rPr>
        <w:br w:type="page"/>
      </w:r>
    </w:p>
    <w:p w14:paraId="08AB926E">
      <w:pPr>
        <w:pStyle w:val="5"/>
        <w:bidi w:val="0"/>
        <w:rPr>
          <w:rFonts w:hint="eastAsia"/>
          <w:lang w:val="en-US" w:eastAsia="zh-CN"/>
        </w:rPr>
      </w:pPr>
      <w:r>
        <w:rPr>
          <w:rFonts w:hint="eastAsia"/>
          <w:lang w:val="en-US" w:eastAsia="zh-CN"/>
        </w:rPr>
        <w:t>案例课资料-太阳有什么秘密</w:t>
      </w:r>
    </w:p>
    <w:p w14:paraId="28345BB0">
      <w:pPr>
        <w:pStyle w:val="5"/>
        <w:bidi w:val="0"/>
        <w:rPr>
          <w:rFonts w:hint="default"/>
          <w:lang w:val="en-US" w:eastAsia="zh-CN"/>
        </w:rPr>
      </w:pPr>
      <w:r>
        <w:rPr>
          <w:rFonts w:hint="eastAsia"/>
          <w:lang w:val="en-US" w:eastAsia="zh-CN"/>
        </w:rPr>
        <w:t>教学课件</w:t>
      </w:r>
    </w:p>
    <w:p w14:paraId="54D8792B">
      <w:pPr>
        <w:rPr>
          <w:rFonts w:hint="default"/>
          <w:lang w:val="en-US" w:eastAsia="zh-CN"/>
        </w:rPr>
      </w:pPr>
      <w:r>
        <w:rPr>
          <w:rFonts w:hint="default"/>
          <w:lang w:val="en-US" w:eastAsia="zh-CN"/>
        </w:rPr>
        <w:drawing>
          <wp:inline distT="0" distB="0" distL="114300" distR="114300">
            <wp:extent cx="5266690" cy="2962910"/>
            <wp:effectExtent l="0" t="0" r="1270" b="5715"/>
            <wp:docPr id="227" name="图片 227" descr="1.太阳有什么秘密？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descr="1.太阳有什么秘密？_01"/>
                    <pic:cNvPicPr>
                      <a:picLocks noChangeAspect="1"/>
                    </pic:cNvPicPr>
                  </pic:nvPicPr>
                  <pic:blipFill>
                    <a:blip r:embed="rId181"/>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26" name="图片 226" descr="1.太阳有什么秘密？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descr="1.太阳有什么秘密？_02"/>
                    <pic:cNvPicPr>
                      <a:picLocks noChangeAspect="1"/>
                    </pic:cNvPicPr>
                  </pic:nvPicPr>
                  <pic:blipFill>
                    <a:blip r:embed="rId182"/>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25" name="图片 225" descr="1.太阳有什么秘密？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descr="1.太阳有什么秘密？_03"/>
                    <pic:cNvPicPr>
                      <a:picLocks noChangeAspect="1"/>
                    </pic:cNvPicPr>
                  </pic:nvPicPr>
                  <pic:blipFill>
                    <a:blip r:embed="rId183"/>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24" name="图片 224" descr="1.太阳有什么秘密？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descr="1.太阳有什么秘密？_04"/>
                    <pic:cNvPicPr>
                      <a:picLocks noChangeAspect="1"/>
                    </pic:cNvPicPr>
                  </pic:nvPicPr>
                  <pic:blipFill>
                    <a:blip r:embed="rId184"/>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23" name="图片 223" descr="1.太阳有什么秘密？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descr="1.太阳有什么秘密？_05"/>
                    <pic:cNvPicPr>
                      <a:picLocks noChangeAspect="1"/>
                    </pic:cNvPicPr>
                  </pic:nvPicPr>
                  <pic:blipFill>
                    <a:blip r:embed="rId185"/>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22" name="图片 222" descr="1.太阳有什么秘密？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2" descr="1.太阳有什么秘密？_06"/>
                    <pic:cNvPicPr>
                      <a:picLocks noChangeAspect="1"/>
                    </pic:cNvPicPr>
                  </pic:nvPicPr>
                  <pic:blipFill>
                    <a:blip r:embed="rId186"/>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21" name="图片 221" descr="1.太阳有什么秘密？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1" descr="1.太阳有什么秘密？_07"/>
                    <pic:cNvPicPr>
                      <a:picLocks noChangeAspect="1"/>
                    </pic:cNvPicPr>
                  </pic:nvPicPr>
                  <pic:blipFill>
                    <a:blip r:embed="rId187"/>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20" name="图片 220" descr="1.太阳有什么秘密？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descr="1.太阳有什么秘密？_08"/>
                    <pic:cNvPicPr>
                      <a:picLocks noChangeAspect="1"/>
                    </pic:cNvPicPr>
                  </pic:nvPicPr>
                  <pic:blipFill>
                    <a:blip r:embed="rId188"/>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19" name="图片 219" descr="1.太阳有什么秘密？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9" descr="1.太阳有什么秘密？_09"/>
                    <pic:cNvPicPr>
                      <a:picLocks noChangeAspect="1"/>
                    </pic:cNvPicPr>
                  </pic:nvPicPr>
                  <pic:blipFill>
                    <a:blip r:embed="rId189"/>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18" name="图片 218" descr="1.太阳有什么秘密？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descr="1.太阳有什么秘密？_10"/>
                    <pic:cNvPicPr>
                      <a:picLocks noChangeAspect="1"/>
                    </pic:cNvPicPr>
                  </pic:nvPicPr>
                  <pic:blipFill>
                    <a:blip r:embed="rId190"/>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17" name="图片 217" descr="1.太阳有什么秘密？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descr="1.太阳有什么秘密？_11"/>
                    <pic:cNvPicPr>
                      <a:picLocks noChangeAspect="1"/>
                    </pic:cNvPicPr>
                  </pic:nvPicPr>
                  <pic:blipFill>
                    <a:blip r:embed="rId191"/>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16" name="图片 216" descr="1.太阳有什么秘密？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descr="1.太阳有什么秘密？_12"/>
                    <pic:cNvPicPr>
                      <a:picLocks noChangeAspect="1"/>
                    </pic:cNvPicPr>
                  </pic:nvPicPr>
                  <pic:blipFill>
                    <a:blip r:embed="rId192"/>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15" name="图片 215" descr="1.太阳有什么秘密？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descr="1.太阳有什么秘密？_13"/>
                    <pic:cNvPicPr>
                      <a:picLocks noChangeAspect="1"/>
                    </pic:cNvPicPr>
                  </pic:nvPicPr>
                  <pic:blipFill>
                    <a:blip r:embed="rId193"/>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14" name="图片 214" descr="1.太阳有什么秘密？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descr="1.太阳有什么秘密？_14"/>
                    <pic:cNvPicPr>
                      <a:picLocks noChangeAspect="1"/>
                    </pic:cNvPicPr>
                  </pic:nvPicPr>
                  <pic:blipFill>
                    <a:blip r:embed="rId194"/>
                    <a:stretch>
                      <a:fillRect/>
                    </a:stretch>
                  </pic:blipFill>
                  <pic:spPr>
                    <a:xfrm>
                      <a:off x="0" y="0"/>
                      <a:ext cx="5266690" cy="2962910"/>
                    </a:xfrm>
                    <a:prstGeom prst="rect">
                      <a:avLst/>
                    </a:prstGeom>
                  </pic:spPr>
                </pic:pic>
              </a:graphicData>
            </a:graphic>
          </wp:inline>
        </w:drawing>
      </w:r>
      <w:r>
        <w:rPr>
          <w:rFonts w:hint="default"/>
          <w:lang w:val="en-US" w:eastAsia="zh-CN"/>
        </w:rPr>
        <w:drawing>
          <wp:inline distT="0" distB="0" distL="114300" distR="114300">
            <wp:extent cx="5266690" cy="2962910"/>
            <wp:effectExtent l="0" t="0" r="1270" b="5715"/>
            <wp:docPr id="213" name="图片 213" descr="1.太阳有什么秘密？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descr="1.太阳有什么秘密？_15"/>
                    <pic:cNvPicPr>
                      <a:picLocks noChangeAspect="1"/>
                    </pic:cNvPicPr>
                  </pic:nvPicPr>
                  <pic:blipFill>
                    <a:blip r:embed="rId195"/>
                    <a:stretch>
                      <a:fillRect/>
                    </a:stretch>
                  </pic:blipFill>
                  <pic:spPr>
                    <a:xfrm>
                      <a:off x="0" y="0"/>
                      <a:ext cx="5266690" cy="2962910"/>
                    </a:xfrm>
                    <a:prstGeom prst="rect">
                      <a:avLst/>
                    </a:prstGeom>
                  </pic:spPr>
                </pic:pic>
              </a:graphicData>
            </a:graphic>
          </wp:inline>
        </w:drawing>
      </w:r>
    </w:p>
    <w:p w14:paraId="3FEB9BCA">
      <w:pPr>
        <w:rPr>
          <w:rFonts w:hint="default"/>
          <w:lang w:val="en-US" w:eastAsia="zh-CN"/>
        </w:rPr>
      </w:pPr>
      <w:r>
        <w:rPr>
          <w:rFonts w:hint="default"/>
          <w:lang w:val="en-US" w:eastAsia="zh-CN"/>
        </w:rPr>
        <w:br w:type="page"/>
      </w:r>
    </w:p>
    <w:p w14:paraId="4ECF98F8">
      <w:pPr>
        <w:pStyle w:val="5"/>
        <w:bidi w:val="0"/>
        <w:rPr>
          <w:rFonts w:hint="default"/>
          <w:lang w:val="en-US" w:eastAsia="zh-CN"/>
        </w:rPr>
      </w:pPr>
      <w:r>
        <w:rPr>
          <w:rFonts w:hint="eastAsia"/>
          <w:lang w:val="en-US" w:eastAsia="zh-CN"/>
        </w:rPr>
        <w:t>学生手册及实验记录表</w:t>
      </w:r>
    </w:p>
    <w:p w14:paraId="5791BC39">
      <w:pPr>
        <w:rPr>
          <w:rFonts w:hint="default"/>
          <w:lang w:val="en-US" w:eastAsia="zh-CN"/>
        </w:rPr>
      </w:pPr>
      <w:r>
        <w:rPr>
          <w:rFonts w:hint="default"/>
          <w:lang w:val="en-US" w:eastAsia="zh-CN"/>
        </w:rPr>
        <w:drawing>
          <wp:inline distT="0" distB="0" distL="114300" distR="114300">
            <wp:extent cx="5269865" cy="7479030"/>
            <wp:effectExtent l="0" t="0" r="8890" b="1905"/>
            <wp:docPr id="237" name="图片 237" descr="1.《太阳有什么秘密？》学生手册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descr="1.《太阳有什么秘密？》学生手册_01"/>
                    <pic:cNvPicPr>
                      <a:picLocks noChangeAspect="1"/>
                    </pic:cNvPicPr>
                  </pic:nvPicPr>
                  <pic:blipFill>
                    <a:blip r:embed="rId196"/>
                    <a:stretch>
                      <a:fillRect/>
                    </a:stretch>
                  </pic:blipFill>
                  <pic:spPr>
                    <a:xfrm>
                      <a:off x="0" y="0"/>
                      <a:ext cx="5269865" cy="7479030"/>
                    </a:xfrm>
                    <a:prstGeom prst="rect">
                      <a:avLst/>
                    </a:prstGeom>
                  </pic:spPr>
                </pic:pic>
              </a:graphicData>
            </a:graphic>
          </wp:inline>
        </w:drawing>
      </w:r>
      <w:r>
        <w:rPr>
          <w:rFonts w:hint="default"/>
          <w:lang w:val="en-US" w:eastAsia="zh-CN"/>
        </w:rPr>
        <w:drawing>
          <wp:inline distT="0" distB="0" distL="114300" distR="114300">
            <wp:extent cx="5269865" cy="7479030"/>
            <wp:effectExtent l="0" t="0" r="8890" b="1905"/>
            <wp:docPr id="236" name="图片 236" descr="1.《太阳有什么秘密？》学生手册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descr="1.《太阳有什么秘密？》学生手册_02"/>
                    <pic:cNvPicPr>
                      <a:picLocks noChangeAspect="1"/>
                    </pic:cNvPicPr>
                  </pic:nvPicPr>
                  <pic:blipFill>
                    <a:blip r:embed="rId197"/>
                    <a:stretch>
                      <a:fillRect/>
                    </a:stretch>
                  </pic:blipFill>
                  <pic:spPr>
                    <a:xfrm>
                      <a:off x="0" y="0"/>
                      <a:ext cx="5269865" cy="7479030"/>
                    </a:xfrm>
                    <a:prstGeom prst="rect">
                      <a:avLst/>
                    </a:prstGeom>
                  </pic:spPr>
                </pic:pic>
              </a:graphicData>
            </a:graphic>
          </wp:inline>
        </w:drawing>
      </w:r>
      <w:r>
        <w:rPr>
          <w:rFonts w:hint="default"/>
          <w:lang w:val="en-US" w:eastAsia="zh-CN"/>
        </w:rPr>
        <w:drawing>
          <wp:inline distT="0" distB="0" distL="114300" distR="114300">
            <wp:extent cx="5273040" cy="3715385"/>
            <wp:effectExtent l="0" t="0" r="5715" b="8890"/>
            <wp:docPr id="235" name="图片 235" descr="1.《太阳有什么秘密？》学生手册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descr="1.《太阳有什么秘密？》学生手册_03"/>
                    <pic:cNvPicPr>
                      <a:picLocks noChangeAspect="1"/>
                    </pic:cNvPicPr>
                  </pic:nvPicPr>
                  <pic:blipFill>
                    <a:blip r:embed="rId198"/>
                    <a:stretch>
                      <a:fillRect/>
                    </a:stretch>
                  </pic:blipFill>
                  <pic:spPr>
                    <a:xfrm>
                      <a:off x="0" y="0"/>
                      <a:ext cx="5273040" cy="3715385"/>
                    </a:xfrm>
                    <a:prstGeom prst="rect">
                      <a:avLst/>
                    </a:prstGeom>
                  </pic:spPr>
                </pic:pic>
              </a:graphicData>
            </a:graphic>
          </wp:inline>
        </w:drawing>
      </w:r>
      <w:r>
        <w:rPr>
          <w:rFonts w:hint="default"/>
          <w:lang w:val="en-US" w:eastAsia="zh-CN"/>
        </w:rPr>
        <w:drawing>
          <wp:inline distT="0" distB="0" distL="114300" distR="114300">
            <wp:extent cx="5269865" cy="7479030"/>
            <wp:effectExtent l="0" t="0" r="8890" b="1905"/>
            <wp:docPr id="234" name="图片 234" descr="1.《太阳有什么秘密？》学生手册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descr="1.《太阳有什么秘密？》学生手册_04"/>
                    <pic:cNvPicPr>
                      <a:picLocks noChangeAspect="1"/>
                    </pic:cNvPicPr>
                  </pic:nvPicPr>
                  <pic:blipFill>
                    <a:blip r:embed="rId199"/>
                    <a:stretch>
                      <a:fillRect/>
                    </a:stretch>
                  </pic:blipFill>
                  <pic:spPr>
                    <a:xfrm>
                      <a:off x="0" y="0"/>
                      <a:ext cx="5269865" cy="7479030"/>
                    </a:xfrm>
                    <a:prstGeom prst="rect">
                      <a:avLst/>
                    </a:prstGeom>
                  </pic:spPr>
                </pic:pic>
              </a:graphicData>
            </a:graphic>
          </wp:inline>
        </w:drawing>
      </w:r>
      <w:r>
        <w:rPr>
          <w:rFonts w:hint="default"/>
          <w:lang w:val="en-US" w:eastAsia="zh-CN"/>
        </w:rPr>
        <w:drawing>
          <wp:inline distT="0" distB="0" distL="114300" distR="114300">
            <wp:extent cx="5269865" cy="7479030"/>
            <wp:effectExtent l="0" t="0" r="8890" b="1905"/>
            <wp:docPr id="233" name="图片 233" descr="1.《太阳有什么秘密？》学生手册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descr="1.《太阳有什么秘密？》学生手册_05"/>
                    <pic:cNvPicPr>
                      <a:picLocks noChangeAspect="1"/>
                    </pic:cNvPicPr>
                  </pic:nvPicPr>
                  <pic:blipFill>
                    <a:blip r:embed="rId200"/>
                    <a:stretch>
                      <a:fillRect/>
                    </a:stretch>
                  </pic:blipFill>
                  <pic:spPr>
                    <a:xfrm>
                      <a:off x="0" y="0"/>
                      <a:ext cx="5269865" cy="7479030"/>
                    </a:xfrm>
                    <a:prstGeom prst="rect">
                      <a:avLst/>
                    </a:prstGeom>
                  </pic:spPr>
                </pic:pic>
              </a:graphicData>
            </a:graphic>
          </wp:inline>
        </w:drawing>
      </w:r>
      <w:r>
        <w:rPr>
          <w:rFonts w:hint="default"/>
          <w:lang w:val="en-US" w:eastAsia="zh-CN"/>
        </w:rPr>
        <w:drawing>
          <wp:inline distT="0" distB="0" distL="114300" distR="114300">
            <wp:extent cx="5269865" cy="7479030"/>
            <wp:effectExtent l="0" t="0" r="8890" b="1905"/>
            <wp:docPr id="232" name="图片 232" descr="1.《太阳有什么秘密？》学生手册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descr="1.《太阳有什么秘密？》学生手册_06"/>
                    <pic:cNvPicPr>
                      <a:picLocks noChangeAspect="1"/>
                    </pic:cNvPicPr>
                  </pic:nvPicPr>
                  <pic:blipFill>
                    <a:blip r:embed="rId201"/>
                    <a:stretch>
                      <a:fillRect/>
                    </a:stretch>
                  </pic:blipFill>
                  <pic:spPr>
                    <a:xfrm>
                      <a:off x="0" y="0"/>
                      <a:ext cx="5269865" cy="7479030"/>
                    </a:xfrm>
                    <a:prstGeom prst="rect">
                      <a:avLst/>
                    </a:prstGeom>
                  </pic:spPr>
                </pic:pic>
              </a:graphicData>
            </a:graphic>
          </wp:inline>
        </w:drawing>
      </w:r>
      <w:r>
        <w:rPr>
          <w:rFonts w:hint="default"/>
          <w:lang w:val="en-US" w:eastAsia="zh-CN"/>
        </w:rPr>
        <w:drawing>
          <wp:inline distT="0" distB="0" distL="114300" distR="114300">
            <wp:extent cx="5269865" cy="7479030"/>
            <wp:effectExtent l="0" t="0" r="8890" b="1905"/>
            <wp:docPr id="231" name="图片 231" descr="1.《太阳有什么秘密？》学生手册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descr="1.《太阳有什么秘密？》学生手册_07"/>
                    <pic:cNvPicPr>
                      <a:picLocks noChangeAspect="1"/>
                    </pic:cNvPicPr>
                  </pic:nvPicPr>
                  <pic:blipFill>
                    <a:blip r:embed="rId202"/>
                    <a:stretch>
                      <a:fillRect/>
                    </a:stretch>
                  </pic:blipFill>
                  <pic:spPr>
                    <a:xfrm>
                      <a:off x="0" y="0"/>
                      <a:ext cx="5269865" cy="7479030"/>
                    </a:xfrm>
                    <a:prstGeom prst="rect">
                      <a:avLst/>
                    </a:prstGeom>
                  </pic:spPr>
                </pic:pic>
              </a:graphicData>
            </a:graphic>
          </wp:inline>
        </w:drawing>
      </w:r>
      <w:r>
        <w:rPr>
          <w:rFonts w:hint="default"/>
          <w:lang w:val="en-US" w:eastAsia="zh-CN"/>
        </w:rPr>
        <w:drawing>
          <wp:inline distT="0" distB="0" distL="114300" distR="114300">
            <wp:extent cx="5269865" cy="7479030"/>
            <wp:effectExtent l="0" t="0" r="8890" b="1905"/>
            <wp:docPr id="230" name="图片 230" descr="1.《太阳有什么秘密？》学生手册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descr="1.《太阳有什么秘密？》学生手册_08"/>
                    <pic:cNvPicPr>
                      <a:picLocks noChangeAspect="1"/>
                    </pic:cNvPicPr>
                  </pic:nvPicPr>
                  <pic:blipFill>
                    <a:blip r:embed="rId203"/>
                    <a:stretch>
                      <a:fillRect/>
                    </a:stretch>
                  </pic:blipFill>
                  <pic:spPr>
                    <a:xfrm>
                      <a:off x="0" y="0"/>
                      <a:ext cx="5269865" cy="7479030"/>
                    </a:xfrm>
                    <a:prstGeom prst="rect">
                      <a:avLst/>
                    </a:prstGeom>
                  </pic:spPr>
                </pic:pic>
              </a:graphicData>
            </a:graphic>
          </wp:inline>
        </w:drawing>
      </w:r>
      <w:r>
        <w:rPr>
          <w:rFonts w:hint="default"/>
          <w:lang w:val="en-US" w:eastAsia="zh-CN"/>
        </w:rPr>
        <w:drawing>
          <wp:inline distT="0" distB="0" distL="114300" distR="114300">
            <wp:extent cx="5269865" cy="7479030"/>
            <wp:effectExtent l="0" t="0" r="8890" b="1905"/>
            <wp:docPr id="229" name="图片 229" descr="1.《太阳有什么秘密？》学生手册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descr="1.《太阳有什么秘密？》学生手册_09"/>
                    <pic:cNvPicPr>
                      <a:picLocks noChangeAspect="1"/>
                    </pic:cNvPicPr>
                  </pic:nvPicPr>
                  <pic:blipFill>
                    <a:blip r:embed="rId204"/>
                    <a:stretch>
                      <a:fillRect/>
                    </a:stretch>
                  </pic:blipFill>
                  <pic:spPr>
                    <a:xfrm>
                      <a:off x="0" y="0"/>
                      <a:ext cx="5269865" cy="7479030"/>
                    </a:xfrm>
                    <a:prstGeom prst="rect">
                      <a:avLst/>
                    </a:prstGeom>
                  </pic:spPr>
                </pic:pic>
              </a:graphicData>
            </a:graphic>
          </wp:inline>
        </w:drawing>
      </w:r>
      <w:r>
        <w:rPr>
          <w:rFonts w:hint="default"/>
          <w:lang w:val="en-US" w:eastAsia="zh-CN"/>
        </w:rPr>
        <w:drawing>
          <wp:inline distT="0" distB="0" distL="114300" distR="114300">
            <wp:extent cx="5269865" cy="7479030"/>
            <wp:effectExtent l="0" t="0" r="8890" b="1905"/>
            <wp:docPr id="228" name="图片 228" descr="1.《太阳有什么秘密？》学生手册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descr="1.《太阳有什么秘密？》学生手册_10"/>
                    <pic:cNvPicPr>
                      <a:picLocks noChangeAspect="1"/>
                    </pic:cNvPicPr>
                  </pic:nvPicPr>
                  <pic:blipFill>
                    <a:blip r:embed="rId205"/>
                    <a:stretch>
                      <a:fillRect/>
                    </a:stretch>
                  </pic:blipFill>
                  <pic:spPr>
                    <a:xfrm>
                      <a:off x="0" y="0"/>
                      <a:ext cx="5269865" cy="7479030"/>
                    </a:xfrm>
                    <a:prstGeom prst="rect">
                      <a:avLst/>
                    </a:prstGeom>
                  </pic:spPr>
                </pic:pic>
              </a:graphicData>
            </a:graphic>
          </wp:inline>
        </w:drawing>
      </w:r>
    </w:p>
    <w:p w14:paraId="711041A4">
      <w:pPr>
        <w:rPr>
          <w:rFonts w:hint="default"/>
          <w:lang w:val="en-US" w:eastAsia="zh-CN"/>
        </w:rPr>
      </w:pPr>
    </w:p>
    <w:p w14:paraId="16FD8ABD">
      <w:pPr>
        <w:rPr>
          <w:rFonts w:hint="default"/>
          <w:lang w:val="en-US" w:eastAsia="zh-CN"/>
        </w:rPr>
      </w:pPr>
      <w:r>
        <w:rPr>
          <w:rFonts w:hint="default"/>
          <w:lang w:val="en-US" w:eastAsia="zh-CN"/>
        </w:rPr>
        <w:br w:type="page"/>
      </w:r>
    </w:p>
    <w:p w14:paraId="2040EA96">
      <w:pPr>
        <w:pStyle w:val="2"/>
        <w:numPr>
          <w:ilvl w:val="0"/>
          <w:numId w:val="212"/>
        </w:numPr>
        <w:topLinePunct w:val="0"/>
        <w:ind w:left="0" w:leftChars="0" w:firstLine="0" w:firstLineChars="0"/>
        <w:rPr>
          <w:rFonts w:hint="eastAsia" w:ascii="仿宋_GB2312" w:hAnsi="仿宋_GB2312" w:eastAsia="仿宋_GB2312" w:cs="仿宋_GB2312"/>
          <w:b w:val="0"/>
          <w:sz w:val="20"/>
          <w:szCs w:val="20"/>
        </w:rPr>
      </w:pPr>
      <w:r>
        <w:rPr>
          <w:rFonts w:hint="eastAsia" w:ascii="仿宋_GB2312" w:hAnsi="仿宋_GB2312" w:eastAsia="仿宋_GB2312" w:cs="仿宋_GB2312"/>
          <w:b w:val="0"/>
          <w:sz w:val="20"/>
          <w:szCs w:val="20"/>
          <w:lang w:val="en-US" w:eastAsia="zh-CN"/>
        </w:rPr>
        <w:t>课程实践活动证明材料</w:t>
      </w:r>
    </w:p>
    <w:p w14:paraId="00322D83">
      <w:pPr>
        <w:rPr>
          <w:rFonts w:hint="eastAsia"/>
        </w:rPr>
      </w:pPr>
    </w:p>
    <w:p w14:paraId="7C074972">
      <w:pPr>
        <w:spacing w:before="480" w:after="480" w:line="288" w:lineRule="auto"/>
        <w:ind w:left="0"/>
        <w:rPr>
          <w:rFonts w:hint="eastAsia" w:ascii="宋体" w:hAnsi="宋体" w:eastAsia="宋体" w:cs="宋体"/>
          <w:sz w:val="20"/>
          <w:szCs w:val="20"/>
        </w:rPr>
      </w:pPr>
      <w:r>
        <w:rPr>
          <w:rFonts w:hint="eastAsia" w:ascii="宋体" w:hAnsi="宋体" w:eastAsia="宋体" w:cs="宋体"/>
          <w:b/>
          <w:sz w:val="20"/>
          <w:szCs w:val="20"/>
        </w:rPr>
        <w:t>泉州市科技馆×校园天文+Stream课程实践活动方案（4套）</w:t>
      </w:r>
    </w:p>
    <w:p w14:paraId="67AF8F3E">
      <w:pPr>
        <w:spacing w:before="320" w:after="120" w:line="288" w:lineRule="auto"/>
        <w:ind w:left="0"/>
        <w:jc w:val="left"/>
        <w:outlineLvl w:val="1"/>
        <w:rPr>
          <w:rFonts w:hint="eastAsia" w:ascii="宋体" w:hAnsi="宋体" w:eastAsia="宋体" w:cs="宋体"/>
          <w:sz w:val="20"/>
          <w:szCs w:val="20"/>
        </w:rPr>
      </w:pPr>
      <w:r>
        <w:rPr>
          <w:rFonts w:hint="eastAsia" w:ascii="宋体" w:hAnsi="宋体" w:eastAsia="宋体" w:cs="宋体"/>
          <w:b/>
          <w:sz w:val="20"/>
          <w:szCs w:val="20"/>
        </w:rPr>
        <w:t>一、活动核心定位</w:t>
      </w:r>
    </w:p>
    <w:p w14:paraId="661205D8">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依托泉州市科技馆场地资源、展品优势，结合泉州市实验小学天文馆+Stream教室设备，设计4套沉浸式、探究式课程实践活动，同步对接</w:t>
      </w:r>
      <w:r>
        <w:rPr>
          <w:rFonts w:hint="eastAsia" w:ascii="宋体" w:hAnsi="宋体" w:eastAsia="宋体" w:cs="宋体"/>
          <w:b/>
          <w:sz w:val="20"/>
          <w:szCs w:val="20"/>
        </w:rPr>
        <w:t>宋庆龄少年儿童发明奖</w:t>
      </w:r>
      <w:r>
        <w:rPr>
          <w:rFonts w:hint="eastAsia" w:ascii="宋体" w:hAnsi="宋体" w:eastAsia="宋体" w:cs="宋体"/>
          <w:sz w:val="20"/>
          <w:szCs w:val="20"/>
        </w:rPr>
        <w:t>参赛要求，在实践中培养学生科学探究能力、创新思维与动手实践能力，为参赛储备优质项目。</w:t>
      </w:r>
    </w:p>
    <w:p w14:paraId="05C03735">
      <w:pPr>
        <w:spacing w:before="320" w:after="120" w:line="288" w:lineRule="auto"/>
        <w:ind w:left="0"/>
        <w:jc w:val="left"/>
        <w:outlineLvl w:val="1"/>
        <w:rPr>
          <w:rFonts w:hint="eastAsia" w:ascii="宋体" w:hAnsi="宋体" w:eastAsia="宋体" w:cs="宋体"/>
          <w:sz w:val="20"/>
          <w:szCs w:val="20"/>
        </w:rPr>
      </w:pPr>
      <w:r>
        <w:rPr>
          <w:rFonts w:hint="eastAsia" w:ascii="宋体" w:hAnsi="宋体" w:eastAsia="宋体" w:cs="宋体"/>
          <w:b/>
          <w:sz w:val="20"/>
          <w:szCs w:val="20"/>
        </w:rPr>
        <w:t>二、4套课程实践活动详情</w:t>
      </w:r>
    </w:p>
    <w:p w14:paraId="7AAD7F27">
      <w:pPr>
        <w:spacing w:before="300" w:after="120" w:line="288" w:lineRule="auto"/>
        <w:ind w:left="0"/>
        <w:jc w:val="left"/>
        <w:outlineLvl w:val="2"/>
        <w:rPr>
          <w:rFonts w:hint="eastAsia" w:ascii="宋体" w:hAnsi="宋体" w:eastAsia="宋体" w:cs="宋体"/>
          <w:sz w:val="20"/>
          <w:szCs w:val="20"/>
        </w:rPr>
      </w:pPr>
      <w:r>
        <w:rPr>
          <w:rFonts w:hint="eastAsia" w:ascii="宋体" w:hAnsi="宋体" w:eastAsia="宋体" w:cs="宋体"/>
          <w:b/>
          <w:sz w:val="20"/>
          <w:szCs w:val="20"/>
        </w:rPr>
        <w:t>活动一：《月球探秘家——月相观测与模型创新》</w:t>
      </w:r>
    </w:p>
    <w:p w14:paraId="129075EA">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1. 活动主题</w:t>
      </w:r>
    </w:p>
    <w:p w14:paraId="77CD5225">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解码月相变化规律，创新月相演示模型</w:t>
      </w:r>
    </w:p>
    <w:p w14:paraId="1A578709">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2. 适配学段</w:t>
      </w:r>
    </w:p>
    <w:p w14:paraId="7397BB59">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小学4-6年级（每组3-4人）</w:t>
      </w:r>
    </w:p>
    <w:p w14:paraId="207BF067">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3. 活动时长</w:t>
      </w:r>
    </w:p>
    <w:p w14:paraId="4CA2B759">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半天（3小时，含科技馆实践+校园延伸）</w:t>
      </w:r>
    </w:p>
    <w:p w14:paraId="39841FAC">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4. 活动目标</w:t>
      </w:r>
    </w:p>
    <w:p w14:paraId="2CD376DD">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通过科技馆月球展品观测、模拟实验，理解月相形成原理及变化周期；</w:t>
      </w:r>
    </w:p>
    <w:p w14:paraId="297A2B2F">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结合校园月相变化展品操作经验，小组合作设计创新型月相演示模型（需体现可操作性、直观性、创新性）；</w:t>
      </w:r>
    </w:p>
    <w:p w14:paraId="62B4409B">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完成模型制作与实验报告，同步打磨成宋庆龄少年儿童发明奖“创新作品”参赛雏形。</w:t>
      </w:r>
    </w:p>
    <w:p w14:paraId="7346FECE">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5. 活动流程</w:t>
      </w:r>
    </w:p>
    <w:tbl>
      <w:tblPr>
        <w:tblStyle w:val="9"/>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88"/>
        <w:gridCol w:w="1548"/>
        <w:gridCol w:w="2514"/>
        <w:gridCol w:w="1650"/>
        <w:gridCol w:w="1650"/>
      </w:tblGrid>
      <w:tr w14:paraId="69EAABB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88" w:type="dxa"/>
            <w:tcMar>
              <w:top w:w="60" w:type="dxa"/>
              <w:left w:w="120" w:type="dxa"/>
              <w:bottom w:w="30" w:type="dxa"/>
              <w:right w:w="120" w:type="dxa"/>
            </w:tcMar>
            <w:vAlign w:val="center"/>
          </w:tcPr>
          <w:p w14:paraId="5341D6A4">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环节</w:t>
            </w:r>
          </w:p>
        </w:tc>
        <w:tc>
          <w:tcPr>
            <w:tcW w:w="1548" w:type="dxa"/>
            <w:tcMar>
              <w:top w:w="60" w:type="dxa"/>
              <w:left w:w="120" w:type="dxa"/>
              <w:bottom w:w="30" w:type="dxa"/>
              <w:right w:w="120" w:type="dxa"/>
            </w:tcMar>
            <w:vAlign w:val="center"/>
          </w:tcPr>
          <w:p w14:paraId="542DFF5E">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时长</w:t>
            </w:r>
          </w:p>
        </w:tc>
        <w:tc>
          <w:tcPr>
            <w:tcW w:w="2514" w:type="dxa"/>
            <w:tcMar>
              <w:top w:w="60" w:type="dxa"/>
              <w:left w:w="120" w:type="dxa"/>
              <w:bottom w:w="30" w:type="dxa"/>
              <w:right w:w="120" w:type="dxa"/>
            </w:tcMar>
            <w:vAlign w:val="center"/>
          </w:tcPr>
          <w:p w14:paraId="56FA858D">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核心内容</w:t>
            </w:r>
          </w:p>
        </w:tc>
        <w:tc>
          <w:tcPr>
            <w:tcW w:w="1650" w:type="dxa"/>
            <w:tcMar>
              <w:top w:w="60" w:type="dxa"/>
              <w:left w:w="120" w:type="dxa"/>
              <w:bottom w:w="30" w:type="dxa"/>
              <w:right w:w="120" w:type="dxa"/>
            </w:tcMar>
            <w:vAlign w:val="center"/>
          </w:tcPr>
          <w:p w14:paraId="213E4D1C">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场地</w:t>
            </w:r>
          </w:p>
        </w:tc>
        <w:tc>
          <w:tcPr>
            <w:tcW w:w="1650" w:type="dxa"/>
            <w:tcMar>
              <w:top w:w="60" w:type="dxa"/>
              <w:left w:w="120" w:type="dxa"/>
              <w:bottom w:w="30" w:type="dxa"/>
              <w:right w:w="120" w:type="dxa"/>
            </w:tcMar>
            <w:vAlign w:val="center"/>
          </w:tcPr>
          <w:p w14:paraId="524B3A42">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备注</w:t>
            </w:r>
          </w:p>
        </w:tc>
      </w:tr>
      <w:tr w14:paraId="0F70BA8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88" w:type="dxa"/>
            <w:tcMar>
              <w:top w:w="60" w:type="dxa"/>
              <w:left w:w="120" w:type="dxa"/>
              <w:bottom w:w="30" w:type="dxa"/>
              <w:right w:w="120" w:type="dxa"/>
            </w:tcMar>
            <w:vAlign w:val="center"/>
          </w:tcPr>
          <w:p w14:paraId="669E244E">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探秘导入</w:t>
            </w:r>
          </w:p>
        </w:tc>
        <w:tc>
          <w:tcPr>
            <w:tcW w:w="1548" w:type="dxa"/>
            <w:tcMar>
              <w:top w:w="60" w:type="dxa"/>
              <w:left w:w="120" w:type="dxa"/>
              <w:bottom w:w="30" w:type="dxa"/>
              <w:right w:w="120" w:type="dxa"/>
            </w:tcMar>
            <w:vAlign w:val="center"/>
          </w:tcPr>
          <w:p w14:paraId="35F5EA62">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30分钟</w:t>
            </w:r>
          </w:p>
        </w:tc>
        <w:tc>
          <w:tcPr>
            <w:tcW w:w="2514" w:type="dxa"/>
            <w:tcMar>
              <w:top w:w="60" w:type="dxa"/>
              <w:left w:w="120" w:type="dxa"/>
              <w:bottom w:w="30" w:type="dxa"/>
              <w:right w:w="120" w:type="dxa"/>
            </w:tcMar>
            <w:vAlign w:val="center"/>
          </w:tcPr>
          <w:p w14:paraId="549F9E9E">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1. 科技馆辅导员讲解月球探测历史、月相成因；2. 分组参观科技馆“月球与行星”展区，观察月相变化动态展品，记录不同月相特征</w:t>
            </w:r>
          </w:p>
        </w:tc>
        <w:tc>
          <w:tcPr>
            <w:tcW w:w="1650" w:type="dxa"/>
            <w:tcMar>
              <w:top w:w="60" w:type="dxa"/>
              <w:left w:w="120" w:type="dxa"/>
              <w:bottom w:w="30" w:type="dxa"/>
              <w:right w:w="120" w:type="dxa"/>
            </w:tcMar>
            <w:vAlign w:val="center"/>
          </w:tcPr>
          <w:p w14:paraId="4B440709">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泉州市科技馆行星展区</w:t>
            </w:r>
          </w:p>
        </w:tc>
        <w:tc>
          <w:tcPr>
            <w:tcW w:w="1650" w:type="dxa"/>
            <w:tcMar>
              <w:top w:w="60" w:type="dxa"/>
              <w:left w:w="120" w:type="dxa"/>
              <w:bottom w:w="30" w:type="dxa"/>
              <w:right w:w="120" w:type="dxa"/>
            </w:tcMar>
            <w:vAlign w:val="center"/>
          </w:tcPr>
          <w:p w14:paraId="10A753DF">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配备展品讲解手册，引导学生记录关键数据</w:t>
            </w:r>
          </w:p>
        </w:tc>
      </w:tr>
      <w:tr w14:paraId="34CCB97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88" w:type="dxa"/>
            <w:tcMar>
              <w:top w:w="60" w:type="dxa"/>
              <w:left w:w="120" w:type="dxa"/>
              <w:bottom w:w="30" w:type="dxa"/>
              <w:right w:w="120" w:type="dxa"/>
            </w:tcMar>
            <w:vAlign w:val="center"/>
          </w:tcPr>
          <w:p w14:paraId="0E12DEB0">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实践探究</w:t>
            </w:r>
          </w:p>
        </w:tc>
        <w:tc>
          <w:tcPr>
            <w:tcW w:w="1548" w:type="dxa"/>
            <w:tcMar>
              <w:top w:w="60" w:type="dxa"/>
              <w:left w:w="120" w:type="dxa"/>
              <w:bottom w:w="30" w:type="dxa"/>
              <w:right w:w="120" w:type="dxa"/>
            </w:tcMar>
            <w:vAlign w:val="center"/>
          </w:tcPr>
          <w:p w14:paraId="50675423">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60分钟</w:t>
            </w:r>
          </w:p>
        </w:tc>
        <w:tc>
          <w:tcPr>
            <w:tcW w:w="2514" w:type="dxa"/>
            <w:tcMar>
              <w:top w:w="60" w:type="dxa"/>
              <w:left w:w="120" w:type="dxa"/>
              <w:bottom w:w="30" w:type="dxa"/>
              <w:right w:w="120" w:type="dxa"/>
            </w:tcMar>
            <w:vAlign w:val="center"/>
          </w:tcPr>
          <w:p w14:paraId="418005B4">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1. 利用科技馆月相模拟实验器材，分组完成“太阳-地球-月球”三球相对运动实验，验证月相变化规律；2. 结合校园月相变化展品操作经验，讨论现有演示模型的不足（如静态展示、互动性弱等）</w:t>
            </w:r>
          </w:p>
        </w:tc>
        <w:tc>
          <w:tcPr>
            <w:tcW w:w="1650" w:type="dxa"/>
            <w:tcMar>
              <w:top w:w="60" w:type="dxa"/>
              <w:left w:w="120" w:type="dxa"/>
              <w:bottom w:w="30" w:type="dxa"/>
              <w:right w:w="120" w:type="dxa"/>
            </w:tcMar>
            <w:vAlign w:val="center"/>
          </w:tcPr>
          <w:p w14:paraId="19D81125">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泉州市科技馆实验区</w:t>
            </w:r>
          </w:p>
        </w:tc>
        <w:tc>
          <w:tcPr>
            <w:tcW w:w="1650" w:type="dxa"/>
            <w:tcMar>
              <w:top w:w="60" w:type="dxa"/>
              <w:left w:w="120" w:type="dxa"/>
              <w:bottom w:w="30" w:type="dxa"/>
              <w:right w:w="120" w:type="dxa"/>
            </w:tcMar>
            <w:vAlign w:val="center"/>
          </w:tcPr>
          <w:p w14:paraId="7B8ACA7D">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提供实验记录单，明确观察要点</w:t>
            </w:r>
          </w:p>
        </w:tc>
      </w:tr>
      <w:tr w14:paraId="3B6EE12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88" w:type="dxa"/>
            <w:tcMar>
              <w:top w:w="60" w:type="dxa"/>
              <w:left w:w="120" w:type="dxa"/>
              <w:bottom w:w="30" w:type="dxa"/>
              <w:right w:w="120" w:type="dxa"/>
            </w:tcMar>
            <w:vAlign w:val="center"/>
          </w:tcPr>
          <w:p w14:paraId="4FC65A8D">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创新设计</w:t>
            </w:r>
          </w:p>
        </w:tc>
        <w:tc>
          <w:tcPr>
            <w:tcW w:w="1548" w:type="dxa"/>
            <w:tcMar>
              <w:top w:w="60" w:type="dxa"/>
              <w:left w:w="120" w:type="dxa"/>
              <w:bottom w:w="30" w:type="dxa"/>
              <w:right w:w="120" w:type="dxa"/>
            </w:tcMar>
            <w:vAlign w:val="center"/>
          </w:tcPr>
          <w:p w14:paraId="14C266F9">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60分钟</w:t>
            </w:r>
          </w:p>
        </w:tc>
        <w:tc>
          <w:tcPr>
            <w:tcW w:w="2514" w:type="dxa"/>
            <w:tcMar>
              <w:top w:w="60" w:type="dxa"/>
              <w:left w:w="120" w:type="dxa"/>
              <w:bottom w:w="30" w:type="dxa"/>
              <w:right w:w="120" w:type="dxa"/>
            </w:tcMar>
            <w:vAlign w:val="center"/>
          </w:tcPr>
          <w:p w14:paraId="3C0CAC0C">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1. 小组 brainstorm 创新方案，确定模型改进方向（如增加自动旋转功能、光影模拟效果、数据记录模块等）；2. 利用科技馆提供的基础材料（木质支架、齿轮、LED灯、亚克力板等），完成模型核心结构制作</w:t>
            </w:r>
          </w:p>
        </w:tc>
        <w:tc>
          <w:tcPr>
            <w:tcW w:w="1650" w:type="dxa"/>
            <w:tcMar>
              <w:top w:w="60" w:type="dxa"/>
              <w:left w:w="120" w:type="dxa"/>
              <w:bottom w:w="30" w:type="dxa"/>
              <w:right w:w="120" w:type="dxa"/>
            </w:tcMar>
            <w:vAlign w:val="center"/>
          </w:tcPr>
          <w:p w14:paraId="2530D0CC">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泉州市科技馆创客空间</w:t>
            </w:r>
          </w:p>
        </w:tc>
        <w:tc>
          <w:tcPr>
            <w:tcW w:w="1650" w:type="dxa"/>
            <w:tcMar>
              <w:top w:w="60" w:type="dxa"/>
              <w:left w:w="120" w:type="dxa"/>
              <w:bottom w:w="30" w:type="dxa"/>
              <w:right w:w="120" w:type="dxa"/>
            </w:tcMar>
            <w:vAlign w:val="center"/>
          </w:tcPr>
          <w:p w14:paraId="1011495A">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辅导员提供技术指导，鼓励跨学科融合（物理+工程）</w:t>
            </w:r>
          </w:p>
        </w:tc>
      </w:tr>
      <w:tr w14:paraId="5191BF3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88" w:type="dxa"/>
            <w:tcMar>
              <w:top w:w="60" w:type="dxa"/>
              <w:left w:w="120" w:type="dxa"/>
              <w:bottom w:w="30" w:type="dxa"/>
              <w:right w:w="120" w:type="dxa"/>
            </w:tcMar>
            <w:vAlign w:val="center"/>
          </w:tcPr>
          <w:p w14:paraId="05DB13BE">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总结延伸</w:t>
            </w:r>
          </w:p>
        </w:tc>
        <w:tc>
          <w:tcPr>
            <w:tcW w:w="1548" w:type="dxa"/>
            <w:tcMar>
              <w:top w:w="60" w:type="dxa"/>
              <w:left w:w="120" w:type="dxa"/>
              <w:bottom w:w="30" w:type="dxa"/>
              <w:right w:w="120" w:type="dxa"/>
            </w:tcMar>
            <w:vAlign w:val="center"/>
          </w:tcPr>
          <w:p w14:paraId="6B9F3813">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30分钟</w:t>
            </w:r>
          </w:p>
        </w:tc>
        <w:tc>
          <w:tcPr>
            <w:tcW w:w="2514" w:type="dxa"/>
            <w:tcMar>
              <w:top w:w="60" w:type="dxa"/>
              <w:left w:w="120" w:type="dxa"/>
              <w:bottom w:w="30" w:type="dxa"/>
              <w:right w:w="120" w:type="dxa"/>
            </w:tcMar>
            <w:vAlign w:val="center"/>
          </w:tcPr>
          <w:p w14:paraId="7D01D294">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1. 小组展示模型，讲解设计思路、创新点及月相验证效果；2. 教师解读宋庆龄少年儿童发明奖参赛要求，指导学生完善实验报告，明确校园延伸任务（如持续观测真实月相，优化模型精度）</w:t>
            </w:r>
          </w:p>
        </w:tc>
        <w:tc>
          <w:tcPr>
            <w:tcW w:w="1650" w:type="dxa"/>
            <w:tcMar>
              <w:top w:w="60" w:type="dxa"/>
              <w:left w:w="120" w:type="dxa"/>
              <w:bottom w:w="30" w:type="dxa"/>
              <w:right w:w="120" w:type="dxa"/>
            </w:tcMar>
            <w:vAlign w:val="center"/>
          </w:tcPr>
          <w:p w14:paraId="634B506E">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泉州市科技馆分享区</w:t>
            </w:r>
          </w:p>
        </w:tc>
        <w:tc>
          <w:tcPr>
            <w:tcW w:w="1650" w:type="dxa"/>
            <w:tcMar>
              <w:top w:w="60" w:type="dxa"/>
              <w:left w:w="120" w:type="dxa"/>
              <w:bottom w:w="30" w:type="dxa"/>
              <w:right w:w="120" w:type="dxa"/>
            </w:tcMar>
            <w:vAlign w:val="center"/>
          </w:tcPr>
          <w:p w14:paraId="4A847D73">
            <w:pPr>
              <w:spacing w:before="120" w:after="120" w:line="288" w:lineRule="auto"/>
              <w:ind w:left="0"/>
              <w:jc w:val="center"/>
              <w:rPr>
                <w:rFonts w:hint="eastAsia" w:ascii="宋体" w:hAnsi="宋体" w:eastAsia="宋体" w:cs="宋体"/>
                <w:sz w:val="20"/>
                <w:szCs w:val="20"/>
              </w:rPr>
            </w:pPr>
            <w:r>
              <w:rPr>
                <w:rFonts w:hint="eastAsia" w:ascii="宋体" w:hAnsi="宋体" w:eastAsia="宋体" w:cs="宋体"/>
                <w:sz w:val="20"/>
                <w:szCs w:val="20"/>
              </w:rPr>
              <w:t>发放参赛指南，标注模型类作品评分要点</w:t>
            </w:r>
          </w:p>
        </w:tc>
      </w:tr>
    </w:tbl>
    <w:p w14:paraId="7EEAD4D4">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6. 参赛衔接</w:t>
      </w:r>
    </w:p>
    <w:p w14:paraId="3239C2BB">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参赛作品类型：发明创造类（实物模型+实验报告）；</w:t>
      </w:r>
    </w:p>
    <w:p w14:paraId="5858DFF8">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创新点提炼：聚焦月相演示模型的“互动性”“精准性”“便携性”改进，如设计可调节轨道的三球仪、带光影计时功能的月相盘等；</w:t>
      </w:r>
    </w:p>
    <w:p w14:paraId="353C6C2C">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校园支持：Stream教室提供3D打印、编程模块等设备，助力学生优化模型功能。</w:t>
      </w:r>
    </w:p>
    <w:p w14:paraId="5D739022">
      <w:pPr>
        <w:spacing w:before="300" w:after="120" w:line="288" w:lineRule="auto"/>
        <w:ind w:left="0"/>
        <w:jc w:val="left"/>
        <w:outlineLvl w:val="2"/>
        <w:rPr>
          <w:rFonts w:hint="eastAsia" w:ascii="宋体" w:hAnsi="宋体" w:eastAsia="宋体" w:cs="宋体"/>
          <w:sz w:val="20"/>
          <w:szCs w:val="20"/>
        </w:rPr>
      </w:pPr>
      <w:r>
        <w:rPr>
          <w:rFonts w:hint="eastAsia" w:ascii="宋体" w:hAnsi="宋体" w:eastAsia="宋体" w:cs="宋体"/>
          <w:b/>
          <w:sz w:val="20"/>
          <w:szCs w:val="20"/>
        </w:rPr>
        <w:t>活动二：《宇宙导航员——星座识别与VR场景创编》</w:t>
      </w:r>
    </w:p>
    <w:p w14:paraId="149006EC">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1. 活动主题</w:t>
      </w:r>
    </w:p>
    <w:p w14:paraId="23998D1F">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基于真实星座数据，创编VR宇宙导航场景</w:t>
      </w:r>
    </w:p>
    <w:p w14:paraId="4C210AD4">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2. 适配学段</w:t>
      </w:r>
    </w:p>
    <w:p w14:paraId="3E293054">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小学5-6年级（每组4人）</w:t>
      </w:r>
    </w:p>
    <w:p w14:paraId="7696C3E4">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3. 活动时长</w:t>
      </w:r>
    </w:p>
    <w:p w14:paraId="4C87CA91">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半天（3.5小时，含科技馆实践+VR制作）</w:t>
      </w:r>
    </w:p>
    <w:p w14:paraId="43CCDCC8">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4. 活动目标</w:t>
      </w:r>
    </w:p>
    <w:p w14:paraId="2E7FEB10">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认识88星座中的常见星座（如北斗七星、猎户座），理解星座在宇宙中的分布特征；</w:t>
      </w:r>
    </w:p>
    <w:p w14:paraId="42E98A7C">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学习基础VR场景制作逻辑，结合校园VR虚拟体验学习机操作经验，创编“星座导航”VR互动场景；</w:t>
      </w:r>
    </w:p>
    <w:p w14:paraId="22018D63">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形成VR作品+创意说明，对接宋庆龄少年儿童发明奖“信息技术类”参赛方向。</w:t>
      </w:r>
    </w:p>
    <w:p w14:paraId="56DD42AB">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5. 活动流程</w:t>
      </w:r>
    </w:p>
    <w:tbl>
      <w:tblPr>
        <w:tblStyle w:val="9"/>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77"/>
        <w:gridCol w:w="1017"/>
        <w:gridCol w:w="3056"/>
        <w:gridCol w:w="1650"/>
        <w:gridCol w:w="1650"/>
      </w:tblGrid>
      <w:tr w14:paraId="7D22E6D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77" w:type="dxa"/>
            <w:tcMar>
              <w:top w:w="60" w:type="dxa"/>
              <w:left w:w="120" w:type="dxa"/>
              <w:bottom w:w="30" w:type="dxa"/>
              <w:right w:w="120" w:type="dxa"/>
            </w:tcMar>
          </w:tcPr>
          <w:p w14:paraId="0A7AEA35">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环节</w:t>
            </w:r>
          </w:p>
        </w:tc>
        <w:tc>
          <w:tcPr>
            <w:tcW w:w="1017" w:type="dxa"/>
            <w:tcMar>
              <w:top w:w="60" w:type="dxa"/>
              <w:left w:w="120" w:type="dxa"/>
              <w:bottom w:w="30" w:type="dxa"/>
              <w:right w:w="120" w:type="dxa"/>
            </w:tcMar>
          </w:tcPr>
          <w:p w14:paraId="556EEE4C">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时长</w:t>
            </w:r>
          </w:p>
        </w:tc>
        <w:tc>
          <w:tcPr>
            <w:tcW w:w="3056" w:type="dxa"/>
            <w:tcMar>
              <w:top w:w="60" w:type="dxa"/>
              <w:left w:w="120" w:type="dxa"/>
              <w:bottom w:w="30" w:type="dxa"/>
              <w:right w:w="120" w:type="dxa"/>
            </w:tcMar>
          </w:tcPr>
          <w:p w14:paraId="2D7DFF47">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核心内容</w:t>
            </w:r>
          </w:p>
        </w:tc>
        <w:tc>
          <w:tcPr>
            <w:tcW w:w="1650" w:type="dxa"/>
            <w:tcMar>
              <w:top w:w="60" w:type="dxa"/>
              <w:left w:w="120" w:type="dxa"/>
              <w:bottom w:w="30" w:type="dxa"/>
              <w:right w:w="120" w:type="dxa"/>
            </w:tcMar>
          </w:tcPr>
          <w:p w14:paraId="0907E595">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场地</w:t>
            </w:r>
          </w:p>
        </w:tc>
        <w:tc>
          <w:tcPr>
            <w:tcW w:w="1650" w:type="dxa"/>
            <w:tcMar>
              <w:top w:w="60" w:type="dxa"/>
              <w:left w:w="120" w:type="dxa"/>
              <w:bottom w:w="30" w:type="dxa"/>
              <w:right w:w="120" w:type="dxa"/>
            </w:tcMar>
          </w:tcPr>
          <w:p w14:paraId="4D1B4216">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备注</w:t>
            </w:r>
          </w:p>
        </w:tc>
      </w:tr>
      <w:tr w14:paraId="6FA0F4B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77" w:type="dxa"/>
            <w:tcMar>
              <w:top w:w="60" w:type="dxa"/>
              <w:left w:w="120" w:type="dxa"/>
              <w:bottom w:w="30" w:type="dxa"/>
              <w:right w:w="120" w:type="dxa"/>
            </w:tcMar>
          </w:tcPr>
          <w:p w14:paraId="18215730">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星座探秘</w:t>
            </w:r>
          </w:p>
        </w:tc>
        <w:tc>
          <w:tcPr>
            <w:tcW w:w="1017" w:type="dxa"/>
            <w:tcMar>
              <w:top w:w="60" w:type="dxa"/>
              <w:left w:w="120" w:type="dxa"/>
              <w:bottom w:w="30" w:type="dxa"/>
              <w:right w:w="120" w:type="dxa"/>
            </w:tcMar>
          </w:tcPr>
          <w:p w14:paraId="4E8BC6B4">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40分钟</w:t>
            </w:r>
          </w:p>
        </w:tc>
        <w:tc>
          <w:tcPr>
            <w:tcW w:w="3056" w:type="dxa"/>
            <w:tcMar>
              <w:top w:w="60" w:type="dxa"/>
              <w:left w:w="120" w:type="dxa"/>
              <w:bottom w:w="30" w:type="dxa"/>
              <w:right w:w="120" w:type="dxa"/>
            </w:tcMar>
          </w:tcPr>
          <w:p w14:paraId="1F9C92C4">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1. 科技馆天文展区辅导员讲解星座起源、四季可见星座及导航历史；2. 利用科技馆星座观测仪，实地识别星座位置，记录星座形状、亮星特征</w:t>
            </w:r>
          </w:p>
        </w:tc>
        <w:tc>
          <w:tcPr>
            <w:tcW w:w="1650" w:type="dxa"/>
            <w:tcMar>
              <w:top w:w="60" w:type="dxa"/>
              <w:left w:w="120" w:type="dxa"/>
              <w:bottom w:w="30" w:type="dxa"/>
              <w:right w:w="120" w:type="dxa"/>
            </w:tcMar>
          </w:tcPr>
          <w:p w14:paraId="6468BFD8">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泉州市科技馆天文观测区</w:t>
            </w:r>
          </w:p>
        </w:tc>
        <w:tc>
          <w:tcPr>
            <w:tcW w:w="1650" w:type="dxa"/>
            <w:tcMar>
              <w:top w:w="60" w:type="dxa"/>
              <w:left w:w="120" w:type="dxa"/>
              <w:bottom w:w="30" w:type="dxa"/>
              <w:right w:w="120" w:type="dxa"/>
            </w:tcMar>
          </w:tcPr>
          <w:p w14:paraId="1E9E29E1">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提供星座图谱，引导学生标注关键星座坐标</w:t>
            </w:r>
          </w:p>
        </w:tc>
      </w:tr>
      <w:tr w14:paraId="4531DFA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77" w:type="dxa"/>
            <w:tcMar>
              <w:top w:w="60" w:type="dxa"/>
              <w:left w:w="120" w:type="dxa"/>
              <w:bottom w:w="30" w:type="dxa"/>
              <w:right w:w="120" w:type="dxa"/>
            </w:tcMar>
          </w:tcPr>
          <w:p w14:paraId="466E0F8F">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数据采集</w:t>
            </w:r>
          </w:p>
        </w:tc>
        <w:tc>
          <w:tcPr>
            <w:tcW w:w="1017" w:type="dxa"/>
            <w:tcMar>
              <w:top w:w="60" w:type="dxa"/>
              <w:left w:w="120" w:type="dxa"/>
              <w:bottom w:w="30" w:type="dxa"/>
              <w:right w:w="120" w:type="dxa"/>
            </w:tcMar>
          </w:tcPr>
          <w:p w14:paraId="267835BE">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50分钟</w:t>
            </w:r>
          </w:p>
        </w:tc>
        <w:tc>
          <w:tcPr>
            <w:tcW w:w="3056" w:type="dxa"/>
            <w:tcMar>
              <w:top w:w="60" w:type="dxa"/>
              <w:left w:w="120" w:type="dxa"/>
              <w:bottom w:w="30" w:type="dxa"/>
              <w:right w:w="120" w:type="dxa"/>
            </w:tcMar>
          </w:tcPr>
          <w:p w14:paraId="69D568C1">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1. 分组收集3-5个目标星座的真实数据（如恒星数量、相对位置、距离地球距离）；2. 结合校园“星座中的恒星分布”展品，验证数据准确性，讨论星座导航的核心逻辑</w:t>
            </w:r>
          </w:p>
        </w:tc>
        <w:tc>
          <w:tcPr>
            <w:tcW w:w="1650" w:type="dxa"/>
            <w:tcMar>
              <w:top w:w="60" w:type="dxa"/>
              <w:left w:w="120" w:type="dxa"/>
              <w:bottom w:w="30" w:type="dxa"/>
              <w:right w:w="120" w:type="dxa"/>
            </w:tcMar>
          </w:tcPr>
          <w:p w14:paraId="4723CFD8">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泉州市科技馆数据查询区+校园展品延伸</w:t>
            </w:r>
          </w:p>
        </w:tc>
        <w:tc>
          <w:tcPr>
            <w:tcW w:w="1650" w:type="dxa"/>
            <w:tcMar>
              <w:top w:w="60" w:type="dxa"/>
              <w:left w:w="120" w:type="dxa"/>
              <w:bottom w:w="30" w:type="dxa"/>
              <w:right w:w="120" w:type="dxa"/>
            </w:tcMar>
          </w:tcPr>
          <w:p w14:paraId="2455E749">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提供数据记录模板，确保数据严谨性</w:t>
            </w:r>
          </w:p>
        </w:tc>
      </w:tr>
      <w:tr w14:paraId="355E98C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77" w:type="dxa"/>
            <w:tcMar>
              <w:top w:w="60" w:type="dxa"/>
              <w:left w:w="120" w:type="dxa"/>
              <w:bottom w:w="30" w:type="dxa"/>
              <w:right w:w="120" w:type="dxa"/>
            </w:tcMar>
          </w:tcPr>
          <w:p w14:paraId="203A2323">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VR创编</w:t>
            </w:r>
          </w:p>
        </w:tc>
        <w:tc>
          <w:tcPr>
            <w:tcW w:w="1017" w:type="dxa"/>
            <w:tcMar>
              <w:top w:w="60" w:type="dxa"/>
              <w:left w:w="120" w:type="dxa"/>
              <w:bottom w:w="30" w:type="dxa"/>
              <w:right w:w="120" w:type="dxa"/>
            </w:tcMar>
          </w:tcPr>
          <w:p w14:paraId="64F4400E">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90分钟</w:t>
            </w:r>
          </w:p>
        </w:tc>
        <w:tc>
          <w:tcPr>
            <w:tcW w:w="3056" w:type="dxa"/>
            <w:tcMar>
              <w:top w:w="60" w:type="dxa"/>
              <w:left w:w="120" w:type="dxa"/>
              <w:bottom w:w="30" w:type="dxa"/>
              <w:right w:w="120" w:type="dxa"/>
            </w:tcMar>
          </w:tcPr>
          <w:p w14:paraId="1BD286EA">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1. 科技馆VR创客导师讲解基础VR场景制作工具（适配校园VR设备的简化版软件）；2. 小组分工完成VR场景设计：搭建星座模型、设置导航互动逻辑、添加语音讲解（介绍星座知识）</w:t>
            </w:r>
          </w:p>
        </w:tc>
        <w:tc>
          <w:tcPr>
            <w:tcW w:w="1650" w:type="dxa"/>
            <w:tcMar>
              <w:top w:w="60" w:type="dxa"/>
              <w:left w:w="120" w:type="dxa"/>
              <w:bottom w:w="30" w:type="dxa"/>
              <w:right w:w="120" w:type="dxa"/>
            </w:tcMar>
          </w:tcPr>
          <w:p w14:paraId="418110E4">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泉州市科技馆VR创客空间</w:t>
            </w:r>
          </w:p>
        </w:tc>
        <w:tc>
          <w:tcPr>
            <w:tcW w:w="1650" w:type="dxa"/>
            <w:tcMar>
              <w:top w:w="60" w:type="dxa"/>
              <w:left w:w="120" w:type="dxa"/>
              <w:bottom w:w="30" w:type="dxa"/>
              <w:right w:w="120" w:type="dxa"/>
            </w:tcMar>
          </w:tcPr>
          <w:p w14:paraId="5720F6A6">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提供软件操作手册，支持基础场景模板调用</w:t>
            </w:r>
          </w:p>
        </w:tc>
      </w:tr>
      <w:tr w14:paraId="3172E46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77" w:type="dxa"/>
            <w:tcMar>
              <w:top w:w="60" w:type="dxa"/>
              <w:left w:w="120" w:type="dxa"/>
              <w:bottom w:w="30" w:type="dxa"/>
              <w:right w:w="120" w:type="dxa"/>
            </w:tcMar>
          </w:tcPr>
          <w:p w14:paraId="32B27CC3">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作品打磨</w:t>
            </w:r>
          </w:p>
        </w:tc>
        <w:tc>
          <w:tcPr>
            <w:tcW w:w="1017" w:type="dxa"/>
            <w:tcMar>
              <w:top w:w="60" w:type="dxa"/>
              <w:left w:w="120" w:type="dxa"/>
              <w:bottom w:w="30" w:type="dxa"/>
              <w:right w:w="120" w:type="dxa"/>
            </w:tcMar>
          </w:tcPr>
          <w:p w14:paraId="5EE65017">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30分钟</w:t>
            </w:r>
          </w:p>
        </w:tc>
        <w:tc>
          <w:tcPr>
            <w:tcW w:w="3056" w:type="dxa"/>
            <w:tcMar>
              <w:top w:w="60" w:type="dxa"/>
              <w:left w:w="120" w:type="dxa"/>
              <w:bottom w:w="30" w:type="dxa"/>
              <w:right w:w="120" w:type="dxa"/>
            </w:tcMar>
          </w:tcPr>
          <w:p w14:paraId="75C5DC98">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1. 小组演示VR导航场景，接受其他小组点评，优化互动体验；2. 教师指导撰写创意说明，突出VR场景的“教育性”“创新性”“实用性”，对接参赛要求</w:t>
            </w:r>
          </w:p>
        </w:tc>
        <w:tc>
          <w:tcPr>
            <w:tcW w:w="1650" w:type="dxa"/>
            <w:tcMar>
              <w:top w:w="60" w:type="dxa"/>
              <w:left w:w="120" w:type="dxa"/>
              <w:bottom w:w="30" w:type="dxa"/>
              <w:right w:w="120" w:type="dxa"/>
            </w:tcMar>
          </w:tcPr>
          <w:p w14:paraId="4B55EF24">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泉州市科技馆展示区</w:t>
            </w:r>
          </w:p>
        </w:tc>
        <w:tc>
          <w:tcPr>
            <w:tcW w:w="1650" w:type="dxa"/>
            <w:tcMar>
              <w:top w:w="60" w:type="dxa"/>
              <w:left w:w="120" w:type="dxa"/>
              <w:bottom w:w="30" w:type="dxa"/>
              <w:right w:w="120" w:type="dxa"/>
            </w:tcMar>
          </w:tcPr>
          <w:p w14:paraId="126F8680">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明确参赛作品需包含：VR安装包、创意说明、操作视频</w:t>
            </w:r>
          </w:p>
        </w:tc>
      </w:tr>
    </w:tbl>
    <w:p w14:paraId="6F702D1C">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6. 参赛衔接</w:t>
      </w:r>
    </w:p>
    <w:p w14:paraId="4A3D988F">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参赛作品类型：信息技术类（VR作品+创意说明+操作视频）；</w:t>
      </w:r>
    </w:p>
    <w:p w14:paraId="729F33A3">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创新点提炼：聚焦VR场景的“沉浸式学习”“互动性设计”，如加入星座知识问答闯关、虚拟星座观测任务等；</w:t>
      </w:r>
    </w:p>
    <w:p w14:paraId="44C51061">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校园支持：利用Stream教室VR虚拟体验学习系统，持续优化场景细节，生成最终参赛作品。</w:t>
      </w:r>
    </w:p>
    <w:p w14:paraId="4EB1C9E8">
      <w:pPr>
        <w:spacing w:before="300" w:after="120" w:line="288" w:lineRule="auto"/>
        <w:ind w:left="0"/>
        <w:jc w:val="left"/>
        <w:outlineLvl w:val="2"/>
        <w:rPr>
          <w:rFonts w:hint="eastAsia" w:ascii="宋体" w:hAnsi="宋体" w:eastAsia="宋体" w:cs="宋体"/>
          <w:sz w:val="20"/>
          <w:szCs w:val="20"/>
        </w:rPr>
      </w:pPr>
      <w:r>
        <w:rPr>
          <w:rFonts w:hint="eastAsia" w:ascii="宋体" w:hAnsi="宋体" w:eastAsia="宋体" w:cs="宋体"/>
          <w:b/>
          <w:sz w:val="20"/>
          <w:szCs w:val="20"/>
        </w:rPr>
        <w:t>活动三：《地球守护者——天文现象与气候影响探究》</w:t>
      </w:r>
    </w:p>
    <w:p w14:paraId="28D37469">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1. 活动主题</w:t>
      </w:r>
    </w:p>
    <w:p w14:paraId="3308E9B4">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探究天文现象（如四季更替、日食月食）对地球气候的影响，设计环保应对方案</w:t>
      </w:r>
    </w:p>
    <w:p w14:paraId="787986A4">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2. 适配学段</w:t>
      </w:r>
    </w:p>
    <w:p w14:paraId="2AB5318B">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小学5-6年级（每组3-4人）</w:t>
      </w:r>
    </w:p>
    <w:p w14:paraId="68576658">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3. 活动时长</w:t>
      </w:r>
    </w:p>
    <w:p w14:paraId="28DAC02C">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半天（3小时，含科技馆实践+方案设计）</w:t>
      </w:r>
    </w:p>
    <w:p w14:paraId="1C46DC83">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4. 活动目标</w:t>
      </w:r>
    </w:p>
    <w:p w14:paraId="090B57B9">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结合科技馆“四季更替”“日食月食”展品，理解天文现象的形成机制及对地球气候的间接影响；</w:t>
      </w:r>
    </w:p>
    <w:p w14:paraId="5CE8AD39">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小组合作开展探究性实验，分析数据并设计针对性环保应对方案（如结合季节变化的校园节能方案）；</w:t>
      </w:r>
    </w:p>
    <w:p w14:paraId="2D58B361">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形成探究报告+方案原型，对接宋庆龄少年儿童发明奖“环境科学类”参赛方向。</w:t>
      </w:r>
    </w:p>
    <w:p w14:paraId="46C93E88">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5. 活动流程</w:t>
      </w:r>
    </w:p>
    <w:tbl>
      <w:tblPr>
        <w:tblStyle w:val="9"/>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046"/>
        <w:gridCol w:w="1006"/>
        <w:gridCol w:w="2898"/>
        <w:gridCol w:w="1650"/>
        <w:gridCol w:w="1650"/>
      </w:tblGrid>
      <w:tr w14:paraId="61C1D4B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46" w:type="dxa"/>
            <w:tcMar>
              <w:top w:w="60" w:type="dxa"/>
              <w:left w:w="120" w:type="dxa"/>
              <w:bottom w:w="30" w:type="dxa"/>
              <w:right w:w="120" w:type="dxa"/>
            </w:tcMar>
          </w:tcPr>
          <w:p w14:paraId="0D1FF875">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环节</w:t>
            </w:r>
          </w:p>
        </w:tc>
        <w:tc>
          <w:tcPr>
            <w:tcW w:w="1006" w:type="dxa"/>
            <w:tcMar>
              <w:top w:w="60" w:type="dxa"/>
              <w:left w:w="120" w:type="dxa"/>
              <w:bottom w:w="30" w:type="dxa"/>
              <w:right w:w="120" w:type="dxa"/>
            </w:tcMar>
          </w:tcPr>
          <w:p w14:paraId="5BE5775F">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时长</w:t>
            </w:r>
          </w:p>
        </w:tc>
        <w:tc>
          <w:tcPr>
            <w:tcW w:w="2898" w:type="dxa"/>
            <w:tcMar>
              <w:top w:w="60" w:type="dxa"/>
              <w:left w:w="120" w:type="dxa"/>
              <w:bottom w:w="30" w:type="dxa"/>
              <w:right w:w="120" w:type="dxa"/>
            </w:tcMar>
          </w:tcPr>
          <w:p w14:paraId="778246AB">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核心内容</w:t>
            </w:r>
          </w:p>
        </w:tc>
        <w:tc>
          <w:tcPr>
            <w:tcW w:w="1650" w:type="dxa"/>
            <w:tcMar>
              <w:top w:w="60" w:type="dxa"/>
              <w:left w:w="120" w:type="dxa"/>
              <w:bottom w:w="30" w:type="dxa"/>
              <w:right w:w="120" w:type="dxa"/>
            </w:tcMar>
          </w:tcPr>
          <w:p w14:paraId="144EA1AE">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场地</w:t>
            </w:r>
          </w:p>
        </w:tc>
        <w:tc>
          <w:tcPr>
            <w:tcW w:w="1650" w:type="dxa"/>
            <w:tcMar>
              <w:top w:w="60" w:type="dxa"/>
              <w:left w:w="120" w:type="dxa"/>
              <w:bottom w:w="30" w:type="dxa"/>
              <w:right w:w="120" w:type="dxa"/>
            </w:tcMar>
          </w:tcPr>
          <w:p w14:paraId="637C6841">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备注</w:t>
            </w:r>
          </w:p>
        </w:tc>
      </w:tr>
      <w:tr w14:paraId="36F2C11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46" w:type="dxa"/>
            <w:tcMar>
              <w:top w:w="60" w:type="dxa"/>
              <w:left w:w="120" w:type="dxa"/>
              <w:bottom w:w="30" w:type="dxa"/>
              <w:right w:w="120" w:type="dxa"/>
            </w:tcMar>
          </w:tcPr>
          <w:p w14:paraId="5D7E85A2">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现象探究</w:t>
            </w:r>
          </w:p>
        </w:tc>
        <w:tc>
          <w:tcPr>
            <w:tcW w:w="1006" w:type="dxa"/>
            <w:tcMar>
              <w:top w:w="60" w:type="dxa"/>
              <w:left w:w="120" w:type="dxa"/>
              <w:bottom w:w="30" w:type="dxa"/>
              <w:right w:w="120" w:type="dxa"/>
            </w:tcMar>
          </w:tcPr>
          <w:p w14:paraId="4D23C831">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40分钟</w:t>
            </w:r>
          </w:p>
        </w:tc>
        <w:tc>
          <w:tcPr>
            <w:tcW w:w="2898" w:type="dxa"/>
            <w:tcMar>
              <w:top w:w="60" w:type="dxa"/>
              <w:left w:w="120" w:type="dxa"/>
              <w:bottom w:w="30" w:type="dxa"/>
              <w:right w:w="120" w:type="dxa"/>
            </w:tcMar>
          </w:tcPr>
          <w:p w14:paraId="72FB5DC7">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1. 科技馆辅导员讲解四季更替、日食月食等天文现象的科学原理；2. 分组操作科技馆互动展品，模拟不同天文现象，观察地球温度、光照等变化数据</w:t>
            </w:r>
          </w:p>
        </w:tc>
        <w:tc>
          <w:tcPr>
            <w:tcW w:w="1650" w:type="dxa"/>
            <w:tcMar>
              <w:top w:w="60" w:type="dxa"/>
              <w:left w:w="120" w:type="dxa"/>
              <w:bottom w:w="30" w:type="dxa"/>
              <w:right w:w="120" w:type="dxa"/>
            </w:tcMar>
          </w:tcPr>
          <w:p w14:paraId="29C7EEB2">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泉州市科技馆地球科学展区</w:t>
            </w:r>
          </w:p>
        </w:tc>
        <w:tc>
          <w:tcPr>
            <w:tcW w:w="1650" w:type="dxa"/>
            <w:tcMar>
              <w:top w:w="60" w:type="dxa"/>
              <w:left w:w="120" w:type="dxa"/>
              <w:bottom w:w="30" w:type="dxa"/>
              <w:right w:w="120" w:type="dxa"/>
            </w:tcMar>
          </w:tcPr>
          <w:p w14:paraId="6C6AB887">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提供数据记录表，引导学生对比分析</w:t>
            </w:r>
          </w:p>
        </w:tc>
      </w:tr>
      <w:tr w14:paraId="3F29E38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46" w:type="dxa"/>
            <w:tcMar>
              <w:top w:w="60" w:type="dxa"/>
              <w:left w:w="120" w:type="dxa"/>
              <w:bottom w:w="30" w:type="dxa"/>
              <w:right w:w="120" w:type="dxa"/>
            </w:tcMar>
          </w:tcPr>
          <w:p w14:paraId="168B0D26">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实验设计</w:t>
            </w:r>
          </w:p>
        </w:tc>
        <w:tc>
          <w:tcPr>
            <w:tcW w:w="1006" w:type="dxa"/>
            <w:tcMar>
              <w:top w:w="60" w:type="dxa"/>
              <w:left w:w="120" w:type="dxa"/>
              <w:bottom w:w="30" w:type="dxa"/>
              <w:right w:w="120" w:type="dxa"/>
            </w:tcMar>
          </w:tcPr>
          <w:p w14:paraId="6BFF62DF">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60分钟</w:t>
            </w:r>
          </w:p>
        </w:tc>
        <w:tc>
          <w:tcPr>
            <w:tcW w:w="2898" w:type="dxa"/>
            <w:tcMar>
              <w:top w:w="60" w:type="dxa"/>
              <w:left w:w="120" w:type="dxa"/>
              <w:bottom w:w="30" w:type="dxa"/>
              <w:right w:w="120" w:type="dxa"/>
            </w:tcMar>
          </w:tcPr>
          <w:p w14:paraId="08B7471B">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1. 结合校园“走过四季”展品操作经验，确定探究课题（如“不同季节日照时长对校园能耗的影响”）；2. 利用科技馆提供的实验器材（温度计、光照传感器、计时器等），开展分组实验，收集数据</w:t>
            </w:r>
          </w:p>
        </w:tc>
        <w:tc>
          <w:tcPr>
            <w:tcW w:w="1650" w:type="dxa"/>
            <w:tcMar>
              <w:top w:w="60" w:type="dxa"/>
              <w:left w:w="120" w:type="dxa"/>
              <w:bottom w:w="30" w:type="dxa"/>
              <w:right w:w="120" w:type="dxa"/>
            </w:tcMar>
          </w:tcPr>
          <w:p w14:paraId="2B1FB9DF">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泉州市科技馆实验区</w:t>
            </w:r>
          </w:p>
        </w:tc>
        <w:tc>
          <w:tcPr>
            <w:tcW w:w="1650" w:type="dxa"/>
            <w:tcMar>
              <w:top w:w="60" w:type="dxa"/>
              <w:left w:w="120" w:type="dxa"/>
              <w:bottom w:w="30" w:type="dxa"/>
              <w:right w:w="120" w:type="dxa"/>
            </w:tcMar>
          </w:tcPr>
          <w:p w14:paraId="1CB2DE27">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教师指导实验变量控制，确保实验科学性</w:t>
            </w:r>
          </w:p>
        </w:tc>
      </w:tr>
      <w:tr w14:paraId="66AB7257">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46" w:type="dxa"/>
            <w:tcMar>
              <w:top w:w="60" w:type="dxa"/>
              <w:left w:w="120" w:type="dxa"/>
              <w:bottom w:w="30" w:type="dxa"/>
              <w:right w:w="120" w:type="dxa"/>
            </w:tcMar>
          </w:tcPr>
          <w:p w14:paraId="75AC0675">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方案创作</w:t>
            </w:r>
          </w:p>
        </w:tc>
        <w:tc>
          <w:tcPr>
            <w:tcW w:w="1006" w:type="dxa"/>
            <w:tcMar>
              <w:top w:w="60" w:type="dxa"/>
              <w:left w:w="120" w:type="dxa"/>
              <w:bottom w:w="30" w:type="dxa"/>
              <w:right w:w="120" w:type="dxa"/>
            </w:tcMar>
          </w:tcPr>
          <w:p w14:paraId="53CAFDE6">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50分钟</w:t>
            </w:r>
          </w:p>
        </w:tc>
        <w:tc>
          <w:tcPr>
            <w:tcW w:w="2898" w:type="dxa"/>
            <w:tcMar>
              <w:top w:w="60" w:type="dxa"/>
              <w:left w:w="120" w:type="dxa"/>
              <w:bottom w:w="30" w:type="dxa"/>
              <w:right w:w="120" w:type="dxa"/>
            </w:tcMar>
          </w:tcPr>
          <w:p w14:paraId="56B7AF3F">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1. 分析实验数据，讨论天文现象对气候的具体影响；2. 设计环保应对方案，如“基于四季日照变化的校园太阳能利用方案”“日食期间的校园节能预案”等，制作方案原型（可结合手工材料、编程模块）</w:t>
            </w:r>
          </w:p>
        </w:tc>
        <w:tc>
          <w:tcPr>
            <w:tcW w:w="1650" w:type="dxa"/>
            <w:tcMar>
              <w:top w:w="60" w:type="dxa"/>
              <w:left w:w="120" w:type="dxa"/>
              <w:bottom w:w="30" w:type="dxa"/>
              <w:right w:w="120" w:type="dxa"/>
            </w:tcMar>
          </w:tcPr>
          <w:p w14:paraId="0DD392AC">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泉州市科技馆创客空间</w:t>
            </w:r>
          </w:p>
        </w:tc>
        <w:tc>
          <w:tcPr>
            <w:tcW w:w="1650" w:type="dxa"/>
            <w:tcMar>
              <w:top w:w="60" w:type="dxa"/>
              <w:left w:w="120" w:type="dxa"/>
              <w:bottom w:w="30" w:type="dxa"/>
              <w:right w:w="120" w:type="dxa"/>
            </w:tcMar>
          </w:tcPr>
          <w:p w14:paraId="56EBB837">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鼓励方案兼具创新性与可行性</w:t>
            </w:r>
          </w:p>
        </w:tc>
      </w:tr>
      <w:tr w14:paraId="778F5F2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46" w:type="dxa"/>
            <w:tcMar>
              <w:top w:w="60" w:type="dxa"/>
              <w:left w:w="120" w:type="dxa"/>
              <w:bottom w:w="30" w:type="dxa"/>
              <w:right w:w="120" w:type="dxa"/>
            </w:tcMar>
          </w:tcPr>
          <w:p w14:paraId="522045DB">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参赛指导</w:t>
            </w:r>
          </w:p>
        </w:tc>
        <w:tc>
          <w:tcPr>
            <w:tcW w:w="1006" w:type="dxa"/>
            <w:tcMar>
              <w:top w:w="60" w:type="dxa"/>
              <w:left w:w="120" w:type="dxa"/>
              <w:bottom w:w="30" w:type="dxa"/>
              <w:right w:w="120" w:type="dxa"/>
            </w:tcMar>
          </w:tcPr>
          <w:p w14:paraId="182E21B7">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30分钟</w:t>
            </w:r>
          </w:p>
        </w:tc>
        <w:tc>
          <w:tcPr>
            <w:tcW w:w="2898" w:type="dxa"/>
            <w:tcMar>
              <w:top w:w="60" w:type="dxa"/>
              <w:left w:w="120" w:type="dxa"/>
              <w:bottom w:w="30" w:type="dxa"/>
              <w:right w:w="120" w:type="dxa"/>
            </w:tcMar>
          </w:tcPr>
          <w:p w14:paraId="7AD2AA1C">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1. 小组展示探究报告与方案原型，接受点评；2. 教师解读参赛要求，指导完善报告结构（含问题提出、实验设计、数据论证、方案创新点）</w:t>
            </w:r>
          </w:p>
        </w:tc>
        <w:tc>
          <w:tcPr>
            <w:tcW w:w="1650" w:type="dxa"/>
            <w:tcMar>
              <w:top w:w="60" w:type="dxa"/>
              <w:left w:w="120" w:type="dxa"/>
              <w:bottom w:w="30" w:type="dxa"/>
              <w:right w:w="120" w:type="dxa"/>
            </w:tcMar>
          </w:tcPr>
          <w:p w14:paraId="4D205817">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泉州市科技馆分享区</w:t>
            </w:r>
          </w:p>
        </w:tc>
        <w:tc>
          <w:tcPr>
            <w:tcW w:w="1650" w:type="dxa"/>
            <w:tcMar>
              <w:top w:w="60" w:type="dxa"/>
              <w:left w:w="120" w:type="dxa"/>
              <w:bottom w:w="30" w:type="dxa"/>
              <w:right w:w="120" w:type="dxa"/>
            </w:tcMar>
          </w:tcPr>
          <w:p w14:paraId="05320475">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提供参赛报告模板，标注环境科学类作品评分标准</w:t>
            </w:r>
          </w:p>
        </w:tc>
      </w:tr>
    </w:tbl>
    <w:p w14:paraId="7EDA1776">
      <w:pPr>
        <w:numPr>
          <w:ilvl w:val="0"/>
          <w:numId w:val="237"/>
        </w:numPr>
        <w:spacing w:before="260" w:after="120" w:line="288" w:lineRule="auto"/>
        <w:ind w:left="0"/>
        <w:jc w:val="left"/>
        <w:outlineLvl w:val="3"/>
        <w:rPr>
          <w:rFonts w:hint="eastAsia" w:ascii="宋体" w:hAnsi="宋体" w:eastAsia="宋体" w:cs="宋体"/>
          <w:b/>
          <w:sz w:val="20"/>
          <w:szCs w:val="20"/>
        </w:rPr>
      </w:pPr>
      <w:r>
        <w:rPr>
          <w:rFonts w:hint="eastAsia" w:ascii="宋体" w:hAnsi="宋体" w:eastAsia="宋体" w:cs="宋体"/>
          <w:b/>
          <w:sz w:val="20"/>
          <w:szCs w:val="20"/>
        </w:rPr>
        <w:t>参赛衔接</w:t>
      </w:r>
    </w:p>
    <w:p w14:paraId="2F3993D5">
      <w:pPr>
        <w:numPr>
          <w:ilvl w:val="0"/>
          <w:numId w:val="0"/>
        </w:numPr>
        <w:spacing w:before="260" w:after="120" w:line="288" w:lineRule="auto"/>
        <w:jc w:val="left"/>
        <w:outlineLvl w:val="3"/>
        <w:rPr>
          <w:rFonts w:hint="eastAsia" w:ascii="宋体" w:hAnsi="宋体" w:eastAsia="宋体" w:cs="宋体"/>
          <w:sz w:val="20"/>
          <w:szCs w:val="20"/>
        </w:rPr>
      </w:pPr>
      <w:r>
        <w:rPr>
          <w:rFonts w:hint="eastAsia" w:ascii="宋体" w:hAnsi="宋体" w:eastAsia="宋体" w:cs="宋体"/>
          <w:sz w:val="20"/>
          <w:szCs w:val="20"/>
        </w:rPr>
        <w:t>参赛作品类型：环境科学类（探究报告+方案原型+演示视频）；</w:t>
      </w:r>
    </w:p>
    <w:p w14:paraId="23ABD211">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创新点提炼：聚焦“天文现象与日常环境”的关联，方案需体现青少年视角的独特思考，如设计可自动调节的校园日照节能装置；</w:t>
      </w:r>
    </w:p>
    <w:p w14:paraId="1DBB75C4">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校园支持：利用Stream教室科学探究实验套装、编程教学套装，优化方案原型的可操作性。</w:t>
      </w:r>
    </w:p>
    <w:p w14:paraId="714D88A7">
      <w:pPr>
        <w:spacing w:before="300" w:after="120" w:line="288" w:lineRule="auto"/>
        <w:ind w:left="0"/>
        <w:jc w:val="left"/>
        <w:outlineLvl w:val="2"/>
        <w:rPr>
          <w:rFonts w:hint="eastAsia" w:ascii="宋体" w:hAnsi="宋体" w:eastAsia="宋体" w:cs="宋体"/>
          <w:sz w:val="20"/>
          <w:szCs w:val="20"/>
        </w:rPr>
      </w:pPr>
      <w:r>
        <w:rPr>
          <w:rFonts w:hint="eastAsia" w:ascii="宋体" w:hAnsi="宋体" w:eastAsia="宋体" w:cs="宋体"/>
          <w:b/>
          <w:sz w:val="20"/>
          <w:szCs w:val="20"/>
        </w:rPr>
        <w:t>活动四：《星际工程师——航天模型创新与任务模拟》</w:t>
      </w:r>
    </w:p>
    <w:p w14:paraId="35431775">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1. 活动主题</w:t>
      </w:r>
    </w:p>
    <w:p w14:paraId="05FA937D">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基于真实航天知识，创新航天模型并模拟星际探测任务</w:t>
      </w:r>
    </w:p>
    <w:p w14:paraId="1594160C">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2. 适配学段</w:t>
      </w:r>
    </w:p>
    <w:p w14:paraId="4ED50C1C">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小学6年级（每组4人）</w:t>
      </w:r>
    </w:p>
    <w:p w14:paraId="7ECC774B">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3. 活动时长</w:t>
      </w:r>
    </w:p>
    <w:p w14:paraId="1BBF94B3">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半天（3.5小时，含科技馆实践+任务模拟）</w:t>
      </w:r>
    </w:p>
    <w:p w14:paraId="2ED357F0">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4. 活动目标</w:t>
      </w:r>
    </w:p>
    <w:p w14:paraId="365F88E2">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了解航天器（如火箭、探测器）的基本结构与星际探测原理；</w:t>
      </w:r>
    </w:p>
    <w:p w14:paraId="7800D7F4">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小组合作创新设计航天模型（如月球探测器、火星车），并模拟星际探测任务；</w:t>
      </w:r>
    </w:p>
    <w:p w14:paraId="01CE98A3">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形成模型实物+任务模拟视频，对接宋庆龄少年儿童发明奖“工程技术类”参赛方向。</w:t>
      </w:r>
    </w:p>
    <w:p w14:paraId="21492610">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5. 活动流程</w:t>
      </w:r>
    </w:p>
    <w:tbl>
      <w:tblPr>
        <w:tblStyle w:val="9"/>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911"/>
        <w:gridCol w:w="949"/>
        <w:gridCol w:w="3090"/>
        <w:gridCol w:w="1650"/>
        <w:gridCol w:w="1650"/>
      </w:tblGrid>
      <w:tr w14:paraId="0E74C6A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911" w:type="dxa"/>
            <w:tcMar>
              <w:top w:w="60" w:type="dxa"/>
              <w:left w:w="120" w:type="dxa"/>
              <w:bottom w:w="30" w:type="dxa"/>
              <w:right w:w="120" w:type="dxa"/>
            </w:tcMar>
          </w:tcPr>
          <w:p w14:paraId="4247F44C">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环节</w:t>
            </w:r>
          </w:p>
        </w:tc>
        <w:tc>
          <w:tcPr>
            <w:tcW w:w="949" w:type="dxa"/>
            <w:tcMar>
              <w:top w:w="60" w:type="dxa"/>
              <w:left w:w="120" w:type="dxa"/>
              <w:bottom w:w="30" w:type="dxa"/>
              <w:right w:w="120" w:type="dxa"/>
            </w:tcMar>
          </w:tcPr>
          <w:p w14:paraId="3447355D">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时长</w:t>
            </w:r>
          </w:p>
        </w:tc>
        <w:tc>
          <w:tcPr>
            <w:tcW w:w="3090" w:type="dxa"/>
            <w:tcMar>
              <w:top w:w="60" w:type="dxa"/>
              <w:left w:w="120" w:type="dxa"/>
              <w:bottom w:w="30" w:type="dxa"/>
              <w:right w:w="120" w:type="dxa"/>
            </w:tcMar>
          </w:tcPr>
          <w:p w14:paraId="2C179725">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核心内容</w:t>
            </w:r>
          </w:p>
        </w:tc>
        <w:tc>
          <w:tcPr>
            <w:tcW w:w="1650" w:type="dxa"/>
            <w:tcMar>
              <w:top w:w="60" w:type="dxa"/>
              <w:left w:w="120" w:type="dxa"/>
              <w:bottom w:w="30" w:type="dxa"/>
              <w:right w:w="120" w:type="dxa"/>
            </w:tcMar>
          </w:tcPr>
          <w:p w14:paraId="49157781">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场地</w:t>
            </w:r>
          </w:p>
        </w:tc>
        <w:tc>
          <w:tcPr>
            <w:tcW w:w="1650" w:type="dxa"/>
            <w:tcMar>
              <w:top w:w="60" w:type="dxa"/>
              <w:left w:w="120" w:type="dxa"/>
              <w:bottom w:w="30" w:type="dxa"/>
              <w:right w:w="120" w:type="dxa"/>
            </w:tcMar>
          </w:tcPr>
          <w:p w14:paraId="3915AF26">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备注</w:t>
            </w:r>
          </w:p>
        </w:tc>
      </w:tr>
      <w:tr w14:paraId="3518DBB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911" w:type="dxa"/>
            <w:tcMar>
              <w:top w:w="60" w:type="dxa"/>
              <w:left w:w="120" w:type="dxa"/>
              <w:bottom w:w="30" w:type="dxa"/>
              <w:right w:w="120" w:type="dxa"/>
            </w:tcMar>
          </w:tcPr>
          <w:p w14:paraId="3F33FEDA">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航天探秘</w:t>
            </w:r>
          </w:p>
        </w:tc>
        <w:tc>
          <w:tcPr>
            <w:tcW w:w="949" w:type="dxa"/>
            <w:tcMar>
              <w:top w:w="60" w:type="dxa"/>
              <w:left w:w="120" w:type="dxa"/>
              <w:bottom w:w="30" w:type="dxa"/>
              <w:right w:w="120" w:type="dxa"/>
            </w:tcMar>
          </w:tcPr>
          <w:p w14:paraId="5C68D58F">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40分钟</w:t>
            </w:r>
          </w:p>
        </w:tc>
        <w:tc>
          <w:tcPr>
            <w:tcW w:w="3090" w:type="dxa"/>
            <w:tcMar>
              <w:top w:w="60" w:type="dxa"/>
              <w:left w:w="120" w:type="dxa"/>
              <w:bottom w:w="30" w:type="dxa"/>
              <w:right w:w="120" w:type="dxa"/>
            </w:tcMar>
          </w:tcPr>
          <w:p w14:paraId="5749397A">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1. 科技馆航天展区辅导员讲解火箭发射原理、月球/火星探测任务历程；2. 参观科技馆航天器模型展品，观察结构设计细节，记录关键技术要点</w:t>
            </w:r>
          </w:p>
        </w:tc>
        <w:tc>
          <w:tcPr>
            <w:tcW w:w="1650" w:type="dxa"/>
            <w:tcMar>
              <w:top w:w="60" w:type="dxa"/>
              <w:left w:w="120" w:type="dxa"/>
              <w:bottom w:w="30" w:type="dxa"/>
              <w:right w:w="120" w:type="dxa"/>
            </w:tcMar>
          </w:tcPr>
          <w:p w14:paraId="4B9BFDAD">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泉州市科技馆航天展区</w:t>
            </w:r>
          </w:p>
        </w:tc>
        <w:tc>
          <w:tcPr>
            <w:tcW w:w="1650" w:type="dxa"/>
            <w:tcMar>
              <w:top w:w="60" w:type="dxa"/>
              <w:left w:w="120" w:type="dxa"/>
              <w:bottom w:w="30" w:type="dxa"/>
              <w:right w:w="120" w:type="dxa"/>
            </w:tcMar>
          </w:tcPr>
          <w:p w14:paraId="7A6FF17D">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提供航天器结构分解图，引导学生分析设计逻辑</w:t>
            </w:r>
          </w:p>
        </w:tc>
      </w:tr>
      <w:tr w14:paraId="06EE401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911" w:type="dxa"/>
            <w:tcMar>
              <w:top w:w="60" w:type="dxa"/>
              <w:left w:w="120" w:type="dxa"/>
              <w:bottom w:w="30" w:type="dxa"/>
              <w:right w:w="120" w:type="dxa"/>
            </w:tcMar>
          </w:tcPr>
          <w:p w14:paraId="55276B15">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模型设计</w:t>
            </w:r>
          </w:p>
        </w:tc>
        <w:tc>
          <w:tcPr>
            <w:tcW w:w="949" w:type="dxa"/>
            <w:tcMar>
              <w:top w:w="60" w:type="dxa"/>
              <w:left w:w="120" w:type="dxa"/>
              <w:bottom w:w="30" w:type="dxa"/>
              <w:right w:w="120" w:type="dxa"/>
            </w:tcMar>
          </w:tcPr>
          <w:p w14:paraId="76114F37">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70分钟</w:t>
            </w:r>
          </w:p>
        </w:tc>
        <w:tc>
          <w:tcPr>
            <w:tcW w:w="3090" w:type="dxa"/>
            <w:tcMar>
              <w:top w:w="60" w:type="dxa"/>
              <w:left w:w="120" w:type="dxa"/>
              <w:bottom w:w="30" w:type="dxa"/>
              <w:right w:w="120" w:type="dxa"/>
            </w:tcMar>
          </w:tcPr>
          <w:p w14:paraId="00C03ED2">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1. 结合校园“火箭发射”VR课程体验，确定模型创新方向（如“可回收火箭”“多功能月球探测器”）；2. 利用科技馆创客空间材料（木质板材、电机、传感器、3D打印件等），完成模型结构制作与功能调试</w:t>
            </w:r>
          </w:p>
        </w:tc>
        <w:tc>
          <w:tcPr>
            <w:tcW w:w="1650" w:type="dxa"/>
            <w:tcMar>
              <w:top w:w="60" w:type="dxa"/>
              <w:left w:w="120" w:type="dxa"/>
              <w:bottom w:w="30" w:type="dxa"/>
              <w:right w:w="120" w:type="dxa"/>
            </w:tcMar>
          </w:tcPr>
          <w:p w14:paraId="700CBA0F">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泉州市科技馆创客空间</w:t>
            </w:r>
          </w:p>
        </w:tc>
        <w:tc>
          <w:tcPr>
            <w:tcW w:w="1650" w:type="dxa"/>
            <w:tcMar>
              <w:top w:w="60" w:type="dxa"/>
              <w:left w:w="120" w:type="dxa"/>
              <w:bottom w:w="30" w:type="dxa"/>
              <w:right w:w="120" w:type="dxa"/>
            </w:tcMar>
          </w:tcPr>
          <w:p w14:paraId="55798F2A">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支持结合编程模块，实现模型自动避障、数据传输等功能</w:t>
            </w:r>
          </w:p>
        </w:tc>
      </w:tr>
      <w:tr w14:paraId="008807F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911" w:type="dxa"/>
            <w:tcMar>
              <w:top w:w="60" w:type="dxa"/>
              <w:left w:w="120" w:type="dxa"/>
              <w:bottom w:w="30" w:type="dxa"/>
              <w:right w:w="120" w:type="dxa"/>
            </w:tcMar>
          </w:tcPr>
          <w:p w14:paraId="6F829AAC">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任务模拟</w:t>
            </w:r>
          </w:p>
        </w:tc>
        <w:tc>
          <w:tcPr>
            <w:tcW w:w="949" w:type="dxa"/>
            <w:tcMar>
              <w:top w:w="60" w:type="dxa"/>
              <w:left w:w="120" w:type="dxa"/>
              <w:bottom w:w="30" w:type="dxa"/>
              <w:right w:w="120" w:type="dxa"/>
            </w:tcMar>
          </w:tcPr>
          <w:p w14:paraId="0BB39F52">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60分钟</w:t>
            </w:r>
          </w:p>
        </w:tc>
        <w:tc>
          <w:tcPr>
            <w:tcW w:w="3090" w:type="dxa"/>
            <w:tcMar>
              <w:top w:w="60" w:type="dxa"/>
              <w:left w:w="120" w:type="dxa"/>
              <w:bottom w:w="30" w:type="dxa"/>
              <w:right w:w="120" w:type="dxa"/>
            </w:tcMar>
          </w:tcPr>
          <w:p w14:paraId="30EEAF67">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1. 利用科技馆“星际探测模拟区”，设置探测任务（如“月球样本采集”“火星地形探测”）；2. 小组操作模型完成任务，记录任务过程、数据及遇到的问题，优化模型性能</w:t>
            </w:r>
          </w:p>
        </w:tc>
        <w:tc>
          <w:tcPr>
            <w:tcW w:w="1650" w:type="dxa"/>
            <w:tcMar>
              <w:top w:w="60" w:type="dxa"/>
              <w:left w:w="120" w:type="dxa"/>
              <w:bottom w:w="30" w:type="dxa"/>
              <w:right w:w="120" w:type="dxa"/>
            </w:tcMar>
          </w:tcPr>
          <w:p w14:paraId="365270FF">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泉州市科技馆模拟体验区</w:t>
            </w:r>
          </w:p>
        </w:tc>
        <w:tc>
          <w:tcPr>
            <w:tcW w:w="1650" w:type="dxa"/>
            <w:tcMar>
              <w:top w:w="60" w:type="dxa"/>
              <w:left w:w="120" w:type="dxa"/>
              <w:bottom w:w="30" w:type="dxa"/>
              <w:right w:w="120" w:type="dxa"/>
            </w:tcMar>
          </w:tcPr>
          <w:p w14:paraId="6BBCF30D">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提供任务评分表，从“完成度、效率、模型稳定性”打分</w:t>
            </w:r>
          </w:p>
        </w:tc>
      </w:tr>
      <w:tr w14:paraId="1991B4F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911" w:type="dxa"/>
            <w:tcMar>
              <w:top w:w="60" w:type="dxa"/>
              <w:left w:w="120" w:type="dxa"/>
              <w:bottom w:w="30" w:type="dxa"/>
              <w:right w:w="120" w:type="dxa"/>
            </w:tcMar>
          </w:tcPr>
          <w:p w14:paraId="36A74B08">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参赛打磨</w:t>
            </w:r>
          </w:p>
        </w:tc>
        <w:tc>
          <w:tcPr>
            <w:tcW w:w="949" w:type="dxa"/>
            <w:tcMar>
              <w:top w:w="60" w:type="dxa"/>
              <w:left w:w="120" w:type="dxa"/>
              <w:bottom w:w="30" w:type="dxa"/>
              <w:right w:w="120" w:type="dxa"/>
            </w:tcMar>
          </w:tcPr>
          <w:p w14:paraId="3CE01015">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40分钟</w:t>
            </w:r>
          </w:p>
        </w:tc>
        <w:tc>
          <w:tcPr>
            <w:tcW w:w="3090" w:type="dxa"/>
            <w:tcMar>
              <w:top w:w="60" w:type="dxa"/>
              <w:left w:w="120" w:type="dxa"/>
              <w:bottom w:w="30" w:type="dxa"/>
              <w:right w:w="120" w:type="dxa"/>
            </w:tcMar>
          </w:tcPr>
          <w:p w14:paraId="0EA0A703">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1. 小组展示模型实物与任务模拟视频，讲解创新点（如结构优化、功能拓展、能耗控制）；2. 教师指导撰写参赛说明，突出模型的“创新性、实用性、科学性”，对接参赛要求</w:t>
            </w:r>
          </w:p>
        </w:tc>
        <w:tc>
          <w:tcPr>
            <w:tcW w:w="1650" w:type="dxa"/>
            <w:tcMar>
              <w:top w:w="60" w:type="dxa"/>
              <w:left w:w="120" w:type="dxa"/>
              <w:bottom w:w="30" w:type="dxa"/>
              <w:right w:w="120" w:type="dxa"/>
            </w:tcMar>
          </w:tcPr>
          <w:p w14:paraId="7A6A86B5">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泉州市科技馆展示区</w:t>
            </w:r>
          </w:p>
        </w:tc>
        <w:tc>
          <w:tcPr>
            <w:tcW w:w="1650" w:type="dxa"/>
            <w:tcMar>
              <w:top w:w="60" w:type="dxa"/>
              <w:left w:w="120" w:type="dxa"/>
              <w:bottom w:w="30" w:type="dxa"/>
              <w:right w:w="120" w:type="dxa"/>
            </w:tcMar>
          </w:tcPr>
          <w:p w14:paraId="03960AB1">
            <w:pPr>
              <w:spacing w:before="120" w:after="120" w:line="288" w:lineRule="auto"/>
              <w:ind w:left="0"/>
              <w:jc w:val="left"/>
              <w:rPr>
                <w:rFonts w:hint="eastAsia" w:ascii="宋体" w:hAnsi="宋体" w:eastAsia="宋体" w:cs="宋体"/>
                <w:sz w:val="20"/>
                <w:szCs w:val="20"/>
              </w:rPr>
            </w:pPr>
            <w:r>
              <w:rPr>
                <w:rFonts w:hint="eastAsia" w:ascii="宋体" w:hAnsi="宋体" w:eastAsia="宋体" w:cs="宋体"/>
                <w:sz w:val="20"/>
                <w:szCs w:val="20"/>
              </w:rPr>
              <w:t>协助拍摄模型演示视频，完善参赛材料包</w:t>
            </w:r>
          </w:p>
        </w:tc>
      </w:tr>
    </w:tbl>
    <w:p w14:paraId="63FAD7C8">
      <w:pPr>
        <w:spacing w:before="260" w:after="120" w:line="288" w:lineRule="auto"/>
        <w:ind w:left="0"/>
        <w:jc w:val="left"/>
        <w:outlineLvl w:val="3"/>
        <w:rPr>
          <w:rFonts w:hint="eastAsia" w:ascii="宋体" w:hAnsi="宋体" w:eastAsia="宋体" w:cs="宋体"/>
          <w:sz w:val="20"/>
          <w:szCs w:val="20"/>
        </w:rPr>
      </w:pPr>
      <w:r>
        <w:rPr>
          <w:rFonts w:hint="eastAsia" w:ascii="宋体" w:hAnsi="宋体" w:eastAsia="宋体" w:cs="宋体"/>
          <w:b/>
          <w:sz w:val="20"/>
          <w:szCs w:val="20"/>
        </w:rPr>
        <w:t>6. 参赛衔接</w:t>
      </w:r>
    </w:p>
    <w:p w14:paraId="2BB993A8">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参赛作品类型：工程技术类（模型实物+参赛说明+模拟视频）；</w:t>
      </w:r>
    </w:p>
    <w:p w14:paraId="644E56F5">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创新点提炼：聚焦航天模型的“功能创新”“结构优化”，如设计可折叠的月球探测器、带环境监测功能的火星车；</w:t>
      </w:r>
    </w:p>
    <w:p w14:paraId="5658A33A">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sz w:val="20"/>
          <w:szCs w:val="20"/>
        </w:rPr>
        <w:t>校园支持：利用Stream教室3D打印笔套装、编程教学套装、科学小实验探究套装，持续优化模型功能与稳定性。</w:t>
      </w:r>
    </w:p>
    <w:p w14:paraId="4ADCEF7B">
      <w:pPr>
        <w:spacing w:before="320" w:after="120" w:line="288" w:lineRule="auto"/>
        <w:ind w:left="0"/>
        <w:jc w:val="left"/>
        <w:outlineLvl w:val="1"/>
        <w:rPr>
          <w:rFonts w:hint="eastAsia" w:ascii="宋体" w:hAnsi="宋体" w:eastAsia="宋体" w:cs="宋体"/>
          <w:sz w:val="20"/>
          <w:szCs w:val="20"/>
        </w:rPr>
      </w:pPr>
      <w:r>
        <w:rPr>
          <w:rFonts w:hint="eastAsia" w:ascii="宋体" w:hAnsi="宋体" w:eastAsia="宋体" w:cs="宋体"/>
          <w:b/>
          <w:sz w:val="20"/>
          <w:szCs w:val="20"/>
        </w:rPr>
        <w:t>三、参赛保障支持</w:t>
      </w:r>
    </w:p>
    <w:p w14:paraId="1AFB0BCC">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b/>
          <w:sz w:val="20"/>
          <w:szCs w:val="20"/>
        </w:rPr>
        <w:t>专人指导</w:t>
      </w:r>
      <w:r>
        <w:rPr>
          <w:rFonts w:hint="eastAsia" w:ascii="宋体" w:hAnsi="宋体" w:eastAsia="宋体" w:cs="宋体"/>
          <w:sz w:val="20"/>
          <w:szCs w:val="20"/>
        </w:rPr>
        <w:t>：组建“科技馆辅导员+校园科技教师+高校志愿者”指导团队，全程跟进作品打磨，定期开展线上+线下辅导；</w:t>
      </w:r>
    </w:p>
    <w:p w14:paraId="68B7F22A">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b/>
          <w:sz w:val="20"/>
          <w:szCs w:val="20"/>
        </w:rPr>
        <w:t>资源支持</w:t>
      </w:r>
      <w:r>
        <w:rPr>
          <w:rFonts w:hint="eastAsia" w:ascii="宋体" w:hAnsi="宋体" w:eastAsia="宋体" w:cs="宋体"/>
          <w:sz w:val="20"/>
          <w:szCs w:val="20"/>
        </w:rPr>
        <w:t>：科技馆开放专属创客空间、实验区，校园开放天文馆+Stream教室所有设备，提供材料、工具及技术支持；</w:t>
      </w:r>
    </w:p>
    <w:p w14:paraId="524226E9">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b/>
          <w:sz w:val="20"/>
          <w:szCs w:val="20"/>
        </w:rPr>
        <w:t>流程对接</w:t>
      </w:r>
      <w:r>
        <w:rPr>
          <w:rFonts w:hint="eastAsia" w:ascii="宋体" w:hAnsi="宋体" w:eastAsia="宋体" w:cs="宋体"/>
          <w:sz w:val="20"/>
          <w:szCs w:val="20"/>
        </w:rPr>
        <w:t>：活动结束后，筛选优质作品进入校级孵化池，协助完成宋庆龄少年儿童发明奖报名、材料提交、答辩指导等全流程；</w:t>
      </w:r>
    </w:p>
    <w:p w14:paraId="52C324A2">
      <w:pPr>
        <w:numPr>
          <w:ilvl w:val="0"/>
          <w:numId w:val="0"/>
        </w:numPr>
        <w:spacing w:before="120" w:after="120" w:line="288" w:lineRule="auto"/>
        <w:jc w:val="left"/>
        <w:rPr>
          <w:rFonts w:hint="eastAsia" w:ascii="宋体" w:hAnsi="宋体" w:eastAsia="宋体" w:cs="宋体"/>
          <w:sz w:val="20"/>
          <w:szCs w:val="20"/>
        </w:rPr>
      </w:pPr>
      <w:r>
        <w:rPr>
          <w:rFonts w:hint="eastAsia" w:ascii="宋体" w:hAnsi="宋体" w:eastAsia="宋体" w:cs="宋体"/>
          <w:b/>
          <w:sz w:val="20"/>
          <w:szCs w:val="20"/>
        </w:rPr>
        <w:t>成果展示</w:t>
      </w:r>
      <w:r>
        <w:rPr>
          <w:rFonts w:hint="eastAsia" w:ascii="宋体" w:hAnsi="宋体" w:eastAsia="宋体" w:cs="宋体"/>
          <w:sz w:val="20"/>
          <w:szCs w:val="20"/>
        </w:rPr>
        <w:t>：优秀参赛作品将在泉州市科技馆与泉州市实验小学联合举办的“少年科创展”中展示，提升学生参与积极性。</w:t>
      </w:r>
    </w:p>
    <w:p w14:paraId="2B022207">
      <w:pPr>
        <w:rPr>
          <w:rFonts w:hint="default"/>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Helvetica Neue">
    <w:altName w:val="Times New Roman"/>
    <w:panose1 w:val="02000503000000020004"/>
    <w:charset w:val="00"/>
    <w:family w:val="auto"/>
    <w:pitch w:val="default"/>
    <w:sig w:usb0="00000000" w:usb1="00000000" w:usb2="00000010" w:usb3="00000000" w:csb0="00000000" w:csb1="00000000"/>
  </w:font>
  <w:font w:name="helvetica">
    <w:altName w:val="AMGDT"/>
    <w:panose1 w:val="00000000000000000000"/>
    <w:charset w:val="00"/>
    <w:family w:val="auto"/>
    <w:pitch w:val="default"/>
    <w:sig w:usb0="00000000" w:usb1="00000000" w:usb2="00000000" w:usb3="00000000" w:csb0="2000019F" w:csb1="4F010000"/>
  </w:font>
  <w:font w:name="AMGDT">
    <w:panose1 w:val="02000400000000000000"/>
    <w:charset w:val="00"/>
    <w:family w:val="auto"/>
    <w:pitch w:val="default"/>
    <w:sig w:usb0="80000003" w:usb1="10000000" w:usb2="00000000" w:usb3="00000000" w:csb0="00000001" w:csb1="00000000"/>
  </w:font>
  <w:font w:name="仿宋_GB2312">
    <w:altName w:val="仿宋"/>
    <w:panose1 w:val="00000000000000000000"/>
    <w:charset w:val="00"/>
    <w:family w:val="auto"/>
    <w:pitch w:val="default"/>
    <w:sig w:usb0="00000000" w:usb1="00000000" w:usb2="00000000" w:usb3="00000000" w:csb0="00000000" w:csb1="00000000"/>
  </w:font>
  <w:font w:name="仿宋">
    <w:panose1 w:val="02010609060101010101"/>
    <w:charset w:val="86"/>
    <w:family w:val="auto"/>
    <w:pitch w:val="default"/>
    <w:sig w:usb0="800002BF" w:usb1="38CF7CFA" w:usb2="00000016" w:usb3="00000000" w:csb0="00040001" w:csb1="00000000"/>
  </w:font>
  <w:font w:name="KSOFE4500885">
    <w:panose1 w:val="02010609060101010101"/>
    <w:charset w:val="86"/>
    <w:family w:val="auto"/>
    <w:pitch w:val="default"/>
    <w:sig w:usb0="00000001" w:usb1="00000000" w:usb2="00000000" w:usb3="00000000" w:csb0="00040001" w:csb1="00000000"/>
  </w:font>
  <w:font w:name="KSOF38C0A810">
    <w:panose1 w:val="02020803070505020304"/>
    <w:charset w:val="00"/>
    <w:family w:val="auto"/>
    <w:pitch w:val="default"/>
    <w:sig w:usb0="00000001" w:usb1="00000000" w:usb2="00000000" w:usb3="00000000" w:csb0="00000001" w:csb1="00000000"/>
  </w:font>
  <w:font w:name="KSOFE44F9426">
    <w:panose1 w:val="02010609060101010101"/>
    <w:charset w:val="86"/>
    <w:family w:val="auto"/>
    <w:pitch w:val="default"/>
    <w:sig w:usb0="00000001"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75AA20E"/>
    <w:multiLevelType w:val="singleLevel"/>
    <w:tmpl w:val="875AA20E"/>
    <w:lvl w:ilvl="0" w:tentative="0">
      <w:start w:val="1"/>
      <w:numFmt w:val="decimal"/>
      <w:suff w:val="space"/>
      <w:lvlText w:val="%1."/>
      <w:lvlJc w:val="left"/>
      <w:pPr>
        <w:ind w:left="0" w:firstLine="480"/>
      </w:pPr>
      <w:rPr>
        <w:rFonts w:hint="default"/>
        <w:color w:val="auto"/>
      </w:rPr>
    </w:lvl>
  </w:abstractNum>
  <w:abstractNum w:abstractNumId="1">
    <w:nsid w:val="8DBE1D1E"/>
    <w:multiLevelType w:val="singleLevel"/>
    <w:tmpl w:val="8DBE1D1E"/>
    <w:lvl w:ilvl="0" w:tentative="0">
      <w:start w:val="3"/>
      <w:numFmt w:val="decimal"/>
      <w:lvlText w:val="%1."/>
      <w:lvlJc w:val="left"/>
      <w:rPr>
        <w:rFonts w:hint="default"/>
        <w:color w:val="auto"/>
      </w:rPr>
    </w:lvl>
  </w:abstractNum>
  <w:abstractNum w:abstractNumId="2">
    <w:nsid w:val="8DF9946D"/>
    <w:multiLevelType w:val="singleLevel"/>
    <w:tmpl w:val="8DF9946D"/>
    <w:lvl w:ilvl="0" w:tentative="0">
      <w:start w:val="1"/>
      <w:numFmt w:val="decimal"/>
      <w:suff w:val="space"/>
      <w:lvlText w:val="1.%1"/>
      <w:lvlJc w:val="left"/>
      <w:pPr>
        <w:ind w:left="0" w:firstLine="0"/>
      </w:pPr>
      <w:rPr>
        <w:rFonts w:hint="default"/>
      </w:rPr>
    </w:lvl>
  </w:abstractNum>
  <w:abstractNum w:abstractNumId="3">
    <w:nsid w:val="8FF5BD0A"/>
    <w:multiLevelType w:val="singleLevel"/>
    <w:tmpl w:val="8FF5BD0A"/>
    <w:lvl w:ilvl="0" w:tentative="0">
      <w:start w:val="2"/>
      <w:numFmt w:val="decimal"/>
      <w:lvlText w:val="%1."/>
      <w:lvlJc w:val="left"/>
      <w:rPr>
        <w:rFonts w:hint="default"/>
        <w:color w:val="auto"/>
      </w:rPr>
    </w:lvl>
  </w:abstractNum>
  <w:abstractNum w:abstractNumId="4">
    <w:nsid w:val="97BD72D8"/>
    <w:multiLevelType w:val="singleLevel"/>
    <w:tmpl w:val="97BD72D8"/>
    <w:lvl w:ilvl="0" w:tentative="0">
      <w:start w:val="1"/>
      <w:numFmt w:val="decimal"/>
      <w:suff w:val="space"/>
      <w:lvlText w:val="%1."/>
      <w:lvlJc w:val="left"/>
      <w:pPr>
        <w:ind w:left="0" w:firstLine="480"/>
      </w:pPr>
      <w:rPr>
        <w:rFonts w:hint="default"/>
        <w:color w:val="auto"/>
      </w:rPr>
    </w:lvl>
  </w:abstractNum>
  <w:abstractNum w:abstractNumId="5">
    <w:nsid w:val="99FDB656"/>
    <w:multiLevelType w:val="singleLevel"/>
    <w:tmpl w:val="99FDB656"/>
    <w:lvl w:ilvl="0" w:tentative="0">
      <w:start w:val="3"/>
      <w:numFmt w:val="decimal"/>
      <w:lvlText w:val="%1."/>
      <w:lvlJc w:val="left"/>
      <w:rPr>
        <w:rFonts w:hint="default"/>
        <w:color w:val="auto"/>
      </w:rPr>
    </w:lvl>
  </w:abstractNum>
  <w:abstractNum w:abstractNumId="6">
    <w:nsid w:val="9BF23251"/>
    <w:multiLevelType w:val="singleLevel"/>
    <w:tmpl w:val="9BF23251"/>
    <w:lvl w:ilvl="0" w:tentative="0">
      <w:start w:val="3"/>
      <w:numFmt w:val="decimal"/>
      <w:lvlText w:val="%1."/>
      <w:lvlJc w:val="left"/>
      <w:rPr>
        <w:rFonts w:hint="default"/>
        <w:color w:val="auto"/>
      </w:rPr>
    </w:lvl>
  </w:abstractNum>
  <w:abstractNum w:abstractNumId="7">
    <w:nsid w:val="9BFCA068"/>
    <w:multiLevelType w:val="singleLevel"/>
    <w:tmpl w:val="9BFCA068"/>
    <w:lvl w:ilvl="0" w:tentative="0">
      <w:start w:val="2"/>
      <w:numFmt w:val="decimal"/>
      <w:lvlText w:val="%1."/>
      <w:lvlJc w:val="left"/>
      <w:rPr>
        <w:rFonts w:hint="default"/>
        <w:color w:val="auto"/>
      </w:rPr>
    </w:lvl>
  </w:abstractNum>
  <w:abstractNum w:abstractNumId="8">
    <w:nsid w:val="9DFF56E9"/>
    <w:multiLevelType w:val="singleLevel"/>
    <w:tmpl w:val="9DFF56E9"/>
    <w:lvl w:ilvl="0" w:tentative="0">
      <w:start w:val="3"/>
      <w:numFmt w:val="decimal"/>
      <w:lvlText w:val="%1."/>
      <w:lvlJc w:val="left"/>
      <w:rPr>
        <w:rFonts w:hint="default"/>
        <w:color w:val="auto"/>
      </w:rPr>
    </w:lvl>
  </w:abstractNum>
  <w:abstractNum w:abstractNumId="9">
    <w:nsid w:val="9E7A03BC"/>
    <w:multiLevelType w:val="singleLevel"/>
    <w:tmpl w:val="9E7A03BC"/>
    <w:lvl w:ilvl="0" w:tentative="0">
      <w:start w:val="4"/>
      <w:numFmt w:val="decimal"/>
      <w:lvlText w:val="%1."/>
      <w:lvlJc w:val="left"/>
      <w:rPr>
        <w:rFonts w:hint="default"/>
        <w:color w:val="auto"/>
      </w:rPr>
    </w:lvl>
  </w:abstractNum>
  <w:abstractNum w:abstractNumId="10">
    <w:nsid w:val="9F5B1A70"/>
    <w:multiLevelType w:val="singleLevel"/>
    <w:tmpl w:val="9F5B1A70"/>
    <w:lvl w:ilvl="0" w:tentative="0">
      <w:start w:val="1"/>
      <w:numFmt w:val="decimal"/>
      <w:suff w:val="space"/>
      <w:lvlText w:val="%1."/>
      <w:lvlJc w:val="left"/>
      <w:pPr>
        <w:ind w:left="0" w:firstLine="480"/>
      </w:pPr>
      <w:rPr>
        <w:rFonts w:hint="default"/>
        <w:color w:val="auto"/>
      </w:rPr>
    </w:lvl>
  </w:abstractNum>
  <w:abstractNum w:abstractNumId="11">
    <w:nsid w:val="9FBFC21E"/>
    <w:multiLevelType w:val="singleLevel"/>
    <w:tmpl w:val="9FBFC21E"/>
    <w:lvl w:ilvl="0" w:tentative="0">
      <w:start w:val="1"/>
      <w:numFmt w:val="chineseCounting"/>
      <w:suff w:val="nothing"/>
      <w:lvlText w:val="%1、"/>
      <w:lvlJc w:val="left"/>
      <w:pPr>
        <w:ind w:left="0" w:firstLine="0"/>
      </w:pPr>
      <w:rPr>
        <w:rFonts w:hint="eastAsia"/>
      </w:rPr>
    </w:lvl>
  </w:abstractNum>
  <w:abstractNum w:abstractNumId="12">
    <w:nsid w:val="9FFBD4EA"/>
    <w:multiLevelType w:val="singleLevel"/>
    <w:tmpl w:val="9FFBD4EA"/>
    <w:lvl w:ilvl="0" w:tentative="0">
      <w:start w:val="1"/>
      <w:numFmt w:val="decimal"/>
      <w:suff w:val="space"/>
      <w:lvlText w:val="%1."/>
      <w:lvlJc w:val="left"/>
      <w:pPr>
        <w:ind w:left="0" w:firstLine="480"/>
      </w:pPr>
      <w:rPr>
        <w:rFonts w:hint="default"/>
        <w:color w:val="auto"/>
      </w:rPr>
    </w:lvl>
  </w:abstractNum>
  <w:abstractNum w:abstractNumId="13">
    <w:nsid w:val="A365F124"/>
    <w:multiLevelType w:val="singleLevel"/>
    <w:tmpl w:val="A365F124"/>
    <w:lvl w:ilvl="0" w:tentative="0">
      <w:start w:val="2"/>
      <w:numFmt w:val="decimal"/>
      <w:lvlText w:val="%1."/>
      <w:lvlJc w:val="left"/>
      <w:rPr>
        <w:rFonts w:hint="default"/>
        <w:color w:val="auto"/>
      </w:rPr>
    </w:lvl>
  </w:abstractNum>
  <w:abstractNum w:abstractNumId="14">
    <w:nsid w:val="A4EE9A6C"/>
    <w:multiLevelType w:val="singleLevel"/>
    <w:tmpl w:val="A4EE9A6C"/>
    <w:lvl w:ilvl="0" w:tentative="0">
      <w:start w:val="4"/>
      <w:numFmt w:val="decimal"/>
      <w:lvlText w:val="%1."/>
      <w:lvlJc w:val="left"/>
      <w:rPr>
        <w:rFonts w:hint="default"/>
        <w:color w:val="auto"/>
      </w:rPr>
    </w:lvl>
  </w:abstractNum>
  <w:abstractNum w:abstractNumId="15">
    <w:nsid w:val="A5BAD0A1"/>
    <w:multiLevelType w:val="singleLevel"/>
    <w:tmpl w:val="A5BAD0A1"/>
    <w:lvl w:ilvl="0" w:tentative="0">
      <w:start w:val="1"/>
      <w:numFmt w:val="decimal"/>
      <w:suff w:val="space"/>
      <w:lvlText w:val="7.%1"/>
      <w:lvlJc w:val="left"/>
      <w:pPr>
        <w:ind w:left="0" w:firstLine="0"/>
      </w:pPr>
      <w:rPr>
        <w:rFonts w:hint="default"/>
      </w:rPr>
    </w:lvl>
  </w:abstractNum>
  <w:abstractNum w:abstractNumId="16">
    <w:nsid w:val="ADFEE841"/>
    <w:multiLevelType w:val="singleLevel"/>
    <w:tmpl w:val="ADFEE841"/>
    <w:lvl w:ilvl="0" w:tentative="0">
      <w:start w:val="2"/>
      <w:numFmt w:val="decimal"/>
      <w:lvlText w:val="%1."/>
      <w:lvlJc w:val="left"/>
      <w:rPr>
        <w:rFonts w:hint="default"/>
        <w:color w:val="auto"/>
      </w:rPr>
    </w:lvl>
  </w:abstractNum>
  <w:abstractNum w:abstractNumId="17">
    <w:nsid w:val="AFAD8BFA"/>
    <w:multiLevelType w:val="singleLevel"/>
    <w:tmpl w:val="AFAD8BFA"/>
    <w:lvl w:ilvl="0" w:tentative="0">
      <w:start w:val="4"/>
      <w:numFmt w:val="decimal"/>
      <w:lvlText w:val="%1."/>
      <w:lvlJc w:val="left"/>
      <w:rPr>
        <w:rFonts w:hint="default"/>
        <w:color w:val="auto"/>
      </w:rPr>
    </w:lvl>
  </w:abstractNum>
  <w:abstractNum w:abstractNumId="18">
    <w:nsid w:val="AFDE4686"/>
    <w:multiLevelType w:val="singleLevel"/>
    <w:tmpl w:val="AFDE4686"/>
    <w:lvl w:ilvl="0" w:tentative="0">
      <w:start w:val="1"/>
      <w:numFmt w:val="decimal"/>
      <w:suff w:val="space"/>
      <w:lvlText w:val="6.%1"/>
      <w:lvlJc w:val="left"/>
      <w:pPr>
        <w:ind w:left="0" w:firstLine="0"/>
      </w:pPr>
      <w:rPr>
        <w:rFonts w:hint="default"/>
      </w:rPr>
    </w:lvl>
  </w:abstractNum>
  <w:abstractNum w:abstractNumId="19">
    <w:nsid w:val="AFE6118B"/>
    <w:multiLevelType w:val="singleLevel"/>
    <w:tmpl w:val="AFE6118B"/>
    <w:lvl w:ilvl="0" w:tentative="0">
      <w:start w:val="0"/>
      <w:numFmt w:val="bullet"/>
      <w:lvlText w:val="￮"/>
      <w:lvlJc w:val="left"/>
      <w:rPr>
        <w:rFonts w:hint="default"/>
        <w:color w:val="auto"/>
      </w:rPr>
    </w:lvl>
  </w:abstractNum>
  <w:abstractNum w:abstractNumId="20">
    <w:nsid w:val="AFF28067"/>
    <w:multiLevelType w:val="singleLevel"/>
    <w:tmpl w:val="AFF28067"/>
    <w:lvl w:ilvl="0" w:tentative="0">
      <w:start w:val="0"/>
      <w:numFmt w:val="bullet"/>
      <w:lvlText w:val="￮"/>
      <w:lvlJc w:val="left"/>
      <w:rPr>
        <w:rFonts w:hint="default"/>
        <w:color w:val="auto"/>
      </w:rPr>
    </w:lvl>
  </w:abstractNum>
  <w:abstractNum w:abstractNumId="21">
    <w:nsid w:val="AFFCC1FB"/>
    <w:multiLevelType w:val="singleLevel"/>
    <w:tmpl w:val="AFFCC1FB"/>
    <w:lvl w:ilvl="0" w:tentative="0">
      <w:start w:val="2"/>
      <w:numFmt w:val="decimal"/>
      <w:lvlText w:val="%1."/>
      <w:lvlJc w:val="left"/>
      <w:rPr>
        <w:rFonts w:hint="default"/>
        <w:color w:val="auto"/>
      </w:rPr>
    </w:lvl>
  </w:abstractNum>
  <w:abstractNum w:abstractNumId="22">
    <w:nsid w:val="B17E3160"/>
    <w:multiLevelType w:val="singleLevel"/>
    <w:tmpl w:val="B17E3160"/>
    <w:lvl w:ilvl="0" w:tentative="0">
      <w:start w:val="4"/>
      <w:numFmt w:val="decimal"/>
      <w:lvlText w:val="%1."/>
      <w:lvlJc w:val="left"/>
      <w:rPr>
        <w:rFonts w:hint="default"/>
        <w:color w:val="auto"/>
      </w:rPr>
    </w:lvl>
  </w:abstractNum>
  <w:abstractNum w:abstractNumId="23">
    <w:nsid w:val="B1AA5987"/>
    <w:multiLevelType w:val="singleLevel"/>
    <w:tmpl w:val="B1AA5987"/>
    <w:lvl w:ilvl="0" w:tentative="0">
      <w:start w:val="3"/>
      <w:numFmt w:val="decimal"/>
      <w:lvlText w:val="%1."/>
      <w:lvlJc w:val="left"/>
      <w:rPr>
        <w:rFonts w:hint="default"/>
        <w:color w:val="auto"/>
      </w:rPr>
    </w:lvl>
  </w:abstractNum>
  <w:abstractNum w:abstractNumId="24">
    <w:nsid w:val="B37C4A38"/>
    <w:multiLevelType w:val="singleLevel"/>
    <w:tmpl w:val="B37C4A38"/>
    <w:lvl w:ilvl="0" w:tentative="0">
      <w:start w:val="1"/>
      <w:numFmt w:val="decimal"/>
      <w:suff w:val="space"/>
      <w:lvlText w:val="%1."/>
      <w:lvlJc w:val="left"/>
      <w:pPr>
        <w:ind w:left="0" w:firstLine="480"/>
      </w:pPr>
      <w:rPr>
        <w:rFonts w:hint="default"/>
        <w:color w:val="auto"/>
      </w:rPr>
    </w:lvl>
  </w:abstractNum>
  <w:abstractNum w:abstractNumId="25">
    <w:nsid w:val="B3FE8695"/>
    <w:multiLevelType w:val="singleLevel"/>
    <w:tmpl w:val="B3FE8695"/>
    <w:lvl w:ilvl="0" w:tentative="0">
      <w:start w:val="5"/>
      <w:numFmt w:val="decimal"/>
      <w:lvlText w:val="%1."/>
      <w:lvlJc w:val="left"/>
      <w:rPr>
        <w:rFonts w:hint="default"/>
        <w:color w:val="auto"/>
      </w:rPr>
    </w:lvl>
  </w:abstractNum>
  <w:abstractNum w:abstractNumId="26">
    <w:nsid w:val="B615A2C4"/>
    <w:multiLevelType w:val="singleLevel"/>
    <w:tmpl w:val="B615A2C4"/>
    <w:lvl w:ilvl="0" w:tentative="0">
      <w:start w:val="2"/>
      <w:numFmt w:val="decimal"/>
      <w:lvlText w:val="%1."/>
      <w:lvlJc w:val="left"/>
      <w:rPr>
        <w:rFonts w:hint="default"/>
        <w:color w:val="auto"/>
      </w:rPr>
    </w:lvl>
  </w:abstractNum>
  <w:abstractNum w:abstractNumId="27">
    <w:nsid w:val="B6FE420B"/>
    <w:multiLevelType w:val="singleLevel"/>
    <w:tmpl w:val="B6FE420B"/>
    <w:lvl w:ilvl="0" w:tentative="0">
      <w:start w:val="0"/>
      <w:numFmt w:val="bullet"/>
      <w:lvlText w:val="￮"/>
      <w:lvlJc w:val="left"/>
      <w:rPr>
        <w:rFonts w:hint="default"/>
        <w:color w:val="auto"/>
      </w:rPr>
    </w:lvl>
  </w:abstractNum>
  <w:abstractNum w:abstractNumId="28">
    <w:nsid w:val="B73E03B0"/>
    <w:multiLevelType w:val="singleLevel"/>
    <w:tmpl w:val="B73E03B0"/>
    <w:lvl w:ilvl="0" w:tentative="0">
      <w:start w:val="1"/>
      <w:numFmt w:val="decimal"/>
      <w:suff w:val="space"/>
      <w:lvlText w:val="%1."/>
      <w:lvlJc w:val="left"/>
      <w:pPr>
        <w:ind w:left="0" w:firstLine="480"/>
      </w:pPr>
      <w:rPr>
        <w:rFonts w:hint="default"/>
        <w:color w:val="auto"/>
      </w:rPr>
    </w:lvl>
  </w:abstractNum>
  <w:abstractNum w:abstractNumId="29">
    <w:nsid w:val="B7FE5089"/>
    <w:multiLevelType w:val="singleLevel"/>
    <w:tmpl w:val="B7FE5089"/>
    <w:lvl w:ilvl="0" w:tentative="0">
      <w:start w:val="0"/>
      <w:numFmt w:val="bullet"/>
      <w:lvlText w:val="￮"/>
      <w:lvlJc w:val="left"/>
      <w:rPr>
        <w:rFonts w:hint="default"/>
        <w:color w:val="auto"/>
      </w:rPr>
    </w:lvl>
  </w:abstractNum>
  <w:abstractNum w:abstractNumId="30">
    <w:nsid w:val="BABFF43A"/>
    <w:multiLevelType w:val="singleLevel"/>
    <w:tmpl w:val="BABFF43A"/>
    <w:lvl w:ilvl="0" w:tentative="0">
      <w:start w:val="3"/>
      <w:numFmt w:val="decimal"/>
      <w:lvlText w:val="%1."/>
      <w:lvlJc w:val="left"/>
      <w:rPr>
        <w:rFonts w:hint="default"/>
        <w:color w:val="auto"/>
      </w:rPr>
    </w:lvl>
  </w:abstractNum>
  <w:abstractNum w:abstractNumId="31">
    <w:nsid w:val="BAE1A89F"/>
    <w:multiLevelType w:val="singleLevel"/>
    <w:tmpl w:val="BAE1A89F"/>
    <w:lvl w:ilvl="0" w:tentative="0">
      <w:start w:val="3"/>
      <w:numFmt w:val="decimal"/>
      <w:lvlText w:val="%1."/>
      <w:lvlJc w:val="left"/>
      <w:rPr>
        <w:rFonts w:hint="default"/>
        <w:color w:val="auto"/>
      </w:rPr>
    </w:lvl>
  </w:abstractNum>
  <w:abstractNum w:abstractNumId="32">
    <w:nsid w:val="BB3C5E10"/>
    <w:multiLevelType w:val="singleLevel"/>
    <w:tmpl w:val="BB3C5E10"/>
    <w:lvl w:ilvl="0" w:tentative="0">
      <w:start w:val="4"/>
      <w:numFmt w:val="decimal"/>
      <w:lvlText w:val="%1."/>
      <w:lvlJc w:val="left"/>
      <w:rPr>
        <w:rFonts w:hint="default"/>
        <w:color w:val="auto"/>
      </w:rPr>
    </w:lvl>
  </w:abstractNum>
  <w:abstractNum w:abstractNumId="33">
    <w:nsid w:val="BBBE2FA6"/>
    <w:multiLevelType w:val="singleLevel"/>
    <w:tmpl w:val="BBBE2FA6"/>
    <w:lvl w:ilvl="0" w:tentative="0">
      <w:start w:val="10"/>
      <w:numFmt w:val="decimal"/>
      <w:lvlText w:val="%1."/>
      <w:lvlJc w:val="left"/>
      <w:rPr>
        <w:rFonts w:hint="default"/>
        <w:color w:val="auto"/>
      </w:rPr>
    </w:lvl>
  </w:abstractNum>
  <w:abstractNum w:abstractNumId="34">
    <w:nsid w:val="BD7CDB31"/>
    <w:multiLevelType w:val="singleLevel"/>
    <w:tmpl w:val="BD7CDB31"/>
    <w:lvl w:ilvl="0" w:tentative="0">
      <w:start w:val="3"/>
      <w:numFmt w:val="decimal"/>
      <w:lvlText w:val="%1."/>
      <w:lvlJc w:val="left"/>
      <w:rPr>
        <w:rFonts w:hint="default"/>
        <w:color w:val="auto"/>
      </w:rPr>
    </w:lvl>
  </w:abstractNum>
  <w:abstractNum w:abstractNumId="35">
    <w:nsid w:val="BE7E5DE1"/>
    <w:multiLevelType w:val="singleLevel"/>
    <w:tmpl w:val="BE7E5DE1"/>
    <w:lvl w:ilvl="0" w:tentative="0">
      <w:start w:val="2"/>
      <w:numFmt w:val="decimal"/>
      <w:lvlText w:val="%1."/>
      <w:lvlJc w:val="left"/>
      <w:rPr>
        <w:rFonts w:hint="default"/>
        <w:color w:val="auto"/>
      </w:rPr>
    </w:lvl>
  </w:abstractNum>
  <w:abstractNum w:abstractNumId="36">
    <w:nsid w:val="BE7E7BC3"/>
    <w:multiLevelType w:val="singleLevel"/>
    <w:tmpl w:val="BE7E7BC3"/>
    <w:lvl w:ilvl="0" w:tentative="0">
      <w:start w:val="4"/>
      <w:numFmt w:val="decimal"/>
      <w:lvlText w:val="%1."/>
      <w:lvlJc w:val="left"/>
      <w:rPr>
        <w:rFonts w:hint="default"/>
        <w:color w:val="auto"/>
      </w:rPr>
    </w:lvl>
  </w:abstractNum>
  <w:abstractNum w:abstractNumId="37">
    <w:nsid w:val="BEBC026A"/>
    <w:multiLevelType w:val="singleLevel"/>
    <w:tmpl w:val="BEBC026A"/>
    <w:lvl w:ilvl="0" w:tentative="0">
      <w:start w:val="1"/>
      <w:numFmt w:val="decimal"/>
      <w:suff w:val="space"/>
      <w:lvlText w:val="%1."/>
      <w:lvlJc w:val="left"/>
      <w:pPr>
        <w:ind w:left="0" w:firstLine="480"/>
      </w:pPr>
      <w:rPr>
        <w:rFonts w:hint="default"/>
        <w:color w:val="auto"/>
      </w:rPr>
    </w:lvl>
  </w:abstractNum>
  <w:abstractNum w:abstractNumId="38">
    <w:nsid w:val="BEE659A8"/>
    <w:multiLevelType w:val="singleLevel"/>
    <w:tmpl w:val="BEE659A8"/>
    <w:lvl w:ilvl="0" w:tentative="0">
      <w:start w:val="1"/>
      <w:numFmt w:val="decimal"/>
      <w:suff w:val="space"/>
      <w:lvlText w:val="%1."/>
      <w:lvlJc w:val="left"/>
      <w:pPr>
        <w:ind w:left="0" w:firstLine="480"/>
      </w:pPr>
      <w:rPr>
        <w:rFonts w:hint="default"/>
        <w:color w:val="auto"/>
      </w:rPr>
    </w:lvl>
  </w:abstractNum>
  <w:abstractNum w:abstractNumId="39">
    <w:nsid w:val="BEFE4B1B"/>
    <w:multiLevelType w:val="singleLevel"/>
    <w:tmpl w:val="BEFE4B1B"/>
    <w:lvl w:ilvl="0" w:tentative="0">
      <w:start w:val="1"/>
      <w:numFmt w:val="decimal"/>
      <w:lvlText w:val="%1."/>
      <w:lvlJc w:val="left"/>
      <w:rPr>
        <w:rFonts w:hint="default"/>
        <w:color w:val="auto"/>
      </w:rPr>
    </w:lvl>
  </w:abstractNum>
  <w:abstractNum w:abstractNumId="40">
    <w:nsid w:val="BEFE89A1"/>
    <w:multiLevelType w:val="singleLevel"/>
    <w:tmpl w:val="BEFE89A1"/>
    <w:lvl w:ilvl="0" w:tentative="0">
      <w:start w:val="3"/>
      <w:numFmt w:val="decimal"/>
      <w:lvlText w:val="%1."/>
      <w:lvlJc w:val="left"/>
      <w:rPr>
        <w:rFonts w:hint="default"/>
        <w:color w:val="auto"/>
      </w:rPr>
    </w:lvl>
  </w:abstractNum>
  <w:abstractNum w:abstractNumId="41">
    <w:nsid w:val="BF7F4958"/>
    <w:multiLevelType w:val="singleLevel"/>
    <w:tmpl w:val="BF7F4958"/>
    <w:lvl w:ilvl="0" w:tentative="0">
      <w:start w:val="3"/>
      <w:numFmt w:val="decimal"/>
      <w:suff w:val="space"/>
      <w:lvlText w:val="%1."/>
      <w:lvlJc w:val="left"/>
      <w:pPr>
        <w:ind w:left="0" w:firstLine="480"/>
      </w:pPr>
      <w:rPr>
        <w:rFonts w:hint="default"/>
        <w:color w:val="auto"/>
      </w:rPr>
    </w:lvl>
  </w:abstractNum>
  <w:abstractNum w:abstractNumId="42">
    <w:nsid w:val="BFA7FE80"/>
    <w:multiLevelType w:val="singleLevel"/>
    <w:tmpl w:val="BFA7FE80"/>
    <w:lvl w:ilvl="0" w:tentative="0">
      <w:start w:val="1"/>
      <w:numFmt w:val="decimal"/>
      <w:lvlText w:val="%1."/>
      <w:lvlJc w:val="left"/>
      <w:rPr>
        <w:rFonts w:hint="default"/>
        <w:color w:val="auto"/>
      </w:rPr>
    </w:lvl>
  </w:abstractNum>
  <w:abstractNum w:abstractNumId="43">
    <w:nsid w:val="BFBD4FFF"/>
    <w:multiLevelType w:val="singleLevel"/>
    <w:tmpl w:val="BFBD4FFF"/>
    <w:lvl w:ilvl="0" w:tentative="0">
      <w:start w:val="0"/>
      <w:numFmt w:val="bullet"/>
      <w:lvlText w:val="￮"/>
      <w:lvlJc w:val="left"/>
      <w:rPr>
        <w:rFonts w:hint="default"/>
        <w:color w:val="auto"/>
      </w:rPr>
    </w:lvl>
  </w:abstractNum>
  <w:abstractNum w:abstractNumId="44">
    <w:nsid w:val="BFBF7161"/>
    <w:multiLevelType w:val="singleLevel"/>
    <w:tmpl w:val="BFBF7161"/>
    <w:lvl w:ilvl="0" w:tentative="0">
      <w:start w:val="1"/>
      <w:numFmt w:val="decimal"/>
      <w:suff w:val="space"/>
      <w:lvlText w:val="%1."/>
      <w:lvlJc w:val="left"/>
      <w:pPr>
        <w:ind w:left="0" w:firstLine="480"/>
      </w:pPr>
      <w:rPr>
        <w:rFonts w:hint="default"/>
        <w:color w:val="auto"/>
      </w:rPr>
    </w:lvl>
  </w:abstractNum>
  <w:abstractNum w:abstractNumId="45">
    <w:nsid w:val="BFEE40FE"/>
    <w:multiLevelType w:val="singleLevel"/>
    <w:tmpl w:val="BFEE40FE"/>
    <w:lvl w:ilvl="0" w:tentative="0">
      <w:start w:val="1"/>
      <w:numFmt w:val="decimal"/>
      <w:lvlText w:val="%1."/>
      <w:lvlJc w:val="left"/>
      <w:rPr>
        <w:rFonts w:hint="default"/>
        <w:color w:val="auto"/>
      </w:rPr>
    </w:lvl>
  </w:abstractNum>
  <w:abstractNum w:abstractNumId="46">
    <w:nsid w:val="BFF59BBC"/>
    <w:multiLevelType w:val="singleLevel"/>
    <w:tmpl w:val="BFF59BBC"/>
    <w:lvl w:ilvl="0" w:tentative="0">
      <w:start w:val="1"/>
      <w:numFmt w:val="decimal"/>
      <w:suff w:val="space"/>
      <w:lvlText w:val="4.5.%1"/>
      <w:lvlJc w:val="left"/>
      <w:pPr>
        <w:ind w:left="0" w:firstLine="0"/>
      </w:pPr>
      <w:rPr>
        <w:rFonts w:hint="default"/>
      </w:rPr>
    </w:lvl>
  </w:abstractNum>
  <w:abstractNum w:abstractNumId="47">
    <w:nsid w:val="BFFB567A"/>
    <w:multiLevelType w:val="singleLevel"/>
    <w:tmpl w:val="BFFB567A"/>
    <w:lvl w:ilvl="0" w:tentative="0">
      <w:start w:val="1"/>
      <w:numFmt w:val="decimal"/>
      <w:lvlText w:val="%1."/>
      <w:lvlJc w:val="left"/>
      <w:rPr>
        <w:rFonts w:hint="default"/>
        <w:color w:val="auto"/>
      </w:rPr>
    </w:lvl>
  </w:abstractNum>
  <w:abstractNum w:abstractNumId="48">
    <w:nsid w:val="C55EA93E"/>
    <w:multiLevelType w:val="singleLevel"/>
    <w:tmpl w:val="C55EA93E"/>
    <w:lvl w:ilvl="0" w:tentative="0">
      <w:start w:val="2"/>
      <w:numFmt w:val="decimal"/>
      <w:lvlText w:val="%1."/>
      <w:lvlJc w:val="left"/>
      <w:rPr>
        <w:rFonts w:hint="default"/>
        <w:color w:val="auto"/>
      </w:rPr>
    </w:lvl>
  </w:abstractNum>
  <w:abstractNum w:abstractNumId="49">
    <w:nsid w:val="C7BF1D35"/>
    <w:multiLevelType w:val="singleLevel"/>
    <w:tmpl w:val="C7BF1D35"/>
    <w:lvl w:ilvl="0" w:tentative="0">
      <w:start w:val="0"/>
      <w:numFmt w:val="bullet"/>
      <w:lvlText w:val="￮"/>
      <w:lvlJc w:val="left"/>
      <w:rPr>
        <w:rFonts w:hint="default"/>
        <w:color w:val="auto"/>
      </w:rPr>
    </w:lvl>
  </w:abstractNum>
  <w:abstractNum w:abstractNumId="50">
    <w:nsid w:val="C7BF7801"/>
    <w:multiLevelType w:val="singleLevel"/>
    <w:tmpl w:val="C7BF7801"/>
    <w:lvl w:ilvl="0" w:tentative="0">
      <w:start w:val="1"/>
      <w:numFmt w:val="decimal"/>
      <w:lvlText w:val="%1."/>
      <w:lvlJc w:val="left"/>
      <w:rPr>
        <w:rFonts w:hint="default"/>
        <w:color w:val="auto"/>
      </w:rPr>
    </w:lvl>
  </w:abstractNum>
  <w:abstractNum w:abstractNumId="51">
    <w:nsid w:val="C7EA71BD"/>
    <w:multiLevelType w:val="singleLevel"/>
    <w:tmpl w:val="C7EA71BD"/>
    <w:lvl w:ilvl="0" w:tentative="0">
      <w:start w:val="4"/>
      <w:numFmt w:val="decimal"/>
      <w:lvlText w:val="%1."/>
      <w:lvlJc w:val="left"/>
      <w:rPr>
        <w:rFonts w:hint="default"/>
        <w:color w:val="auto"/>
      </w:rPr>
    </w:lvl>
  </w:abstractNum>
  <w:abstractNum w:abstractNumId="52">
    <w:nsid w:val="C7F632DF"/>
    <w:multiLevelType w:val="singleLevel"/>
    <w:tmpl w:val="C7F632DF"/>
    <w:lvl w:ilvl="0" w:tentative="0">
      <w:start w:val="1"/>
      <w:numFmt w:val="decimal"/>
      <w:suff w:val="space"/>
      <w:lvlText w:val="%1."/>
      <w:lvlJc w:val="left"/>
      <w:pPr>
        <w:ind w:left="0" w:firstLine="480"/>
      </w:pPr>
      <w:rPr>
        <w:rFonts w:hint="default"/>
        <w:color w:val="auto"/>
      </w:rPr>
    </w:lvl>
  </w:abstractNum>
  <w:abstractNum w:abstractNumId="53">
    <w:nsid w:val="CA3E3828"/>
    <w:multiLevelType w:val="singleLevel"/>
    <w:tmpl w:val="CA3E3828"/>
    <w:lvl w:ilvl="0" w:tentative="0">
      <w:start w:val="2"/>
      <w:numFmt w:val="decimal"/>
      <w:lvlText w:val="%1."/>
      <w:lvlJc w:val="left"/>
      <w:rPr>
        <w:rFonts w:hint="default"/>
        <w:color w:val="auto"/>
      </w:rPr>
    </w:lvl>
  </w:abstractNum>
  <w:abstractNum w:abstractNumId="54">
    <w:nsid w:val="CBBC7FF8"/>
    <w:multiLevelType w:val="singleLevel"/>
    <w:tmpl w:val="CBBC7FF8"/>
    <w:lvl w:ilvl="0" w:tentative="0">
      <w:start w:val="1"/>
      <w:numFmt w:val="decimal"/>
      <w:lvlText w:val="%1."/>
      <w:lvlJc w:val="left"/>
      <w:rPr>
        <w:rFonts w:hint="default"/>
        <w:color w:val="auto"/>
      </w:rPr>
    </w:lvl>
  </w:abstractNum>
  <w:abstractNum w:abstractNumId="55">
    <w:nsid w:val="CDEE7B45"/>
    <w:multiLevelType w:val="singleLevel"/>
    <w:tmpl w:val="CDEE7B45"/>
    <w:lvl w:ilvl="0" w:tentative="0">
      <w:start w:val="2"/>
      <w:numFmt w:val="decimal"/>
      <w:lvlText w:val="%1."/>
      <w:lvlJc w:val="left"/>
      <w:rPr>
        <w:rFonts w:hint="default"/>
        <w:color w:val="auto"/>
      </w:rPr>
    </w:lvl>
  </w:abstractNum>
  <w:abstractNum w:abstractNumId="56">
    <w:nsid w:val="CDFFAC91"/>
    <w:multiLevelType w:val="singleLevel"/>
    <w:tmpl w:val="CDFFAC91"/>
    <w:lvl w:ilvl="0" w:tentative="0">
      <w:start w:val="4"/>
      <w:numFmt w:val="decimal"/>
      <w:lvlText w:val="%1."/>
      <w:lvlJc w:val="left"/>
      <w:rPr>
        <w:rFonts w:hint="default"/>
        <w:color w:val="auto"/>
      </w:rPr>
    </w:lvl>
  </w:abstractNum>
  <w:abstractNum w:abstractNumId="57">
    <w:nsid w:val="CEFB1833"/>
    <w:multiLevelType w:val="singleLevel"/>
    <w:tmpl w:val="CEFB1833"/>
    <w:lvl w:ilvl="0" w:tentative="0">
      <w:start w:val="1"/>
      <w:numFmt w:val="decimal"/>
      <w:suff w:val="space"/>
      <w:lvlText w:val="5.%1"/>
      <w:lvlJc w:val="left"/>
      <w:pPr>
        <w:ind w:left="0" w:firstLine="0"/>
      </w:pPr>
      <w:rPr>
        <w:rFonts w:hint="default"/>
      </w:rPr>
    </w:lvl>
  </w:abstractNum>
  <w:abstractNum w:abstractNumId="58">
    <w:nsid w:val="CEFF84F1"/>
    <w:multiLevelType w:val="singleLevel"/>
    <w:tmpl w:val="CEFF84F1"/>
    <w:lvl w:ilvl="0" w:tentative="0">
      <w:start w:val="3"/>
      <w:numFmt w:val="decimal"/>
      <w:lvlText w:val="%1."/>
      <w:lvlJc w:val="left"/>
      <w:rPr>
        <w:rFonts w:hint="default"/>
        <w:color w:val="auto"/>
      </w:rPr>
    </w:lvl>
  </w:abstractNum>
  <w:abstractNum w:abstractNumId="59">
    <w:nsid w:val="CFB6980D"/>
    <w:multiLevelType w:val="singleLevel"/>
    <w:tmpl w:val="CFB6980D"/>
    <w:lvl w:ilvl="0" w:tentative="0">
      <w:start w:val="3"/>
      <w:numFmt w:val="decimal"/>
      <w:lvlText w:val="%1."/>
      <w:lvlJc w:val="left"/>
      <w:rPr>
        <w:rFonts w:hint="default"/>
        <w:color w:val="auto"/>
      </w:rPr>
    </w:lvl>
  </w:abstractNum>
  <w:abstractNum w:abstractNumId="60">
    <w:nsid w:val="CFBF41A1"/>
    <w:multiLevelType w:val="singleLevel"/>
    <w:tmpl w:val="CFBF41A1"/>
    <w:lvl w:ilvl="0" w:tentative="0">
      <w:start w:val="2"/>
      <w:numFmt w:val="decimal"/>
      <w:lvlText w:val="%1."/>
      <w:lvlJc w:val="left"/>
      <w:rPr>
        <w:rFonts w:hint="default"/>
        <w:color w:val="auto"/>
      </w:rPr>
    </w:lvl>
  </w:abstractNum>
  <w:abstractNum w:abstractNumId="61">
    <w:nsid w:val="D2FE47B6"/>
    <w:multiLevelType w:val="singleLevel"/>
    <w:tmpl w:val="D2FE47B6"/>
    <w:lvl w:ilvl="0" w:tentative="0">
      <w:start w:val="0"/>
      <w:numFmt w:val="bullet"/>
      <w:lvlText w:val="￮"/>
      <w:lvlJc w:val="left"/>
      <w:rPr>
        <w:rFonts w:hint="default"/>
        <w:color w:val="auto"/>
      </w:rPr>
    </w:lvl>
  </w:abstractNum>
  <w:abstractNum w:abstractNumId="62">
    <w:nsid w:val="D6FC3633"/>
    <w:multiLevelType w:val="singleLevel"/>
    <w:tmpl w:val="D6FC3633"/>
    <w:lvl w:ilvl="0" w:tentative="0">
      <w:start w:val="0"/>
      <w:numFmt w:val="bullet"/>
      <w:lvlText w:val="￮"/>
      <w:lvlJc w:val="left"/>
      <w:rPr>
        <w:rFonts w:hint="default"/>
        <w:color w:val="auto"/>
      </w:rPr>
    </w:lvl>
  </w:abstractNum>
  <w:abstractNum w:abstractNumId="63">
    <w:nsid w:val="D7D7B90E"/>
    <w:multiLevelType w:val="singleLevel"/>
    <w:tmpl w:val="D7D7B90E"/>
    <w:lvl w:ilvl="0" w:tentative="0">
      <w:start w:val="6"/>
      <w:numFmt w:val="decimal"/>
      <w:lvlText w:val="%1."/>
      <w:lvlJc w:val="left"/>
      <w:rPr>
        <w:rFonts w:hint="default"/>
        <w:color w:val="auto"/>
      </w:rPr>
    </w:lvl>
  </w:abstractNum>
  <w:abstractNum w:abstractNumId="64">
    <w:nsid w:val="D7FE7A07"/>
    <w:multiLevelType w:val="singleLevel"/>
    <w:tmpl w:val="D7FE7A07"/>
    <w:lvl w:ilvl="0" w:tentative="0">
      <w:start w:val="8"/>
      <w:numFmt w:val="decimal"/>
      <w:lvlText w:val="%1."/>
      <w:lvlJc w:val="left"/>
      <w:rPr>
        <w:rFonts w:hint="default"/>
        <w:color w:val="auto"/>
      </w:rPr>
    </w:lvl>
  </w:abstractNum>
  <w:abstractNum w:abstractNumId="65">
    <w:nsid w:val="DAD1BAF0"/>
    <w:multiLevelType w:val="singleLevel"/>
    <w:tmpl w:val="DAD1BAF0"/>
    <w:lvl w:ilvl="0" w:tentative="0">
      <w:start w:val="3"/>
      <w:numFmt w:val="decimal"/>
      <w:lvlText w:val="%1."/>
      <w:lvlJc w:val="left"/>
      <w:rPr>
        <w:rFonts w:hint="default"/>
        <w:color w:val="auto"/>
      </w:rPr>
    </w:lvl>
  </w:abstractNum>
  <w:abstractNum w:abstractNumId="66">
    <w:nsid w:val="DB6FF3EF"/>
    <w:multiLevelType w:val="singleLevel"/>
    <w:tmpl w:val="DB6FF3EF"/>
    <w:lvl w:ilvl="0" w:tentative="0">
      <w:start w:val="2"/>
      <w:numFmt w:val="decimal"/>
      <w:lvlText w:val="%1."/>
      <w:lvlJc w:val="left"/>
      <w:rPr>
        <w:rFonts w:hint="default"/>
        <w:color w:val="auto"/>
      </w:rPr>
    </w:lvl>
  </w:abstractNum>
  <w:abstractNum w:abstractNumId="67">
    <w:nsid w:val="DB7BAB09"/>
    <w:multiLevelType w:val="singleLevel"/>
    <w:tmpl w:val="DB7BAB09"/>
    <w:lvl w:ilvl="0" w:tentative="0">
      <w:start w:val="5"/>
      <w:numFmt w:val="decimal"/>
      <w:lvlText w:val="%1."/>
      <w:lvlJc w:val="left"/>
      <w:rPr>
        <w:rFonts w:hint="default"/>
        <w:color w:val="auto"/>
      </w:rPr>
    </w:lvl>
  </w:abstractNum>
  <w:abstractNum w:abstractNumId="68">
    <w:nsid w:val="DBB7D5CF"/>
    <w:multiLevelType w:val="singleLevel"/>
    <w:tmpl w:val="DBB7D5CF"/>
    <w:lvl w:ilvl="0" w:tentative="0">
      <w:start w:val="1"/>
      <w:numFmt w:val="chineseCounting"/>
      <w:suff w:val="nothing"/>
      <w:lvlText w:val="%1、"/>
      <w:lvlJc w:val="left"/>
      <w:pPr>
        <w:ind w:left="0" w:firstLine="0"/>
      </w:pPr>
      <w:rPr>
        <w:rFonts w:hint="eastAsia"/>
      </w:rPr>
    </w:lvl>
  </w:abstractNum>
  <w:abstractNum w:abstractNumId="69">
    <w:nsid w:val="DBFA273C"/>
    <w:multiLevelType w:val="singleLevel"/>
    <w:tmpl w:val="DBFA273C"/>
    <w:lvl w:ilvl="0" w:tentative="0">
      <w:start w:val="9"/>
      <w:numFmt w:val="decimal"/>
      <w:lvlText w:val="%1."/>
      <w:lvlJc w:val="left"/>
      <w:rPr>
        <w:rFonts w:hint="default"/>
        <w:color w:val="auto"/>
      </w:rPr>
    </w:lvl>
  </w:abstractNum>
  <w:abstractNum w:abstractNumId="70">
    <w:nsid w:val="DC6B9549"/>
    <w:multiLevelType w:val="singleLevel"/>
    <w:tmpl w:val="DC6B9549"/>
    <w:lvl w:ilvl="0" w:tentative="0">
      <w:start w:val="1"/>
      <w:numFmt w:val="decimal"/>
      <w:suff w:val="space"/>
      <w:lvlText w:val="%1."/>
      <w:lvlJc w:val="left"/>
      <w:pPr>
        <w:ind w:left="0" w:firstLine="480"/>
      </w:pPr>
      <w:rPr>
        <w:rFonts w:hint="default"/>
        <w:color w:val="auto"/>
      </w:rPr>
    </w:lvl>
  </w:abstractNum>
  <w:abstractNum w:abstractNumId="71">
    <w:nsid w:val="DCD675B3"/>
    <w:multiLevelType w:val="singleLevel"/>
    <w:tmpl w:val="DCD675B3"/>
    <w:lvl w:ilvl="0" w:tentative="0">
      <w:start w:val="0"/>
      <w:numFmt w:val="bullet"/>
      <w:lvlText w:val="￮"/>
      <w:lvlJc w:val="left"/>
      <w:rPr>
        <w:rFonts w:hint="default"/>
        <w:color w:val="auto"/>
      </w:rPr>
    </w:lvl>
  </w:abstractNum>
  <w:abstractNum w:abstractNumId="72">
    <w:nsid w:val="DD7DCA19"/>
    <w:multiLevelType w:val="singleLevel"/>
    <w:tmpl w:val="DD7DCA19"/>
    <w:lvl w:ilvl="0" w:tentative="0">
      <w:start w:val="0"/>
      <w:numFmt w:val="bullet"/>
      <w:lvlText w:val="￮"/>
      <w:lvlJc w:val="left"/>
      <w:rPr>
        <w:rFonts w:hint="default"/>
        <w:color w:val="auto"/>
      </w:rPr>
    </w:lvl>
  </w:abstractNum>
  <w:abstractNum w:abstractNumId="73">
    <w:nsid w:val="DD7EB37B"/>
    <w:multiLevelType w:val="singleLevel"/>
    <w:tmpl w:val="DD7EB37B"/>
    <w:lvl w:ilvl="0" w:tentative="0">
      <w:start w:val="1"/>
      <w:numFmt w:val="decimal"/>
      <w:lvlText w:val="%1."/>
      <w:lvlJc w:val="left"/>
      <w:rPr>
        <w:rFonts w:hint="default"/>
        <w:color w:val="auto"/>
      </w:rPr>
    </w:lvl>
  </w:abstractNum>
  <w:abstractNum w:abstractNumId="74">
    <w:nsid w:val="DDEC9C50"/>
    <w:multiLevelType w:val="singleLevel"/>
    <w:tmpl w:val="DDEC9C50"/>
    <w:lvl w:ilvl="0" w:tentative="0">
      <w:start w:val="1"/>
      <w:numFmt w:val="decimal"/>
      <w:suff w:val="space"/>
      <w:lvlText w:val="%1."/>
      <w:lvlJc w:val="left"/>
      <w:pPr>
        <w:ind w:left="0" w:firstLine="480"/>
      </w:pPr>
      <w:rPr>
        <w:rFonts w:hint="default"/>
        <w:color w:val="auto"/>
      </w:rPr>
    </w:lvl>
  </w:abstractNum>
  <w:abstractNum w:abstractNumId="75">
    <w:nsid w:val="DFD3F17E"/>
    <w:multiLevelType w:val="singleLevel"/>
    <w:tmpl w:val="DFD3F17E"/>
    <w:lvl w:ilvl="0" w:tentative="0">
      <w:start w:val="3"/>
      <w:numFmt w:val="decimal"/>
      <w:lvlText w:val="%1."/>
      <w:lvlJc w:val="left"/>
      <w:rPr>
        <w:rFonts w:hint="default"/>
        <w:color w:val="auto"/>
      </w:rPr>
    </w:lvl>
  </w:abstractNum>
  <w:abstractNum w:abstractNumId="76">
    <w:nsid w:val="DFDF24AA"/>
    <w:multiLevelType w:val="singleLevel"/>
    <w:tmpl w:val="DFDF24AA"/>
    <w:lvl w:ilvl="0" w:tentative="0">
      <w:start w:val="0"/>
      <w:numFmt w:val="bullet"/>
      <w:lvlText w:val="￮"/>
      <w:lvlJc w:val="left"/>
      <w:rPr>
        <w:rFonts w:hint="default"/>
        <w:color w:val="auto"/>
      </w:rPr>
    </w:lvl>
  </w:abstractNum>
  <w:abstractNum w:abstractNumId="77">
    <w:nsid w:val="DFFE5A3A"/>
    <w:multiLevelType w:val="singleLevel"/>
    <w:tmpl w:val="DFFE5A3A"/>
    <w:lvl w:ilvl="0" w:tentative="0">
      <w:start w:val="1"/>
      <w:numFmt w:val="decimal"/>
      <w:suff w:val="space"/>
      <w:lvlText w:val="%1."/>
      <w:lvlJc w:val="left"/>
      <w:pPr>
        <w:ind w:left="0" w:firstLine="480"/>
      </w:pPr>
      <w:rPr>
        <w:rFonts w:hint="default"/>
        <w:color w:val="auto"/>
      </w:rPr>
    </w:lvl>
  </w:abstractNum>
  <w:abstractNum w:abstractNumId="78">
    <w:nsid w:val="DFFEB7ED"/>
    <w:multiLevelType w:val="singleLevel"/>
    <w:tmpl w:val="DFFEB7ED"/>
    <w:lvl w:ilvl="0" w:tentative="0">
      <w:start w:val="1"/>
      <w:numFmt w:val="decimal"/>
      <w:suff w:val="space"/>
      <w:lvlText w:val="%1."/>
      <w:lvlJc w:val="left"/>
      <w:pPr>
        <w:ind w:left="0" w:firstLine="480"/>
      </w:pPr>
      <w:rPr>
        <w:rFonts w:hint="default"/>
        <w:color w:val="auto"/>
      </w:rPr>
    </w:lvl>
  </w:abstractNum>
  <w:abstractNum w:abstractNumId="79">
    <w:nsid w:val="E13F5C37"/>
    <w:multiLevelType w:val="singleLevel"/>
    <w:tmpl w:val="E13F5C37"/>
    <w:lvl w:ilvl="0" w:tentative="0">
      <w:start w:val="7"/>
      <w:numFmt w:val="decimal"/>
      <w:lvlText w:val="%1."/>
      <w:lvlJc w:val="left"/>
      <w:rPr>
        <w:rFonts w:hint="default"/>
        <w:color w:val="auto"/>
      </w:rPr>
    </w:lvl>
  </w:abstractNum>
  <w:abstractNum w:abstractNumId="80">
    <w:nsid w:val="E37E5B31"/>
    <w:multiLevelType w:val="singleLevel"/>
    <w:tmpl w:val="E37E5B31"/>
    <w:lvl w:ilvl="0" w:tentative="0">
      <w:start w:val="7"/>
      <w:numFmt w:val="decimal"/>
      <w:lvlText w:val="%1."/>
      <w:lvlJc w:val="left"/>
      <w:rPr>
        <w:rFonts w:hint="default"/>
        <w:color w:val="auto"/>
      </w:rPr>
    </w:lvl>
  </w:abstractNum>
  <w:abstractNum w:abstractNumId="81">
    <w:nsid w:val="E3E83798"/>
    <w:multiLevelType w:val="singleLevel"/>
    <w:tmpl w:val="E3E83798"/>
    <w:lvl w:ilvl="0" w:tentative="0">
      <w:start w:val="1"/>
      <w:numFmt w:val="decimal"/>
      <w:suff w:val="space"/>
      <w:lvlText w:val="4.3.%1"/>
      <w:lvlJc w:val="left"/>
      <w:pPr>
        <w:ind w:left="0" w:firstLine="0"/>
      </w:pPr>
      <w:rPr>
        <w:rFonts w:hint="default"/>
      </w:rPr>
    </w:lvl>
  </w:abstractNum>
  <w:abstractNum w:abstractNumId="82">
    <w:nsid w:val="E59742F7"/>
    <w:multiLevelType w:val="singleLevel"/>
    <w:tmpl w:val="E59742F7"/>
    <w:lvl w:ilvl="0" w:tentative="0">
      <w:start w:val="1"/>
      <w:numFmt w:val="decimal"/>
      <w:suff w:val="space"/>
      <w:lvlText w:val="%1."/>
      <w:lvlJc w:val="left"/>
      <w:pPr>
        <w:ind w:left="0" w:firstLine="480"/>
      </w:pPr>
      <w:rPr>
        <w:rFonts w:hint="default"/>
        <w:color w:val="auto"/>
      </w:rPr>
    </w:lvl>
  </w:abstractNum>
  <w:abstractNum w:abstractNumId="83">
    <w:nsid w:val="E5CDAA93"/>
    <w:multiLevelType w:val="singleLevel"/>
    <w:tmpl w:val="E5CDAA93"/>
    <w:lvl w:ilvl="0" w:tentative="0">
      <w:start w:val="2"/>
      <w:numFmt w:val="decimal"/>
      <w:lvlText w:val="%1."/>
      <w:lvlJc w:val="left"/>
      <w:rPr>
        <w:rFonts w:hint="default"/>
        <w:color w:val="auto"/>
      </w:rPr>
    </w:lvl>
  </w:abstractNum>
  <w:abstractNum w:abstractNumId="84">
    <w:nsid w:val="E7A3F41F"/>
    <w:multiLevelType w:val="singleLevel"/>
    <w:tmpl w:val="E7A3F41F"/>
    <w:lvl w:ilvl="0" w:tentative="0">
      <w:start w:val="4"/>
      <w:numFmt w:val="decimal"/>
      <w:lvlText w:val="%1."/>
      <w:lvlJc w:val="left"/>
      <w:rPr>
        <w:rFonts w:hint="default"/>
        <w:color w:val="auto"/>
      </w:rPr>
    </w:lvl>
  </w:abstractNum>
  <w:abstractNum w:abstractNumId="85">
    <w:nsid w:val="E7D4D195"/>
    <w:multiLevelType w:val="singleLevel"/>
    <w:tmpl w:val="E7D4D195"/>
    <w:lvl w:ilvl="0" w:tentative="0">
      <w:start w:val="0"/>
      <w:numFmt w:val="bullet"/>
      <w:lvlText w:val="￮"/>
      <w:lvlJc w:val="left"/>
      <w:rPr>
        <w:rFonts w:hint="default"/>
        <w:color w:val="auto"/>
      </w:rPr>
    </w:lvl>
  </w:abstractNum>
  <w:abstractNum w:abstractNumId="86">
    <w:nsid w:val="E7F6C19B"/>
    <w:multiLevelType w:val="singleLevel"/>
    <w:tmpl w:val="E7F6C19B"/>
    <w:lvl w:ilvl="0" w:tentative="0">
      <w:start w:val="1"/>
      <w:numFmt w:val="decimal"/>
      <w:lvlText w:val="%1."/>
      <w:lvlJc w:val="left"/>
      <w:rPr>
        <w:rFonts w:hint="default"/>
        <w:color w:val="auto"/>
      </w:rPr>
    </w:lvl>
  </w:abstractNum>
  <w:abstractNum w:abstractNumId="87">
    <w:nsid w:val="E7FDC4E7"/>
    <w:multiLevelType w:val="singleLevel"/>
    <w:tmpl w:val="E7FDC4E7"/>
    <w:lvl w:ilvl="0" w:tentative="0">
      <w:start w:val="4"/>
      <w:numFmt w:val="decimal"/>
      <w:lvlText w:val="%1."/>
      <w:lvlJc w:val="left"/>
      <w:rPr>
        <w:rFonts w:hint="default"/>
        <w:color w:val="auto"/>
      </w:rPr>
    </w:lvl>
  </w:abstractNum>
  <w:abstractNum w:abstractNumId="88">
    <w:nsid w:val="EBBAA70B"/>
    <w:multiLevelType w:val="singleLevel"/>
    <w:tmpl w:val="EBBAA70B"/>
    <w:lvl w:ilvl="0" w:tentative="0">
      <w:start w:val="5"/>
      <w:numFmt w:val="decimal"/>
      <w:lvlText w:val="%1."/>
      <w:lvlJc w:val="left"/>
      <w:rPr>
        <w:rFonts w:hint="default"/>
        <w:color w:val="auto"/>
      </w:rPr>
    </w:lvl>
  </w:abstractNum>
  <w:abstractNum w:abstractNumId="89">
    <w:nsid w:val="EBECD99D"/>
    <w:multiLevelType w:val="singleLevel"/>
    <w:tmpl w:val="EBECD99D"/>
    <w:lvl w:ilvl="0" w:tentative="0">
      <w:start w:val="1"/>
      <w:numFmt w:val="decimal"/>
      <w:suff w:val="space"/>
      <w:lvlText w:val="%1."/>
      <w:lvlJc w:val="left"/>
      <w:pPr>
        <w:ind w:left="0" w:firstLine="480"/>
      </w:pPr>
      <w:rPr>
        <w:rFonts w:hint="default"/>
        <w:color w:val="auto"/>
      </w:rPr>
    </w:lvl>
  </w:abstractNum>
  <w:abstractNum w:abstractNumId="90">
    <w:nsid w:val="EBEED4E1"/>
    <w:multiLevelType w:val="singleLevel"/>
    <w:tmpl w:val="EBEED4E1"/>
    <w:lvl w:ilvl="0" w:tentative="0">
      <w:start w:val="1"/>
      <w:numFmt w:val="decimal"/>
      <w:lvlText w:val="%1."/>
      <w:lvlJc w:val="left"/>
      <w:rPr>
        <w:rFonts w:hint="default"/>
        <w:color w:val="auto"/>
      </w:rPr>
    </w:lvl>
  </w:abstractNum>
  <w:abstractNum w:abstractNumId="91">
    <w:nsid w:val="ED5435DC"/>
    <w:multiLevelType w:val="singleLevel"/>
    <w:tmpl w:val="ED5435DC"/>
    <w:lvl w:ilvl="0" w:tentative="0">
      <w:start w:val="1"/>
      <w:numFmt w:val="decimal"/>
      <w:lvlText w:val="%1."/>
      <w:lvlJc w:val="left"/>
      <w:rPr>
        <w:rFonts w:hint="default"/>
        <w:color w:val="auto"/>
      </w:rPr>
    </w:lvl>
  </w:abstractNum>
  <w:abstractNum w:abstractNumId="92">
    <w:nsid w:val="ED9FDC52"/>
    <w:multiLevelType w:val="singleLevel"/>
    <w:tmpl w:val="ED9FDC52"/>
    <w:lvl w:ilvl="0" w:tentative="0">
      <w:start w:val="0"/>
      <w:numFmt w:val="bullet"/>
      <w:lvlText w:val="￮"/>
      <w:lvlJc w:val="left"/>
      <w:rPr>
        <w:rFonts w:hint="default"/>
        <w:color w:val="auto"/>
      </w:rPr>
    </w:lvl>
  </w:abstractNum>
  <w:abstractNum w:abstractNumId="93">
    <w:nsid w:val="EDF56572"/>
    <w:multiLevelType w:val="singleLevel"/>
    <w:tmpl w:val="EDF56572"/>
    <w:lvl w:ilvl="0" w:tentative="0">
      <w:start w:val="5"/>
      <w:numFmt w:val="decimal"/>
      <w:lvlText w:val="%1."/>
      <w:lvlJc w:val="left"/>
      <w:rPr>
        <w:rFonts w:hint="default"/>
        <w:color w:val="auto"/>
      </w:rPr>
    </w:lvl>
  </w:abstractNum>
  <w:abstractNum w:abstractNumId="94">
    <w:nsid w:val="EDFF059C"/>
    <w:multiLevelType w:val="singleLevel"/>
    <w:tmpl w:val="EDFF059C"/>
    <w:lvl w:ilvl="0" w:tentative="0">
      <w:start w:val="1"/>
      <w:numFmt w:val="decimal"/>
      <w:suff w:val="space"/>
      <w:lvlText w:val="8.%1"/>
      <w:lvlJc w:val="left"/>
      <w:pPr>
        <w:ind w:left="0" w:firstLine="0"/>
      </w:pPr>
      <w:rPr>
        <w:rFonts w:hint="default"/>
      </w:rPr>
    </w:lvl>
  </w:abstractNum>
  <w:abstractNum w:abstractNumId="95">
    <w:nsid w:val="EF07A50E"/>
    <w:multiLevelType w:val="singleLevel"/>
    <w:tmpl w:val="EF07A50E"/>
    <w:lvl w:ilvl="0" w:tentative="0">
      <w:start w:val="2"/>
      <w:numFmt w:val="decimal"/>
      <w:lvlText w:val="%1."/>
      <w:lvlJc w:val="left"/>
      <w:rPr>
        <w:rFonts w:hint="default"/>
        <w:color w:val="auto"/>
      </w:rPr>
    </w:lvl>
  </w:abstractNum>
  <w:abstractNum w:abstractNumId="96">
    <w:nsid w:val="EF5F2C1C"/>
    <w:multiLevelType w:val="singleLevel"/>
    <w:tmpl w:val="EF5F2C1C"/>
    <w:lvl w:ilvl="0" w:tentative="0">
      <w:start w:val="3"/>
      <w:numFmt w:val="decimal"/>
      <w:lvlText w:val="%1."/>
      <w:lvlJc w:val="left"/>
      <w:rPr>
        <w:rFonts w:hint="default"/>
        <w:color w:val="auto"/>
      </w:rPr>
    </w:lvl>
  </w:abstractNum>
  <w:abstractNum w:abstractNumId="97">
    <w:nsid w:val="EF7EF90D"/>
    <w:multiLevelType w:val="singleLevel"/>
    <w:tmpl w:val="EF7EF90D"/>
    <w:lvl w:ilvl="0" w:tentative="0">
      <w:start w:val="2"/>
      <w:numFmt w:val="decimal"/>
      <w:lvlText w:val="%1."/>
      <w:lvlJc w:val="left"/>
      <w:rPr>
        <w:rFonts w:hint="default"/>
        <w:color w:val="auto"/>
      </w:rPr>
    </w:lvl>
  </w:abstractNum>
  <w:abstractNum w:abstractNumId="98">
    <w:nsid w:val="EF7FBB8C"/>
    <w:multiLevelType w:val="singleLevel"/>
    <w:tmpl w:val="EF7FBB8C"/>
    <w:lvl w:ilvl="0" w:tentative="0">
      <w:start w:val="1"/>
      <w:numFmt w:val="decimal"/>
      <w:suff w:val="space"/>
      <w:lvlText w:val="1.%1"/>
      <w:lvlJc w:val="left"/>
      <w:pPr>
        <w:ind w:left="0" w:firstLine="0"/>
      </w:pPr>
      <w:rPr>
        <w:rFonts w:hint="default"/>
      </w:rPr>
    </w:lvl>
  </w:abstractNum>
  <w:abstractNum w:abstractNumId="99">
    <w:nsid w:val="EFCDB82A"/>
    <w:multiLevelType w:val="singleLevel"/>
    <w:tmpl w:val="EFCDB82A"/>
    <w:lvl w:ilvl="0" w:tentative="0">
      <w:start w:val="1"/>
      <w:numFmt w:val="decimal"/>
      <w:lvlText w:val="%1."/>
      <w:lvlJc w:val="left"/>
      <w:rPr>
        <w:rFonts w:hint="default"/>
        <w:color w:val="auto"/>
      </w:rPr>
    </w:lvl>
  </w:abstractNum>
  <w:abstractNum w:abstractNumId="100">
    <w:nsid w:val="EFDE2E82"/>
    <w:multiLevelType w:val="singleLevel"/>
    <w:tmpl w:val="EFDE2E82"/>
    <w:lvl w:ilvl="0" w:tentative="0">
      <w:start w:val="0"/>
      <w:numFmt w:val="bullet"/>
      <w:lvlText w:val="￮"/>
      <w:lvlJc w:val="left"/>
      <w:rPr>
        <w:rFonts w:hint="default"/>
        <w:color w:val="auto"/>
      </w:rPr>
    </w:lvl>
  </w:abstractNum>
  <w:abstractNum w:abstractNumId="101">
    <w:nsid w:val="EFED28DC"/>
    <w:multiLevelType w:val="singleLevel"/>
    <w:tmpl w:val="EFED28DC"/>
    <w:lvl w:ilvl="0" w:tentative="0">
      <w:start w:val="4"/>
      <w:numFmt w:val="decimal"/>
      <w:lvlText w:val="%1."/>
      <w:lvlJc w:val="left"/>
      <w:rPr>
        <w:rFonts w:hint="default"/>
        <w:color w:val="auto"/>
      </w:rPr>
    </w:lvl>
  </w:abstractNum>
  <w:abstractNum w:abstractNumId="102">
    <w:nsid w:val="EFEFA859"/>
    <w:multiLevelType w:val="singleLevel"/>
    <w:tmpl w:val="EFEFA859"/>
    <w:lvl w:ilvl="0" w:tentative="0">
      <w:start w:val="1"/>
      <w:numFmt w:val="decimal"/>
      <w:lvlText w:val="%1."/>
      <w:lvlJc w:val="left"/>
      <w:rPr>
        <w:rFonts w:hint="default"/>
        <w:color w:val="auto"/>
      </w:rPr>
    </w:lvl>
  </w:abstractNum>
  <w:abstractNum w:abstractNumId="103">
    <w:nsid w:val="EFFF0215"/>
    <w:multiLevelType w:val="singleLevel"/>
    <w:tmpl w:val="EFFF0215"/>
    <w:lvl w:ilvl="0" w:tentative="0">
      <w:start w:val="1"/>
      <w:numFmt w:val="decimal"/>
      <w:suff w:val="space"/>
      <w:lvlText w:val="%1."/>
      <w:lvlJc w:val="left"/>
      <w:pPr>
        <w:ind w:left="0" w:firstLine="480"/>
      </w:pPr>
      <w:rPr>
        <w:rFonts w:hint="default"/>
        <w:color w:val="auto"/>
      </w:rPr>
    </w:lvl>
  </w:abstractNum>
  <w:abstractNum w:abstractNumId="104">
    <w:nsid w:val="EFFF9060"/>
    <w:multiLevelType w:val="singleLevel"/>
    <w:tmpl w:val="EFFF9060"/>
    <w:lvl w:ilvl="0" w:tentative="0">
      <w:start w:val="1"/>
      <w:numFmt w:val="decimal"/>
      <w:suff w:val="space"/>
      <w:lvlText w:val="2.%1"/>
      <w:lvlJc w:val="left"/>
      <w:pPr>
        <w:ind w:left="0" w:firstLine="482"/>
      </w:pPr>
      <w:rPr>
        <w:rFonts w:hint="default"/>
      </w:rPr>
    </w:lvl>
  </w:abstractNum>
  <w:abstractNum w:abstractNumId="105">
    <w:nsid w:val="F14E8A25"/>
    <w:multiLevelType w:val="singleLevel"/>
    <w:tmpl w:val="F14E8A25"/>
    <w:lvl w:ilvl="0" w:tentative="0">
      <w:start w:val="3"/>
      <w:numFmt w:val="decimal"/>
      <w:lvlText w:val="%1."/>
      <w:lvlJc w:val="left"/>
      <w:rPr>
        <w:rFonts w:hint="default"/>
        <w:color w:val="auto"/>
      </w:rPr>
    </w:lvl>
  </w:abstractNum>
  <w:abstractNum w:abstractNumId="106">
    <w:nsid w:val="F1B7F27E"/>
    <w:multiLevelType w:val="singleLevel"/>
    <w:tmpl w:val="F1B7F27E"/>
    <w:lvl w:ilvl="0" w:tentative="0">
      <w:start w:val="1"/>
      <w:numFmt w:val="decimal"/>
      <w:lvlText w:val="%1."/>
      <w:lvlJc w:val="left"/>
      <w:rPr>
        <w:rFonts w:hint="default"/>
        <w:color w:val="auto"/>
      </w:rPr>
    </w:lvl>
  </w:abstractNum>
  <w:abstractNum w:abstractNumId="107">
    <w:nsid w:val="F35A113F"/>
    <w:multiLevelType w:val="singleLevel"/>
    <w:tmpl w:val="F35A113F"/>
    <w:lvl w:ilvl="0" w:tentative="0">
      <w:start w:val="4"/>
      <w:numFmt w:val="decimal"/>
      <w:lvlText w:val="%1."/>
      <w:lvlJc w:val="left"/>
      <w:rPr>
        <w:rFonts w:hint="default"/>
        <w:color w:val="auto"/>
      </w:rPr>
    </w:lvl>
  </w:abstractNum>
  <w:abstractNum w:abstractNumId="108">
    <w:nsid w:val="F3FD6A66"/>
    <w:multiLevelType w:val="singleLevel"/>
    <w:tmpl w:val="F3FD6A66"/>
    <w:lvl w:ilvl="0" w:tentative="0">
      <w:start w:val="1"/>
      <w:numFmt w:val="decimal"/>
      <w:lvlText w:val="%1."/>
      <w:lvlJc w:val="left"/>
      <w:rPr>
        <w:rFonts w:hint="default"/>
        <w:color w:val="auto"/>
      </w:rPr>
    </w:lvl>
  </w:abstractNum>
  <w:abstractNum w:abstractNumId="109">
    <w:nsid w:val="F4BE6DEE"/>
    <w:multiLevelType w:val="singleLevel"/>
    <w:tmpl w:val="F4BE6DEE"/>
    <w:lvl w:ilvl="0" w:tentative="0">
      <w:start w:val="1"/>
      <w:numFmt w:val="decimal"/>
      <w:suff w:val="space"/>
      <w:lvlText w:val="%1."/>
      <w:lvlJc w:val="left"/>
      <w:pPr>
        <w:ind w:left="0" w:firstLine="480"/>
      </w:pPr>
      <w:rPr>
        <w:rFonts w:hint="default"/>
        <w:color w:val="auto"/>
      </w:rPr>
    </w:lvl>
  </w:abstractNum>
  <w:abstractNum w:abstractNumId="110">
    <w:nsid w:val="F5EE8F3C"/>
    <w:multiLevelType w:val="singleLevel"/>
    <w:tmpl w:val="F5EE8F3C"/>
    <w:lvl w:ilvl="0" w:tentative="0">
      <w:start w:val="2"/>
      <w:numFmt w:val="decimal"/>
      <w:lvlText w:val="%1."/>
      <w:lvlJc w:val="left"/>
      <w:rPr>
        <w:rFonts w:hint="default"/>
        <w:color w:val="auto"/>
      </w:rPr>
    </w:lvl>
  </w:abstractNum>
  <w:abstractNum w:abstractNumId="111">
    <w:nsid w:val="F5FAB569"/>
    <w:multiLevelType w:val="singleLevel"/>
    <w:tmpl w:val="F5FAB569"/>
    <w:lvl w:ilvl="0" w:tentative="0">
      <w:start w:val="1"/>
      <w:numFmt w:val="decimal"/>
      <w:suff w:val="space"/>
      <w:lvlText w:val="%1."/>
      <w:lvlJc w:val="left"/>
      <w:pPr>
        <w:ind w:left="0" w:firstLine="480"/>
      </w:pPr>
      <w:rPr>
        <w:rFonts w:hint="default"/>
        <w:color w:val="auto"/>
      </w:rPr>
    </w:lvl>
  </w:abstractNum>
  <w:abstractNum w:abstractNumId="112">
    <w:nsid w:val="F666F717"/>
    <w:multiLevelType w:val="singleLevel"/>
    <w:tmpl w:val="F666F717"/>
    <w:lvl w:ilvl="0" w:tentative="0">
      <w:start w:val="3"/>
      <w:numFmt w:val="decimal"/>
      <w:lvlText w:val="%1."/>
      <w:lvlJc w:val="left"/>
      <w:rPr>
        <w:rFonts w:hint="default"/>
        <w:color w:val="auto"/>
      </w:rPr>
    </w:lvl>
  </w:abstractNum>
  <w:abstractNum w:abstractNumId="113">
    <w:nsid w:val="F6AE1412"/>
    <w:multiLevelType w:val="singleLevel"/>
    <w:tmpl w:val="F6AE1412"/>
    <w:lvl w:ilvl="0" w:tentative="0">
      <w:start w:val="3"/>
      <w:numFmt w:val="decimal"/>
      <w:lvlText w:val="%1."/>
      <w:lvlJc w:val="left"/>
      <w:rPr>
        <w:rFonts w:hint="default"/>
        <w:color w:val="auto"/>
      </w:rPr>
    </w:lvl>
  </w:abstractNum>
  <w:abstractNum w:abstractNumId="114">
    <w:nsid w:val="F6DEE4AA"/>
    <w:multiLevelType w:val="singleLevel"/>
    <w:tmpl w:val="F6DEE4AA"/>
    <w:lvl w:ilvl="0" w:tentative="0">
      <w:start w:val="1"/>
      <w:numFmt w:val="decimal"/>
      <w:lvlText w:val="%1."/>
      <w:lvlJc w:val="left"/>
      <w:rPr>
        <w:rFonts w:hint="default"/>
        <w:color w:val="auto"/>
      </w:rPr>
    </w:lvl>
  </w:abstractNum>
  <w:abstractNum w:abstractNumId="115">
    <w:nsid w:val="F6DFA44D"/>
    <w:multiLevelType w:val="singleLevel"/>
    <w:tmpl w:val="F6DFA44D"/>
    <w:lvl w:ilvl="0" w:tentative="0">
      <w:start w:val="1"/>
      <w:numFmt w:val="decimal"/>
      <w:lvlText w:val="%1."/>
      <w:lvlJc w:val="left"/>
      <w:rPr>
        <w:rFonts w:hint="default"/>
        <w:color w:val="auto"/>
      </w:rPr>
    </w:lvl>
  </w:abstractNum>
  <w:abstractNum w:abstractNumId="116">
    <w:nsid w:val="F6E9E22B"/>
    <w:multiLevelType w:val="singleLevel"/>
    <w:tmpl w:val="F6E9E22B"/>
    <w:lvl w:ilvl="0" w:tentative="0">
      <w:start w:val="2"/>
      <w:numFmt w:val="chineseCounting"/>
      <w:suff w:val="nothing"/>
      <w:lvlText w:val="%1、"/>
      <w:lvlJc w:val="left"/>
      <w:rPr>
        <w:rFonts w:hint="eastAsia"/>
      </w:rPr>
    </w:lvl>
  </w:abstractNum>
  <w:abstractNum w:abstractNumId="117">
    <w:nsid w:val="F6F77EAF"/>
    <w:multiLevelType w:val="singleLevel"/>
    <w:tmpl w:val="F6F77EAF"/>
    <w:lvl w:ilvl="0" w:tentative="0">
      <w:start w:val="0"/>
      <w:numFmt w:val="bullet"/>
      <w:lvlText w:val="￮"/>
      <w:lvlJc w:val="left"/>
      <w:rPr>
        <w:rFonts w:hint="default"/>
        <w:color w:val="auto"/>
      </w:rPr>
    </w:lvl>
  </w:abstractNum>
  <w:abstractNum w:abstractNumId="118">
    <w:nsid w:val="F6FFCB84"/>
    <w:multiLevelType w:val="singleLevel"/>
    <w:tmpl w:val="F6FFCB84"/>
    <w:lvl w:ilvl="0" w:tentative="0">
      <w:start w:val="2"/>
      <w:numFmt w:val="decimal"/>
      <w:lvlText w:val="%1."/>
      <w:lvlJc w:val="left"/>
      <w:rPr>
        <w:rFonts w:hint="default"/>
        <w:color w:val="auto"/>
      </w:rPr>
    </w:lvl>
  </w:abstractNum>
  <w:abstractNum w:abstractNumId="119">
    <w:nsid w:val="F71E7DBE"/>
    <w:multiLevelType w:val="singleLevel"/>
    <w:tmpl w:val="F71E7DBE"/>
    <w:lvl w:ilvl="0" w:tentative="0">
      <w:start w:val="0"/>
      <w:numFmt w:val="bullet"/>
      <w:lvlText w:val="￮"/>
      <w:lvlJc w:val="left"/>
      <w:rPr>
        <w:rFonts w:hint="default"/>
        <w:color w:val="auto"/>
      </w:rPr>
    </w:lvl>
  </w:abstractNum>
  <w:abstractNum w:abstractNumId="120">
    <w:nsid w:val="F77761DF"/>
    <w:multiLevelType w:val="singleLevel"/>
    <w:tmpl w:val="F77761DF"/>
    <w:lvl w:ilvl="0" w:tentative="0">
      <w:start w:val="1"/>
      <w:numFmt w:val="decimal"/>
      <w:suff w:val="space"/>
      <w:lvlText w:val="%1."/>
      <w:lvlJc w:val="left"/>
      <w:pPr>
        <w:ind w:left="0" w:firstLine="0"/>
      </w:pPr>
      <w:rPr>
        <w:rFonts w:hint="default"/>
      </w:rPr>
    </w:lvl>
  </w:abstractNum>
  <w:abstractNum w:abstractNumId="121">
    <w:nsid w:val="F7EC5BDC"/>
    <w:multiLevelType w:val="singleLevel"/>
    <w:tmpl w:val="F7EC5BDC"/>
    <w:lvl w:ilvl="0" w:tentative="0">
      <w:start w:val="6"/>
      <w:numFmt w:val="decimal"/>
      <w:lvlText w:val="%1."/>
      <w:lvlJc w:val="left"/>
      <w:rPr>
        <w:rFonts w:hint="default"/>
        <w:color w:val="auto"/>
      </w:rPr>
    </w:lvl>
  </w:abstractNum>
  <w:abstractNum w:abstractNumId="122">
    <w:nsid w:val="F7ED49E3"/>
    <w:multiLevelType w:val="singleLevel"/>
    <w:tmpl w:val="F7ED49E3"/>
    <w:lvl w:ilvl="0" w:tentative="0">
      <w:start w:val="1"/>
      <w:numFmt w:val="decimal"/>
      <w:suff w:val="space"/>
      <w:lvlText w:val="%1."/>
      <w:lvlJc w:val="left"/>
      <w:pPr>
        <w:ind w:left="0" w:firstLine="480"/>
      </w:pPr>
      <w:rPr>
        <w:rFonts w:hint="default"/>
        <w:color w:val="auto"/>
      </w:rPr>
    </w:lvl>
  </w:abstractNum>
  <w:abstractNum w:abstractNumId="123">
    <w:nsid w:val="F7FB7C5C"/>
    <w:multiLevelType w:val="singleLevel"/>
    <w:tmpl w:val="F7FB7C5C"/>
    <w:lvl w:ilvl="0" w:tentative="0">
      <w:start w:val="0"/>
      <w:numFmt w:val="bullet"/>
      <w:lvlText w:val="￮"/>
      <w:lvlJc w:val="left"/>
      <w:rPr>
        <w:rFonts w:hint="default"/>
        <w:color w:val="auto"/>
      </w:rPr>
    </w:lvl>
  </w:abstractNum>
  <w:abstractNum w:abstractNumId="124">
    <w:nsid w:val="F7FDBA07"/>
    <w:multiLevelType w:val="singleLevel"/>
    <w:tmpl w:val="F7FDBA07"/>
    <w:lvl w:ilvl="0" w:tentative="0">
      <w:start w:val="4"/>
      <w:numFmt w:val="decimal"/>
      <w:lvlText w:val="%1."/>
      <w:lvlJc w:val="left"/>
      <w:rPr>
        <w:rFonts w:hint="default"/>
        <w:color w:val="auto"/>
      </w:rPr>
    </w:lvl>
  </w:abstractNum>
  <w:abstractNum w:abstractNumId="125">
    <w:nsid w:val="F7FF85F0"/>
    <w:multiLevelType w:val="singleLevel"/>
    <w:tmpl w:val="F7FF85F0"/>
    <w:lvl w:ilvl="0" w:tentative="0">
      <w:start w:val="1"/>
      <w:numFmt w:val="decimal"/>
      <w:suff w:val="space"/>
      <w:lvlText w:val="%1."/>
      <w:lvlJc w:val="left"/>
      <w:pPr>
        <w:ind w:left="0" w:firstLine="480"/>
      </w:pPr>
      <w:rPr>
        <w:rFonts w:hint="default"/>
        <w:color w:val="auto"/>
      </w:rPr>
    </w:lvl>
  </w:abstractNum>
  <w:abstractNum w:abstractNumId="126">
    <w:nsid w:val="F970CCC5"/>
    <w:multiLevelType w:val="singleLevel"/>
    <w:tmpl w:val="F970CCC5"/>
    <w:lvl w:ilvl="0" w:tentative="0">
      <w:start w:val="2"/>
      <w:numFmt w:val="decimal"/>
      <w:lvlText w:val="%1."/>
      <w:lvlJc w:val="left"/>
      <w:rPr>
        <w:rFonts w:hint="default"/>
        <w:color w:val="auto"/>
      </w:rPr>
    </w:lvl>
  </w:abstractNum>
  <w:abstractNum w:abstractNumId="127">
    <w:nsid w:val="F9B90EF9"/>
    <w:multiLevelType w:val="singleLevel"/>
    <w:tmpl w:val="F9B90EF9"/>
    <w:lvl w:ilvl="0" w:tentative="0">
      <w:start w:val="1"/>
      <w:numFmt w:val="decimal"/>
      <w:suff w:val="space"/>
      <w:lvlText w:val="3.%1"/>
      <w:lvlJc w:val="left"/>
      <w:pPr>
        <w:ind w:left="0" w:firstLine="0"/>
      </w:pPr>
      <w:rPr>
        <w:rFonts w:hint="default"/>
      </w:rPr>
    </w:lvl>
  </w:abstractNum>
  <w:abstractNum w:abstractNumId="128">
    <w:nsid w:val="F9D7186A"/>
    <w:multiLevelType w:val="singleLevel"/>
    <w:tmpl w:val="F9D7186A"/>
    <w:lvl w:ilvl="0" w:tentative="0">
      <w:start w:val="1"/>
      <w:numFmt w:val="decimal"/>
      <w:suff w:val="space"/>
      <w:lvlText w:val="8.%1"/>
      <w:lvlJc w:val="left"/>
      <w:pPr>
        <w:ind w:left="0" w:firstLine="0"/>
      </w:pPr>
      <w:rPr>
        <w:rFonts w:hint="default"/>
      </w:rPr>
    </w:lvl>
  </w:abstractNum>
  <w:abstractNum w:abstractNumId="129">
    <w:nsid w:val="FB3E9EC3"/>
    <w:multiLevelType w:val="singleLevel"/>
    <w:tmpl w:val="FB3E9EC3"/>
    <w:lvl w:ilvl="0" w:tentative="0">
      <w:start w:val="0"/>
      <w:numFmt w:val="bullet"/>
      <w:lvlText w:val="￮"/>
      <w:lvlJc w:val="left"/>
      <w:rPr>
        <w:rFonts w:hint="default"/>
        <w:color w:val="auto"/>
      </w:rPr>
    </w:lvl>
  </w:abstractNum>
  <w:abstractNum w:abstractNumId="130">
    <w:nsid w:val="FB650EFC"/>
    <w:multiLevelType w:val="singleLevel"/>
    <w:tmpl w:val="FB650EFC"/>
    <w:lvl w:ilvl="0" w:tentative="0">
      <w:start w:val="3"/>
      <w:numFmt w:val="decimal"/>
      <w:lvlText w:val="%1."/>
      <w:lvlJc w:val="left"/>
      <w:rPr>
        <w:rFonts w:hint="default"/>
        <w:color w:val="auto"/>
      </w:rPr>
    </w:lvl>
  </w:abstractNum>
  <w:abstractNum w:abstractNumId="131">
    <w:nsid w:val="FB975A7F"/>
    <w:multiLevelType w:val="singleLevel"/>
    <w:tmpl w:val="FB975A7F"/>
    <w:lvl w:ilvl="0" w:tentative="0">
      <w:start w:val="1"/>
      <w:numFmt w:val="decimal"/>
      <w:lvlText w:val="%1."/>
      <w:lvlJc w:val="left"/>
      <w:rPr>
        <w:rFonts w:hint="default"/>
        <w:color w:val="auto"/>
      </w:rPr>
    </w:lvl>
  </w:abstractNum>
  <w:abstractNum w:abstractNumId="132">
    <w:nsid w:val="FBDEC16F"/>
    <w:multiLevelType w:val="singleLevel"/>
    <w:tmpl w:val="FBDEC16F"/>
    <w:lvl w:ilvl="0" w:tentative="0">
      <w:start w:val="3"/>
      <w:numFmt w:val="decimal"/>
      <w:lvlText w:val="%1."/>
      <w:lvlJc w:val="left"/>
      <w:rPr>
        <w:rFonts w:hint="default"/>
        <w:color w:val="auto"/>
      </w:rPr>
    </w:lvl>
  </w:abstractNum>
  <w:abstractNum w:abstractNumId="133">
    <w:nsid w:val="FBED33C4"/>
    <w:multiLevelType w:val="singleLevel"/>
    <w:tmpl w:val="FBED33C4"/>
    <w:lvl w:ilvl="0" w:tentative="0">
      <w:start w:val="0"/>
      <w:numFmt w:val="bullet"/>
      <w:lvlText w:val="￮"/>
      <w:lvlJc w:val="left"/>
      <w:rPr>
        <w:rFonts w:hint="default"/>
        <w:color w:val="auto"/>
      </w:rPr>
    </w:lvl>
  </w:abstractNum>
  <w:abstractNum w:abstractNumId="134">
    <w:nsid w:val="FBEFEF0E"/>
    <w:multiLevelType w:val="singleLevel"/>
    <w:tmpl w:val="FBEFEF0E"/>
    <w:lvl w:ilvl="0" w:tentative="0">
      <w:start w:val="1"/>
      <w:numFmt w:val="decimal"/>
      <w:lvlText w:val="%1."/>
      <w:lvlJc w:val="left"/>
      <w:rPr>
        <w:rFonts w:hint="default"/>
        <w:color w:val="auto"/>
      </w:rPr>
    </w:lvl>
  </w:abstractNum>
  <w:abstractNum w:abstractNumId="135">
    <w:nsid w:val="FBF6B00F"/>
    <w:multiLevelType w:val="singleLevel"/>
    <w:tmpl w:val="FBF6B00F"/>
    <w:lvl w:ilvl="0" w:tentative="0">
      <w:start w:val="1"/>
      <w:numFmt w:val="decimal"/>
      <w:suff w:val="space"/>
      <w:lvlText w:val="%1."/>
      <w:lvlJc w:val="left"/>
      <w:pPr>
        <w:ind w:left="0" w:firstLine="480"/>
      </w:pPr>
      <w:rPr>
        <w:rFonts w:hint="default"/>
        <w:color w:val="auto"/>
      </w:rPr>
    </w:lvl>
  </w:abstractNum>
  <w:abstractNum w:abstractNumId="136">
    <w:nsid w:val="FBFDDA10"/>
    <w:multiLevelType w:val="singleLevel"/>
    <w:tmpl w:val="FBFDDA10"/>
    <w:lvl w:ilvl="0" w:tentative="0">
      <w:start w:val="4"/>
      <w:numFmt w:val="decimal"/>
      <w:lvlText w:val="%1."/>
      <w:lvlJc w:val="left"/>
      <w:rPr>
        <w:rFonts w:hint="default"/>
        <w:color w:val="auto"/>
      </w:rPr>
    </w:lvl>
  </w:abstractNum>
  <w:abstractNum w:abstractNumId="137">
    <w:nsid w:val="FBFEEF68"/>
    <w:multiLevelType w:val="singleLevel"/>
    <w:tmpl w:val="FBFEEF68"/>
    <w:lvl w:ilvl="0" w:tentative="0">
      <w:start w:val="1"/>
      <w:numFmt w:val="decimal"/>
      <w:suff w:val="space"/>
      <w:lvlText w:val="%1."/>
      <w:lvlJc w:val="left"/>
      <w:pPr>
        <w:ind w:left="0" w:firstLine="480"/>
      </w:pPr>
      <w:rPr>
        <w:rFonts w:hint="default"/>
        <w:color w:val="auto"/>
      </w:rPr>
    </w:lvl>
  </w:abstractNum>
  <w:abstractNum w:abstractNumId="138">
    <w:nsid w:val="FBFEF592"/>
    <w:multiLevelType w:val="singleLevel"/>
    <w:tmpl w:val="FBFEF592"/>
    <w:lvl w:ilvl="0" w:tentative="0">
      <w:start w:val="1"/>
      <w:numFmt w:val="decimal"/>
      <w:suff w:val="space"/>
      <w:lvlText w:val="%1."/>
      <w:lvlJc w:val="left"/>
      <w:pPr>
        <w:ind w:left="0" w:firstLine="480"/>
      </w:pPr>
      <w:rPr>
        <w:rFonts w:hint="default"/>
        <w:color w:val="auto"/>
      </w:rPr>
    </w:lvl>
  </w:abstractNum>
  <w:abstractNum w:abstractNumId="139">
    <w:nsid w:val="FBFF76C2"/>
    <w:multiLevelType w:val="singleLevel"/>
    <w:tmpl w:val="FBFF76C2"/>
    <w:lvl w:ilvl="0" w:tentative="0">
      <w:start w:val="1"/>
      <w:numFmt w:val="decimal"/>
      <w:suff w:val="space"/>
      <w:lvlText w:val="%1."/>
      <w:lvlJc w:val="left"/>
      <w:pPr>
        <w:ind w:left="0" w:firstLine="480"/>
      </w:pPr>
      <w:rPr>
        <w:rFonts w:hint="default"/>
        <w:color w:val="auto"/>
      </w:rPr>
    </w:lvl>
  </w:abstractNum>
  <w:abstractNum w:abstractNumId="140">
    <w:nsid w:val="FBFF8C93"/>
    <w:multiLevelType w:val="singleLevel"/>
    <w:tmpl w:val="FBFF8C93"/>
    <w:lvl w:ilvl="0" w:tentative="0">
      <w:start w:val="1"/>
      <w:numFmt w:val="decimal"/>
      <w:suff w:val="space"/>
      <w:lvlText w:val="%1."/>
      <w:lvlJc w:val="left"/>
      <w:pPr>
        <w:ind w:left="0" w:firstLine="480"/>
      </w:pPr>
      <w:rPr>
        <w:rFonts w:hint="default"/>
        <w:color w:val="auto"/>
      </w:rPr>
    </w:lvl>
  </w:abstractNum>
  <w:abstractNum w:abstractNumId="141">
    <w:nsid w:val="FCFF6157"/>
    <w:multiLevelType w:val="singleLevel"/>
    <w:tmpl w:val="FCFF6157"/>
    <w:lvl w:ilvl="0" w:tentative="0">
      <w:start w:val="1"/>
      <w:numFmt w:val="decimal"/>
      <w:lvlText w:val="%1."/>
      <w:lvlJc w:val="left"/>
      <w:rPr>
        <w:rFonts w:hint="default"/>
        <w:color w:val="auto"/>
      </w:rPr>
    </w:lvl>
  </w:abstractNum>
  <w:abstractNum w:abstractNumId="142">
    <w:nsid w:val="FD4A5B73"/>
    <w:multiLevelType w:val="singleLevel"/>
    <w:tmpl w:val="FD4A5B73"/>
    <w:lvl w:ilvl="0" w:tentative="0">
      <w:start w:val="0"/>
      <w:numFmt w:val="bullet"/>
      <w:lvlText w:val="￮"/>
      <w:lvlJc w:val="left"/>
      <w:rPr>
        <w:rFonts w:hint="default"/>
        <w:color w:val="auto"/>
      </w:rPr>
    </w:lvl>
  </w:abstractNum>
  <w:abstractNum w:abstractNumId="143">
    <w:nsid w:val="FD7A3404"/>
    <w:multiLevelType w:val="singleLevel"/>
    <w:tmpl w:val="FD7A3404"/>
    <w:lvl w:ilvl="0" w:tentative="0">
      <w:start w:val="2"/>
      <w:numFmt w:val="decimal"/>
      <w:lvlText w:val="%1."/>
      <w:lvlJc w:val="left"/>
      <w:rPr>
        <w:rFonts w:hint="default"/>
        <w:color w:val="auto"/>
      </w:rPr>
    </w:lvl>
  </w:abstractNum>
  <w:abstractNum w:abstractNumId="144">
    <w:nsid w:val="FDD9D432"/>
    <w:multiLevelType w:val="singleLevel"/>
    <w:tmpl w:val="FDD9D432"/>
    <w:lvl w:ilvl="0" w:tentative="0">
      <w:start w:val="1"/>
      <w:numFmt w:val="decimal"/>
      <w:lvlText w:val="%1."/>
      <w:lvlJc w:val="left"/>
      <w:rPr>
        <w:rFonts w:hint="default"/>
        <w:color w:val="auto"/>
      </w:rPr>
    </w:lvl>
  </w:abstractNum>
  <w:abstractNum w:abstractNumId="145">
    <w:nsid w:val="FDEF0BD5"/>
    <w:multiLevelType w:val="singleLevel"/>
    <w:tmpl w:val="FDEF0BD5"/>
    <w:lvl w:ilvl="0" w:tentative="0">
      <w:start w:val="1"/>
      <w:numFmt w:val="decimal"/>
      <w:lvlText w:val="%1."/>
      <w:lvlJc w:val="left"/>
      <w:rPr>
        <w:rFonts w:hint="default"/>
        <w:color w:val="auto"/>
      </w:rPr>
    </w:lvl>
  </w:abstractNum>
  <w:abstractNum w:abstractNumId="146">
    <w:nsid w:val="FDF72B39"/>
    <w:multiLevelType w:val="singleLevel"/>
    <w:tmpl w:val="FDF72B39"/>
    <w:lvl w:ilvl="0" w:tentative="0">
      <w:start w:val="2"/>
      <w:numFmt w:val="decimal"/>
      <w:lvlText w:val="%1."/>
      <w:lvlJc w:val="left"/>
      <w:rPr>
        <w:rFonts w:hint="default"/>
        <w:color w:val="auto"/>
      </w:rPr>
    </w:lvl>
  </w:abstractNum>
  <w:abstractNum w:abstractNumId="147">
    <w:nsid w:val="FDFE07DB"/>
    <w:multiLevelType w:val="singleLevel"/>
    <w:tmpl w:val="FDFE07DB"/>
    <w:lvl w:ilvl="0" w:tentative="0">
      <w:start w:val="4"/>
      <w:numFmt w:val="decimal"/>
      <w:lvlText w:val="%1."/>
      <w:lvlJc w:val="left"/>
      <w:rPr>
        <w:rFonts w:hint="default"/>
        <w:color w:val="auto"/>
      </w:rPr>
    </w:lvl>
  </w:abstractNum>
  <w:abstractNum w:abstractNumId="148">
    <w:nsid w:val="FDFE460F"/>
    <w:multiLevelType w:val="singleLevel"/>
    <w:tmpl w:val="FDFE460F"/>
    <w:lvl w:ilvl="0" w:tentative="0">
      <w:start w:val="3"/>
      <w:numFmt w:val="decimal"/>
      <w:lvlText w:val="%1."/>
      <w:lvlJc w:val="left"/>
      <w:rPr>
        <w:rFonts w:hint="default"/>
        <w:color w:val="auto"/>
      </w:rPr>
    </w:lvl>
  </w:abstractNum>
  <w:abstractNum w:abstractNumId="149">
    <w:nsid w:val="FDFFA2C0"/>
    <w:multiLevelType w:val="singleLevel"/>
    <w:tmpl w:val="FDFFA2C0"/>
    <w:lvl w:ilvl="0" w:tentative="0">
      <w:start w:val="1"/>
      <w:numFmt w:val="decimal"/>
      <w:suff w:val="space"/>
      <w:lvlText w:val="%1."/>
      <w:lvlJc w:val="left"/>
      <w:pPr>
        <w:ind w:left="0" w:firstLine="480"/>
      </w:pPr>
      <w:rPr>
        <w:rFonts w:hint="default"/>
        <w:color w:val="auto"/>
      </w:rPr>
    </w:lvl>
  </w:abstractNum>
  <w:abstractNum w:abstractNumId="150">
    <w:nsid w:val="FE64FF2B"/>
    <w:multiLevelType w:val="singleLevel"/>
    <w:tmpl w:val="FE64FF2B"/>
    <w:lvl w:ilvl="0" w:tentative="0">
      <w:start w:val="3"/>
      <w:numFmt w:val="decimal"/>
      <w:lvlText w:val="%1."/>
      <w:lvlJc w:val="left"/>
      <w:rPr>
        <w:rFonts w:hint="default"/>
        <w:color w:val="auto"/>
      </w:rPr>
    </w:lvl>
  </w:abstractNum>
  <w:abstractNum w:abstractNumId="151">
    <w:nsid w:val="FE7C6E65"/>
    <w:multiLevelType w:val="singleLevel"/>
    <w:tmpl w:val="FE7C6E65"/>
    <w:lvl w:ilvl="0" w:tentative="0">
      <w:start w:val="4"/>
      <w:numFmt w:val="decimal"/>
      <w:lvlText w:val="%1."/>
      <w:lvlJc w:val="left"/>
      <w:rPr>
        <w:rFonts w:hint="default"/>
        <w:color w:val="auto"/>
      </w:rPr>
    </w:lvl>
  </w:abstractNum>
  <w:abstractNum w:abstractNumId="152">
    <w:nsid w:val="FEDE1235"/>
    <w:multiLevelType w:val="singleLevel"/>
    <w:tmpl w:val="FEDE1235"/>
    <w:lvl w:ilvl="0" w:tentative="0">
      <w:start w:val="2"/>
      <w:numFmt w:val="decimal"/>
      <w:lvlText w:val="%1."/>
      <w:lvlJc w:val="left"/>
      <w:rPr>
        <w:rFonts w:hint="default"/>
        <w:color w:val="auto"/>
      </w:rPr>
    </w:lvl>
  </w:abstractNum>
  <w:abstractNum w:abstractNumId="153">
    <w:nsid w:val="FEECB537"/>
    <w:multiLevelType w:val="singleLevel"/>
    <w:tmpl w:val="FEECB537"/>
    <w:lvl w:ilvl="0" w:tentative="0">
      <w:start w:val="2"/>
      <w:numFmt w:val="decimal"/>
      <w:lvlText w:val="%1."/>
      <w:lvlJc w:val="left"/>
      <w:rPr>
        <w:rFonts w:hint="default"/>
        <w:color w:val="auto"/>
      </w:rPr>
    </w:lvl>
  </w:abstractNum>
  <w:abstractNum w:abstractNumId="154">
    <w:nsid w:val="FEFE026C"/>
    <w:multiLevelType w:val="singleLevel"/>
    <w:tmpl w:val="FEFE026C"/>
    <w:lvl w:ilvl="0" w:tentative="0">
      <w:start w:val="3"/>
      <w:numFmt w:val="decimal"/>
      <w:lvlText w:val="%1."/>
      <w:lvlJc w:val="left"/>
      <w:rPr>
        <w:rFonts w:hint="default"/>
        <w:color w:val="auto"/>
      </w:rPr>
    </w:lvl>
  </w:abstractNum>
  <w:abstractNum w:abstractNumId="155">
    <w:nsid w:val="FEFFFDDC"/>
    <w:multiLevelType w:val="singleLevel"/>
    <w:tmpl w:val="FEFFFDDC"/>
    <w:lvl w:ilvl="0" w:tentative="0">
      <w:start w:val="2"/>
      <w:numFmt w:val="decimal"/>
      <w:lvlText w:val="%1."/>
      <w:lvlJc w:val="left"/>
      <w:rPr>
        <w:rFonts w:hint="default"/>
        <w:color w:val="auto"/>
      </w:rPr>
    </w:lvl>
  </w:abstractNum>
  <w:abstractNum w:abstractNumId="156">
    <w:nsid w:val="FF343184"/>
    <w:multiLevelType w:val="singleLevel"/>
    <w:tmpl w:val="FF343184"/>
    <w:lvl w:ilvl="0" w:tentative="0">
      <w:start w:val="1"/>
      <w:numFmt w:val="decimal"/>
      <w:suff w:val="space"/>
      <w:lvlText w:val="4.%1"/>
      <w:lvlJc w:val="left"/>
      <w:pPr>
        <w:ind w:left="0" w:firstLine="0"/>
      </w:pPr>
      <w:rPr>
        <w:rFonts w:hint="default"/>
      </w:rPr>
    </w:lvl>
  </w:abstractNum>
  <w:abstractNum w:abstractNumId="157">
    <w:nsid w:val="FF5614B3"/>
    <w:multiLevelType w:val="singleLevel"/>
    <w:tmpl w:val="FF5614B3"/>
    <w:lvl w:ilvl="0" w:tentative="0">
      <w:start w:val="1"/>
      <w:numFmt w:val="decimal"/>
      <w:suff w:val="space"/>
      <w:lvlText w:val="7.%1"/>
      <w:lvlJc w:val="left"/>
      <w:pPr>
        <w:ind w:left="0" w:firstLine="0"/>
      </w:pPr>
      <w:rPr>
        <w:rFonts w:hint="default"/>
      </w:rPr>
    </w:lvl>
  </w:abstractNum>
  <w:abstractNum w:abstractNumId="158">
    <w:nsid w:val="FF5F5D73"/>
    <w:multiLevelType w:val="singleLevel"/>
    <w:tmpl w:val="FF5F5D73"/>
    <w:lvl w:ilvl="0" w:tentative="0">
      <w:start w:val="1"/>
      <w:numFmt w:val="decimal"/>
      <w:lvlText w:val="%1."/>
      <w:lvlJc w:val="left"/>
      <w:rPr>
        <w:rFonts w:hint="default"/>
        <w:color w:val="auto"/>
      </w:rPr>
    </w:lvl>
  </w:abstractNum>
  <w:abstractNum w:abstractNumId="159">
    <w:nsid w:val="FF6A5DDE"/>
    <w:multiLevelType w:val="singleLevel"/>
    <w:tmpl w:val="FF6A5DDE"/>
    <w:lvl w:ilvl="0" w:tentative="0">
      <w:start w:val="1"/>
      <w:numFmt w:val="decimal"/>
      <w:suff w:val="space"/>
      <w:lvlText w:val="2.%1"/>
      <w:lvlJc w:val="left"/>
      <w:pPr>
        <w:ind w:left="0" w:firstLine="0"/>
      </w:pPr>
      <w:rPr>
        <w:rFonts w:hint="default"/>
      </w:rPr>
    </w:lvl>
  </w:abstractNum>
  <w:abstractNum w:abstractNumId="160">
    <w:nsid w:val="FF727AE5"/>
    <w:multiLevelType w:val="singleLevel"/>
    <w:tmpl w:val="FF727AE5"/>
    <w:lvl w:ilvl="0" w:tentative="0">
      <w:start w:val="1"/>
      <w:numFmt w:val="decimal"/>
      <w:lvlText w:val="%1."/>
      <w:lvlJc w:val="left"/>
      <w:rPr>
        <w:rFonts w:hint="default"/>
        <w:color w:val="auto"/>
      </w:rPr>
    </w:lvl>
  </w:abstractNum>
  <w:abstractNum w:abstractNumId="161">
    <w:nsid w:val="FF766E51"/>
    <w:multiLevelType w:val="singleLevel"/>
    <w:tmpl w:val="FF766E51"/>
    <w:lvl w:ilvl="0" w:tentative="0">
      <w:start w:val="1"/>
      <w:numFmt w:val="decimal"/>
      <w:suff w:val="space"/>
      <w:lvlText w:val="%1."/>
      <w:lvlJc w:val="left"/>
      <w:pPr>
        <w:ind w:left="0" w:firstLine="480"/>
      </w:pPr>
      <w:rPr>
        <w:rFonts w:hint="default"/>
        <w:color w:val="auto"/>
      </w:rPr>
    </w:lvl>
  </w:abstractNum>
  <w:abstractNum w:abstractNumId="162">
    <w:nsid w:val="FF7BE0F5"/>
    <w:multiLevelType w:val="singleLevel"/>
    <w:tmpl w:val="FF7BE0F5"/>
    <w:lvl w:ilvl="0" w:tentative="0">
      <w:start w:val="3"/>
      <w:numFmt w:val="decimal"/>
      <w:lvlText w:val="%1."/>
      <w:lvlJc w:val="left"/>
      <w:rPr>
        <w:rFonts w:hint="default"/>
        <w:color w:val="auto"/>
      </w:rPr>
    </w:lvl>
  </w:abstractNum>
  <w:abstractNum w:abstractNumId="163">
    <w:nsid w:val="FF7E34F6"/>
    <w:multiLevelType w:val="singleLevel"/>
    <w:tmpl w:val="FF7E34F6"/>
    <w:lvl w:ilvl="0" w:tentative="0">
      <w:start w:val="1"/>
      <w:numFmt w:val="decimal"/>
      <w:suff w:val="space"/>
      <w:lvlText w:val="%1."/>
      <w:lvlJc w:val="left"/>
      <w:pPr>
        <w:ind w:left="0" w:firstLine="480"/>
      </w:pPr>
      <w:rPr>
        <w:rFonts w:hint="default"/>
        <w:color w:val="auto"/>
      </w:rPr>
    </w:lvl>
  </w:abstractNum>
  <w:abstractNum w:abstractNumId="164">
    <w:nsid w:val="FF924305"/>
    <w:multiLevelType w:val="singleLevel"/>
    <w:tmpl w:val="FF924305"/>
    <w:lvl w:ilvl="0" w:tentative="0">
      <w:start w:val="4"/>
      <w:numFmt w:val="decimal"/>
      <w:lvlText w:val="%1."/>
      <w:lvlJc w:val="left"/>
      <w:rPr>
        <w:rFonts w:hint="default"/>
        <w:color w:val="auto"/>
      </w:rPr>
    </w:lvl>
  </w:abstractNum>
  <w:abstractNum w:abstractNumId="165">
    <w:nsid w:val="FF9C1A63"/>
    <w:multiLevelType w:val="singleLevel"/>
    <w:tmpl w:val="FF9C1A63"/>
    <w:lvl w:ilvl="0" w:tentative="0">
      <w:start w:val="2"/>
      <w:numFmt w:val="decimal"/>
      <w:lvlText w:val="%1."/>
      <w:lvlJc w:val="left"/>
      <w:rPr>
        <w:rFonts w:hint="default"/>
        <w:color w:val="auto"/>
      </w:rPr>
    </w:lvl>
  </w:abstractNum>
  <w:abstractNum w:abstractNumId="166">
    <w:nsid w:val="FF9E4C3E"/>
    <w:multiLevelType w:val="singleLevel"/>
    <w:tmpl w:val="FF9E4C3E"/>
    <w:lvl w:ilvl="0" w:tentative="0">
      <w:start w:val="2"/>
      <w:numFmt w:val="decimal"/>
      <w:lvlText w:val="%1."/>
      <w:lvlJc w:val="left"/>
      <w:rPr>
        <w:rFonts w:hint="default"/>
        <w:color w:val="auto"/>
      </w:rPr>
    </w:lvl>
  </w:abstractNum>
  <w:abstractNum w:abstractNumId="167">
    <w:nsid w:val="FFBA6B76"/>
    <w:multiLevelType w:val="singleLevel"/>
    <w:tmpl w:val="FFBA6B76"/>
    <w:lvl w:ilvl="0" w:tentative="0">
      <w:start w:val="3"/>
      <w:numFmt w:val="decimal"/>
      <w:lvlText w:val="%1."/>
      <w:lvlJc w:val="left"/>
      <w:rPr>
        <w:rFonts w:hint="default"/>
        <w:color w:val="auto"/>
      </w:rPr>
    </w:lvl>
  </w:abstractNum>
  <w:abstractNum w:abstractNumId="168">
    <w:nsid w:val="FFCB4D92"/>
    <w:multiLevelType w:val="singleLevel"/>
    <w:tmpl w:val="FFCB4D92"/>
    <w:lvl w:ilvl="0" w:tentative="0">
      <w:start w:val="4"/>
      <w:numFmt w:val="decimal"/>
      <w:lvlText w:val="%1."/>
      <w:lvlJc w:val="left"/>
      <w:rPr>
        <w:rFonts w:hint="default"/>
        <w:color w:val="auto"/>
      </w:rPr>
    </w:lvl>
  </w:abstractNum>
  <w:abstractNum w:abstractNumId="169">
    <w:nsid w:val="FFD79F83"/>
    <w:multiLevelType w:val="singleLevel"/>
    <w:tmpl w:val="FFD79F83"/>
    <w:lvl w:ilvl="0" w:tentative="0">
      <w:start w:val="1"/>
      <w:numFmt w:val="decimal"/>
      <w:lvlText w:val="%1."/>
      <w:lvlJc w:val="left"/>
      <w:rPr>
        <w:rFonts w:hint="default"/>
        <w:color w:val="auto"/>
      </w:rPr>
    </w:lvl>
  </w:abstractNum>
  <w:abstractNum w:abstractNumId="170">
    <w:nsid w:val="FFDA99D7"/>
    <w:multiLevelType w:val="singleLevel"/>
    <w:tmpl w:val="FFDA99D7"/>
    <w:lvl w:ilvl="0" w:tentative="0">
      <w:start w:val="0"/>
      <w:numFmt w:val="bullet"/>
      <w:lvlText w:val="￮"/>
      <w:lvlJc w:val="left"/>
      <w:rPr>
        <w:rFonts w:hint="default"/>
        <w:color w:val="auto"/>
      </w:rPr>
    </w:lvl>
  </w:abstractNum>
  <w:abstractNum w:abstractNumId="171">
    <w:nsid w:val="FFFE1215"/>
    <w:multiLevelType w:val="singleLevel"/>
    <w:tmpl w:val="FFFE1215"/>
    <w:lvl w:ilvl="0" w:tentative="0">
      <w:start w:val="1"/>
      <w:numFmt w:val="decimal"/>
      <w:suff w:val="space"/>
      <w:lvlText w:val="%1."/>
      <w:lvlJc w:val="left"/>
      <w:pPr>
        <w:ind w:left="0" w:firstLine="480"/>
      </w:pPr>
      <w:rPr>
        <w:rFonts w:hint="default"/>
        <w:color w:val="auto"/>
      </w:rPr>
    </w:lvl>
  </w:abstractNum>
  <w:abstractNum w:abstractNumId="172">
    <w:nsid w:val="FFFE1AC6"/>
    <w:multiLevelType w:val="singleLevel"/>
    <w:tmpl w:val="FFFE1AC6"/>
    <w:lvl w:ilvl="0" w:tentative="0">
      <w:start w:val="2"/>
      <w:numFmt w:val="decimal"/>
      <w:lvlText w:val="%1."/>
      <w:lvlJc w:val="left"/>
      <w:rPr>
        <w:rFonts w:hint="default"/>
        <w:color w:val="auto"/>
      </w:rPr>
    </w:lvl>
  </w:abstractNum>
  <w:abstractNum w:abstractNumId="173">
    <w:nsid w:val="FFFE33C2"/>
    <w:multiLevelType w:val="singleLevel"/>
    <w:tmpl w:val="FFFE33C2"/>
    <w:lvl w:ilvl="0" w:tentative="0">
      <w:start w:val="1"/>
      <w:numFmt w:val="decimal"/>
      <w:suff w:val="space"/>
      <w:lvlText w:val="%1."/>
      <w:lvlJc w:val="left"/>
      <w:pPr>
        <w:ind w:left="0" w:firstLine="480"/>
      </w:pPr>
      <w:rPr>
        <w:rFonts w:hint="default"/>
        <w:color w:val="auto"/>
      </w:rPr>
    </w:lvl>
  </w:abstractNum>
  <w:abstractNum w:abstractNumId="174">
    <w:nsid w:val="FFFE7892"/>
    <w:multiLevelType w:val="singleLevel"/>
    <w:tmpl w:val="FFFE7892"/>
    <w:lvl w:ilvl="0" w:tentative="0">
      <w:start w:val="2"/>
      <w:numFmt w:val="decimal"/>
      <w:lvlText w:val="%1."/>
      <w:lvlJc w:val="left"/>
      <w:rPr>
        <w:rFonts w:hint="default"/>
        <w:color w:val="auto"/>
      </w:rPr>
    </w:lvl>
  </w:abstractNum>
  <w:abstractNum w:abstractNumId="175">
    <w:nsid w:val="FFFEE8E4"/>
    <w:multiLevelType w:val="singleLevel"/>
    <w:tmpl w:val="FFFEE8E4"/>
    <w:lvl w:ilvl="0" w:tentative="0">
      <w:start w:val="1"/>
      <w:numFmt w:val="decimal"/>
      <w:suff w:val="space"/>
      <w:lvlText w:val="3.%1"/>
      <w:lvlJc w:val="left"/>
      <w:pPr>
        <w:ind w:left="0" w:firstLine="0"/>
      </w:pPr>
      <w:rPr>
        <w:rFonts w:hint="default"/>
      </w:rPr>
    </w:lvl>
  </w:abstractNum>
  <w:abstractNum w:abstractNumId="176">
    <w:nsid w:val="FFFF533C"/>
    <w:multiLevelType w:val="singleLevel"/>
    <w:tmpl w:val="FFFF533C"/>
    <w:lvl w:ilvl="0" w:tentative="0">
      <w:start w:val="1"/>
      <w:numFmt w:val="decimal"/>
      <w:suff w:val="space"/>
      <w:lvlText w:val="%1."/>
      <w:lvlJc w:val="left"/>
      <w:pPr>
        <w:ind w:left="0" w:firstLine="480"/>
      </w:pPr>
      <w:rPr>
        <w:rFonts w:hint="default"/>
        <w:color w:val="auto"/>
      </w:rPr>
    </w:lvl>
  </w:abstractNum>
  <w:abstractNum w:abstractNumId="177">
    <w:nsid w:val="FFFF930F"/>
    <w:multiLevelType w:val="singleLevel"/>
    <w:tmpl w:val="FFFF930F"/>
    <w:lvl w:ilvl="0" w:tentative="0">
      <w:start w:val="2"/>
      <w:numFmt w:val="decimal"/>
      <w:lvlText w:val="%1."/>
      <w:lvlJc w:val="left"/>
      <w:rPr>
        <w:rFonts w:hint="default"/>
        <w:color w:val="auto"/>
      </w:rPr>
    </w:lvl>
  </w:abstractNum>
  <w:abstractNum w:abstractNumId="178">
    <w:nsid w:val="07BE9DAF"/>
    <w:multiLevelType w:val="singleLevel"/>
    <w:tmpl w:val="07BE9DAF"/>
    <w:lvl w:ilvl="0" w:tentative="0">
      <w:start w:val="1"/>
      <w:numFmt w:val="decimal"/>
      <w:suff w:val="space"/>
      <w:lvlText w:val="%1."/>
      <w:lvlJc w:val="left"/>
      <w:pPr>
        <w:ind w:left="0" w:firstLine="480"/>
      </w:pPr>
      <w:rPr>
        <w:rFonts w:hint="default"/>
        <w:color w:val="auto"/>
      </w:rPr>
    </w:lvl>
  </w:abstractNum>
  <w:abstractNum w:abstractNumId="179">
    <w:nsid w:val="07EEC1B2"/>
    <w:multiLevelType w:val="singleLevel"/>
    <w:tmpl w:val="07EEC1B2"/>
    <w:lvl w:ilvl="0" w:tentative="0">
      <w:start w:val="4"/>
      <w:numFmt w:val="decimal"/>
      <w:lvlText w:val="%1."/>
      <w:lvlJc w:val="left"/>
      <w:rPr>
        <w:rFonts w:hint="default"/>
        <w:color w:val="auto"/>
      </w:rPr>
    </w:lvl>
  </w:abstractNum>
  <w:abstractNum w:abstractNumId="180">
    <w:nsid w:val="1EBE1DC5"/>
    <w:multiLevelType w:val="singleLevel"/>
    <w:tmpl w:val="1EBE1DC5"/>
    <w:lvl w:ilvl="0" w:tentative="0">
      <w:start w:val="1"/>
      <w:numFmt w:val="decimal"/>
      <w:suff w:val="space"/>
      <w:lvlText w:val="4.2.%1"/>
      <w:lvlJc w:val="left"/>
      <w:pPr>
        <w:ind w:left="0" w:firstLine="0"/>
      </w:pPr>
      <w:rPr>
        <w:rFonts w:hint="default"/>
      </w:rPr>
    </w:lvl>
  </w:abstractNum>
  <w:abstractNum w:abstractNumId="181">
    <w:nsid w:val="1EEDD0E9"/>
    <w:multiLevelType w:val="singleLevel"/>
    <w:tmpl w:val="1EEDD0E9"/>
    <w:lvl w:ilvl="0" w:tentative="0">
      <w:start w:val="1"/>
      <w:numFmt w:val="decimal"/>
      <w:suff w:val="space"/>
      <w:lvlText w:val="%1."/>
      <w:lvlJc w:val="left"/>
      <w:pPr>
        <w:ind w:left="0" w:firstLine="480"/>
      </w:pPr>
      <w:rPr>
        <w:rFonts w:hint="default"/>
        <w:color w:val="auto"/>
      </w:rPr>
    </w:lvl>
  </w:abstractNum>
  <w:abstractNum w:abstractNumId="182">
    <w:nsid w:val="1F8B67ED"/>
    <w:multiLevelType w:val="singleLevel"/>
    <w:tmpl w:val="1F8B67ED"/>
    <w:lvl w:ilvl="0" w:tentative="0">
      <w:start w:val="3"/>
      <w:numFmt w:val="decimal"/>
      <w:lvlText w:val="%1."/>
      <w:lvlJc w:val="left"/>
      <w:rPr>
        <w:rFonts w:hint="default"/>
        <w:color w:val="auto"/>
      </w:rPr>
    </w:lvl>
  </w:abstractNum>
  <w:abstractNum w:abstractNumId="183">
    <w:nsid w:val="1FDE9240"/>
    <w:multiLevelType w:val="singleLevel"/>
    <w:tmpl w:val="1FDE9240"/>
    <w:lvl w:ilvl="0" w:tentative="0">
      <w:start w:val="1"/>
      <w:numFmt w:val="decimal"/>
      <w:suff w:val="space"/>
      <w:lvlText w:val="%1."/>
      <w:lvlJc w:val="left"/>
      <w:pPr>
        <w:ind w:left="0" w:firstLine="480"/>
      </w:pPr>
      <w:rPr>
        <w:rFonts w:hint="default"/>
        <w:color w:val="auto"/>
      </w:rPr>
    </w:lvl>
  </w:abstractNum>
  <w:abstractNum w:abstractNumId="184">
    <w:nsid w:val="27EEFB9B"/>
    <w:multiLevelType w:val="singleLevel"/>
    <w:tmpl w:val="27EEFB9B"/>
    <w:lvl w:ilvl="0" w:tentative="0">
      <w:start w:val="3"/>
      <w:numFmt w:val="decimal"/>
      <w:lvlText w:val="%1."/>
      <w:lvlJc w:val="left"/>
      <w:rPr>
        <w:rFonts w:hint="default"/>
        <w:color w:val="auto"/>
      </w:rPr>
    </w:lvl>
  </w:abstractNum>
  <w:abstractNum w:abstractNumId="185">
    <w:nsid w:val="2FD65427"/>
    <w:multiLevelType w:val="singleLevel"/>
    <w:tmpl w:val="2FD65427"/>
    <w:lvl w:ilvl="0" w:tentative="0">
      <w:start w:val="1"/>
      <w:numFmt w:val="decimal"/>
      <w:lvlText w:val="%1."/>
      <w:lvlJc w:val="left"/>
      <w:rPr>
        <w:rFonts w:hint="default"/>
        <w:color w:val="auto"/>
      </w:rPr>
    </w:lvl>
  </w:abstractNum>
  <w:abstractNum w:abstractNumId="186">
    <w:nsid w:val="356F5C72"/>
    <w:multiLevelType w:val="singleLevel"/>
    <w:tmpl w:val="356F5C72"/>
    <w:lvl w:ilvl="0" w:tentative="0">
      <w:start w:val="1"/>
      <w:numFmt w:val="decimal"/>
      <w:lvlText w:val="%1."/>
      <w:lvlJc w:val="left"/>
      <w:rPr>
        <w:rFonts w:hint="default"/>
        <w:color w:val="auto"/>
      </w:rPr>
    </w:lvl>
  </w:abstractNum>
  <w:abstractNum w:abstractNumId="187">
    <w:nsid w:val="39EC0B57"/>
    <w:multiLevelType w:val="singleLevel"/>
    <w:tmpl w:val="39EC0B57"/>
    <w:lvl w:ilvl="0" w:tentative="0">
      <w:start w:val="5"/>
      <w:numFmt w:val="decimal"/>
      <w:lvlText w:val="%1."/>
      <w:lvlJc w:val="left"/>
      <w:rPr>
        <w:rFonts w:hint="default"/>
        <w:color w:val="auto"/>
      </w:rPr>
    </w:lvl>
  </w:abstractNum>
  <w:abstractNum w:abstractNumId="188">
    <w:nsid w:val="3BB664FE"/>
    <w:multiLevelType w:val="singleLevel"/>
    <w:tmpl w:val="3BB664FE"/>
    <w:lvl w:ilvl="0" w:tentative="0">
      <w:start w:val="2"/>
      <w:numFmt w:val="decimal"/>
      <w:lvlText w:val="%1."/>
      <w:lvlJc w:val="left"/>
      <w:rPr>
        <w:rFonts w:hint="default"/>
        <w:color w:val="auto"/>
      </w:rPr>
    </w:lvl>
  </w:abstractNum>
  <w:abstractNum w:abstractNumId="189">
    <w:nsid w:val="3FA8203C"/>
    <w:multiLevelType w:val="singleLevel"/>
    <w:tmpl w:val="3FA8203C"/>
    <w:lvl w:ilvl="0" w:tentative="0">
      <w:start w:val="1"/>
      <w:numFmt w:val="decimal"/>
      <w:suff w:val="space"/>
      <w:lvlText w:val="%1."/>
      <w:lvlJc w:val="left"/>
      <w:pPr>
        <w:ind w:left="0" w:firstLine="480"/>
      </w:pPr>
      <w:rPr>
        <w:rFonts w:hint="default"/>
        <w:color w:val="auto"/>
      </w:rPr>
    </w:lvl>
  </w:abstractNum>
  <w:abstractNum w:abstractNumId="190">
    <w:nsid w:val="4BFF0090"/>
    <w:multiLevelType w:val="singleLevel"/>
    <w:tmpl w:val="4BFF0090"/>
    <w:lvl w:ilvl="0" w:tentative="0">
      <w:start w:val="6"/>
      <w:numFmt w:val="decimal"/>
      <w:suff w:val="space"/>
      <w:lvlText w:val="%1."/>
      <w:lvlJc w:val="left"/>
    </w:lvl>
  </w:abstractNum>
  <w:abstractNum w:abstractNumId="191">
    <w:nsid w:val="4DFBC713"/>
    <w:multiLevelType w:val="singleLevel"/>
    <w:tmpl w:val="4DFBC713"/>
    <w:lvl w:ilvl="0" w:tentative="0">
      <w:start w:val="1"/>
      <w:numFmt w:val="decimal"/>
      <w:suff w:val="space"/>
      <w:lvlText w:val="%1."/>
      <w:lvlJc w:val="left"/>
      <w:pPr>
        <w:ind w:left="0" w:firstLine="480"/>
      </w:pPr>
      <w:rPr>
        <w:rFonts w:hint="default"/>
        <w:color w:val="auto"/>
      </w:rPr>
    </w:lvl>
  </w:abstractNum>
  <w:abstractNum w:abstractNumId="192">
    <w:nsid w:val="4F338012"/>
    <w:multiLevelType w:val="singleLevel"/>
    <w:tmpl w:val="4F338012"/>
    <w:lvl w:ilvl="0" w:tentative="0">
      <w:start w:val="1"/>
      <w:numFmt w:val="decimal"/>
      <w:suff w:val="space"/>
      <w:lvlText w:val="%1."/>
      <w:lvlJc w:val="left"/>
      <w:pPr>
        <w:ind w:left="0" w:firstLine="480"/>
      </w:pPr>
      <w:rPr>
        <w:rFonts w:hint="default"/>
        <w:color w:val="auto"/>
      </w:rPr>
    </w:lvl>
  </w:abstractNum>
  <w:abstractNum w:abstractNumId="193">
    <w:nsid w:val="4FDE7524"/>
    <w:multiLevelType w:val="singleLevel"/>
    <w:tmpl w:val="4FDE7524"/>
    <w:lvl w:ilvl="0" w:tentative="0">
      <w:start w:val="4"/>
      <w:numFmt w:val="decimal"/>
      <w:lvlText w:val="%1."/>
      <w:lvlJc w:val="left"/>
      <w:rPr>
        <w:rFonts w:hint="default"/>
        <w:color w:val="auto"/>
      </w:rPr>
    </w:lvl>
  </w:abstractNum>
  <w:abstractNum w:abstractNumId="194">
    <w:nsid w:val="55DE1E4A"/>
    <w:multiLevelType w:val="singleLevel"/>
    <w:tmpl w:val="55DE1E4A"/>
    <w:lvl w:ilvl="0" w:tentative="0">
      <w:start w:val="1"/>
      <w:numFmt w:val="decimal"/>
      <w:lvlText w:val="%1."/>
      <w:lvlJc w:val="left"/>
      <w:rPr>
        <w:rFonts w:hint="default"/>
        <w:color w:val="auto"/>
      </w:rPr>
    </w:lvl>
  </w:abstractNum>
  <w:abstractNum w:abstractNumId="195">
    <w:nsid w:val="5BDF3456"/>
    <w:multiLevelType w:val="singleLevel"/>
    <w:tmpl w:val="5BDF3456"/>
    <w:lvl w:ilvl="0" w:tentative="0">
      <w:start w:val="3"/>
      <w:numFmt w:val="decimal"/>
      <w:lvlText w:val="%1."/>
      <w:lvlJc w:val="left"/>
      <w:rPr>
        <w:rFonts w:hint="default"/>
        <w:color w:val="auto"/>
      </w:rPr>
    </w:lvl>
  </w:abstractNum>
  <w:abstractNum w:abstractNumId="196">
    <w:nsid w:val="5CF350D9"/>
    <w:multiLevelType w:val="singleLevel"/>
    <w:tmpl w:val="5CF350D9"/>
    <w:lvl w:ilvl="0" w:tentative="0">
      <w:start w:val="1"/>
      <w:numFmt w:val="decimal"/>
      <w:suff w:val="space"/>
      <w:lvlText w:val="%1."/>
      <w:lvlJc w:val="left"/>
      <w:pPr>
        <w:ind w:left="0" w:firstLine="480"/>
      </w:pPr>
      <w:rPr>
        <w:rFonts w:hint="default"/>
        <w:color w:val="auto"/>
      </w:rPr>
    </w:lvl>
  </w:abstractNum>
  <w:abstractNum w:abstractNumId="197">
    <w:nsid w:val="5F9A7F18"/>
    <w:multiLevelType w:val="singleLevel"/>
    <w:tmpl w:val="5F9A7F18"/>
    <w:lvl w:ilvl="0" w:tentative="0">
      <w:start w:val="1"/>
      <w:numFmt w:val="decimal"/>
      <w:suff w:val="space"/>
      <w:lvlText w:val="%1."/>
      <w:lvlJc w:val="left"/>
      <w:pPr>
        <w:ind w:left="0" w:firstLine="480"/>
      </w:pPr>
      <w:rPr>
        <w:rFonts w:hint="default"/>
        <w:color w:val="auto"/>
      </w:rPr>
    </w:lvl>
  </w:abstractNum>
  <w:abstractNum w:abstractNumId="198">
    <w:nsid w:val="5FEF8F58"/>
    <w:multiLevelType w:val="singleLevel"/>
    <w:tmpl w:val="5FEF8F58"/>
    <w:lvl w:ilvl="0" w:tentative="0">
      <w:start w:val="2"/>
      <w:numFmt w:val="decimal"/>
      <w:lvlText w:val="%1."/>
      <w:lvlJc w:val="left"/>
      <w:rPr>
        <w:rFonts w:hint="default"/>
        <w:color w:val="auto"/>
      </w:rPr>
    </w:lvl>
  </w:abstractNum>
  <w:abstractNum w:abstractNumId="199">
    <w:nsid w:val="5FF62DC2"/>
    <w:multiLevelType w:val="singleLevel"/>
    <w:tmpl w:val="5FF62DC2"/>
    <w:lvl w:ilvl="0" w:tentative="0">
      <w:start w:val="3"/>
      <w:numFmt w:val="decimal"/>
      <w:lvlText w:val="%1."/>
      <w:lvlJc w:val="left"/>
      <w:rPr>
        <w:rFonts w:hint="default"/>
        <w:color w:val="auto"/>
      </w:rPr>
    </w:lvl>
  </w:abstractNum>
  <w:abstractNum w:abstractNumId="200">
    <w:nsid w:val="5FFBCA79"/>
    <w:multiLevelType w:val="singleLevel"/>
    <w:tmpl w:val="5FFBCA79"/>
    <w:lvl w:ilvl="0" w:tentative="0">
      <w:start w:val="1"/>
      <w:numFmt w:val="decimal"/>
      <w:suff w:val="space"/>
      <w:lvlText w:val="%1."/>
      <w:lvlJc w:val="left"/>
      <w:pPr>
        <w:ind w:left="0" w:firstLine="480"/>
      </w:pPr>
      <w:rPr>
        <w:rFonts w:hint="default"/>
        <w:color w:val="auto"/>
      </w:rPr>
    </w:lvl>
  </w:abstractNum>
  <w:abstractNum w:abstractNumId="201">
    <w:nsid w:val="6DFF0C94"/>
    <w:multiLevelType w:val="singleLevel"/>
    <w:tmpl w:val="6DFF0C94"/>
    <w:lvl w:ilvl="0" w:tentative="0">
      <w:start w:val="5"/>
      <w:numFmt w:val="decimal"/>
      <w:lvlText w:val="%1."/>
      <w:lvlJc w:val="left"/>
      <w:rPr>
        <w:rFonts w:hint="default"/>
        <w:color w:val="auto"/>
      </w:rPr>
    </w:lvl>
  </w:abstractNum>
  <w:abstractNum w:abstractNumId="202">
    <w:nsid w:val="6E7702AB"/>
    <w:multiLevelType w:val="singleLevel"/>
    <w:tmpl w:val="6E7702AB"/>
    <w:lvl w:ilvl="0" w:tentative="0">
      <w:start w:val="3"/>
      <w:numFmt w:val="decimal"/>
      <w:lvlText w:val="%1."/>
      <w:lvlJc w:val="left"/>
      <w:rPr>
        <w:rFonts w:hint="default"/>
        <w:color w:val="auto"/>
      </w:rPr>
    </w:lvl>
  </w:abstractNum>
  <w:abstractNum w:abstractNumId="203">
    <w:nsid w:val="6E7EF9D6"/>
    <w:multiLevelType w:val="singleLevel"/>
    <w:tmpl w:val="6E7EF9D6"/>
    <w:lvl w:ilvl="0" w:tentative="0">
      <w:start w:val="1"/>
      <w:numFmt w:val="decimal"/>
      <w:lvlText w:val="%1."/>
      <w:lvlJc w:val="left"/>
      <w:rPr>
        <w:rFonts w:hint="default"/>
        <w:color w:val="auto"/>
      </w:rPr>
    </w:lvl>
  </w:abstractNum>
  <w:abstractNum w:abstractNumId="204">
    <w:nsid w:val="6E9E2FCC"/>
    <w:multiLevelType w:val="singleLevel"/>
    <w:tmpl w:val="6E9E2FCC"/>
    <w:lvl w:ilvl="0" w:tentative="0">
      <w:start w:val="3"/>
      <w:numFmt w:val="decimal"/>
      <w:lvlText w:val="%1."/>
      <w:lvlJc w:val="left"/>
      <w:rPr>
        <w:rFonts w:hint="default"/>
        <w:color w:val="auto"/>
      </w:rPr>
    </w:lvl>
  </w:abstractNum>
  <w:abstractNum w:abstractNumId="205">
    <w:nsid w:val="6F7B31FC"/>
    <w:multiLevelType w:val="singleLevel"/>
    <w:tmpl w:val="6F7B31FC"/>
    <w:lvl w:ilvl="0" w:tentative="0">
      <w:start w:val="1"/>
      <w:numFmt w:val="decimal"/>
      <w:suff w:val="space"/>
      <w:lvlText w:val="4.4.%1"/>
      <w:lvlJc w:val="left"/>
      <w:pPr>
        <w:ind w:left="0" w:firstLine="0"/>
      </w:pPr>
      <w:rPr>
        <w:rFonts w:hint="default"/>
      </w:rPr>
    </w:lvl>
  </w:abstractNum>
  <w:abstractNum w:abstractNumId="206">
    <w:nsid w:val="6FC620D2"/>
    <w:multiLevelType w:val="singleLevel"/>
    <w:tmpl w:val="6FC620D2"/>
    <w:lvl w:ilvl="0" w:tentative="0">
      <w:start w:val="4"/>
      <w:numFmt w:val="decimal"/>
      <w:lvlText w:val="%1."/>
      <w:lvlJc w:val="left"/>
      <w:rPr>
        <w:rFonts w:hint="default"/>
        <w:color w:val="auto"/>
      </w:rPr>
    </w:lvl>
  </w:abstractNum>
  <w:abstractNum w:abstractNumId="207">
    <w:nsid w:val="6FF79E08"/>
    <w:multiLevelType w:val="singleLevel"/>
    <w:tmpl w:val="6FF79E08"/>
    <w:lvl w:ilvl="0" w:tentative="0">
      <w:start w:val="1"/>
      <w:numFmt w:val="decimal"/>
      <w:lvlText w:val="%1."/>
      <w:lvlJc w:val="left"/>
      <w:rPr>
        <w:rFonts w:hint="default"/>
        <w:color w:val="auto"/>
      </w:rPr>
    </w:lvl>
  </w:abstractNum>
  <w:abstractNum w:abstractNumId="208">
    <w:nsid w:val="737E4944"/>
    <w:multiLevelType w:val="singleLevel"/>
    <w:tmpl w:val="737E4944"/>
    <w:lvl w:ilvl="0" w:tentative="0">
      <w:start w:val="1"/>
      <w:numFmt w:val="decimal"/>
      <w:suff w:val="space"/>
      <w:lvlText w:val="%1."/>
      <w:lvlJc w:val="left"/>
      <w:pPr>
        <w:ind w:left="0" w:firstLine="480"/>
      </w:pPr>
      <w:rPr>
        <w:rFonts w:hint="default"/>
        <w:color w:val="auto"/>
      </w:rPr>
    </w:lvl>
  </w:abstractNum>
  <w:abstractNum w:abstractNumId="209">
    <w:nsid w:val="73E37D8C"/>
    <w:multiLevelType w:val="singleLevel"/>
    <w:tmpl w:val="73E37D8C"/>
    <w:lvl w:ilvl="0" w:tentative="0">
      <w:start w:val="1"/>
      <w:numFmt w:val="decimal"/>
      <w:lvlText w:val="%1."/>
      <w:lvlJc w:val="left"/>
      <w:rPr>
        <w:rFonts w:hint="default"/>
        <w:color w:val="auto"/>
      </w:rPr>
    </w:lvl>
  </w:abstractNum>
  <w:abstractNum w:abstractNumId="210">
    <w:nsid w:val="74FE1906"/>
    <w:multiLevelType w:val="singleLevel"/>
    <w:tmpl w:val="74FE1906"/>
    <w:lvl w:ilvl="0" w:tentative="0">
      <w:start w:val="0"/>
      <w:numFmt w:val="bullet"/>
      <w:lvlText w:val="￮"/>
      <w:lvlJc w:val="left"/>
      <w:rPr>
        <w:rFonts w:hint="default"/>
        <w:color w:val="auto"/>
      </w:rPr>
    </w:lvl>
  </w:abstractNum>
  <w:abstractNum w:abstractNumId="211">
    <w:nsid w:val="75B677A6"/>
    <w:multiLevelType w:val="singleLevel"/>
    <w:tmpl w:val="75B677A6"/>
    <w:lvl w:ilvl="0" w:tentative="0">
      <w:start w:val="3"/>
      <w:numFmt w:val="decimal"/>
      <w:lvlText w:val="%1."/>
      <w:lvlJc w:val="left"/>
      <w:rPr>
        <w:rFonts w:hint="default"/>
        <w:color w:val="auto"/>
      </w:rPr>
    </w:lvl>
  </w:abstractNum>
  <w:abstractNum w:abstractNumId="212">
    <w:nsid w:val="75F256A6"/>
    <w:multiLevelType w:val="singleLevel"/>
    <w:tmpl w:val="75F256A6"/>
    <w:lvl w:ilvl="0" w:tentative="0">
      <w:start w:val="1"/>
      <w:numFmt w:val="decimal"/>
      <w:lvlText w:val="%1."/>
      <w:lvlJc w:val="left"/>
      <w:rPr>
        <w:rFonts w:hint="default"/>
        <w:color w:val="auto"/>
      </w:rPr>
    </w:lvl>
  </w:abstractNum>
  <w:abstractNum w:abstractNumId="213">
    <w:nsid w:val="76FC294A"/>
    <w:multiLevelType w:val="singleLevel"/>
    <w:tmpl w:val="76FC294A"/>
    <w:lvl w:ilvl="0" w:tentative="0">
      <w:start w:val="4"/>
      <w:numFmt w:val="decimal"/>
      <w:lvlText w:val="%1."/>
      <w:lvlJc w:val="left"/>
      <w:rPr>
        <w:rFonts w:hint="default"/>
        <w:color w:val="auto"/>
      </w:rPr>
    </w:lvl>
  </w:abstractNum>
  <w:abstractNum w:abstractNumId="214">
    <w:nsid w:val="773E6580"/>
    <w:multiLevelType w:val="singleLevel"/>
    <w:tmpl w:val="773E6580"/>
    <w:lvl w:ilvl="0" w:tentative="0">
      <w:start w:val="1"/>
      <w:numFmt w:val="decimal"/>
      <w:lvlText w:val="%1."/>
      <w:lvlJc w:val="left"/>
      <w:rPr>
        <w:rFonts w:hint="default"/>
        <w:color w:val="auto"/>
      </w:rPr>
    </w:lvl>
  </w:abstractNum>
  <w:abstractNum w:abstractNumId="215">
    <w:nsid w:val="77EEDCFF"/>
    <w:multiLevelType w:val="singleLevel"/>
    <w:tmpl w:val="77EEDCFF"/>
    <w:lvl w:ilvl="0" w:tentative="0">
      <w:start w:val="1"/>
      <w:numFmt w:val="decimal"/>
      <w:lvlText w:val="%1."/>
      <w:lvlJc w:val="left"/>
      <w:rPr>
        <w:rFonts w:hint="default"/>
        <w:color w:val="auto"/>
      </w:rPr>
    </w:lvl>
  </w:abstractNum>
  <w:abstractNum w:abstractNumId="216">
    <w:nsid w:val="77FCFD12"/>
    <w:multiLevelType w:val="singleLevel"/>
    <w:tmpl w:val="77FCFD12"/>
    <w:lvl w:ilvl="0" w:tentative="0">
      <w:start w:val="5"/>
      <w:numFmt w:val="decimal"/>
      <w:lvlText w:val="%1."/>
      <w:lvlJc w:val="left"/>
      <w:rPr>
        <w:rFonts w:hint="default"/>
        <w:color w:val="auto"/>
      </w:rPr>
    </w:lvl>
  </w:abstractNum>
  <w:abstractNum w:abstractNumId="217">
    <w:nsid w:val="77FE8933"/>
    <w:multiLevelType w:val="singleLevel"/>
    <w:tmpl w:val="77FE8933"/>
    <w:lvl w:ilvl="0" w:tentative="0">
      <w:start w:val="3"/>
      <w:numFmt w:val="decimal"/>
      <w:lvlText w:val="%1."/>
      <w:lvlJc w:val="left"/>
      <w:rPr>
        <w:rFonts w:hint="default"/>
        <w:color w:val="auto"/>
      </w:rPr>
    </w:lvl>
  </w:abstractNum>
  <w:abstractNum w:abstractNumId="218">
    <w:nsid w:val="78BE16B1"/>
    <w:multiLevelType w:val="singleLevel"/>
    <w:tmpl w:val="78BE16B1"/>
    <w:lvl w:ilvl="0" w:tentative="0">
      <w:start w:val="4"/>
      <w:numFmt w:val="decimal"/>
      <w:lvlText w:val="%1."/>
      <w:lvlJc w:val="left"/>
      <w:rPr>
        <w:rFonts w:hint="default"/>
        <w:color w:val="auto"/>
      </w:rPr>
    </w:lvl>
  </w:abstractNum>
  <w:abstractNum w:abstractNumId="219">
    <w:nsid w:val="7AE6FE50"/>
    <w:multiLevelType w:val="singleLevel"/>
    <w:tmpl w:val="7AE6FE50"/>
    <w:lvl w:ilvl="0" w:tentative="0">
      <w:start w:val="0"/>
      <w:numFmt w:val="bullet"/>
      <w:lvlText w:val="￮"/>
      <w:lvlJc w:val="left"/>
      <w:rPr>
        <w:rFonts w:hint="default"/>
        <w:color w:val="auto"/>
      </w:rPr>
    </w:lvl>
  </w:abstractNum>
  <w:abstractNum w:abstractNumId="220">
    <w:nsid w:val="7B1DBCAB"/>
    <w:multiLevelType w:val="singleLevel"/>
    <w:tmpl w:val="7B1DBCAB"/>
    <w:lvl w:ilvl="0" w:tentative="0">
      <w:start w:val="1"/>
      <w:numFmt w:val="decimal"/>
      <w:suff w:val="space"/>
      <w:lvlText w:val="%1."/>
      <w:lvlJc w:val="left"/>
      <w:pPr>
        <w:ind w:left="0" w:firstLine="480"/>
      </w:pPr>
      <w:rPr>
        <w:rFonts w:hint="default"/>
        <w:color w:val="auto"/>
      </w:rPr>
    </w:lvl>
  </w:abstractNum>
  <w:abstractNum w:abstractNumId="221">
    <w:nsid w:val="7BBFDAC9"/>
    <w:multiLevelType w:val="singleLevel"/>
    <w:tmpl w:val="7BBFDAC9"/>
    <w:lvl w:ilvl="0" w:tentative="0">
      <w:start w:val="1"/>
      <w:numFmt w:val="decimalEnclosedCircleChinese"/>
      <w:suff w:val="space"/>
      <w:lvlText w:val="%1"/>
      <w:lvlJc w:val="left"/>
      <w:pPr>
        <w:ind w:left="0" w:firstLine="480"/>
      </w:pPr>
      <w:rPr>
        <w:rFonts w:hint="eastAsia"/>
      </w:rPr>
    </w:lvl>
  </w:abstractNum>
  <w:abstractNum w:abstractNumId="222">
    <w:nsid w:val="7BD6C347"/>
    <w:multiLevelType w:val="singleLevel"/>
    <w:tmpl w:val="7BD6C347"/>
    <w:lvl w:ilvl="0" w:tentative="0">
      <w:start w:val="5"/>
      <w:numFmt w:val="decimal"/>
      <w:lvlText w:val="%1."/>
      <w:lvlJc w:val="left"/>
      <w:rPr>
        <w:rFonts w:hint="default"/>
        <w:color w:val="auto"/>
      </w:rPr>
    </w:lvl>
  </w:abstractNum>
  <w:abstractNum w:abstractNumId="223">
    <w:nsid w:val="7BF6FD46"/>
    <w:multiLevelType w:val="singleLevel"/>
    <w:tmpl w:val="7BF6FD46"/>
    <w:lvl w:ilvl="0" w:tentative="0">
      <w:start w:val="0"/>
      <w:numFmt w:val="bullet"/>
      <w:lvlText w:val="￮"/>
      <w:lvlJc w:val="left"/>
      <w:rPr>
        <w:rFonts w:hint="default"/>
        <w:color w:val="auto"/>
      </w:rPr>
    </w:lvl>
  </w:abstractNum>
  <w:abstractNum w:abstractNumId="224">
    <w:nsid w:val="7CFE2A81"/>
    <w:multiLevelType w:val="singleLevel"/>
    <w:tmpl w:val="7CFE2A81"/>
    <w:lvl w:ilvl="0" w:tentative="0">
      <w:start w:val="3"/>
      <w:numFmt w:val="decimal"/>
      <w:lvlText w:val="%1."/>
      <w:lvlJc w:val="left"/>
      <w:rPr>
        <w:rFonts w:hint="default"/>
        <w:color w:val="auto"/>
      </w:rPr>
    </w:lvl>
  </w:abstractNum>
  <w:abstractNum w:abstractNumId="225">
    <w:nsid w:val="7D3EAE59"/>
    <w:multiLevelType w:val="singleLevel"/>
    <w:tmpl w:val="7D3EAE59"/>
    <w:lvl w:ilvl="0" w:tentative="0">
      <w:start w:val="3"/>
      <w:numFmt w:val="decimal"/>
      <w:lvlText w:val="%1."/>
      <w:lvlJc w:val="left"/>
      <w:rPr>
        <w:rFonts w:hint="default"/>
        <w:color w:val="auto"/>
      </w:rPr>
    </w:lvl>
  </w:abstractNum>
  <w:abstractNum w:abstractNumId="226">
    <w:nsid w:val="7D7B05C8"/>
    <w:multiLevelType w:val="singleLevel"/>
    <w:tmpl w:val="7D7B05C8"/>
    <w:lvl w:ilvl="0" w:tentative="0">
      <w:start w:val="1"/>
      <w:numFmt w:val="decimal"/>
      <w:suff w:val="space"/>
      <w:lvlText w:val="6.%1"/>
      <w:lvlJc w:val="left"/>
      <w:pPr>
        <w:ind w:left="0" w:firstLine="0"/>
      </w:pPr>
      <w:rPr>
        <w:rFonts w:hint="default"/>
      </w:rPr>
    </w:lvl>
  </w:abstractNum>
  <w:abstractNum w:abstractNumId="227">
    <w:nsid w:val="7DA36D5B"/>
    <w:multiLevelType w:val="singleLevel"/>
    <w:tmpl w:val="7DA36D5B"/>
    <w:lvl w:ilvl="0" w:tentative="0">
      <w:start w:val="2"/>
      <w:numFmt w:val="decimal"/>
      <w:lvlText w:val="%1."/>
      <w:lvlJc w:val="left"/>
      <w:rPr>
        <w:rFonts w:hint="default"/>
        <w:color w:val="auto"/>
      </w:rPr>
    </w:lvl>
  </w:abstractNum>
  <w:abstractNum w:abstractNumId="228">
    <w:nsid w:val="7DB81BAF"/>
    <w:multiLevelType w:val="singleLevel"/>
    <w:tmpl w:val="7DB81BAF"/>
    <w:lvl w:ilvl="0" w:tentative="0">
      <w:start w:val="2"/>
      <w:numFmt w:val="decimal"/>
      <w:lvlText w:val="%1."/>
      <w:lvlJc w:val="left"/>
      <w:rPr>
        <w:rFonts w:hint="default"/>
        <w:color w:val="auto"/>
      </w:rPr>
    </w:lvl>
  </w:abstractNum>
  <w:abstractNum w:abstractNumId="229">
    <w:nsid w:val="7DD60B4F"/>
    <w:multiLevelType w:val="singleLevel"/>
    <w:tmpl w:val="7DD60B4F"/>
    <w:lvl w:ilvl="0" w:tentative="0">
      <w:start w:val="2"/>
      <w:numFmt w:val="decimal"/>
      <w:lvlText w:val="%1."/>
      <w:lvlJc w:val="left"/>
      <w:rPr>
        <w:rFonts w:hint="default"/>
        <w:color w:val="auto"/>
      </w:rPr>
    </w:lvl>
  </w:abstractNum>
  <w:abstractNum w:abstractNumId="230">
    <w:nsid w:val="7E9E9D34"/>
    <w:multiLevelType w:val="singleLevel"/>
    <w:tmpl w:val="7E9E9D34"/>
    <w:lvl w:ilvl="0" w:tentative="0">
      <w:start w:val="2"/>
      <w:numFmt w:val="decimal"/>
      <w:lvlText w:val="%1."/>
      <w:lvlJc w:val="left"/>
      <w:rPr>
        <w:rFonts w:hint="default"/>
        <w:color w:val="auto"/>
      </w:rPr>
    </w:lvl>
  </w:abstractNum>
  <w:abstractNum w:abstractNumId="231">
    <w:nsid w:val="7F2F7529"/>
    <w:multiLevelType w:val="singleLevel"/>
    <w:tmpl w:val="7F2F7529"/>
    <w:lvl w:ilvl="0" w:tentative="0">
      <w:start w:val="1"/>
      <w:numFmt w:val="decimal"/>
      <w:lvlText w:val="%1."/>
      <w:lvlJc w:val="left"/>
      <w:rPr>
        <w:rFonts w:hint="default"/>
        <w:color w:val="auto"/>
      </w:rPr>
    </w:lvl>
  </w:abstractNum>
  <w:abstractNum w:abstractNumId="232">
    <w:nsid w:val="7F3FAEDF"/>
    <w:multiLevelType w:val="singleLevel"/>
    <w:tmpl w:val="7F3FAEDF"/>
    <w:lvl w:ilvl="0" w:tentative="0">
      <w:start w:val="1"/>
      <w:numFmt w:val="decimal"/>
      <w:lvlText w:val="%1."/>
      <w:lvlJc w:val="left"/>
      <w:rPr>
        <w:rFonts w:hint="default"/>
        <w:color w:val="auto"/>
      </w:rPr>
    </w:lvl>
  </w:abstractNum>
  <w:abstractNum w:abstractNumId="233">
    <w:nsid w:val="7F945719"/>
    <w:multiLevelType w:val="singleLevel"/>
    <w:tmpl w:val="7F945719"/>
    <w:lvl w:ilvl="0" w:tentative="0">
      <w:start w:val="2"/>
      <w:numFmt w:val="decimal"/>
      <w:lvlText w:val="%1."/>
      <w:lvlJc w:val="left"/>
      <w:rPr>
        <w:rFonts w:hint="default"/>
        <w:color w:val="auto"/>
      </w:rPr>
    </w:lvl>
  </w:abstractNum>
  <w:abstractNum w:abstractNumId="234">
    <w:nsid w:val="7F961F98"/>
    <w:multiLevelType w:val="singleLevel"/>
    <w:tmpl w:val="7F961F98"/>
    <w:lvl w:ilvl="0" w:tentative="0">
      <w:start w:val="1"/>
      <w:numFmt w:val="decimal"/>
      <w:lvlText w:val="%1."/>
      <w:lvlJc w:val="left"/>
      <w:rPr>
        <w:rFonts w:hint="default"/>
        <w:color w:val="auto"/>
      </w:rPr>
    </w:lvl>
  </w:abstractNum>
  <w:abstractNum w:abstractNumId="235">
    <w:nsid w:val="7FBEEDC4"/>
    <w:multiLevelType w:val="singleLevel"/>
    <w:tmpl w:val="7FBEEDC4"/>
    <w:lvl w:ilvl="0" w:tentative="0">
      <w:start w:val="2"/>
      <w:numFmt w:val="decimal"/>
      <w:lvlText w:val="%1."/>
      <w:lvlJc w:val="left"/>
      <w:rPr>
        <w:rFonts w:hint="default"/>
        <w:color w:val="auto"/>
      </w:rPr>
    </w:lvl>
  </w:abstractNum>
  <w:abstractNum w:abstractNumId="236">
    <w:nsid w:val="7FED30F2"/>
    <w:multiLevelType w:val="singleLevel"/>
    <w:tmpl w:val="7FED30F2"/>
    <w:lvl w:ilvl="0" w:tentative="0">
      <w:start w:val="3"/>
      <w:numFmt w:val="decimal"/>
      <w:lvlText w:val="%1."/>
      <w:lvlJc w:val="left"/>
      <w:rPr>
        <w:rFonts w:hint="default"/>
        <w:color w:val="auto"/>
      </w:rPr>
    </w:lvl>
  </w:abstractNum>
  <w:num w:numId="1">
    <w:abstractNumId w:val="116"/>
  </w:num>
  <w:num w:numId="2">
    <w:abstractNumId w:val="114"/>
  </w:num>
  <w:num w:numId="3">
    <w:abstractNumId w:val="95"/>
  </w:num>
  <w:num w:numId="4">
    <w:abstractNumId w:val="105"/>
  </w:num>
  <w:num w:numId="5">
    <w:abstractNumId w:val="39"/>
  </w:num>
  <w:num w:numId="6">
    <w:abstractNumId w:val="66"/>
  </w:num>
  <w:num w:numId="7">
    <w:abstractNumId w:val="150"/>
  </w:num>
  <w:num w:numId="8">
    <w:abstractNumId w:val="51"/>
  </w:num>
  <w:num w:numId="9">
    <w:abstractNumId w:val="25"/>
  </w:num>
  <w:num w:numId="10">
    <w:abstractNumId w:val="121"/>
  </w:num>
  <w:num w:numId="11">
    <w:abstractNumId w:val="79"/>
  </w:num>
  <w:num w:numId="12">
    <w:abstractNumId w:val="86"/>
  </w:num>
  <w:num w:numId="13">
    <w:abstractNumId w:val="118"/>
  </w:num>
  <w:num w:numId="14">
    <w:abstractNumId w:val="182"/>
  </w:num>
  <w:num w:numId="15">
    <w:abstractNumId w:val="50"/>
  </w:num>
  <w:num w:numId="16">
    <w:abstractNumId w:val="16"/>
  </w:num>
  <w:num w:numId="17">
    <w:abstractNumId w:val="31"/>
  </w:num>
  <w:num w:numId="18">
    <w:abstractNumId w:val="214"/>
  </w:num>
  <w:num w:numId="19">
    <w:abstractNumId w:val="53"/>
  </w:num>
  <w:num w:numId="20">
    <w:abstractNumId w:val="6"/>
  </w:num>
  <w:num w:numId="21">
    <w:abstractNumId w:val="218"/>
  </w:num>
  <w:num w:numId="22">
    <w:abstractNumId w:val="160"/>
  </w:num>
  <w:num w:numId="23">
    <w:abstractNumId w:val="146"/>
  </w:num>
  <w:num w:numId="24">
    <w:abstractNumId w:val="211"/>
  </w:num>
  <w:num w:numId="25">
    <w:abstractNumId w:val="14"/>
  </w:num>
  <w:num w:numId="26">
    <w:abstractNumId w:val="45"/>
  </w:num>
  <w:num w:numId="27">
    <w:abstractNumId w:val="233"/>
  </w:num>
  <w:num w:numId="28">
    <w:abstractNumId w:val="40"/>
  </w:num>
  <w:num w:numId="29">
    <w:abstractNumId w:val="17"/>
  </w:num>
  <w:num w:numId="30">
    <w:abstractNumId w:val="88"/>
  </w:num>
  <w:num w:numId="31">
    <w:abstractNumId w:val="203"/>
  </w:num>
  <w:num w:numId="32">
    <w:abstractNumId w:val="165"/>
  </w:num>
  <w:num w:numId="33">
    <w:abstractNumId w:val="167"/>
  </w:num>
  <w:num w:numId="34">
    <w:abstractNumId w:val="147"/>
  </w:num>
  <w:num w:numId="35">
    <w:abstractNumId w:val="47"/>
  </w:num>
  <w:num w:numId="36">
    <w:abstractNumId w:val="235"/>
  </w:num>
  <w:num w:numId="37">
    <w:abstractNumId w:val="195"/>
  </w:num>
  <w:num w:numId="38">
    <w:abstractNumId w:val="84"/>
  </w:num>
  <w:num w:numId="39">
    <w:abstractNumId w:val="194"/>
  </w:num>
  <w:num w:numId="40">
    <w:abstractNumId w:val="143"/>
  </w:num>
  <w:num w:numId="41">
    <w:abstractNumId w:val="59"/>
  </w:num>
  <w:num w:numId="42">
    <w:abstractNumId w:val="164"/>
  </w:num>
  <w:num w:numId="43">
    <w:abstractNumId w:val="141"/>
  </w:num>
  <w:num w:numId="44">
    <w:abstractNumId w:val="55"/>
  </w:num>
  <w:num w:numId="45">
    <w:abstractNumId w:val="1"/>
  </w:num>
  <w:num w:numId="46">
    <w:abstractNumId w:val="36"/>
  </w:num>
  <w:num w:numId="47">
    <w:abstractNumId w:val="222"/>
  </w:num>
  <w:num w:numId="48">
    <w:abstractNumId w:val="134"/>
  </w:num>
  <w:num w:numId="49">
    <w:abstractNumId w:val="26"/>
  </w:num>
  <w:num w:numId="50">
    <w:abstractNumId w:val="217"/>
  </w:num>
  <w:num w:numId="51">
    <w:abstractNumId w:val="131"/>
  </w:num>
  <w:num w:numId="52">
    <w:abstractNumId w:val="13"/>
  </w:num>
  <w:num w:numId="53">
    <w:abstractNumId w:val="112"/>
  </w:num>
  <w:num w:numId="54">
    <w:abstractNumId w:val="90"/>
  </w:num>
  <w:num w:numId="55">
    <w:abstractNumId w:val="110"/>
  </w:num>
  <w:num w:numId="56">
    <w:abstractNumId w:val="5"/>
  </w:num>
  <w:num w:numId="57">
    <w:abstractNumId w:val="179"/>
  </w:num>
  <w:num w:numId="58">
    <w:abstractNumId w:val="216"/>
  </w:num>
  <w:num w:numId="59">
    <w:abstractNumId w:val="215"/>
  </w:num>
  <w:num w:numId="60">
    <w:abstractNumId w:val="97"/>
  </w:num>
  <w:num w:numId="61">
    <w:abstractNumId w:val="23"/>
  </w:num>
  <w:num w:numId="62">
    <w:abstractNumId w:val="213"/>
  </w:num>
  <w:num w:numId="63">
    <w:abstractNumId w:val="91"/>
  </w:num>
  <w:num w:numId="64">
    <w:abstractNumId w:val="177"/>
  </w:num>
  <w:num w:numId="65">
    <w:abstractNumId w:val="65"/>
  </w:num>
  <w:num w:numId="66">
    <w:abstractNumId w:val="106"/>
  </w:num>
  <w:num w:numId="67">
    <w:abstractNumId w:val="35"/>
  </w:num>
  <w:num w:numId="68">
    <w:abstractNumId w:val="8"/>
  </w:num>
  <w:num w:numId="69">
    <w:abstractNumId w:val="234"/>
  </w:num>
  <w:num w:numId="70">
    <w:abstractNumId w:val="48"/>
  </w:num>
  <w:num w:numId="71">
    <w:abstractNumId w:val="113"/>
  </w:num>
  <w:num w:numId="72">
    <w:abstractNumId w:val="115"/>
  </w:num>
  <w:num w:numId="73">
    <w:abstractNumId w:val="166"/>
  </w:num>
  <w:num w:numId="74">
    <w:abstractNumId w:val="199"/>
  </w:num>
  <w:num w:numId="75">
    <w:abstractNumId w:val="107"/>
  </w:num>
  <w:num w:numId="76">
    <w:abstractNumId w:val="145"/>
  </w:num>
  <w:num w:numId="77">
    <w:abstractNumId w:val="229"/>
  </w:num>
  <w:num w:numId="78">
    <w:abstractNumId w:val="236"/>
  </w:num>
  <w:num w:numId="79">
    <w:abstractNumId w:val="168"/>
  </w:num>
  <w:num w:numId="80">
    <w:abstractNumId w:val="201"/>
  </w:num>
  <w:num w:numId="81">
    <w:abstractNumId w:val="144"/>
  </w:num>
  <w:num w:numId="82">
    <w:abstractNumId w:val="7"/>
  </w:num>
  <w:num w:numId="83">
    <w:abstractNumId w:val="58"/>
  </w:num>
  <w:num w:numId="84">
    <w:abstractNumId w:val="193"/>
  </w:num>
  <w:num w:numId="85">
    <w:abstractNumId w:val="207"/>
  </w:num>
  <w:num w:numId="86">
    <w:abstractNumId w:val="60"/>
  </w:num>
  <w:num w:numId="87">
    <w:abstractNumId w:val="225"/>
  </w:num>
  <w:num w:numId="88">
    <w:abstractNumId w:val="56"/>
  </w:num>
  <w:num w:numId="89">
    <w:abstractNumId w:val="108"/>
  </w:num>
  <w:num w:numId="90">
    <w:abstractNumId w:val="227"/>
  </w:num>
  <w:num w:numId="91">
    <w:abstractNumId w:val="184"/>
  </w:num>
  <w:num w:numId="92">
    <w:abstractNumId w:val="101"/>
  </w:num>
  <w:num w:numId="93">
    <w:abstractNumId w:val="186"/>
  </w:num>
  <w:num w:numId="94">
    <w:abstractNumId w:val="126"/>
  </w:num>
  <w:num w:numId="95">
    <w:abstractNumId w:val="132"/>
  </w:num>
  <w:num w:numId="96">
    <w:abstractNumId w:val="87"/>
  </w:num>
  <w:num w:numId="97">
    <w:abstractNumId w:val="67"/>
  </w:num>
  <w:num w:numId="98">
    <w:abstractNumId w:val="63"/>
  </w:num>
  <w:num w:numId="99">
    <w:abstractNumId w:val="80"/>
  </w:num>
  <w:num w:numId="100">
    <w:abstractNumId w:val="64"/>
  </w:num>
  <w:num w:numId="101">
    <w:abstractNumId w:val="69"/>
  </w:num>
  <w:num w:numId="102">
    <w:abstractNumId w:val="33"/>
  </w:num>
  <w:num w:numId="103">
    <w:abstractNumId w:val="169"/>
  </w:num>
  <w:num w:numId="104">
    <w:abstractNumId w:val="83"/>
  </w:num>
  <w:num w:numId="105">
    <w:abstractNumId w:val="209"/>
  </w:num>
  <w:num w:numId="106">
    <w:abstractNumId w:val="3"/>
  </w:num>
  <w:num w:numId="107">
    <w:abstractNumId w:val="202"/>
  </w:num>
  <w:num w:numId="108">
    <w:abstractNumId w:val="9"/>
  </w:num>
  <w:num w:numId="109">
    <w:abstractNumId w:val="102"/>
  </w:num>
  <w:num w:numId="110">
    <w:abstractNumId w:val="188"/>
  </w:num>
  <w:num w:numId="111">
    <w:abstractNumId w:val="130"/>
  </w:num>
  <w:num w:numId="112">
    <w:abstractNumId w:val="22"/>
  </w:num>
  <w:num w:numId="113">
    <w:abstractNumId w:val="187"/>
  </w:num>
  <w:num w:numId="114">
    <w:abstractNumId w:val="232"/>
  </w:num>
  <w:num w:numId="115">
    <w:abstractNumId w:val="198"/>
  </w:num>
  <w:num w:numId="116">
    <w:abstractNumId w:val="96"/>
  </w:num>
  <w:num w:numId="117">
    <w:abstractNumId w:val="136"/>
  </w:num>
  <w:num w:numId="118">
    <w:abstractNumId w:val="99"/>
  </w:num>
  <w:num w:numId="119">
    <w:abstractNumId w:val="153"/>
  </w:num>
  <w:num w:numId="120">
    <w:abstractNumId w:val="154"/>
  </w:num>
  <w:num w:numId="121">
    <w:abstractNumId w:val="151"/>
  </w:num>
  <w:num w:numId="122">
    <w:abstractNumId w:val="93"/>
  </w:num>
  <w:num w:numId="123">
    <w:abstractNumId w:val="42"/>
  </w:num>
  <w:num w:numId="124">
    <w:abstractNumId w:val="228"/>
  </w:num>
  <w:num w:numId="125">
    <w:abstractNumId w:val="148"/>
  </w:num>
  <w:num w:numId="126">
    <w:abstractNumId w:val="124"/>
  </w:num>
  <w:num w:numId="127">
    <w:abstractNumId w:val="158"/>
  </w:num>
  <w:num w:numId="128">
    <w:abstractNumId w:val="155"/>
  </w:num>
  <w:num w:numId="129">
    <w:abstractNumId w:val="34"/>
  </w:num>
  <w:num w:numId="130">
    <w:abstractNumId w:val="32"/>
  </w:num>
  <w:num w:numId="131">
    <w:abstractNumId w:val="212"/>
  </w:num>
  <w:num w:numId="132">
    <w:abstractNumId w:val="174"/>
  </w:num>
  <w:num w:numId="133">
    <w:abstractNumId w:val="75"/>
  </w:num>
  <w:num w:numId="134">
    <w:abstractNumId w:val="73"/>
  </w:num>
  <w:num w:numId="135">
    <w:abstractNumId w:val="152"/>
  </w:num>
  <w:num w:numId="136">
    <w:abstractNumId w:val="204"/>
  </w:num>
  <w:num w:numId="137">
    <w:abstractNumId w:val="185"/>
  </w:num>
  <w:num w:numId="138">
    <w:abstractNumId w:val="230"/>
  </w:num>
  <w:num w:numId="139">
    <w:abstractNumId w:val="162"/>
  </w:num>
  <w:num w:numId="140">
    <w:abstractNumId w:val="54"/>
  </w:num>
  <w:num w:numId="141">
    <w:abstractNumId w:val="21"/>
  </w:num>
  <w:num w:numId="142">
    <w:abstractNumId w:val="224"/>
  </w:num>
  <w:num w:numId="143">
    <w:abstractNumId w:val="206"/>
  </w:num>
  <w:num w:numId="144">
    <w:abstractNumId w:val="231"/>
  </w:num>
  <w:num w:numId="145">
    <w:abstractNumId w:val="172"/>
  </w:num>
  <w:num w:numId="146">
    <w:abstractNumId w:val="30"/>
  </w:num>
  <w:num w:numId="147">
    <w:abstractNumId w:val="11"/>
  </w:num>
  <w:num w:numId="148">
    <w:abstractNumId w:val="2"/>
  </w:num>
  <w:num w:numId="149">
    <w:abstractNumId w:val="173"/>
  </w:num>
  <w:num w:numId="150">
    <w:abstractNumId w:val="191"/>
  </w:num>
  <w:num w:numId="151">
    <w:abstractNumId w:val="104"/>
  </w:num>
  <w:num w:numId="152">
    <w:abstractNumId w:val="70"/>
  </w:num>
  <w:num w:numId="153">
    <w:abstractNumId w:val="41"/>
  </w:num>
  <w:num w:numId="154">
    <w:abstractNumId w:val="74"/>
  </w:num>
  <w:num w:numId="155">
    <w:abstractNumId w:val="175"/>
  </w:num>
  <w:num w:numId="156">
    <w:abstractNumId w:val="135"/>
  </w:num>
  <w:num w:numId="157">
    <w:abstractNumId w:val="44"/>
  </w:num>
  <w:num w:numId="158">
    <w:abstractNumId w:val="156"/>
  </w:num>
  <w:num w:numId="159">
    <w:abstractNumId w:val="37"/>
  </w:num>
  <w:num w:numId="160">
    <w:abstractNumId w:val="142"/>
  </w:num>
  <w:num w:numId="161">
    <w:abstractNumId w:val="61"/>
  </w:num>
  <w:num w:numId="162">
    <w:abstractNumId w:val="180"/>
  </w:num>
  <w:num w:numId="163">
    <w:abstractNumId w:val="200"/>
  </w:num>
  <w:num w:numId="164">
    <w:abstractNumId w:val="161"/>
  </w:num>
  <w:num w:numId="165">
    <w:abstractNumId w:val="78"/>
  </w:num>
  <w:num w:numId="166">
    <w:abstractNumId w:val="81"/>
  </w:num>
  <w:num w:numId="167">
    <w:abstractNumId w:val="125"/>
  </w:num>
  <w:num w:numId="168">
    <w:abstractNumId w:val="85"/>
  </w:num>
  <w:num w:numId="169">
    <w:abstractNumId w:val="29"/>
  </w:num>
  <w:num w:numId="170">
    <w:abstractNumId w:val="223"/>
  </w:num>
  <w:num w:numId="171">
    <w:abstractNumId w:val="221"/>
  </w:num>
  <w:num w:numId="172">
    <w:abstractNumId w:val="183"/>
  </w:num>
  <w:num w:numId="173">
    <w:abstractNumId w:val="205"/>
  </w:num>
  <w:num w:numId="174">
    <w:abstractNumId w:val="163"/>
  </w:num>
  <w:num w:numId="175">
    <w:abstractNumId w:val="120"/>
  </w:num>
  <w:num w:numId="176">
    <w:abstractNumId w:val="210"/>
  </w:num>
  <w:num w:numId="177">
    <w:abstractNumId w:val="49"/>
  </w:num>
  <w:num w:numId="178">
    <w:abstractNumId w:val="27"/>
  </w:num>
  <w:num w:numId="179">
    <w:abstractNumId w:val="129"/>
  </w:num>
  <w:num w:numId="180">
    <w:abstractNumId w:val="170"/>
  </w:num>
  <w:num w:numId="181">
    <w:abstractNumId w:val="76"/>
  </w:num>
  <w:num w:numId="182">
    <w:abstractNumId w:val="71"/>
  </w:num>
  <w:num w:numId="183">
    <w:abstractNumId w:val="92"/>
  </w:num>
  <w:num w:numId="184">
    <w:abstractNumId w:val="119"/>
  </w:num>
  <w:num w:numId="185">
    <w:abstractNumId w:val="219"/>
  </w:num>
  <w:num w:numId="186">
    <w:abstractNumId w:val="117"/>
  </w:num>
  <w:num w:numId="187">
    <w:abstractNumId w:val="72"/>
  </w:num>
  <w:num w:numId="188">
    <w:abstractNumId w:val="123"/>
  </w:num>
  <w:num w:numId="189">
    <w:abstractNumId w:val="19"/>
  </w:num>
  <w:num w:numId="190">
    <w:abstractNumId w:val="103"/>
  </w:num>
  <w:num w:numId="191">
    <w:abstractNumId w:val="46"/>
  </w:num>
  <w:num w:numId="192">
    <w:abstractNumId w:val="52"/>
  </w:num>
  <w:num w:numId="193">
    <w:abstractNumId w:val="20"/>
  </w:num>
  <w:num w:numId="194">
    <w:abstractNumId w:val="62"/>
  </w:num>
  <w:num w:numId="195">
    <w:abstractNumId w:val="133"/>
  </w:num>
  <w:num w:numId="196">
    <w:abstractNumId w:val="100"/>
  </w:num>
  <w:num w:numId="197">
    <w:abstractNumId w:val="43"/>
  </w:num>
  <w:num w:numId="198">
    <w:abstractNumId w:val="77"/>
  </w:num>
  <w:num w:numId="199">
    <w:abstractNumId w:val="139"/>
  </w:num>
  <w:num w:numId="200">
    <w:abstractNumId w:val="181"/>
  </w:num>
  <w:num w:numId="201">
    <w:abstractNumId w:val="226"/>
  </w:num>
  <w:num w:numId="202">
    <w:abstractNumId w:val="192"/>
  </w:num>
  <w:num w:numId="203">
    <w:abstractNumId w:val="82"/>
  </w:num>
  <w:num w:numId="204">
    <w:abstractNumId w:val="176"/>
  </w:num>
  <w:num w:numId="205">
    <w:abstractNumId w:val="15"/>
  </w:num>
  <w:num w:numId="206">
    <w:abstractNumId w:val="220"/>
  </w:num>
  <w:num w:numId="207">
    <w:abstractNumId w:val="38"/>
  </w:num>
  <w:num w:numId="208">
    <w:abstractNumId w:val="94"/>
  </w:num>
  <w:num w:numId="209">
    <w:abstractNumId w:val="4"/>
  </w:num>
  <w:num w:numId="210">
    <w:abstractNumId w:val="189"/>
  </w:num>
  <w:num w:numId="211">
    <w:abstractNumId w:val="138"/>
  </w:num>
  <w:num w:numId="212">
    <w:abstractNumId w:val="68"/>
  </w:num>
  <w:num w:numId="213">
    <w:abstractNumId w:val="98"/>
  </w:num>
  <w:num w:numId="214">
    <w:abstractNumId w:val="208"/>
  </w:num>
  <w:num w:numId="215">
    <w:abstractNumId w:val="109"/>
  </w:num>
  <w:num w:numId="216">
    <w:abstractNumId w:val="159"/>
  </w:num>
  <w:num w:numId="217">
    <w:abstractNumId w:val="127"/>
  </w:num>
  <w:num w:numId="218">
    <w:abstractNumId w:val="140"/>
  </w:num>
  <w:num w:numId="219">
    <w:abstractNumId w:val="57"/>
  </w:num>
  <w:num w:numId="220">
    <w:abstractNumId w:val="111"/>
  </w:num>
  <w:num w:numId="221">
    <w:abstractNumId w:val="10"/>
  </w:num>
  <w:num w:numId="222">
    <w:abstractNumId w:val="0"/>
  </w:num>
  <w:num w:numId="223">
    <w:abstractNumId w:val="18"/>
  </w:num>
  <w:num w:numId="224">
    <w:abstractNumId w:val="149"/>
  </w:num>
  <w:num w:numId="225">
    <w:abstractNumId w:val="197"/>
  </w:num>
  <w:num w:numId="226">
    <w:abstractNumId w:val="196"/>
  </w:num>
  <w:num w:numId="227">
    <w:abstractNumId w:val="157"/>
  </w:num>
  <w:num w:numId="228">
    <w:abstractNumId w:val="28"/>
  </w:num>
  <w:num w:numId="229">
    <w:abstractNumId w:val="24"/>
  </w:num>
  <w:num w:numId="230">
    <w:abstractNumId w:val="89"/>
  </w:num>
  <w:num w:numId="231">
    <w:abstractNumId w:val="171"/>
  </w:num>
  <w:num w:numId="232">
    <w:abstractNumId w:val="128"/>
  </w:num>
  <w:num w:numId="233">
    <w:abstractNumId w:val="12"/>
  </w:num>
  <w:num w:numId="234">
    <w:abstractNumId w:val="122"/>
  </w:num>
  <w:num w:numId="235">
    <w:abstractNumId w:val="137"/>
  </w:num>
  <w:num w:numId="236">
    <w:abstractNumId w:val="178"/>
  </w:num>
  <w:num w:numId="237">
    <w:abstractNumId w:val="19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FBF682B"/>
    <w:rsid w:val="00724337"/>
    <w:rsid w:val="00F53246"/>
    <w:rsid w:val="07756C52"/>
    <w:rsid w:val="0C9A1AD9"/>
    <w:rsid w:val="0E5E7EC3"/>
    <w:rsid w:val="147231B1"/>
    <w:rsid w:val="17D77CD7"/>
    <w:rsid w:val="19D17246"/>
    <w:rsid w:val="1B2BEA57"/>
    <w:rsid w:val="1FBCD204"/>
    <w:rsid w:val="22A050DE"/>
    <w:rsid w:val="24A74983"/>
    <w:rsid w:val="2DFAA51D"/>
    <w:rsid w:val="3B7E25BF"/>
    <w:rsid w:val="5AC24139"/>
    <w:rsid w:val="5C594DF3"/>
    <w:rsid w:val="5FBF682B"/>
    <w:rsid w:val="6FFF3549"/>
    <w:rsid w:val="6FFF7894"/>
    <w:rsid w:val="73490F27"/>
    <w:rsid w:val="739B2526"/>
    <w:rsid w:val="74FBE92E"/>
    <w:rsid w:val="76EFAD52"/>
    <w:rsid w:val="76FF3655"/>
    <w:rsid w:val="777F33AA"/>
    <w:rsid w:val="788308B4"/>
    <w:rsid w:val="7B6B0816"/>
    <w:rsid w:val="7FA35B2A"/>
    <w:rsid w:val="7FDEE31C"/>
    <w:rsid w:val="7FDF528F"/>
    <w:rsid w:val="7FFD81A7"/>
    <w:rsid w:val="AFFF14C9"/>
    <w:rsid w:val="BBF275A1"/>
    <w:rsid w:val="DE83FA12"/>
    <w:rsid w:val="EFCCE538"/>
    <w:rsid w:val="FDBD7FAA"/>
    <w:rsid w:val="FDFF99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next w:val="1"/>
    <w:qFormat/>
    <w:uiPriority w:val="0"/>
    <w:pPr>
      <w:widowControl w:val="0"/>
      <w:adjustRightInd w:val="0"/>
      <w:spacing w:before="320" w:line="300" w:lineRule="auto"/>
      <w:jc w:val="both"/>
      <w:outlineLvl w:val="0"/>
    </w:pPr>
    <w:rPr>
      <w:rFonts w:ascii="Times New Roman" w:hAnsi="Times New Roman" w:eastAsia="黑体" w:cs="Times New Roman"/>
      <w:color w:val="000000"/>
      <w:kern w:val="44"/>
      <w:sz w:val="32"/>
      <w:szCs w:val="44"/>
      <w:lang w:bidi="ar-SA"/>
    </w:rPr>
  </w:style>
  <w:style w:type="paragraph" w:styleId="3">
    <w:name w:val="heading 2"/>
    <w:next w:val="1"/>
    <w:unhideWhenUsed/>
    <w:qFormat/>
    <w:uiPriority w:val="0"/>
    <w:pPr>
      <w:widowControl w:val="0"/>
      <w:adjustRightInd w:val="0"/>
      <w:spacing w:before="280" w:line="300" w:lineRule="auto"/>
      <w:jc w:val="both"/>
      <w:outlineLvl w:val="1"/>
    </w:pPr>
    <w:rPr>
      <w:rFonts w:ascii="Times New Roman" w:hAnsi="Times New Roman" w:eastAsia="黑体" w:cs="Times New Roman"/>
      <w:kern w:val="2"/>
      <w:sz w:val="30"/>
      <w:szCs w:val="32"/>
      <w:lang w:bidi="ar-SA"/>
    </w:rPr>
  </w:style>
  <w:style w:type="paragraph" w:styleId="4">
    <w:name w:val="heading 3"/>
    <w:basedOn w:val="1"/>
    <w:next w:val="1"/>
    <w:unhideWhenUsed/>
    <w:qFormat/>
    <w:uiPriority w:val="0"/>
    <w:pPr>
      <w:keepNext/>
      <w:keepLines/>
      <w:widowControl w:val="0"/>
      <w:adjustRightInd w:val="0"/>
      <w:spacing w:before="240" w:line="300" w:lineRule="auto"/>
      <w:jc w:val="both"/>
      <w:outlineLvl w:val="2"/>
    </w:pPr>
    <w:rPr>
      <w:rFonts w:ascii="Times New Roman" w:hAnsi="Times New Roman" w:eastAsia="黑体" w:cs="Times New Roman"/>
      <w:kern w:val="2"/>
      <w:sz w:val="30"/>
      <w:szCs w:val="24"/>
      <w:lang w:bidi="ar-SA"/>
    </w:rPr>
  </w:style>
  <w:style w:type="paragraph" w:styleId="5">
    <w:name w:val="heading 4"/>
    <w:basedOn w:val="1"/>
    <w:next w:val="1"/>
    <w:unhideWhenUsed/>
    <w:qFormat/>
    <w:uiPriority w:val="0"/>
    <w:pPr>
      <w:keepNext/>
      <w:keepLines/>
      <w:widowControl w:val="0"/>
      <w:adjustRightInd w:val="0"/>
      <w:spacing w:before="200" w:line="300" w:lineRule="auto"/>
      <w:jc w:val="both"/>
      <w:outlineLvl w:val="3"/>
    </w:pPr>
    <w:rPr>
      <w:rFonts w:ascii="Times New Roman" w:hAnsi="Times New Roman" w:eastAsia="黑体" w:cs="Times New Roman"/>
      <w:bCs/>
      <w:kern w:val="2"/>
      <w:sz w:val="28"/>
      <w:szCs w:val="28"/>
      <w:lang w:bidi="ar-SA"/>
    </w:rPr>
  </w:style>
  <w:style w:type="character" w:default="1" w:styleId="10">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6">
    <w:name w:val="Body Text"/>
    <w:qFormat/>
    <w:uiPriority w:val="0"/>
    <w:pPr>
      <w:widowControl w:val="0"/>
      <w:adjustRightInd w:val="0"/>
      <w:spacing w:before="100" w:after="100" w:afterLines="0" w:afterAutospacing="0" w:line="300" w:lineRule="auto"/>
      <w:ind w:firstLine="1044" w:firstLineChars="200"/>
      <w:jc w:val="both"/>
    </w:pPr>
    <w:rPr>
      <w:rFonts w:ascii="Times New Roman" w:hAnsi="Times New Roman" w:eastAsia="宋体" w:cs="Times New Roman"/>
      <w:kern w:val="2"/>
      <w:sz w:val="24"/>
      <w:szCs w:val="24"/>
      <w:lang w:bidi="ar-SA"/>
    </w:rPr>
  </w:style>
  <w:style w:type="paragraph" w:styleId="7">
    <w:name w:val="Normal (Web)"/>
    <w:basedOn w:val="1"/>
    <w:qFormat/>
    <w:uiPriority w:val="0"/>
    <w:rPr>
      <w:sz w:val="24"/>
    </w:rPr>
  </w:style>
  <w:style w:type="paragraph" w:styleId="8">
    <w:name w:val="Title"/>
    <w:qFormat/>
    <w:uiPriority w:val="0"/>
    <w:pPr>
      <w:widowControl w:val="0"/>
      <w:adjustRightInd w:val="0"/>
      <w:spacing w:before="100" w:beforeAutospacing="0" w:after="100" w:afterAutospacing="0" w:line="240" w:lineRule="auto"/>
      <w:jc w:val="center"/>
      <w:outlineLvl w:val="9"/>
    </w:pPr>
    <w:rPr>
      <w:rFonts w:ascii="Times New Roman" w:hAnsi="Times New Roman" w:eastAsia="黑体" w:cs="Times New Roman"/>
      <w:kern w:val="2"/>
      <w:sz w:val="36"/>
      <w:szCs w:val="24"/>
      <w:lang w:bidi="ar-SA"/>
    </w:rPr>
  </w:style>
  <w:style w:type="paragraph" w:customStyle="1" w:styleId="11">
    <w:name w:val="null3"/>
    <w:hidden/>
    <w:qFormat/>
    <w:uiPriority w:val="0"/>
    <w:rPr>
      <w:rFonts w:hint="eastAsia" w:asciiTheme="minorHAnsi" w:hAnsiTheme="minorHAnsi" w:eastAsiaTheme="minorEastAsia" w:cstheme="minorBidi"/>
      <w:lang w:val="en-US" w:eastAsia="zh-Hans"/>
    </w:rPr>
  </w:style>
  <w:style w:type="paragraph" w:customStyle="1" w:styleId="12">
    <w:name w:val="p1"/>
    <w:basedOn w:val="1"/>
    <w:qFormat/>
    <w:uiPriority w:val="0"/>
    <w:pPr>
      <w:spacing w:before="0" w:beforeAutospacing="0" w:after="0" w:afterAutospacing="0"/>
      <w:ind w:left="0" w:right="0"/>
      <w:jc w:val="center"/>
    </w:pPr>
    <w:rPr>
      <w:rFonts w:ascii="Helvetica Neue" w:hAnsi="Helvetica Neue" w:eastAsia="Helvetica Neue" w:cs="Helvetica Neue"/>
      <w:kern w:val="0"/>
      <w:sz w:val="26"/>
      <w:szCs w:val="26"/>
      <w:lang w:val="en-US" w:eastAsia="zh-CN" w:bidi="ar"/>
    </w:rPr>
  </w:style>
  <w:style w:type="character" w:customStyle="1" w:styleId="13">
    <w:name w:val="s1"/>
    <w:basedOn w:val="10"/>
    <w:qFormat/>
    <w:uiPriority w:val="0"/>
    <w:rPr>
      <w:rFonts w:ascii="helvetica" w:hAnsi="helvetica" w:eastAsia="helvetica" w:cs="helvetica"/>
      <w:sz w:val="26"/>
      <w:szCs w:val="26"/>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7" Type="http://schemas.openxmlformats.org/officeDocument/2006/relationships/fontTable" Target="fontTable.xml"/><Relationship Id="rId206" Type="http://schemas.openxmlformats.org/officeDocument/2006/relationships/numbering" Target="numbering.xml"/><Relationship Id="rId205" Type="http://schemas.openxmlformats.org/officeDocument/2006/relationships/image" Target="media/image202.png"/><Relationship Id="rId204" Type="http://schemas.openxmlformats.org/officeDocument/2006/relationships/image" Target="media/image201.png"/><Relationship Id="rId203" Type="http://schemas.openxmlformats.org/officeDocument/2006/relationships/image" Target="media/image200.png"/><Relationship Id="rId202" Type="http://schemas.openxmlformats.org/officeDocument/2006/relationships/image" Target="media/image199.png"/><Relationship Id="rId201" Type="http://schemas.openxmlformats.org/officeDocument/2006/relationships/image" Target="media/image198.png"/><Relationship Id="rId200" Type="http://schemas.openxmlformats.org/officeDocument/2006/relationships/image" Target="media/image197.png"/><Relationship Id="rId20" Type="http://schemas.openxmlformats.org/officeDocument/2006/relationships/image" Target="media/image17.png"/><Relationship Id="rId2" Type="http://schemas.openxmlformats.org/officeDocument/2006/relationships/settings" Target="settings.xml"/><Relationship Id="rId199" Type="http://schemas.openxmlformats.org/officeDocument/2006/relationships/image" Target="media/image196.png"/><Relationship Id="rId198" Type="http://schemas.openxmlformats.org/officeDocument/2006/relationships/image" Target="media/image195.png"/><Relationship Id="rId197" Type="http://schemas.openxmlformats.org/officeDocument/2006/relationships/image" Target="media/image194.png"/><Relationship Id="rId196" Type="http://schemas.openxmlformats.org/officeDocument/2006/relationships/image" Target="media/image193.png"/><Relationship Id="rId195" Type="http://schemas.openxmlformats.org/officeDocument/2006/relationships/image" Target="media/image192.png"/><Relationship Id="rId194" Type="http://schemas.openxmlformats.org/officeDocument/2006/relationships/image" Target="media/image191.png"/><Relationship Id="rId193" Type="http://schemas.openxmlformats.org/officeDocument/2006/relationships/image" Target="media/image190.png"/><Relationship Id="rId192" Type="http://schemas.openxmlformats.org/officeDocument/2006/relationships/image" Target="media/image189.png"/><Relationship Id="rId191" Type="http://schemas.openxmlformats.org/officeDocument/2006/relationships/image" Target="media/image188.png"/><Relationship Id="rId190" Type="http://schemas.openxmlformats.org/officeDocument/2006/relationships/image" Target="media/image187.png"/><Relationship Id="rId19" Type="http://schemas.openxmlformats.org/officeDocument/2006/relationships/image" Target="media/image16.png"/><Relationship Id="rId189" Type="http://schemas.openxmlformats.org/officeDocument/2006/relationships/image" Target="media/image186.png"/><Relationship Id="rId188" Type="http://schemas.openxmlformats.org/officeDocument/2006/relationships/image" Target="media/image185.png"/><Relationship Id="rId187" Type="http://schemas.openxmlformats.org/officeDocument/2006/relationships/image" Target="media/image184.png"/><Relationship Id="rId186" Type="http://schemas.openxmlformats.org/officeDocument/2006/relationships/image" Target="media/image183.png"/><Relationship Id="rId185" Type="http://schemas.openxmlformats.org/officeDocument/2006/relationships/image" Target="media/image182.png"/><Relationship Id="rId184" Type="http://schemas.openxmlformats.org/officeDocument/2006/relationships/image" Target="media/image181.png"/><Relationship Id="rId183" Type="http://schemas.openxmlformats.org/officeDocument/2006/relationships/image" Target="media/image180.png"/><Relationship Id="rId182" Type="http://schemas.openxmlformats.org/officeDocument/2006/relationships/image" Target="media/image179.png"/><Relationship Id="rId181" Type="http://schemas.openxmlformats.org/officeDocument/2006/relationships/image" Target="media/image178.png"/><Relationship Id="rId180" Type="http://schemas.openxmlformats.org/officeDocument/2006/relationships/image" Target="media/image177.png"/><Relationship Id="rId18" Type="http://schemas.openxmlformats.org/officeDocument/2006/relationships/image" Target="media/image15.png"/><Relationship Id="rId179" Type="http://schemas.openxmlformats.org/officeDocument/2006/relationships/image" Target="media/image176.png"/><Relationship Id="rId178" Type="http://schemas.openxmlformats.org/officeDocument/2006/relationships/image" Target="media/image175.png"/><Relationship Id="rId177" Type="http://schemas.openxmlformats.org/officeDocument/2006/relationships/image" Target="media/image174.png"/><Relationship Id="rId176" Type="http://schemas.openxmlformats.org/officeDocument/2006/relationships/image" Target="media/image173.png"/><Relationship Id="rId175" Type="http://schemas.openxmlformats.org/officeDocument/2006/relationships/image" Target="media/image172.png"/><Relationship Id="rId174" Type="http://schemas.openxmlformats.org/officeDocument/2006/relationships/image" Target="media/image171.png"/><Relationship Id="rId173" Type="http://schemas.openxmlformats.org/officeDocument/2006/relationships/image" Target="media/image170.png"/><Relationship Id="rId172" Type="http://schemas.openxmlformats.org/officeDocument/2006/relationships/image" Target="media/image169.png"/><Relationship Id="rId171" Type="http://schemas.openxmlformats.org/officeDocument/2006/relationships/image" Target="media/image168.png"/><Relationship Id="rId170" Type="http://schemas.openxmlformats.org/officeDocument/2006/relationships/image" Target="media/image167.png"/><Relationship Id="rId17" Type="http://schemas.openxmlformats.org/officeDocument/2006/relationships/image" Target="media/image14.png"/><Relationship Id="rId169" Type="http://schemas.openxmlformats.org/officeDocument/2006/relationships/image" Target="media/image166.png"/><Relationship Id="rId168" Type="http://schemas.openxmlformats.org/officeDocument/2006/relationships/image" Target="media/image165.png"/><Relationship Id="rId167" Type="http://schemas.openxmlformats.org/officeDocument/2006/relationships/image" Target="media/image164.png"/><Relationship Id="rId166" Type="http://schemas.openxmlformats.org/officeDocument/2006/relationships/image" Target="media/image163.png"/><Relationship Id="rId165" Type="http://schemas.openxmlformats.org/officeDocument/2006/relationships/image" Target="media/image162.png"/><Relationship Id="rId164" Type="http://schemas.openxmlformats.org/officeDocument/2006/relationships/image" Target="media/image161.png"/><Relationship Id="rId163" Type="http://schemas.openxmlformats.org/officeDocument/2006/relationships/image" Target="media/image160.png"/><Relationship Id="rId162" Type="http://schemas.openxmlformats.org/officeDocument/2006/relationships/image" Target="media/image159.png"/><Relationship Id="rId161" Type="http://schemas.openxmlformats.org/officeDocument/2006/relationships/image" Target="media/image158.png"/><Relationship Id="rId160" Type="http://schemas.openxmlformats.org/officeDocument/2006/relationships/image" Target="media/image157.png"/><Relationship Id="rId16" Type="http://schemas.openxmlformats.org/officeDocument/2006/relationships/image" Target="media/image13.png"/><Relationship Id="rId159" Type="http://schemas.openxmlformats.org/officeDocument/2006/relationships/image" Target="media/image156.png"/><Relationship Id="rId158" Type="http://schemas.openxmlformats.org/officeDocument/2006/relationships/image" Target="media/image155.png"/><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png"/><Relationship Id="rId154" Type="http://schemas.openxmlformats.org/officeDocument/2006/relationships/image" Target="media/image151.png"/><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png"/><Relationship Id="rId130" Type="http://schemas.openxmlformats.org/officeDocument/2006/relationships/image" Target="media/image127.png"/><Relationship Id="rId13" Type="http://schemas.openxmlformats.org/officeDocument/2006/relationships/image" Target="media/image10.pn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202</Pages>
  <Words>16819</Words>
  <Characters>18016</Characters>
  <Lines>0</Lines>
  <Paragraphs>0</Paragraphs>
  <TotalTime>0</TotalTime>
  <ScaleCrop>false</ScaleCrop>
  <LinksUpToDate>false</LinksUpToDate>
  <CharactersWithSpaces>18458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2026-02-24T10:36:00Z</dcterms:created>
  <dc:creator>pandora</dc:creator>
  <cp:lastModifiedBy>赵珂嘉</cp:lastModifiedBy>
  <dcterms:modified xsi:type="dcterms:W3CDTF">2026-02-26T12:16:39Z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5A390FB3C9A748D2A1333595148079C0_13</vt:lpwstr>
  </property>
  <property fmtid="{D5CDD505-2E9C-101B-9397-08002B2CF9AE}" pid="4" name="KSOTemplateDocerSaveRecord">
    <vt:lpwstr>eyJoZGlkIjoiNjAxYWRkNmI5NDU1YTA3YWJmNzZhNTY3OGUyMjk5MTciLCJ1c2VySWQiOiIzMzE0NzQ5NTEifQ==</vt:lpwstr>
  </property>
</Properties>
</file>