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C54BF"/>
    <w:p w14:paraId="79466AC4">
      <w:pPr>
        <w:spacing w:line="360" w:lineRule="auto"/>
        <w:jc w:val="center"/>
        <w:rPr>
          <w:rFonts w:hint="eastAsia" w:ascii="宋体" w:hAnsi="宋体" w:eastAsia="宋体"/>
          <w:color w:val="000000"/>
          <w:w w:val="99"/>
          <w:sz w:val="84"/>
          <w:szCs w:val="22"/>
          <w:lang w:eastAsia="zh-CN"/>
        </w:rPr>
      </w:pPr>
      <w:bookmarkStart w:id="0" w:name="OLE_LINK5"/>
      <w:bookmarkStart w:id="1" w:name="OLE_LINK4"/>
      <w:r>
        <w:rPr>
          <w:rFonts w:hint="eastAsia" w:ascii="宋体" w:hAnsi="宋体" w:cs="仿宋_GB2312"/>
          <w:b/>
          <w:sz w:val="32"/>
          <w:szCs w:val="32"/>
          <w:u w:val="single"/>
          <w:lang w:eastAsia="zh-CN"/>
        </w:rPr>
        <w:t>马鞍山市向山小微产业园项目（一期）监理</w:t>
      </w:r>
    </w:p>
    <w:bookmarkEnd w:id="0"/>
    <w:bookmarkEnd w:id="1"/>
    <w:p w14:paraId="4B96FB8A">
      <w:pPr>
        <w:spacing w:line="360" w:lineRule="auto"/>
        <w:jc w:val="center"/>
        <w:rPr>
          <w:rFonts w:ascii="宋体" w:hAnsi="宋体"/>
          <w:color w:val="000000"/>
          <w:w w:val="99"/>
          <w:sz w:val="84"/>
          <w:szCs w:val="22"/>
        </w:rPr>
      </w:pPr>
      <w:r>
        <w:rPr>
          <w:rFonts w:hint="eastAsia" w:ascii="宋体" w:hAnsi="宋体"/>
          <w:color w:val="000000"/>
          <w:w w:val="99"/>
          <w:sz w:val="84"/>
          <w:szCs w:val="22"/>
        </w:rPr>
        <w:t>招 标 文 件</w:t>
      </w:r>
    </w:p>
    <w:p w14:paraId="507EB3DA">
      <w:pPr>
        <w:rPr>
          <w:rFonts w:ascii="宋体" w:hAnsi="宋体"/>
          <w:color w:val="000000"/>
          <w:sz w:val="32"/>
          <w:szCs w:val="22"/>
        </w:rPr>
      </w:pPr>
    </w:p>
    <w:p w14:paraId="17EAFDDE">
      <w:pPr>
        <w:snapToGrid w:val="0"/>
        <w:spacing w:line="480" w:lineRule="auto"/>
        <w:rPr>
          <w:rFonts w:ascii="宋体" w:hAnsi="宋体"/>
          <w:color w:val="000000"/>
          <w:sz w:val="32"/>
          <w:szCs w:val="22"/>
          <w:u w:val="single"/>
        </w:rPr>
      </w:pPr>
      <w:r>
        <w:rPr>
          <w:rFonts w:hint="eastAsia" w:ascii="宋体" w:hAnsi="宋体"/>
          <w:color w:val="000000"/>
          <w:sz w:val="32"/>
          <w:szCs w:val="22"/>
        </w:rPr>
        <w:t>项目编号:</w:t>
      </w:r>
      <w:r>
        <w:rPr>
          <w:rFonts w:hint="eastAsia" w:ascii="宋体" w:hAnsi="宋体"/>
          <w:color w:val="000000"/>
          <w:sz w:val="32"/>
          <w:szCs w:val="22"/>
          <w:u w:val="single"/>
        </w:rPr>
        <w:t xml:space="preserve">     </w:t>
      </w:r>
      <w:r>
        <w:rPr>
          <w:rFonts w:hint="eastAsia" w:ascii="宋体" w:hAnsi="宋体"/>
          <w:color w:val="000000"/>
          <w:sz w:val="32"/>
          <w:szCs w:val="22"/>
          <w:u w:val="single"/>
          <w:lang w:eastAsia="zh-CN"/>
        </w:rPr>
        <w:t>皖E0-18-2025-</w:t>
      </w:r>
      <w:r>
        <w:rPr>
          <w:rFonts w:hint="eastAsia" w:ascii="宋体" w:hAnsi="宋体"/>
          <w:color w:val="000000"/>
          <w:sz w:val="32"/>
          <w:szCs w:val="22"/>
          <w:u w:val="single"/>
        </w:rPr>
        <w:t xml:space="preserve">                </w:t>
      </w:r>
    </w:p>
    <w:p w14:paraId="023562B5">
      <w:pPr>
        <w:pStyle w:val="6"/>
      </w:pPr>
    </w:p>
    <w:p w14:paraId="172743A4">
      <w:pPr>
        <w:snapToGrid w:val="0"/>
        <w:spacing w:line="480" w:lineRule="auto"/>
        <w:rPr>
          <w:rFonts w:ascii="宋体" w:hAnsi="宋体"/>
          <w:color w:val="000000"/>
          <w:sz w:val="36"/>
          <w:szCs w:val="36"/>
          <w:u w:val="single"/>
        </w:rPr>
      </w:pPr>
      <w:r>
        <w:rPr>
          <w:rFonts w:hint="eastAsia" w:ascii="宋体" w:hAnsi="宋体"/>
          <w:color w:val="000000"/>
          <w:sz w:val="32"/>
          <w:szCs w:val="22"/>
        </w:rPr>
        <w:t>招 标 人</w:t>
      </w:r>
      <w:r>
        <w:rPr>
          <w:rFonts w:hint="eastAsia" w:ascii="宋体" w:hAnsi="宋体"/>
          <w:color w:val="000000"/>
          <w:sz w:val="24"/>
          <w:szCs w:val="22"/>
        </w:rPr>
        <w:t>：</w:t>
      </w:r>
      <w:r>
        <w:rPr>
          <w:rFonts w:hint="eastAsia" w:ascii="宋体" w:hAnsi="宋体"/>
          <w:color w:val="000000"/>
          <w:sz w:val="24"/>
          <w:szCs w:val="22"/>
          <w:u w:val="single"/>
        </w:rPr>
        <w:t xml:space="preserve">    </w:t>
      </w:r>
      <w:r>
        <w:rPr>
          <w:rFonts w:hint="eastAsia" w:ascii="宋体" w:hAnsi="宋体"/>
          <w:color w:val="000000"/>
          <w:sz w:val="28"/>
          <w:szCs w:val="28"/>
          <w:u w:val="single"/>
          <w:lang w:eastAsia="zh-CN"/>
        </w:rPr>
        <w:t>安徽两江数智建设工程有限公司</w:t>
      </w:r>
      <w:r>
        <w:rPr>
          <w:rFonts w:hint="eastAsia" w:ascii="宋体" w:hAnsi="宋体"/>
          <w:color w:val="000000"/>
          <w:sz w:val="28"/>
          <w:szCs w:val="28"/>
          <w:u w:val="single"/>
        </w:rPr>
        <w:t xml:space="preserve">   </w:t>
      </w:r>
      <w:r>
        <w:rPr>
          <w:rFonts w:hint="eastAsia" w:ascii="宋体" w:hAnsi="宋体"/>
          <w:color w:val="000000"/>
          <w:sz w:val="36"/>
          <w:szCs w:val="36"/>
          <w:highlight w:val="yellow"/>
          <w:u w:val="single"/>
        </w:rPr>
        <w:t>（盖单位公章）</w:t>
      </w:r>
    </w:p>
    <w:p w14:paraId="29140A85">
      <w:pPr>
        <w:pStyle w:val="6"/>
      </w:pPr>
    </w:p>
    <w:p w14:paraId="633D1EFC">
      <w:pPr>
        <w:snapToGrid w:val="0"/>
        <w:rPr>
          <w:rFonts w:ascii="宋体" w:hAnsi="宋体"/>
          <w:color w:val="000000"/>
          <w:sz w:val="32"/>
          <w:szCs w:val="22"/>
        </w:rPr>
      </w:pPr>
      <w:r>
        <w:rPr>
          <w:rFonts w:hint="eastAsia" w:ascii="宋体" w:hAnsi="宋体"/>
          <w:color w:val="000000"/>
          <w:sz w:val="32"/>
          <w:szCs w:val="22"/>
        </w:rPr>
        <w:t>法定代表人或</w:t>
      </w:r>
    </w:p>
    <w:p w14:paraId="2D6CD42F">
      <w:pPr>
        <w:snapToGrid w:val="0"/>
        <w:spacing w:line="480" w:lineRule="auto"/>
        <w:rPr>
          <w:rFonts w:ascii="宋体" w:hAnsi="宋体"/>
          <w:color w:val="000000"/>
          <w:sz w:val="36"/>
          <w:szCs w:val="36"/>
          <w:u w:val="single"/>
        </w:rPr>
      </w:pPr>
      <w:r>
        <w:rPr>
          <w:rFonts w:hint="eastAsia" w:ascii="宋体" w:hAnsi="宋体"/>
          <w:color w:val="000000"/>
          <w:sz w:val="32"/>
          <w:szCs w:val="22"/>
        </w:rPr>
        <w:t>其委托代理人:</w:t>
      </w:r>
      <w:r>
        <w:rPr>
          <w:rFonts w:hint="eastAsia" w:ascii="宋体" w:hAnsi="宋体"/>
          <w:color w:val="000000"/>
          <w:sz w:val="32"/>
          <w:szCs w:val="22"/>
          <w:u w:val="single"/>
        </w:rPr>
        <w:t xml:space="preserve">                         </w:t>
      </w:r>
      <w:r>
        <w:rPr>
          <w:rFonts w:hint="eastAsia" w:ascii="宋体" w:hAnsi="宋体"/>
          <w:color w:val="000000"/>
          <w:sz w:val="36"/>
          <w:szCs w:val="36"/>
          <w:highlight w:val="yellow"/>
          <w:u w:val="single"/>
        </w:rPr>
        <w:t>（签电子印章）</w:t>
      </w:r>
    </w:p>
    <w:p w14:paraId="5F234314">
      <w:pPr>
        <w:pStyle w:val="6"/>
      </w:pPr>
    </w:p>
    <w:p w14:paraId="2B4B08DD">
      <w:pPr>
        <w:snapToGrid w:val="0"/>
        <w:spacing w:line="480" w:lineRule="auto"/>
        <w:rPr>
          <w:rFonts w:ascii="宋体" w:hAnsi="宋体"/>
          <w:color w:val="000000"/>
          <w:sz w:val="32"/>
          <w:szCs w:val="22"/>
          <w:u w:val="single"/>
        </w:rPr>
      </w:pPr>
      <w:r>
        <w:rPr>
          <w:rFonts w:hint="eastAsia" w:ascii="宋体" w:hAnsi="宋体"/>
          <w:sz w:val="32"/>
          <w:szCs w:val="22"/>
        </w:rPr>
        <w:t>招标代理机构:</w:t>
      </w:r>
      <w:r>
        <w:rPr>
          <w:rFonts w:hint="eastAsia" w:ascii="宋体" w:hAnsi="宋体"/>
          <w:sz w:val="32"/>
          <w:szCs w:val="22"/>
          <w:u w:val="single"/>
        </w:rPr>
        <w:t xml:space="preserve">  </w:t>
      </w:r>
      <w:r>
        <w:rPr>
          <w:rFonts w:hint="eastAsia" w:ascii="宋体" w:hAnsi="宋体"/>
          <w:color w:val="000000"/>
          <w:sz w:val="28"/>
          <w:szCs w:val="28"/>
          <w:u w:val="single"/>
        </w:rPr>
        <w:t xml:space="preserve">马鞍山市兴马项目咨询有限公司 </w:t>
      </w:r>
      <w:r>
        <w:rPr>
          <w:rFonts w:hint="eastAsia" w:ascii="宋体" w:hAnsi="宋体"/>
          <w:color w:val="000000"/>
          <w:sz w:val="36"/>
          <w:szCs w:val="36"/>
          <w:highlight w:val="yellow"/>
          <w:u w:val="single"/>
        </w:rPr>
        <w:t>（盖单位公章）</w:t>
      </w:r>
      <w:r>
        <w:rPr>
          <w:rFonts w:hint="eastAsia" w:ascii="宋体" w:hAnsi="宋体"/>
          <w:color w:val="000000"/>
          <w:sz w:val="32"/>
          <w:szCs w:val="22"/>
          <w:u w:val="single"/>
        </w:rPr>
        <w:t xml:space="preserve"> </w:t>
      </w:r>
    </w:p>
    <w:p w14:paraId="5A2A68B0">
      <w:pPr>
        <w:pStyle w:val="6"/>
      </w:pPr>
    </w:p>
    <w:p w14:paraId="200B7AB7">
      <w:pPr>
        <w:snapToGrid w:val="0"/>
        <w:rPr>
          <w:rFonts w:ascii="宋体" w:hAnsi="宋体"/>
          <w:color w:val="000000"/>
          <w:sz w:val="32"/>
          <w:szCs w:val="22"/>
        </w:rPr>
      </w:pPr>
      <w:r>
        <w:rPr>
          <w:rFonts w:hint="eastAsia" w:ascii="宋体" w:hAnsi="宋体"/>
          <w:color w:val="000000"/>
          <w:sz w:val="32"/>
          <w:szCs w:val="22"/>
        </w:rPr>
        <w:t>法定代表人或</w:t>
      </w:r>
    </w:p>
    <w:p w14:paraId="27A31A9C">
      <w:pPr>
        <w:snapToGrid w:val="0"/>
        <w:spacing w:line="480" w:lineRule="auto"/>
        <w:rPr>
          <w:rFonts w:ascii="宋体" w:hAnsi="宋体"/>
          <w:color w:val="000000"/>
          <w:sz w:val="32"/>
          <w:szCs w:val="22"/>
          <w:u w:val="single"/>
        </w:rPr>
      </w:pPr>
      <w:r>
        <w:rPr>
          <w:rFonts w:hint="eastAsia" w:ascii="宋体" w:hAnsi="宋体"/>
          <w:color w:val="000000"/>
          <w:sz w:val="32"/>
          <w:szCs w:val="22"/>
        </w:rPr>
        <w:t>其委托代理人:</w:t>
      </w:r>
      <w:r>
        <w:rPr>
          <w:rFonts w:hint="eastAsia" w:ascii="宋体" w:hAnsi="宋体"/>
          <w:color w:val="000000"/>
          <w:sz w:val="32"/>
          <w:szCs w:val="22"/>
          <w:u w:val="single"/>
        </w:rPr>
        <w:t xml:space="preserve">                            </w:t>
      </w:r>
      <w:r>
        <w:rPr>
          <w:rFonts w:hint="eastAsia" w:ascii="宋体" w:hAnsi="宋体"/>
          <w:color w:val="000000"/>
          <w:sz w:val="36"/>
          <w:szCs w:val="36"/>
          <w:highlight w:val="yellow"/>
          <w:u w:val="single"/>
        </w:rPr>
        <w:t>（签电子印章）</w:t>
      </w:r>
    </w:p>
    <w:p w14:paraId="2EEDF1F3">
      <w:pPr>
        <w:snapToGrid w:val="0"/>
        <w:spacing w:line="480" w:lineRule="auto"/>
        <w:jc w:val="center"/>
        <w:rPr>
          <w:rFonts w:ascii="宋体" w:hAnsi="宋体"/>
          <w:color w:val="000000"/>
          <w:sz w:val="28"/>
          <w:szCs w:val="28"/>
        </w:rPr>
        <w:sectPr>
          <w:footerReference r:id="rId3" w:type="default"/>
          <w:pgSz w:w="11906" w:h="16838"/>
          <w:pgMar w:top="1134" w:right="1417" w:bottom="1134" w:left="1417" w:header="851" w:footer="992" w:gutter="0"/>
          <w:pgNumType w:start="1"/>
          <w:cols w:space="720" w:num="1"/>
          <w:docGrid w:type="lines" w:linePitch="312" w:charSpace="0"/>
        </w:sectPr>
      </w:pPr>
      <w:r>
        <w:rPr>
          <w:rFonts w:hint="eastAsia" w:ascii="宋体" w:hAnsi="宋体"/>
          <w:color w:val="000000"/>
          <w:sz w:val="28"/>
          <w:szCs w:val="28"/>
        </w:rPr>
        <w:t>2025年</w:t>
      </w:r>
      <w:r>
        <w:rPr>
          <w:rFonts w:hint="eastAsia" w:ascii="宋体" w:hAnsi="宋体"/>
          <w:color w:val="000000"/>
          <w:sz w:val="28"/>
          <w:szCs w:val="28"/>
          <w:lang w:val="en-US" w:eastAsia="zh-CN"/>
        </w:rPr>
        <w:t>9</w:t>
      </w:r>
      <w:r>
        <w:rPr>
          <w:rFonts w:hint="eastAsia" w:ascii="宋体" w:hAnsi="宋体"/>
          <w:color w:val="000000"/>
          <w:sz w:val="28"/>
          <w:szCs w:val="28"/>
        </w:rPr>
        <w:t>月</w:t>
      </w:r>
    </w:p>
    <w:p w14:paraId="05E87CCD">
      <w:pPr>
        <w:spacing w:line="360" w:lineRule="exact"/>
        <w:jc w:val="center"/>
        <w:rPr>
          <w:rFonts w:ascii="黑体" w:hAnsi="宋体" w:eastAsia="黑体"/>
          <w:color w:val="000000"/>
          <w:sz w:val="36"/>
          <w:szCs w:val="36"/>
        </w:rPr>
      </w:pPr>
    </w:p>
    <w:p w14:paraId="06E1DC80">
      <w:pPr>
        <w:spacing w:line="360" w:lineRule="exact"/>
        <w:jc w:val="center"/>
        <w:rPr>
          <w:rFonts w:ascii="黑体" w:hAnsi="宋体" w:eastAsia="黑体"/>
          <w:color w:val="000000"/>
          <w:sz w:val="36"/>
          <w:szCs w:val="36"/>
        </w:rPr>
      </w:pPr>
      <w:r>
        <w:rPr>
          <w:rFonts w:hint="eastAsia" w:ascii="黑体" w:hAnsi="宋体" w:eastAsia="黑体"/>
          <w:color w:val="000000"/>
          <w:sz w:val="36"/>
          <w:szCs w:val="36"/>
        </w:rPr>
        <w:t>目   录</w:t>
      </w:r>
    </w:p>
    <w:p w14:paraId="7A7AE4CF">
      <w:pPr>
        <w:spacing w:line="360" w:lineRule="exact"/>
        <w:jc w:val="center"/>
        <w:rPr>
          <w:rFonts w:ascii="黑体" w:hAnsi="宋体" w:eastAsia="黑体"/>
          <w:color w:val="000000"/>
          <w:sz w:val="36"/>
          <w:szCs w:val="36"/>
        </w:rPr>
      </w:pPr>
    </w:p>
    <w:p w14:paraId="4791D263">
      <w:pPr>
        <w:spacing w:line="360" w:lineRule="exact"/>
        <w:ind w:firstLine="720" w:firstLineChars="200"/>
        <w:jc w:val="center"/>
        <w:rPr>
          <w:rFonts w:ascii="黑体" w:hAnsi="宋体" w:eastAsia="黑体"/>
          <w:color w:val="000000"/>
          <w:sz w:val="36"/>
          <w:szCs w:val="36"/>
        </w:rPr>
      </w:pPr>
    </w:p>
    <w:p w14:paraId="7F25395E">
      <w:pPr>
        <w:pStyle w:val="25"/>
        <w:tabs>
          <w:tab w:val="right" w:leader="dot" w:pos="9628"/>
        </w:tabs>
        <w:rPr>
          <w:rFonts w:ascii="Calibri" w:hAnsi="Calibri"/>
          <w:sz w:val="32"/>
          <w:szCs w:val="32"/>
        </w:rPr>
      </w:pPr>
      <w:r>
        <w:rPr>
          <w:rFonts w:ascii="宋体" w:hAnsi="宋体"/>
          <w:color w:val="000000"/>
          <w:sz w:val="32"/>
          <w:szCs w:val="32"/>
        </w:rPr>
        <w:fldChar w:fldCharType="begin"/>
      </w:r>
      <w:r>
        <w:rPr>
          <w:rFonts w:hint="eastAsia" w:ascii="宋体" w:hAnsi="宋体"/>
          <w:color w:val="000000"/>
          <w:sz w:val="32"/>
          <w:szCs w:val="32"/>
        </w:rPr>
        <w:instrText xml:space="preserve">TOC \o "1-4" \h \z \u</w:instrText>
      </w:r>
      <w:r>
        <w:rPr>
          <w:rFonts w:ascii="宋体" w:hAnsi="宋体"/>
          <w:color w:val="000000"/>
          <w:sz w:val="32"/>
          <w:szCs w:val="32"/>
        </w:rPr>
        <w:fldChar w:fldCharType="separate"/>
      </w:r>
      <w:r>
        <w:fldChar w:fldCharType="begin"/>
      </w:r>
      <w:r>
        <w:instrText xml:space="preserve"> HYPERLINK \l "_Toc84868037" </w:instrText>
      </w:r>
      <w:r>
        <w:fldChar w:fldCharType="separate"/>
      </w:r>
      <w:r>
        <w:rPr>
          <w:rStyle w:val="42"/>
          <w:rFonts w:hint="eastAsia"/>
          <w:sz w:val="32"/>
          <w:szCs w:val="32"/>
        </w:rPr>
        <w:t>第一章</w:t>
      </w:r>
      <w:r>
        <w:rPr>
          <w:rStyle w:val="42"/>
          <w:sz w:val="32"/>
          <w:szCs w:val="32"/>
        </w:rPr>
        <w:t xml:space="preserve"> </w:t>
      </w:r>
      <w:r>
        <w:rPr>
          <w:rStyle w:val="42"/>
          <w:rFonts w:hint="eastAsia"/>
          <w:sz w:val="32"/>
          <w:szCs w:val="32"/>
        </w:rPr>
        <w:t xml:space="preserve"> 招标公告</w:t>
      </w:r>
      <w:r>
        <w:rPr>
          <w:rStyle w:val="42"/>
          <w:sz w:val="32"/>
          <w:szCs w:val="32"/>
        </w:rPr>
        <w:t>(</w:t>
      </w:r>
      <w:r>
        <w:rPr>
          <w:rStyle w:val="42"/>
          <w:rFonts w:hint="eastAsia"/>
          <w:sz w:val="32"/>
          <w:szCs w:val="32"/>
        </w:rPr>
        <w:t>资格后审</w:t>
      </w:r>
      <w:r>
        <w:rPr>
          <w:rStyle w:val="42"/>
          <w:sz w:val="32"/>
          <w:szCs w:val="32"/>
        </w:rPr>
        <w:t>)</w:t>
      </w:r>
      <w:r>
        <w:rPr>
          <w:rStyle w:val="42"/>
          <w:rFonts w:hint="eastAsia"/>
          <w:sz w:val="32"/>
          <w:szCs w:val="32"/>
        </w:rPr>
        <w:t>（实行电子招投标）</w:t>
      </w:r>
      <w:r>
        <w:rPr>
          <w:sz w:val="32"/>
          <w:szCs w:val="32"/>
        </w:rPr>
        <w:tab/>
      </w:r>
      <w:r>
        <w:rPr>
          <w:rFonts w:hint="eastAsia"/>
          <w:sz w:val="32"/>
          <w:szCs w:val="32"/>
        </w:rPr>
        <w:t>1</w:t>
      </w:r>
      <w:r>
        <w:rPr>
          <w:rFonts w:hint="eastAsia"/>
          <w:sz w:val="32"/>
          <w:szCs w:val="32"/>
        </w:rPr>
        <w:fldChar w:fldCharType="end"/>
      </w:r>
    </w:p>
    <w:p w14:paraId="39D34A07">
      <w:pPr>
        <w:pStyle w:val="25"/>
        <w:tabs>
          <w:tab w:val="right" w:leader="dot" w:pos="9628"/>
        </w:tabs>
        <w:rPr>
          <w:rFonts w:ascii="Calibri" w:hAnsi="Calibri"/>
          <w:sz w:val="32"/>
          <w:szCs w:val="32"/>
        </w:rPr>
      </w:pPr>
      <w:r>
        <w:fldChar w:fldCharType="begin"/>
      </w:r>
      <w:r>
        <w:instrText xml:space="preserve"> HYPERLINK \l "_Toc84868038" </w:instrText>
      </w:r>
      <w:r>
        <w:fldChar w:fldCharType="separate"/>
      </w:r>
      <w:r>
        <w:rPr>
          <w:rStyle w:val="42"/>
          <w:rFonts w:hint="eastAsia"/>
          <w:sz w:val="32"/>
          <w:szCs w:val="32"/>
        </w:rPr>
        <w:t>第二章</w:t>
      </w:r>
      <w:r>
        <w:rPr>
          <w:rStyle w:val="42"/>
          <w:sz w:val="32"/>
          <w:szCs w:val="32"/>
        </w:rPr>
        <w:t xml:space="preserve">  </w:t>
      </w:r>
      <w:r>
        <w:rPr>
          <w:rStyle w:val="42"/>
          <w:rFonts w:hint="eastAsia"/>
          <w:sz w:val="32"/>
          <w:szCs w:val="32"/>
        </w:rPr>
        <w:t>投标人须知</w:t>
      </w:r>
      <w:r>
        <w:rPr>
          <w:sz w:val="32"/>
          <w:szCs w:val="32"/>
        </w:rPr>
        <w:tab/>
      </w:r>
      <w:r>
        <w:rPr>
          <w:rFonts w:hint="eastAsia"/>
          <w:sz w:val="32"/>
          <w:szCs w:val="32"/>
          <w:lang w:val="en-US" w:eastAsia="zh-CN"/>
        </w:rPr>
        <w:t>8</w:t>
      </w:r>
      <w:r>
        <w:rPr>
          <w:sz w:val="32"/>
          <w:szCs w:val="32"/>
        </w:rPr>
        <w:fldChar w:fldCharType="end"/>
      </w:r>
    </w:p>
    <w:p w14:paraId="4078A302">
      <w:pPr>
        <w:pStyle w:val="25"/>
        <w:tabs>
          <w:tab w:val="right" w:leader="dot" w:pos="9628"/>
        </w:tabs>
        <w:rPr>
          <w:rFonts w:ascii="Calibri" w:hAnsi="Calibri"/>
          <w:sz w:val="32"/>
          <w:szCs w:val="32"/>
        </w:rPr>
      </w:pPr>
      <w:r>
        <w:fldChar w:fldCharType="begin"/>
      </w:r>
      <w:r>
        <w:instrText xml:space="preserve"> HYPERLINK \l "_Toc84868039" </w:instrText>
      </w:r>
      <w:r>
        <w:fldChar w:fldCharType="separate"/>
      </w:r>
      <w:r>
        <w:rPr>
          <w:rStyle w:val="42"/>
          <w:rFonts w:hint="eastAsia"/>
          <w:sz w:val="32"/>
          <w:szCs w:val="32"/>
        </w:rPr>
        <w:t>第三章</w:t>
      </w:r>
      <w:r>
        <w:rPr>
          <w:rStyle w:val="42"/>
          <w:sz w:val="32"/>
          <w:szCs w:val="32"/>
        </w:rPr>
        <w:t xml:space="preserve">  </w:t>
      </w:r>
      <w:r>
        <w:rPr>
          <w:rStyle w:val="42"/>
          <w:rFonts w:hint="eastAsia"/>
          <w:sz w:val="32"/>
          <w:szCs w:val="32"/>
        </w:rPr>
        <w:t>委托监理合同</w:t>
      </w:r>
      <w:r>
        <w:rPr>
          <w:sz w:val="32"/>
          <w:szCs w:val="32"/>
        </w:rPr>
        <w:tab/>
      </w:r>
      <w:r>
        <w:rPr>
          <w:sz w:val="32"/>
          <w:szCs w:val="32"/>
        </w:rPr>
        <w:fldChar w:fldCharType="begin"/>
      </w:r>
      <w:r>
        <w:rPr>
          <w:sz w:val="32"/>
          <w:szCs w:val="32"/>
        </w:rPr>
        <w:instrText xml:space="preserve"> PAGEREF _Toc84868039 \h </w:instrText>
      </w:r>
      <w:r>
        <w:rPr>
          <w:sz w:val="32"/>
          <w:szCs w:val="32"/>
        </w:rPr>
        <w:fldChar w:fldCharType="separate"/>
      </w:r>
      <w:r>
        <w:rPr>
          <w:sz w:val="32"/>
          <w:szCs w:val="32"/>
        </w:rPr>
        <w:t>2</w:t>
      </w:r>
      <w:r>
        <w:rPr>
          <w:rFonts w:hint="eastAsia"/>
          <w:sz w:val="32"/>
          <w:szCs w:val="32"/>
          <w:lang w:val="en-US" w:eastAsia="zh-CN"/>
        </w:rPr>
        <w:t>5</w:t>
      </w:r>
      <w:r>
        <w:rPr>
          <w:sz w:val="32"/>
          <w:szCs w:val="32"/>
        </w:rPr>
        <w:fldChar w:fldCharType="end"/>
      </w:r>
      <w:r>
        <w:rPr>
          <w:sz w:val="32"/>
          <w:szCs w:val="32"/>
        </w:rPr>
        <w:fldChar w:fldCharType="end"/>
      </w:r>
    </w:p>
    <w:p w14:paraId="6509B1DC">
      <w:pPr>
        <w:pStyle w:val="25"/>
        <w:tabs>
          <w:tab w:val="right" w:leader="dot" w:pos="9628"/>
        </w:tabs>
        <w:rPr>
          <w:rFonts w:hint="eastAsia" w:ascii="Calibri" w:hAnsi="Calibri" w:eastAsia="宋体"/>
          <w:sz w:val="32"/>
          <w:szCs w:val="32"/>
          <w:lang w:val="en-US" w:eastAsia="zh-CN"/>
        </w:rPr>
      </w:pPr>
      <w:r>
        <w:fldChar w:fldCharType="begin"/>
      </w:r>
      <w:r>
        <w:instrText xml:space="preserve"> HYPERLINK \l "_Toc84868040" </w:instrText>
      </w:r>
      <w:r>
        <w:fldChar w:fldCharType="separate"/>
      </w:r>
      <w:r>
        <w:rPr>
          <w:rStyle w:val="42"/>
          <w:rFonts w:hint="eastAsia"/>
          <w:sz w:val="32"/>
          <w:szCs w:val="32"/>
        </w:rPr>
        <w:t>第四章</w:t>
      </w:r>
      <w:r>
        <w:rPr>
          <w:rStyle w:val="42"/>
          <w:sz w:val="32"/>
          <w:szCs w:val="32"/>
        </w:rPr>
        <w:t xml:space="preserve">  </w:t>
      </w:r>
      <w:r>
        <w:rPr>
          <w:rStyle w:val="42"/>
          <w:rFonts w:hint="eastAsia"/>
          <w:sz w:val="32"/>
          <w:szCs w:val="32"/>
        </w:rPr>
        <w:t>合同附件格式（无）</w:t>
      </w:r>
      <w:r>
        <w:rPr>
          <w:sz w:val="32"/>
          <w:szCs w:val="32"/>
        </w:rPr>
        <w:tab/>
      </w:r>
      <w:r>
        <w:rPr>
          <w:rFonts w:hint="eastAsia"/>
          <w:sz w:val="32"/>
          <w:szCs w:val="32"/>
          <w:lang w:val="en-US" w:eastAsia="zh-CN"/>
        </w:rPr>
        <w:t>4</w:t>
      </w:r>
      <w:r>
        <w:rPr>
          <w:rFonts w:hint="eastAsia"/>
          <w:sz w:val="32"/>
          <w:szCs w:val="32"/>
        </w:rPr>
        <w:fldChar w:fldCharType="end"/>
      </w:r>
      <w:r>
        <w:rPr>
          <w:rFonts w:hint="eastAsia"/>
          <w:sz w:val="32"/>
          <w:szCs w:val="32"/>
          <w:lang w:val="en-US" w:eastAsia="zh-CN"/>
        </w:rPr>
        <w:t>4</w:t>
      </w:r>
    </w:p>
    <w:p w14:paraId="438B3C40">
      <w:pPr>
        <w:pStyle w:val="25"/>
        <w:tabs>
          <w:tab w:val="right" w:leader="dot" w:pos="9628"/>
        </w:tabs>
        <w:rPr>
          <w:rFonts w:hint="eastAsia" w:ascii="Calibri" w:hAnsi="Calibri" w:eastAsia="宋体"/>
          <w:sz w:val="32"/>
          <w:szCs w:val="32"/>
          <w:lang w:val="en-US" w:eastAsia="zh-CN"/>
        </w:rPr>
      </w:pPr>
      <w:r>
        <w:fldChar w:fldCharType="begin"/>
      </w:r>
      <w:r>
        <w:instrText xml:space="preserve"> HYPERLINK \l "_Toc84868041" </w:instrText>
      </w:r>
      <w:r>
        <w:fldChar w:fldCharType="separate"/>
      </w:r>
      <w:r>
        <w:rPr>
          <w:rStyle w:val="42"/>
          <w:rFonts w:hint="eastAsia"/>
          <w:sz w:val="32"/>
          <w:szCs w:val="32"/>
        </w:rPr>
        <w:t>第五章</w:t>
      </w:r>
      <w:r>
        <w:rPr>
          <w:rStyle w:val="42"/>
          <w:sz w:val="32"/>
          <w:szCs w:val="32"/>
        </w:rPr>
        <w:t xml:space="preserve">  </w:t>
      </w:r>
      <w:r>
        <w:rPr>
          <w:rStyle w:val="42"/>
          <w:rFonts w:hint="eastAsia"/>
          <w:sz w:val="32"/>
          <w:szCs w:val="32"/>
        </w:rPr>
        <w:t>投标文件格式</w:t>
      </w:r>
      <w:r>
        <w:rPr>
          <w:sz w:val="32"/>
          <w:szCs w:val="32"/>
        </w:rPr>
        <w:tab/>
      </w:r>
      <w:r>
        <w:rPr>
          <w:rFonts w:hint="eastAsia"/>
          <w:sz w:val="32"/>
          <w:szCs w:val="32"/>
          <w:lang w:val="en-US" w:eastAsia="zh-CN"/>
        </w:rPr>
        <w:t>4</w:t>
      </w:r>
      <w:r>
        <w:rPr>
          <w:rFonts w:hint="eastAsia"/>
          <w:sz w:val="32"/>
          <w:szCs w:val="32"/>
        </w:rPr>
        <w:fldChar w:fldCharType="end"/>
      </w:r>
      <w:r>
        <w:rPr>
          <w:rFonts w:hint="eastAsia"/>
          <w:sz w:val="32"/>
          <w:szCs w:val="32"/>
          <w:lang w:val="en-US" w:eastAsia="zh-CN"/>
        </w:rPr>
        <w:t>5</w:t>
      </w:r>
    </w:p>
    <w:p w14:paraId="5299D37E">
      <w:pPr>
        <w:pStyle w:val="25"/>
        <w:tabs>
          <w:tab w:val="right" w:leader="dot" w:pos="9628"/>
        </w:tabs>
        <w:rPr>
          <w:rFonts w:hint="eastAsia" w:ascii="Calibri" w:hAnsi="Calibri" w:eastAsia="宋体"/>
          <w:sz w:val="32"/>
          <w:szCs w:val="32"/>
          <w:lang w:val="en-US" w:eastAsia="zh-CN"/>
        </w:rPr>
      </w:pPr>
      <w:r>
        <w:fldChar w:fldCharType="begin"/>
      </w:r>
      <w:r>
        <w:instrText xml:space="preserve"> HYPERLINK \l "_Toc84868042" </w:instrText>
      </w:r>
      <w:r>
        <w:fldChar w:fldCharType="separate"/>
      </w:r>
      <w:r>
        <w:rPr>
          <w:rStyle w:val="42"/>
          <w:rFonts w:hint="eastAsia"/>
          <w:sz w:val="32"/>
          <w:szCs w:val="32"/>
        </w:rPr>
        <w:t>第六章</w:t>
      </w:r>
      <w:r>
        <w:rPr>
          <w:rStyle w:val="42"/>
          <w:sz w:val="32"/>
          <w:szCs w:val="32"/>
        </w:rPr>
        <w:t xml:space="preserve">  </w:t>
      </w:r>
      <w:r>
        <w:rPr>
          <w:rStyle w:val="42"/>
          <w:rFonts w:hint="eastAsia"/>
          <w:sz w:val="32"/>
          <w:szCs w:val="32"/>
        </w:rPr>
        <w:t>图纸或其他资料</w:t>
      </w:r>
      <w:r>
        <w:rPr>
          <w:sz w:val="32"/>
          <w:szCs w:val="32"/>
        </w:rPr>
        <w:tab/>
      </w:r>
      <w:r>
        <w:rPr>
          <w:rFonts w:hint="eastAsia"/>
          <w:sz w:val="32"/>
          <w:szCs w:val="32"/>
          <w:lang w:val="en-US" w:eastAsia="zh-CN"/>
        </w:rPr>
        <w:t>7</w:t>
      </w:r>
      <w:r>
        <w:rPr>
          <w:rFonts w:hint="eastAsia"/>
          <w:sz w:val="32"/>
          <w:szCs w:val="32"/>
        </w:rPr>
        <w:fldChar w:fldCharType="end"/>
      </w:r>
      <w:r>
        <w:rPr>
          <w:rFonts w:hint="eastAsia"/>
          <w:sz w:val="32"/>
          <w:szCs w:val="32"/>
          <w:lang w:val="en-US" w:eastAsia="zh-CN"/>
        </w:rPr>
        <w:t>1</w:t>
      </w:r>
    </w:p>
    <w:p w14:paraId="2BECEC49">
      <w:pPr>
        <w:pStyle w:val="25"/>
        <w:tabs>
          <w:tab w:val="right" w:leader="dot" w:pos="9628"/>
        </w:tabs>
        <w:rPr>
          <w:rFonts w:hint="eastAsia" w:ascii="Calibri" w:hAnsi="Calibri" w:eastAsia="宋体"/>
          <w:sz w:val="32"/>
          <w:szCs w:val="32"/>
          <w:lang w:val="en-US" w:eastAsia="zh-CN"/>
        </w:rPr>
      </w:pPr>
      <w:r>
        <w:fldChar w:fldCharType="begin"/>
      </w:r>
      <w:r>
        <w:instrText xml:space="preserve"> HYPERLINK \l "_Toc84868044" </w:instrText>
      </w:r>
      <w:r>
        <w:fldChar w:fldCharType="separate"/>
      </w:r>
      <w:r>
        <w:rPr>
          <w:rStyle w:val="42"/>
          <w:rFonts w:hint="eastAsia"/>
          <w:sz w:val="32"/>
          <w:szCs w:val="32"/>
        </w:rPr>
        <w:t>第七章</w:t>
      </w:r>
      <w:r>
        <w:rPr>
          <w:rStyle w:val="42"/>
          <w:sz w:val="32"/>
          <w:szCs w:val="32"/>
        </w:rPr>
        <w:t xml:space="preserve">  </w:t>
      </w:r>
      <w:r>
        <w:rPr>
          <w:rStyle w:val="42"/>
          <w:rFonts w:hint="eastAsia"/>
          <w:sz w:val="32"/>
          <w:szCs w:val="32"/>
        </w:rPr>
        <w:t>评标及定标办法（</w:t>
      </w:r>
      <w:r>
        <w:rPr>
          <w:rStyle w:val="42"/>
          <w:rFonts w:hint="eastAsia"/>
          <w:bCs/>
          <w:sz w:val="32"/>
          <w:szCs w:val="32"/>
        </w:rPr>
        <w:t>综合评分法</w:t>
      </w:r>
      <w:r>
        <w:rPr>
          <w:rStyle w:val="42"/>
          <w:rFonts w:hint="eastAsia"/>
          <w:sz w:val="32"/>
          <w:szCs w:val="32"/>
        </w:rPr>
        <w:t>）</w:t>
      </w:r>
      <w:r>
        <w:rPr>
          <w:sz w:val="32"/>
          <w:szCs w:val="32"/>
        </w:rPr>
        <w:tab/>
      </w:r>
      <w:r>
        <w:rPr>
          <w:rFonts w:hint="eastAsia"/>
          <w:sz w:val="32"/>
          <w:szCs w:val="32"/>
          <w:lang w:val="en-US" w:eastAsia="zh-CN"/>
        </w:rPr>
        <w:t>7</w:t>
      </w:r>
      <w:r>
        <w:rPr>
          <w:rFonts w:hint="eastAsia"/>
          <w:sz w:val="32"/>
          <w:szCs w:val="32"/>
        </w:rPr>
        <w:fldChar w:fldCharType="end"/>
      </w:r>
      <w:r>
        <w:rPr>
          <w:rFonts w:hint="eastAsia"/>
          <w:sz w:val="32"/>
          <w:szCs w:val="32"/>
          <w:lang w:val="en-US" w:eastAsia="zh-CN"/>
        </w:rPr>
        <w:t>2</w:t>
      </w:r>
    </w:p>
    <w:p w14:paraId="75D596E5">
      <w:pPr>
        <w:adjustRightInd w:val="0"/>
        <w:snapToGrid w:val="0"/>
        <w:spacing w:line="360" w:lineRule="auto"/>
        <w:ind w:firstLine="2240" w:firstLineChars="700"/>
        <w:rPr>
          <w:rFonts w:ascii="黑体" w:hAnsi="宋体" w:eastAsia="黑体"/>
          <w:color w:val="000000"/>
          <w:sz w:val="32"/>
          <w:szCs w:val="32"/>
        </w:rPr>
      </w:pPr>
      <w:r>
        <w:rPr>
          <w:rFonts w:ascii="宋体" w:hAnsi="宋体"/>
          <w:color w:val="000000"/>
          <w:sz w:val="32"/>
          <w:szCs w:val="32"/>
        </w:rPr>
        <w:fldChar w:fldCharType="end"/>
      </w:r>
    </w:p>
    <w:p w14:paraId="537CBFA2">
      <w:pPr>
        <w:pStyle w:val="3"/>
        <w:rPr>
          <w:rFonts w:ascii="新宋体" w:hAnsi="新宋体" w:cs="新宋体"/>
          <w:bCs/>
          <w:szCs w:val="32"/>
        </w:rPr>
        <w:sectPr>
          <w:footerReference r:id="rId5" w:type="first"/>
          <w:footerReference r:id="rId4" w:type="default"/>
          <w:pgSz w:w="11906" w:h="16838"/>
          <w:pgMar w:top="1134" w:right="1134" w:bottom="1134" w:left="1134" w:header="851" w:footer="992" w:gutter="0"/>
          <w:cols w:space="720" w:num="1"/>
          <w:docGrid w:type="lines" w:linePitch="312" w:charSpace="0"/>
        </w:sectPr>
      </w:pPr>
      <w:bookmarkStart w:id="2" w:name="_Toc317611418"/>
    </w:p>
    <w:bookmarkEnd w:id="2"/>
    <w:p w14:paraId="4AF641CC">
      <w:pPr>
        <w:numPr>
          <w:ilvl w:val="0"/>
          <w:numId w:val="1"/>
        </w:numPr>
        <w:jc w:val="center"/>
        <w:rPr>
          <w:rFonts w:ascii="华文中宋" w:hAnsi="华文中宋" w:eastAsia="华文中宋" w:cs="华文中宋"/>
          <w:sz w:val="44"/>
          <w:szCs w:val="44"/>
        </w:rPr>
      </w:pPr>
      <w:bookmarkStart w:id="3" w:name="_Toc8792"/>
      <w:bookmarkStart w:id="4" w:name="OLE_LINK10"/>
      <w:bookmarkStart w:id="5" w:name="OLE_LINK1"/>
      <w:bookmarkStart w:id="6" w:name="OLE_LINK6"/>
      <w:bookmarkStart w:id="7" w:name="OLE_LINK12"/>
      <w:bookmarkStart w:id="8" w:name="OLE_LINK7"/>
      <w:bookmarkStart w:id="9" w:name="OLE_LINK3"/>
      <w:bookmarkStart w:id="10" w:name="OLE_LINK9"/>
      <w:bookmarkStart w:id="11" w:name="OLE_LINK2"/>
      <w:bookmarkStart w:id="12" w:name="OLE_LINK8"/>
      <w:bookmarkStart w:id="13" w:name="_Toc84868038"/>
      <w:r>
        <w:rPr>
          <w:rFonts w:hint="eastAsia" w:ascii="华文中宋" w:hAnsi="华文中宋" w:eastAsia="华文中宋"/>
          <w:sz w:val="44"/>
          <w:szCs w:val="44"/>
        </w:rPr>
        <w:t xml:space="preserve"> </w:t>
      </w:r>
      <w:r>
        <w:rPr>
          <w:rFonts w:ascii="华文中宋" w:hAnsi="华文中宋" w:eastAsia="华文中宋"/>
          <w:sz w:val="44"/>
          <w:szCs w:val="44"/>
        </w:rPr>
        <w:t xml:space="preserve"> </w:t>
      </w:r>
      <w:r>
        <w:rPr>
          <w:rFonts w:hint="eastAsia" w:ascii="华文中宋" w:hAnsi="华文中宋" w:eastAsia="华文中宋"/>
          <w:sz w:val="44"/>
          <w:szCs w:val="44"/>
        </w:rPr>
        <w:t>第一章 招标公告（资格后审）（实行电子招投标）</w:t>
      </w:r>
      <w:bookmarkEnd w:id="3"/>
    </w:p>
    <w:bookmarkEnd w:id="4"/>
    <w:bookmarkEnd w:id="5"/>
    <w:bookmarkEnd w:id="6"/>
    <w:bookmarkEnd w:id="7"/>
    <w:bookmarkEnd w:id="8"/>
    <w:bookmarkEnd w:id="9"/>
    <w:bookmarkEnd w:id="10"/>
    <w:bookmarkEnd w:id="11"/>
    <w:bookmarkEnd w:id="12"/>
    <w:p w14:paraId="4BB1C927">
      <w:pPr>
        <w:tabs>
          <w:tab w:val="left" w:pos="432"/>
        </w:tabs>
        <w:spacing w:line="540" w:lineRule="exact"/>
        <w:rPr>
          <w:rFonts w:hint="eastAsia" w:ascii="仿宋" w:hAnsi="仿宋" w:eastAsia="黑体"/>
          <w:sz w:val="28"/>
          <w:szCs w:val="28"/>
          <w:lang w:eastAsia="zh-CN"/>
        </w:rPr>
      </w:pPr>
      <w:r>
        <w:rPr>
          <w:rFonts w:hint="eastAsia" w:ascii="黑体" w:hAnsi="黑体" w:eastAsia="黑体" w:cs="黑体"/>
          <w:sz w:val="28"/>
          <w:szCs w:val="28"/>
        </w:rPr>
        <w:t>一、招标编号：</w:t>
      </w:r>
      <w:r>
        <w:rPr>
          <w:rFonts w:hint="eastAsia" w:ascii="仿宋" w:hAnsi="仿宋" w:eastAsia="仿宋"/>
          <w:sz w:val="28"/>
          <w:szCs w:val="28"/>
          <w:lang w:eastAsia="zh-CN"/>
        </w:rPr>
        <w:t>皖E0-18-2025-</w:t>
      </w:r>
    </w:p>
    <w:p w14:paraId="4AD01B7C">
      <w:pPr>
        <w:tabs>
          <w:tab w:val="left" w:pos="432"/>
        </w:tabs>
        <w:spacing w:line="540" w:lineRule="exact"/>
        <w:rPr>
          <w:rFonts w:hint="eastAsia" w:ascii="仿宋" w:hAnsi="仿宋" w:eastAsia="黑体"/>
          <w:bCs/>
          <w:color w:val="auto"/>
          <w:sz w:val="28"/>
          <w:szCs w:val="28"/>
          <w:highlight w:val="none"/>
          <w:lang w:eastAsia="zh-CN"/>
        </w:rPr>
      </w:pPr>
      <w:r>
        <w:rPr>
          <w:rFonts w:hint="eastAsia" w:ascii="黑体" w:hAnsi="黑体" w:eastAsia="黑体" w:cs="黑体"/>
          <w:sz w:val="28"/>
          <w:szCs w:val="28"/>
        </w:rPr>
        <w:t>二、项目名称：</w:t>
      </w:r>
      <w:r>
        <w:rPr>
          <w:rFonts w:hint="eastAsia" w:ascii="仿宋" w:hAnsi="仿宋" w:eastAsia="仿宋"/>
          <w:bCs/>
          <w:sz w:val="28"/>
          <w:szCs w:val="28"/>
          <w:lang w:eastAsia="zh-CN"/>
        </w:rPr>
        <w:t>马鞍山市向山小微产业园项目（一期）监理</w:t>
      </w:r>
    </w:p>
    <w:p w14:paraId="4761A18C">
      <w:pPr>
        <w:tabs>
          <w:tab w:val="left" w:pos="432"/>
        </w:tabs>
        <w:spacing w:line="540" w:lineRule="exact"/>
        <w:rPr>
          <w:rFonts w:ascii="仿宋" w:hAnsi="仿宋" w:eastAsia="仿宋"/>
          <w:color w:val="auto"/>
          <w:sz w:val="28"/>
          <w:szCs w:val="28"/>
          <w:highlight w:val="none"/>
        </w:rPr>
      </w:pPr>
      <w:r>
        <w:rPr>
          <w:rFonts w:hint="eastAsia" w:ascii="黑体" w:hAnsi="黑体" w:eastAsia="黑体" w:cs="黑体"/>
          <w:color w:val="auto"/>
          <w:sz w:val="28"/>
          <w:szCs w:val="28"/>
          <w:highlight w:val="none"/>
        </w:rPr>
        <w:t>三、项目实施地点</w:t>
      </w:r>
      <w:r>
        <w:rPr>
          <w:rFonts w:hint="eastAsia" w:ascii="仿宋" w:hAnsi="仿宋" w:eastAsia="仿宋"/>
          <w:bCs/>
          <w:color w:val="auto"/>
          <w:sz w:val="28"/>
          <w:szCs w:val="28"/>
          <w:highlight w:val="none"/>
        </w:rPr>
        <w:t>：马鞍山市雨山区向山镇锁库路与纬一路交叉口东南角</w:t>
      </w:r>
    </w:p>
    <w:p w14:paraId="7D1E383D">
      <w:pPr>
        <w:tabs>
          <w:tab w:val="left" w:pos="432"/>
        </w:tabs>
        <w:spacing w:line="540" w:lineRule="exact"/>
        <w:rPr>
          <w:rFonts w:hint="eastAsia" w:ascii="仿宋" w:hAnsi="仿宋" w:eastAsia="黑体" w:cs="仿宋"/>
          <w:color w:val="auto"/>
          <w:sz w:val="28"/>
          <w:szCs w:val="28"/>
          <w:highlight w:val="none"/>
          <w:lang w:eastAsia="zh-CN"/>
        </w:rPr>
      </w:pPr>
      <w:r>
        <w:rPr>
          <w:rFonts w:hint="eastAsia" w:ascii="黑体" w:hAnsi="黑体" w:eastAsia="黑体" w:cs="黑体"/>
          <w:color w:val="auto"/>
          <w:sz w:val="28"/>
          <w:szCs w:val="28"/>
          <w:highlight w:val="none"/>
        </w:rPr>
        <w:t>四、项目实施主体（招标人）：</w:t>
      </w:r>
      <w:r>
        <w:rPr>
          <w:rFonts w:hint="eastAsia" w:ascii="仿宋" w:hAnsi="仿宋" w:eastAsia="仿宋" w:cs="仿宋"/>
          <w:color w:val="auto"/>
          <w:sz w:val="28"/>
          <w:szCs w:val="28"/>
          <w:highlight w:val="none"/>
          <w:lang w:eastAsia="zh-CN"/>
        </w:rPr>
        <w:t>安徽两江数智建设工程有限公司</w:t>
      </w:r>
    </w:p>
    <w:p w14:paraId="08DE369F">
      <w:pPr>
        <w:spacing w:line="540" w:lineRule="exact"/>
        <w:rPr>
          <w:rFonts w:hint="eastAsia" w:ascii="仿宋" w:hAnsi="仿宋" w:eastAsia="黑体" w:cs="仿宋"/>
          <w:color w:val="auto"/>
          <w:sz w:val="28"/>
          <w:szCs w:val="28"/>
          <w:highlight w:val="none"/>
          <w:lang w:eastAsia="zh-CN"/>
        </w:rPr>
      </w:pPr>
      <w:r>
        <w:rPr>
          <w:rFonts w:hint="eastAsia" w:ascii="黑体" w:hAnsi="黑体" w:eastAsia="黑体" w:cs="黑体"/>
          <w:color w:val="auto"/>
          <w:sz w:val="28"/>
          <w:szCs w:val="28"/>
          <w:highlight w:val="none"/>
        </w:rPr>
        <w:t>五、项目实施主体（招标人）地址：</w:t>
      </w:r>
      <w:r>
        <w:rPr>
          <w:rFonts w:hint="eastAsia" w:ascii="仿宋" w:hAnsi="仿宋" w:eastAsia="仿宋" w:cs="仿宋"/>
          <w:color w:val="auto"/>
          <w:sz w:val="28"/>
          <w:szCs w:val="28"/>
          <w:highlight w:val="none"/>
          <w:lang w:eastAsia="zh-CN"/>
        </w:rPr>
        <w:t>安徽省马鞍山市雨山区花雨路109号</w:t>
      </w:r>
    </w:p>
    <w:p w14:paraId="6E63F0DC">
      <w:pPr>
        <w:tabs>
          <w:tab w:val="left" w:pos="432"/>
        </w:tabs>
        <w:spacing w:line="540" w:lineRule="exact"/>
        <w:rPr>
          <w:rFonts w:ascii="仿宋" w:hAnsi="仿宋" w:eastAsia="仿宋" w:cs="仿宋"/>
          <w:color w:val="auto"/>
          <w:sz w:val="28"/>
          <w:szCs w:val="28"/>
          <w:highlight w:val="none"/>
        </w:rPr>
      </w:pPr>
      <w:r>
        <w:rPr>
          <w:rFonts w:hint="eastAsia" w:ascii="黑体" w:hAnsi="黑体" w:eastAsia="黑体" w:cs="黑体"/>
          <w:color w:val="auto"/>
          <w:sz w:val="28"/>
          <w:szCs w:val="28"/>
          <w:highlight w:val="none"/>
        </w:rPr>
        <w:t>六、招标方式：</w:t>
      </w:r>
      <w:r>
        <w:rPr>
          <w:rFonts w:hint="eastAsia" w:ascii="仿宋" w:hAnsi="仿宋" w:eastAsia="仿宋" w:cs="仿宋"/>
          <w:bCs/>
          <w:color w:val="auto"/>
          <w:sz w:val="28"/>
          <w:szCs w:val="28"/>
          <w:highlight w:val="none"/>
        </w:rPr>
        <w:t>公开招标</w:t>
      </w:r>
    </w:p>
    <w:p w14:paraId="0DC8C78A">
      <w:pPr>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七、项目概况、投资规模：</w:t>
      </w:r>
    </w:p>
    <w:p w14:paraId="602C0F04">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1、项目概况：本项目位于安徽省马鞍山市雨山区向山镇锁库路与纬一路交叉口东南角，项目占地面积4401.94平方米，总建筑面积约5830</w:t>
      </w:r>
      <w:r>
        <w:rPr>
          <w:rFonts w:hint="eastAsia" w:ascii="仿宋" w:hAnsi="仿宋" w:eastAsia="仿宋" w:cs="仿宋"/>
          <w:bCs/>
          <w:color w:val="000000" w:themeColor="text1"/>
          <w:sz w:val="28"/>
          <w:szCs w:val="28"/>
          <w:lang w:val="en-US" w:eastAsia="zh-CN"/>
          <w14:textFill>
            <w14:solidFill>
              <w14:schemeClr w14:val="tx1"/>
            </w14:solidFill>
          </w14:textFill>
        </w:rPr>
        <w:t>0</w:t>
      </w:r>
      <w:r>
        <w:rPr>
          <w:rFonts w:hint="eastAsia" w:ascii="仿宋" w:hAnsi="仿宋" w:eastAsia="仿宋" w:cs="仿宋"/>
          <w:bCs/>
          <w:color w:val="000000" w:themeColor="text1"/>
          <w:sz w:val="28"/>
          <w:szCs w:val="28"/>
          <w14:textFill>
            <w14:solidFill>
              <w14:schemeClr w14:val="tx1"/>
            </w14:solidFill>
          </w14:textFill>
        </w:rPr>
        <w:t>平方米，主要</w:t>
      </w:r>
      <w:r>
        <w:rPr>
          <w:rFonts w:hint="eastAsia" w:ascii="仿宋" w:hAnsi="仿宋" w:eastAsia="仿宋" w:cs="仿宋"/>
          <w:bCs/>
          <w:color w:val="000000" w:themeColor="text1"/>
          <w:sz w:val="28"/>
          <w:szCs w:val="28"/>
          <w:lang w:val="en-US" w:eastAsia="zh-CN"/>
          <w14:textFill>
            <w14:solidFill>
              <w14:schemeClr w14:val="tx1"/>
            </w14:solidFill>
          </w14:textFill>
        </w:rPr>
        <w:t>建</w:t>
      </w:r>
      <w:r>
        <w:rPr>
          <w:rFonts w:hint="eastAsia" w:ascii="仿宋" w:hAnsi="仿宋" w:eastAsia="仿宋" w:cs="仿宋"/>
          <w:bCs/>
          <w:color w:val="000000" w:themeColor="text1"/>
          <w:sz w:val="28"/>
          <w:szCs w:val="28"/>
          <w14:textFill>
            <w14:solidFill>
              <w14:schemeClr w14:val="tx1"/>
            </w14:solidFill>
          </w14:textFill>
        </w:rPr>
        <w:t>设内容为工业生产厂房、研发</w:t>
      </w:r>
      <w:r>
        <w:rPr>
          <w:rFonts w:hint="eastAsia" w:ascii="仿宋" w:hAnsi="仿宋" w:eastAsia="仿宋" w:cs="仿宋"/>
          <w:bCs/>
          <w:color w:val="000000" w:themeColor="text1"/>
          <w:sz w:val="28"/>
          <w:szCs w:val="28"/>
          <w:lang w:val="en-US" w:eastAsia="zh-CN"/>
          <w14:textFill>
            <w14:solidFill>
              <w14:schemeClr w14:val="tx1"/>
            </w14:solidFill>
          </w14:textFill>
        </w:rPr>
        <w:t>楼</w:t>
      </w:r>
      <w:r>
        <w:rPr>
          <w:rFonts w:hint="eastAsia" w:ascii="仿宋" w:hAnsi="仿宋" w:eastAsia="仿宋" w:cs="仿宋"/>
          <w:bCs/>
          <w:color w:val="000000" w:themeColor="text1"/>
          <w:sz w:val="28"/>
          <w:szCs w:val="28"/>
          <w14:textFill>
            <w14:solidFill>
              <w14:schemeClr w14:val="tx1"/>
            </w14:solidFill>
          </w14:textFill>
        </w:rPr>
        <w:t>、门卫及其他附属配</w:t>
      </w:r>
      <w:r>
        <w:rPr>
          <w:rFonts w:hint="eastAsia" w:ascii="仿宋" w:hAnsi="仿宋" w:eastAsia="仿宋" w:cs="仿宋"/>
          <w:bCs/>
          <w:color w:val="000000" w:themeColor="text1"/>
          <w:sz w:val="28"/>
          <w:szCs w:val="28"/>
          <w:lang w:val="en-US" w:eastAsia="zh-CN"/>
          <w14:textFill>
            <w14:solidFill>
              <w14:schemeClr w14:val="tx1"/>
            </w14:solidFill>
          </w14:textFill>
        </w:rPr>
        <w:t>套</w:t>
      </w:r>
      <w:r>
        <w:rPr>
          <w:rFonts w:hint="eastAsia" w:ascii="仿宋" w:hAnsi="仿宋" w:eastAsia="仿宋" w:cs="仿宋"/>
          <w:bCs/>
          <w:color w:val="000000" w:themeColor="text1"/>
          <w:sz w:val="28"/>
          <w:szCs w:val="28"/>
          <w14:textFill>
            <w14:solidFill>
              <w14:schemeClr w14:val="tx1"/>
            </w14:solidFill>
          </w14:textFill>
        </w:rPr>
        <w:t>设施等。各单体工程概况如下：</w:t>
      </w:r>
    </w:p>
    <w:p w14:paraId="6D8E5D59">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1458.7</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48</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4439.9</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3AE2563E">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CN"/>
          <w14:textFill>
            <w14:solidFill>
              <w14:schemeClr w14:val="tx1"/>
            </w14:solidFill>
          </w14:textFill>
        </w:rPr>
        <w:t>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1458.7</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48</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4439.9</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2312F591">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hint="eastAsia" w:ascii="仿宋" w:hAnsi="仿宋" w:eastAsia="仿宋" w:cs="仿宋"/>
          <w:bCs/>
          <w:color w:val="000000" w:themeColor="text1"/>
          <w:sz w:val="28"/>
          <w:szCs w:val="28"/>
          <w:lang w:val="en-US" w:eastAsia="zh-CN"/>
          <w14:textFill>
            <w14:solidFill>
              <w14:schemeClr w14:val="tx1"/>
            </w14:solidFill>
          </w14:textFill>
        </w:rPr>
        <w:t>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1458.7</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48</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4439.9</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435A8694">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r>
        <w:rPr>
          <w:rFonts w:hint="eastAsia" w:ascii="仿宋" w:hAnsi="仿宋" w:eastAsia="仿宋" w:cs="仿宋"/>
          <w:bCs/>
          <w:color w:val="000000" w:themeColor="text1"/>
          <w:sz w:val="28"/>
          <w:szCs w:val="28"/>
          <w:lang w:val="en-US" w:eastAsia="zh-CN"/>
          <w14:textFill>
            <w14:solidFill>
              <w14:schemeClr w14:val="tx1"/>
            </w14:solidFill>
          </w14:textFill>
        </w:rPr>
        <w:t>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1699.7</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42</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5170.3</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09334CF1">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1065.7</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35</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3268.5</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r>
        <w:rPr>
          <w:rFonts w:hint="eastAsia" w:ascii="仿宋" w:hAnsi="仿宋" w:eastAsia="仿宋" w:cs="仿宋"/>
          <w:bCs/>
          <w:color w:val="000000" w:themeColor="text1"/>
          <w:sz w:val="28"/>
          <w:szCs w:val="28"/>
          <w:lang w:eastAsia="zh-CN"/>
          <w14:textFill>
            <w14:solidFill>
              <w14:schemeClr w14:val="tx1"/>
            </w14:solidFill>
          </w14:textFill>
        </w:rPr>
        <w:t>。</w:t>
      </w:r>
    </w:p>
    <w:p w14:paraId="3B8FDA05">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1428.5</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47</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4349.3</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2EDF513E">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1761.2</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58</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5351.2</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72DC299B">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1942.6</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64</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5991.6</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1EDE612F">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9号楼</w:t>
      </w:r>
      <w:r>
        <w:rPr>
          <w:rFonts w:hint="eastAsia" w:ascii="仿宋" w:hAnsi="仿宋" w:eastAsia="仿宋" w:cs="仿宋"/>
          <w:bCs/>
          <w:color w:val="000000" w:themeColor="text1"/>
          <w:sz w:val="28"/>
          <w:szCs w:val="28"/>
          <w14:textFill>
            <w14:solidFill>
              <w14:schemeClr w14:val="tx1"/>
            </w14:solidFill>
          </w14:textFill>
        </w:rPr>
        <w:t>厂房:占地面积</w:t>
      </w:r>
      <w:r>
        <w:rPr>
          <w:rFonts w:hint="eastAsia" w:ascii="仿宋" w:hAnsi="仿宋" w:eastAsia="仿宋" w:cs="仿宋"/>
          <w:bCs/>
          <w:color w:val="000000" w:themeColor="text1"/>
          <w:sz w:val="28"/>
          <w:szCs w:val="28"/>
          <w:lang w:val="en-US" w:eastAsia="zh-CN"/>
          <w14:textFill>
            <w14:solidFill>
              <w14:schemeClr w14:val="tx1"/>
            </w14:solidFill>
          </w14:textFill>
        </w:rPr>
        <w:t>1942.6</w:t>
      </w:r>
      <w:r>
        <w:rPr>
          <w:rFonts w:hint="eastAsia" w:ascii="仿宋" w:hAnsi="仿宋" w:eastAsia="仿宋" w:cs="仿宋"/>
          <w:bCs/>
          <w:color w:val="000000" w:themeColor="text1"/>
          <w:sz w:val="28"/>
          <w:szCs w:val="28"/>
          <w14:textFill>
            <w14:solidFill>
              <w14:schemeClr w14:val="tx1"/>
            </w14:solidFill>
          </w14:textFill>
        </w:rPr>
        <w:t>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64</w:t>
      </w:r>
      <w:r>
        <w:rPr>
          <w:rFonts w:hint="eastAsia" w:ascii="仿宋" w:hAnsi="仿宋" w:eastAsia="仿宋" w:cs="仿宋"/>
          <w:bCs/>
          <w:color w:val="000000" w:themeColor="text1"/>
          <w:sz w:val="28"/>
          <w:szCs w:val="28"/>
          <w14:textFill>
            <w14:solidFill>
              <w14:schemeClr w14:val="tx1"/>
            </w14:solidFill>
          </w14:textFill>
        </w:rPr>
        <w:t>米，建筑面积</w:t>
      </w:r>
      <w:r>
        <w:rPr>
          <w:rFonts w:hint="eastAsia" w:ascii="仿宋" w:hAnsi="仿宋" w:eastAsia="仿宋" w:cs="仿宋"/>
          <w:bCs/>
          <w:color w:val="000000" w:themeColor="text1"/>
          <w:sz w:val="28"/>
          <w:szCs w:val="28"/>
          <w:lang w:val="en-US" w:eastAsia="zh-CN"/>
          <w14:textFill>
            <w14:solidFill>
              <w14:schemeClr w14:val="tx1"/>
            </w14:solidFill>
          </w14:textFill>
        </w:rPr>
        <w:t>5991.6</w:t>
      </w:r>
      <w:r>
        <w:rPr>
          <w:rFonts w:hint="eastAsia" w:ascii="仿宋" w:hAnsi="仿宋" w:eastAsia="仿宋" w:cs="仿宋"/>
          <w:bCs/>
          <w:color w:val="000000" w:themeColor="text1"/>
          <w:sz w:val="28"/>
          <w:szCs w:val="28"/>
          <w14:textFill>
            <w14:solidFill>
              <w14:schemeClr w14:val="tx1"/>
            </w14:solidFill>
          </w14:textFill>
        </w:rPr>
        <w:t>平方米，地上三层,无地下层，最大跨度</w:t>
      </w:r>
      <w:r>
        <w:rPr>
          <w:rFonts w:hint="eastAsia" w:ascii="仿宋" w:hAnsi="仿宋" w:eastAsia="仿宋" w:cs="仿宋"/>
          <w:bCs/>
          <w:color w:val="000000" w:themeColor="text1"/>
          <w:sz w:val="28"/>
          <w:szCs w:val="28"/>
          <w:lang w:val="en-US" w:eastAsia="zh-CN"/>
          <w14:textFill>
            <w14:solidFill>
              <w14:schemeClr w14:val="tx1"/>
            </w14:solidFill>
          </w14:textFill>
        </w:rPr>
        <w:t>8米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20.5米</w:t>
      </w:r>
      <w:r>
        <w:rPr>
          <w:rFonts w:hint="eastAsia" w:ascii="仿宋" w:hAnsi="仿宋" w:eastAsia="仿宋" w:cs="仿宋"/>
          <w:bCs/>
          <w:color w:val="000000" w:themeColor="text1"/>
          <w:sz w:val="28"/>
          <w:szCs w:val="28"/>
          <w14:textFill>
            <w14:solidFill>
              <w14:schemeClr w14:val="tx1"/>
            </w14:solidFill>
          </w14:textFill>
        </w:rPr>
        <w:t>；结构类型为框架结构，丙类生产车间。</w:t>
      </w:r>
    </w:p>
    <w:p w14:paraId="63853393">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研发楼</w:t>
      </w:r>
      <w:r>
        <w:rPr>
          <w:rFonts w:hint="eastAsia" w:ascii="仿宋" w:hAnsi="仿宋" w:eastAsia="仿宋" w:cs="仿宋"/>
          <w:bCs/>
          <w:color w:val="000000" w:themeColor="text1"/>
          <w:sz w:val="28"/>
          <w:szCs w:val="28"/>
          <w14:textFill>
            <w14:solidFill>
              <w14:schemeClr w14:val="tx1"/>
            </w14:solidFill>
          </w14:textFill>
        </w:rPr>
        <w:t>:占地面积3598.11平方米,建筑长度</w:t>
      </w:r>
      <w:r>
        <w:rPr>
          <w:rFonts w:hint="eastAsia" w:ascii="仿宋" w:hAnsi="仿宋" w:eastAsia="仿宋" w:cs="仿宋"/>
          <w:bCs/>
          <w:color w:val="000000" w:themeColor="text1"/>
          <w:sz w:val="28"/>
          <w:szCs w:val="28"/>
          <w:lang w:val="en-US" w:eastAsia="zh-CN"/>
          <w14:textFill>
            <w14:solidFill>
              <w14:schemeClr w14:val="tx1"/>
            </w14:solidFill>
          </w14:textFill>
        </w:rPr>
        <w:t>94.1</w:t>
      </w:r>
      <w:r>
        <w:rPr>
          <w:rFonts w:hint="eastAsia" w:ascii="仿宋" w:hAnsi="仿宋" w:eastAsia="仿宋" w:cs="仿宋"/>
          <w:bCs/>
          <w:color w:val="000000" w:themeColor="text1"/>
          <w:sz w:val="28"/>
          <w:szCs w:val="28"/>
          <w14:textFill>
            <w14:solidFill>
              <w14:schemeClr w14:val="tx1"/>
            </w14:solidFill>
          </w14:textFill>
        </w:rPr>
        <w:t>米，建筑面积</w:t>
      </w:r>
      <w:bookmarkStart w:id="14" w:name="OLE_LINK13"/>
      <w:r>
        <w:rPr>
          <w:rFonts w:hint="eastAsia" w:ascii="仿宋" w:hAnsi="仿宋" w:eastAsia="仿宋" w:cs="仿宋"/>
          <w:bCs/>
          <w:color w:val="000000" w:themeColor="text1"/>
          <w:sz w:val="28"/>
          <w:szCs w:val="28"/>
          <w14:textFill>
            <w14:solidFill>
              <w14:schemeClr w14:val="tx1"/>
            </w14:solidFill>
          </w14:textFill>
        </w:rPr>
        <w:t>14523.18</w:t>
      </w:r>
      <w:bookmarkEnd w:id="14"/>
      <w:r>
        <w:rPr>
          <w:rFonts w:hint="eastAsia" w:ascii="仿宋" w:hAnsi="仿宋" w:eastAsia="仿宋" w:cs="仿宋"/>
          <w:bCs/>
          <w:color w:val="000000" w:themeColor="text1"/>
          <w:sz w:val="28"/>
          <w:szCs w:val="28"/>
          <w14:textFill>
            <w14:solidFill>
              <w14:schemeClr w14:val="tx1"/>
            </w14:solidFill>
          </w14:textFill>
        </w:rPr>
        <w:t>平方米，地上建筑面积</w:t>
      </w:r>
      <w:r>
        <w:rPr>
          <w:rFonts w:hint="eastAsia" w:ascii="仿宋" w:hAnsi="仿宋" w:eastAsia="仿宋" w:cs="仿宋"/>
          <w:bCs/>
          <w:color w:val="000000" w:themeColor="text1"/>
          <w:sz w:val="28"/>
          <w:szCs w:val="28"/>
          <w:lang w:val="en-US" w:eastAsia="zh-CN"/>
          <w14:textFill>
            <w14:solidFill>
              <w14:schemeClr w14:val="tx1"/>
            </w14:solidFill>
          </w14:textFill>
        </w:rPr>
        <w:t>13924.7</w:t>
      </w:r>
      <w:r>
        <w:rPr>
          <w:rFonts w:hint="eastAsia" w:ascii="仿宋" w:hAnsi="仿宋" w:eastAsia="仿宋" w:cs="仿宋"/>
          <w:bCs/>
          <w:color w:val="000000" w:themeColor="text1"/>
          <w:sz w:val="28"/>
          <w:szCs w:val="28"/>
          <w14:textFill>
            <w14:solidFill>
              <w14:schemeClr w14:val="tx1"/>
            </w14:solidFill>
          </w14:textFill>
        </w:rPr>
        <w:t>平方米，地下建筑面积598.48平方米，地上六层(局部两层),地下一层，最大跨度</w:t>
      </w:r>
      <w:r>
        <w:rPr>
          <w:rFonts w:hint="eastAsia" w:ascii="仿宋" w:hAnsi="仿宋" w:eastAsia="仿宋" w:cs="仿宋"/>
          <w:bCs/>
          <w:color w:val="000000" w:themeColor="text1"/>
          <w:sz w:val="28"/>
          <w:szCs w:val="28"/>
          <w:lang w:val="en-US" w:eastAsia="zh-CN"/>
          <w14:textFill>
            <w14:solidFill>
              <w14:schemeClr w14:val="tx1"/>
            </w14:solidFill>
          </w14:textFill>
        </w:rPr>
        <w:t>10.5米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23.95米</w:t>
      </w:r>
      <w:r>
        <w:rPr>
          <w:rFonts w:hint="eastAsia" w:ascii="仿宋" w:hAnsi="仿宋" w:eastAsia="仿宋" w:cs="仿宋"/>
          <w:bCs/>
          <w:color w:val="000000" w:themeColor="text1"/>
          <w:sz w:val="28"/>
          <w:szCs w:val="28"/>
          <w14:textFill>
            <w14:solidFill>
              <w14:schemeClr w14:val="tx1"/>
            </w14:solidFill>
          </w14:textFill>
        </w:rPr>
        <w:t>；结构类型为框架结构，耐火等级地上二级，地下一级，功能:研发、综合办公。</w:t>
      </w:r>
    </w:p>
    <w:p w14:paraId="7B021F9E">
      <w:pPr>
        <w:snapToGrid w:val="0"/>
        <w:spacing w:line="480" w:lineRule="exact"/>
        <w:ind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default" w:ascii="仿宋" w:hAnsi="仿宋" w:eastAsia="仿宋" w:cs="仿宋"/>
          <w:bCs/>
          <w:color w:val="000000" w:themeColor="text1"/>
          <w:sz w:val="28"/>
          <w:szCs w:val="28"/>
          <w:lang w:val="en-US" w:eastAsia="zh-CN"/>
          <w14:textFill>
            <w14:solidFill>
              <w14:schemeClr w14:val="tx1"/>
            </w14:solidFill>
          </w14:textFill>
        </w:rPr>
        <w:t>门岗</w:t>
      </w:r>
      <w:r>
        <w:rPr>
          <w:rFonts w:hint="eastAsia" w:ascii="仿宋" w:hAnsi="仿宋" w:eastAsia="仿宋" w:cs="仿宋"/>
          <w:bCs/>
          <w:color w:val="000000" w:themeColor="text1"/>
          <w:sz w:val="28"/>
          <w:szCs w:val="28"/>
          <w:lang w:val="en-US" w:eastAsia="zh-CN"/>
          <w14:textFill>
            <w14:solidFill>
              <w14:schemeClr w14:val="tx1"/>
            </w14:solidFill>
          </w14:textFill>
        </w:rPr>
        <w:t>一</w:t>
      </w:r>
      <w:r>
        <w:rPr>
          <w:rFonts w:hint="eastAsia" w:ascii="仿宋" w:hAnsi="仿宋" w:eastAsia="仿宋" w:cs="仿宋"/>
          <w:bCs/>
          <w:color w:val="000000" w:themeColor="text1"/>
          <w:sz w:val="28"/>
          <w:szCs w:val="28"/>
          <w14:textFill>
            <w14:solidFill>
              <w14:schemeClr w14:val="tx1"/>
            </w14:solidFill>
          </w14:textFill>
        </w:rPr>
        <w:t>:建筑面积</w:t>
      </w:r>
      <w:r>
        <w:rPr>
          <w:rFonts w:hint="eastAsia" w:ascii="仿宋" w:hAnsi="仿宋" w:eastAsia="仿宋" w:cs="仿宋"/>
          <w:bCs/>
          <w:color w:val="000000" w:themeColor="text1"/>
          <w:sz w:val="28"/>
          <w:szCs w:val="28"/>
          <w:lang w:val="en-US" w:eastAsia="zh-CN"/>
          <w14:textFill>
            <w14:solidFill>
              <w14:schemeClr w14:val="tx1"/>
            </w14:solidFill>
          </w14:textFill>
        </w:rPr>
        <w:t>37.45</w:t>
      </w:r>
      <w:r>
        <w:rPr>
          <w:rFonts w:hint="eastAsia" w:ascii="仿宋" w:hAnsi="仿宋" w:eastAsia="仿宋" w:cs="仿宋"/>
          <w:bCs/>
          <w:color w:val="000000" w:themeColor="text1"/>
          <w:sz w:val="28"/>
          <w:szCs w:val="28"/>
          <w14:textFill>
            <w14:solidFill>
              <w14:schemeClr w14:val="tx1"/>
            </w14:solidFill>
          </w14:textFill>
        </w:rPr>
        <w:t>平方米，地上一层,地下一层，最大跨度</w:t>
      </w:r>
      <w:r>
        <w:rPr>
          <w:rFonts w:hint="eastAsia" w:ascii="仿宋" w:hAnsi="仿宋" w:eastAsia="仿宋" w:cs="仿宋"/>
          <w:bCs/>
          <w:color w:val="000000" w:themeColor="text1"/>
          <w:sz w:val="28"/>
          <w:szCs w:val="28"/>
          <w:lang w:val="en-US" w:eastAsia="zh-CN"/>
          <w14:textFill>
            <w14:solidFill>
              <w14:schemeClr w14:val="tx1"/>
            </w14:solidFill>
          </w14:textFill>
        </w:rPr>
        <w:t>4.2米</w:t>
      </w:r>
      <w:r>
        <w:rPr>
          <w:rFonts w:hint="eastAsia" w:ascii="仿宋" w:hAnsi="仿宋" w:eastAsia="仿宋" w:cs="仿宋"/>
          <w:bCs/>
          <w:color w:val="000000" w:themeColor="text1"/>
          <w:sz w:val="28"/>
          <w:szCs w:val="28"/>
          <w14:textFill>
            <w14:solidFill>
              <w14:schemeClr w14:val="tx1"/>
            </w14:solidFill>
          </w14:textFill>
        </w:rPr>
        <w:t>，檐口高度</w:t>
      </w:r>
      <w:r>
        <w:rPr>
          <w:rFonts w:hint="eastAsia" w:ascii="仿宋" w:hAnsi="仿宋" w:eastAsia="仿宋" w:cs="仿宋"/>
          <w:bCs/>
          <w:color w:val="000000" w:themeColor="text1"/>
          <w:sz w:val="28"/>
          <w:szCs w:val="28"/>
          <w:lang w:val="en-US" w:eastAsia="zh-CN"/>
          <w14:textFill>
            <w14:solidFill>
              <w14:schemeClr w14:val="tx1"/>
            </w14:solidFill>
          </w14:textFill>
        </w:rPr>
        <w:t>3.45米</w:t>
      </w:r>
      <w:r>
        <w:rPr>
          <w:rFonts w:hint="eastAsia" w:ascii="仿宋" w:hAnsi="仿宋" w:eastAsia="仿宋" w:cs="仿宋"/>
          <w:bCs/>
          <w:color w:val="000000" w:themeColor="text1"/>
          <w:sz w:val="28"/>
          <w:szCs w:val="28"/>
          <w14:textFill>
            <w14:solidFill>
              <w14:schemeClr w14:val="tx1"/>
            </w14:solidFill>
          </w14:textFill>
        </w:rPr>
        <w:t>；结构类型为框架结构</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w:t>
      </w:r>
      <w:r>
        <w:rPr>
          <w:rFonts w:hint="default" w:ascii="仿宋" w:hAnsi="仿宋" w:eastAsia="仿宋" w:cs="仿宋"/>
          <w:bCs/>
          <w:color w:val="000000" w:themeColor="text1"/>
          <w:sz w:val="28"/>
          <w:szCs w:val="28"/>
          <w:lang w:val="en-US" w:eastAsia="zh-CN"/>
          <w14:textFill>
            <w14:solidFill>
              <w14:schemeClr w14:val="tx1"/>
            </w14:solidFill>
          </w14:textFill>
        </w:rPr>
        <w:t>门岗</w:t>
      </w:r>
      <w:r>
        <w:rPr>
          <w:rFonts w:hint="eastAsia" w:ascii="仿宋" w:hAnsi="仿宋" w:eastAsia="仿宋" w:cs="仿宋"/>
          <w:bCs/>
          <w:color w:val="000000" w:themeColor="text1"/>
          <w:sz w:val="28"/>
          <w:szCs w:val="28"/>
          <w:lang w:val="en-US" w:eastAsia="zh-CN"/>
          <w14:textFill>
            <w14:solidFill>
              <w14:schemeClr w14:val="tx1"/>
            </w14:solidFill>
          </w14:textFill>
        </w:rPr>
        <w:t>二同</w:t>
      </w:r>
      <w:r>
        <w:rPr>
          <w:rFonts w:hint="default" w:ascii="仿宋" w:hAnsi="仿宋" w:eastAsia="仿宋" w:cs="仿宋"/>
          <w:bCs/>
          <w:color w:val="000000" w:themeColor="text1"/>
          <w:sz w:val="28"/>
          <w:szCs w:val="28"/>
          <w:lang w:val="en-US" w:eastAsia="zh-CN"/>
          <w14:textFill>
            <w14:solidFill>
              <w14:schemeClr w14:val="tx1"/>
            </w14:solidFill>
          </w14:textFill>
        </w:rPr>
        <w:t>门岗</w:t>
      </w:r>
      <w:r>
        <w:rPr>
          <w:rFonts w:hint="eastAsia" w:ascii="仿宋" w:hAnsi="仿宋" w:eastAsia="仿宋" w:cs="仿宋"/>
          <w:bCs/>
          <w:color w:val="000000" w:themeColor="text1"/>
          <w:sz w:val="28"/>
          <w:szCs w:val="28"/>
          <w:lang w:val="en-US" w:eastAsia="zh-CN"/>
          <w14:textFill>
            <w14:solidFill>
              <w14:schemeClr w14:val="tx1"/>
            </w14:solidFill>
          </w14:textFill>
        </w:rPr>
        <w:t>一）</w:t>
      </w:r>
    </w:p>
    <w:p w14:paraId="0F34261B">
      <w:pPr>
        <w:snapToGrid w:val="0"/>
        <w:spacing w:line="48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室外工程：道路面积13480.31</w:t>
      </w:r>
      <w:r>
        <w:rPr>
          <w:rFonts w:hint="eastAsia" w:ascii="仿宋" w:hAnsi="仿宋" w:eastAsia="仿宋" w:cs="仿宋"/>
          <w:bCs/>
          <w:color w:val="000000" w:themeColor="text1"/>
          <w:sz w:val="28"/>
          <w:szCs w:val="28"/>
          <w14:textFill>
            <w14:solidFill>
              <w14:schemeClr w14:val="tx1"/>
            </w14:solidFill>
          </w14:textFill>
        </w:rPr>
        <w:t>平方米</w:t>
      </w:r>
      <w:r>
        <w:rPr>
          <w:rFonts w:hint="eastAsia" w:ascii="仿宋" w:hAnsi="仿宋" w:eastAsia="仿宋" w:cs="仿宋"/>
          <w:bCs/>
          <w:color w:val="000000" w:themeColor="text1"/>
          <w:sz w:val="28"/>
          <w:szCs w:val="28"/>
          <w:lang w:val="en-US" w:eastAsia="zh-CN"/>
          <w14:textFill>
            <w14:solidFill>
              <w14:schemeClr w14:val="tx1"/>
            </w14:solidFill>
          </w14:textFill>
        </w:rPr>
        <w:t>，机动车停车位面积3824.78</w:t>
      </w:r>
      <w:r>
        <w:rPr>
          <w:rFonts w:hint="eastAsia" w:ascii="仿宋" w:hAnsi="仿宋" w:eastAsia="仿宋" w:cs="仿宋"/>
          <w:bCs/>
          <w:color w:val="000000" w:themeColor="text1"/>
          <w:sz w:val="28"/>
          <w:szCs w:val="28"/>
          <w14:textFill>
            <w14:solidFill>
              <w14:schemeClr w14:val="tx1"/>
            </w14:solidFill>
          </w14:textFill>
        </w:rPr>
        <w:t>平方米</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非机动车停车位面积924.26</w:t>
      </w:r>
      <w:r>
        <w:rPr>
          <w:rFonts w:hint="eastAsia" w:ascii="仿宋" w:hAnsi="仿宋" w:eastAsia="仿宋" w:cs="仿宋"/>
          <w:bCs/>
          <w:color w:val="000000" w:themeColor="text1"/>
          <w:sz w:val="28"/>
          <w:szCs w:val="28"/>
          <w14:textFill>
            <w14:solidFill>
              <w14:schemeClr w14:val="tx1"/>
            </w14:solidFill>
          </w14:textFill>
        </w:rPr>
        <w:t>平方米</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绿化面积5961.99</w:t>
      </w:r>
      <w:r>
        <w:rPr>
          <w:rFonts w:hint="eastAsia" w:ascii="仿宋" w:hAnsi="仿宋" w:eastAsia="仿宋" w:cs="仿宋"/>
          <w:bCs/>
          <w:color w:val="000000" w:themeColor="text1"/>
          <w:sz w:val="28"/>
          <w:szCs w:val="28"/>
          <w14:textFill>
            <w14:solidFill>
              <w14:schemeClr w14:val="tx1"/>
            </w14:solidFill>
          </w14:textFill>
        </w:rPr>
        <w:t>平方米</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围墙长度821米</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具体详见工程量清单。</w:t>
      </w:r>
    </w:p>
    <w:p w14:paraId="6E185558">
      <w:pPr>
        <w:keepNext w:val="0"/>
        <w:keepLines w:val="0"/>
        <w:pageBreakBefore w:val="0"/>
        <w:widowControl w:val="0"/>
        <w:tabs>
          <w:tab w:val="left" w:pos="432"/>
        </w:tabs>
        <w:kinsoku/>
        <w:wordWrap w:val="0"/>
        <w:overflowPunct/>
        <w:topLinePunct w:val="0"/>
        <w:autoSpaceDE/>
        <w:autoSpaceDN/>
        <w:bidi w:val="0"/>
        <w:adjustRightInd/>
        <w:snapToGrid/>
        <w:spacing w:line="540" w:lineRule="exact"/>
        <w:textAlignment w:val="auto"/>
        <w:rPr>
          <w:rFonts w:hint="eastAsia" w:ascii="仿宋" w:hAnsi="仿宋" w:eastAsia="仿宋"/>
          <w:color w:val="auto"/>
          <w:sz w:val="28"/>
          <w:szCs w:val="28"/>
          <w:highlight w:val="none"/>
        </w:rPr>
      </w:pPr>
      <w:r>
        <w:rPr>
          <w:rFonts w:hint="eastAsia" w:ascii="仿宋" w:hAnsi="仿宋" w:eastAsia="仿宋" w:cs="仿宋"/>
          <w:color w:val="auto"/>
          <w:sz w:val="28"/>
          <w:szCs w:val="28"/>
          <w:highlight w:val="none"/>
        </w:rPr>
        <w:t>2、项目审批核准或备案机关名称：</w:t>
      </w:r>
      <w:r>
        <w:rPr>
          <w:rFonts w:hint="eastAsia" w:ascii="仿宋" w:hAnsi="仿宋" w:eastAsia="仿宋"/>
          <w:color w:val="auto"/>
          <w:sz w:val="28"/>
          <w:szCs w:val="28"/>
          <w:highlight w:val="none"/>
          <w:lang w:val="en-US" w:eastAsia="zh-CN"/>
        </w:rPr>
        <w:t>马鞍山市雨山区发展和改革委员会</w:t>
      </w:r>
      <w:r>
        <w:rPr>
          <w:rFonts w:hint="eastAsia" w:ascii="仿宋" w:hAnsi="仿宋" w:eastAsia="仿宋"/>
          <w:color w:val="auto"/>
          <w:sz w:val="28"/>
          <w:szCs w:val="28"/>
          <w:highlight w:val="none"/>
        </w:rPr>
        <w:t>，项目统一代码：</w:t>
      </w:r>
      <w:r>
        <w:rPr>
          <w:rFonts w:hint="eastAsia" w:ascii="仿宋" w:hAnsi="仿宋" w:eastAsia="仿宋"/>
          <w:color w:val="auto"/>
          <w:sz w:val="28"/>
          <w:szCs w:val="28"/>
          <w:highlight w:val="none"/>
          <w:lang w:val="en-US" w:eastAsia="zh-CN"/>
        </w:rPr>
        <w:t>2502-340504-04-01-229339</w:t>
      </w:r>
      <w:r>
        <w:rPr>
          <w:rFonts w:hint="eastAsia" w:ascii="仿宋" w:hAnsi="仿宋" w:eastAsia="仿宋"/>
          <w:color w:val="auto"/>
          <w:sz w:val="28"/>
          <w:szCs w:val="28"/>
          <w:highlight w:val="none"/>
        </w:rPr>
        <w:t>。</w:t>
      </w:r>
    </w:p>
    <w:p w14:paraId="2CE243CF">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3、投资规模：</w:t>
      </w:r>
      <w:r>
        <w:rPr>
          <w:rFonts w:hint="eastAsia" w:ascii="仿宋" w:hAnsi="仿宋" w:eastAsia="仿宋" w:cs="仿宋"/>
          <w:color w:val="auto"/>
          <w:sz w:val="28"/>
          <w:szCs w:val="28"/>
          <w:highlight w:val="none"/>
        </w:rPr>
        <w:t>本项目工程建设费用约为</w:t>
      </w:r>
      <w:r>
        <w:rPr>
          <w:rFonts w:hint="eastAsia" w:ascii="仿宋" w:hAnsi="仿宋" w:eastAsia="仿宋" w:cs="仿宋"/>
          <w:color w:val="auto"/>
          <w:sz w:val="28"/>
          <w:szCs w:val="28"/>
          <w:highlight w:val="none"/>
          <w:u w:val="single"/>
          <w:lang w:val="en-US" w:eastAsia="zh-CN"/>
        </w:rPr>
        <w:t>20270.109449</w:t>
      </w:r>
      <w:r>
        <w:rPr>
          <w:rFonts w:hint="eastAsia" w:ascii="仿宋" w:hAnsi="仿宋" w:eastAsia="仿宋"/>
          <w:color w:val="auto"/>
          <w:sz w:val="28"/>
          <w:szCs w:val="28"/>
          <w:highlight w:val="none"/>
        </w:rPr>
        <w:t>万元</w:t>
      </w:r>
      <w:r>
        <w:rPr>
          <w:rFonts w:hint="eastAsia" w:ascii="仿宋" w:hAnsi="仿宋" w:eastAsia="仿宋"/>
          <w:bCs/>
          <w:color w:val="auto"/>
          <w:sz w:val="28"/>
          <w:szCs w:val="28"/>
          <w:highlight w:val="none"/>
        </w:rPr>
        <w:t>。</w:t>
      </w:r>
    </w:p>
    <w:p w14:paraId="7A2F0FE8">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4、质量要求：</w:t>
      </w:r>
      <w:r>
        <w:rPr>
          <w:rFonts w:hint="eastAsia" w:ascii="仿宋" w:hAnsi="仿宋" w:eastAsia="仿宋"/>
          <w:bCs/>
          <w:color w:val="auto"/>
          <w:sz w:val="28"/>
          <w:szCs w:val="28"/>
          <w:highlight w:val="none"/>
        </w:rPr>
        <w:t>合格。</w:t>
      </w:r>
    </w:p>
    <w:p w14:paraId="5E5875E5">
      <w:pPr>
        <w:tabs>
          <w:tab w:val="left" w:pos="432"/>
        </w:tabs>
        <w:spacing w:line="540" w:lineRule="exact"/>
        <w:rPr>
          <w:rFonts w:ascii="仿宋" w:hAnsi="仿宋" w:eastAsia="仿宋" w:cs="仿宋"/>
          <w:color w:val="auto"/>
          <w:sz w:val="28"/>
          <w:szCs w:val="28"/>
          <w:highlight w:val="none"/>
        </w:rPr>
      </w:pPr>
      <w:r>
        <w:rPr>
          <w:rFonts w:hint="eastAsia" w:ascii="仿宋" w:hAnsi="仿宋" w:eastAsia="仿宋"/>
          <w:color w:val="auto"/>
          <w:sz w:val="28"/>
          <w:szCs w:val="28"/>
          <w:highlight w:val="none"/>
        </w:rPr>
        <w:t>5、最高投标限价（人民币）：</w:t>
      </w:r>
      <w:r>
        <w:rPr>
          <w:rFonts w:hint="eastAsia" w:ascii="仿宋" w:hAnsi="仿宋" w:eastAsia="仿宋" w:cs="仿宋"/>
          <w:color w:val="auto"/>
          <w:sz w:val="28"/>
          <w:szCs w:val="28"/>
          <w:highlight w:val="none"/>
        </w:rPr>
        <w:t>本项目的</w:t>
      </w:r>
      <w:r>
        <w:rPr>
          <w:rFonts w:hint="eastAsia" w:ascii="仿宋" w:hAnsi="仿宋" w:eastAsia="仿宋"/>
          <w:color w:val="auto"/>
          <w:sz w:val="28"/>
          <w:szCs w:val="28"/>
          <w:highlight w:val="none"/>
        </w:rPr>
        <w:t>最高投标限价</w:t>
      </w:r>
      <w:r>
        <w:rPr>
          <w:rFonts w:hint="eastAsia" w:ascii="仿宋" w:hAnsi="仿宋" w:eastAsia="仿宋"/>
          <w:color w:val="auto"/>
          <w:sz w:val="28"/>
          <w:szCs w:val="28"/>
          <w:highlight w:val="none"/>
          <w:lang w:val="en-US" w:eastAsia="zh-CN"/>
        </w:rPr>
        <w:t>约</w:t>
      </w:r>
      <w:r>
        <w:rPr>
          <w:rFonts w:hint="eastAsia" w:ascii="仿宋" w:hAnsi="仿宋" w:eastAsia="仿宋" w:cs="仿宋"/>
          <w:color w:val="auto"/>
          <w:sz w:val="28"/>
          <w:szCs w:val="28"/>
          <w:highlight w:val="none"/>
        </w:rPr>
        <w:t>为</w:t>
      </w:r>
      <w:bookmarkStart w:id="15" w:name="OLE_LINK29"/>
      <w:r>
        <w:rPr>
          <w:rFonts w:hint="eastAsia" w:ascii="仿宋" w:hAnsi="仿宋" w:eastAsia="仿宋" w:cs="仿宋"/>
          <w:color w:val="auto"/>
          <w:sz w:val="28"/>
          <w:szCs w:val="28"/>
          <w:highlight w:val="none"/>
          <w:u w:val="single"/>
          <w:lang w:val="en-US" w:eastAsia="zh-CN"/>
        </w:rPr>
        <w:t>420</w:t>
      </w:r>
      <w:r>
        <w:rPr>
          <w:rFonts w:ascii="仿宋" w:hAnsi="仿宋" w:eastAsia="仿宋" w:cs="仿宋"/>
          <w:color w:val="auto"/>
          <w:sz w:val="28"/>
          <w:szCs w:val="28"/>
          <w:highlight w:val="none"/>
        </w:rPr>
        <w:t>万</w:t>
      </w:r>
      <w:r>
        <w:rPr>
          <w:rFonts w:hint="eastAsia" w:ascii="仿宋" w:hAnsi="仿宋" w:eastAsia="仿宋" w:cs="仿宋"/>
          <w:color w:val="auto"/>
          <w:sz w:val="28"/>
          <w:szCs w:val="28"/>
          <w:highlight w:val="none"/>
        </w:rPr>
        <w:t>元</w:t>
      </w:r>
      <w:bookmarkEnd w:id="15"/>
      <w:r>
        <w:rPr>
          <w:rFonts w:hint="eastAsia" w:ascii="仿宋" w:hAnsi="仿宋" w:eastAsia="仿宋" w:cs="仿宋"/>
          <w:color w:val="auto"/>
          <w:sz w:val="28"/>
          <w:szCs w:val="28"/>
          <w:highlight w:val="none"/>
        </w:rPr>
        <w:t>。</w:t>
      </w:r>
    </w:p>
    <w:p w14:paraId="3DF09633">
      <w:pPr>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八、资金来源：</w:t>
      </w:r>
      <w:r>
        <w:rPr>
          <w:rFonts w:hint="eastAsia" w:ascii="仿宋" w:hAnsi="仿宋" w:eastAsia="仿宋"/>
          <w:color w:val="auto"/>
          <w:sz w:val="28"/>
          <w:szCs w:val="28"/>
          <w:highlight w:val="none"/>
        </w:rPr>
        <w:t>其他投资</w:t>
      </w:r>
    </w:p>
    <w:p w14:paraId="654FEAC3">
      <w:pPr>
        <w:widowControl/>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九、计划工期：</w:t>
      </w:r>
      <w:r>
        <w:rPr>
          <w:rFonts w:hint="eastAsia" w:ascii="仿宋" w:hAnsi="仿宋" w:eastAsia="仿宋" w:cs="仿宋"/>
          <w:color w:val="auto"/>
          <w:sz w:val="28"/>
          <w:szCs w:val="28"/>
          <w:highlight w:val="none"/>
        </w:rPr>
        <w:t>自监理合同签订之日起至项目缺陷责任期结束止。</w:t>
      </w:r>
    </w:p>
    <w:p w14:paraId="1631F716">
      <w:pPr>
        <w:widowControl/>
        <w:tabs>
          <w:tab w:val="left" w:pos="432"/>
        </w:tabs>
        <w:spacing w:line="540" w:lineRule="exact"/>
        <w:rPr>
          <w:rFonts w:ascii="仿宋" w:hAnsi="仿宋" w:eastAsia="仿宋"/>
          <w:color w:val="auto"/>
          <w:sz w:val="28"/>
          <w:szCs w:val="28"/>
          <w:highlight w:val="none"/>
        </w:rPr>
      </w:pPr>
      <w:r>
        <w:rPr>
          <w:rFonts w:hint="eastAsia" w:ascii="黑体" w:hAnsi="黑体" w:eastAsia="黑体" w:cs="黑体"/>
          <w:color w:val="auto"/>
          <w:sz w:val="28"/>
          <w:szCs w:val="28"/>
          <w:highlight w:val="none"/>
        </w:rPr>
        <w:t>十、投标人资质、资格要求：</w:t>
      </w:r>
    </w:p>
    <w:p w14:paraId="37246C67">
      <w:pPr>
        <w:widowControl/>
        <w:tabs>
          <w:tab w:val="left" w:pos="4228"/>
        </w:tabs>
        <w:snapToGrid w:val="0"/>
        <w:spacing w:line="540" w:lineRule="exac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1、投标人须具备以下资质要求之一，并在人员等方面具有相应的施工监理服务能力：</w:t>
      </w:r>
    </w:p>
    <w:p w14:paraId="1233B446">
      <w:pPr>
        <w:widowControl/>
        <w:tabs>
          <w:tab w:val="left" w:pos="4228"/>
        </w:tabs>
        <w:snapToGrid w:val="0"/>
        <w:spacing w:line="540" w:lineRule="exac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①监理综合资质；</w:t>
      </w:r>
    </w:p>
    <w:p w14:paraId="465BB078">
      <w:pPr>
        <w:widowControl/>
        <w:tabs>
          <w:tab w:val="left" w:pos="4228"/>
        </w:tabs>
        <w:spacing w:line="5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kern w:val="0"/>
          <w:sz w:val="28"/>
          <w:szCs w:val="28"/>
          <w:highlight w:val="none"/>
        </w:rPr>
        <w:t>房屋建筑工程专业乙级以上(含乙级)监理资质。</w:t>
      </w:r>
    </w:p>
    <w:p w14:paraId="3F95F70A">
      <w:pPr>
        <w:widowControl/>
        <w:tabs>
          <w:tab w:val="left" w:pos="4228"/>
        </w:tabs>
        <w:spacing w:line="540" w:lineRule="exact"/>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2、拟派项目经理要求：项目总监理工程师须具</w:t>
      </w:r>
      <w:r>
        <w:rPr>
          <w:rFonts w:hint="eastAsia" w:ascii="仿宋" w:hAnsi="仿宋" w:eastAsia="仿宋" w:cs="仿宋"/>
          <w:color w:val="auto"/>
          <w:kern w:val="0"/>
          <w:sz w:val="28"/>
          <w:szCs w:val="28"/>
          <w:highlight w:val="none"/>
        </w:rPr>
        <w:t>备房屋建筑工程专业全国注册监理工程师且在投标人单位注册</w:t>
      </w:r>
      <w:r>
        <w:rPr>
          <w:rFonts w:hint="eastAsia" w:ascii="仿宋" w:hAnsi="仿宋" w:eastAsia="仿宋" w:cs="仿宋"/>
          <w:bCs/>
          <w:color w:val="auto"/>
          <w:sz w:val="28"/>
          <w:szCs w:val="28"/>
          <w:highlight w:val="none"/>
        </w:rPr>
        <w:t>。</w:t>
      </w:r>
    </w:p>
    <w:p w14:paraId="1B351663">
      <w:pPr>
        <w:widowControl/>
        <w:tabs>
          <w:tab w:val="left" w:pos="4228"/>
        </w:tabs>
        <w:spacing w:line="540" w:lineRule="exact"/>
        <w:jc w:val="left"/>
        <w:rPr>
          <w:rFonts w:ascii="仿宋" w:hAnsi="仿宋" w:eastAsia="仿宋" w:cs="仿宋"/>
          <w:color w:val="auto"/>
          <w:sz w:val="28"/>
          <w:szCs w:val="28"/>
          <w:highlight w:val="none"/>
        </w:rPr>
      </w:pPr>
      <w:r>
        <w:rPr>
          <w:rFonts w:hint="eastAsia" w:ascii="仿宋" w:hAnsi="仿宋" w:eastAsia="仿宋"/>
          <w:color w:val="auto"/>
          <w:sz w:val="28"/>
          <w:szCs w:val="28"/>
          <w:highlight w:val="none"/>
        </w:rPr>
        <w:t>3、是否接受联合体:本次招标</w:t>
      </w:r>
      <w:r>
        <w:rPr>
          <w:rFonts w:hint="eastAsia" w:ascii="仿宋" w:hAnsi="仿宋" w:eastAsia="仿宋"/>
          <w:color w:val="auto"/>
          <w:sz w:val="28"/>
          <w:szCs w:val="28"/>
          <w:highlight w:val="none"/>
          <w:u w:val="single"/>
        </w:rPr>
        <w:t>不接受</w:t>
      </w:r>
      <w:r>
        <w:rPr>
          <w:rFonts w:hint="eastAsia" w:ascii="仿宋" w:hAnsi="仿宋" w:eastAsia="仿宋"/>
          <w:color w:val="auto"/>
          <w:sz w:val="28"/>
          <w:szCs w:val="28"/>
          <w:highlight w:val="none"/>
        </w:rPr>
        <w:t>联合体投标。</w:t>
      </w:r>
    </w:p>
    <w:p w14:paraId="28792618">
      <w:pPr>
        <w:widowControl/>
        <w:tabs>
          <w:tab w:val="left" w:pos="4228"/>
        </w:tabs>
        <w:spacing w:line="540" w:lineRule="exact"/>
        <w:jc w:val="left"/>
        <w:rPr>
          <w:rFonts w:ascii="仿宋" w:hAnsi="仿宋" w:eastAsia="仿宋" w:cs="仿宋"/>
          <w:color w:val="auto"/>
          <w:sz w:val="28"/>
          <w:szCs w:val="28"/>
          <w:highlight w:val="none"/>
        </w:rPr>
      </w:pPr>
      <w:r>
        <w:rPr>
          <w:rFonts w:hint="eastAsia" w:ascii="仿宋" w:hAnsi="仿宋" w:eastAsia="仿宋"/>
          <w:color w:val="auto"/>
          <w:sz w:val="28"/>
          <w:szCs w:val="28"/>
          <w:highlight w:val="none"/>
        </w:rPr>
        <w:t>4、投标人不得存在以下不良信用记录情形之一的：</w:t>
      </w:r>
    </w:p>
    <w:p w14:paraId="39993EA9">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（1）投标人被人民法院列入失信被执行人的。</w:t>
      </w:r>
    </w:p>
    <w:p w14:paraId="1C3C54F7">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（2）投标人被市场监督管理部门列入企业经营异常名录的。</w:t>
      </w:r>
    </w:p>
    <w:p w14:paraId="56648057">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（3）投标人被税务部门列入重大税收违法案件当事人名单的。</w:t>
      </w:r>
    </w:p>
    <w:p w14:paraId="658AEFA4">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（4）投标人被人力资源社会保障行政部门列入拖欠农民工工资“黑名单”的。</w:t>
      </w:r>
    </w:p>
    <w:p w14:paraId="407139A1">
      <w:pPr>
        <w:keepNext w:val="0"/>
        <w:keepLines w:val="0"/>
        <w:pageBreakBefore w:val="0"/>
        <w:widowControl w:val="0"/>
        <w:tabs>
          <w:tab w:val="left" w:pos="432"/>
        </w:tabs>
        <w:kinsoku/>
        <w:wordWrap w:val="0"/>
        <w:overflowPunct/>
        <w:topLinePunct w:val="0"/>
        <w:autoSpaceDE/>
        <w:autoSpaceDN/>
        <w:bidi w:val="0"/>
        <w:adjustRightInd/>
        <w:snapToGrid/>
        <w:spacing w:line="540" w:lineRule="exac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（以上仅以开标当日“信用中国”网http://www.creditchina.gov.cn/中“信用信息报告”查询结果为准）。</w:t>
      </w:r>
    </w:p>
    <w:p w14:paraId="00220980">
      <w:pPr>
        <w:spacing w:line="540" w:lineRule="exact"/>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5、</w:t>
      </w:r>
      <w:r>
        <w:rPr>
          <w:rFonts w:hint="eastAsia" w:ascii="仿宋" w:hAnsi="仿宋" w:eastAsia="仿宋" w:cs="仿宋"/>
          <w:color w:val="auto"/>
          <w:kern w:val="0"/>
          <w:sz w:val="28"/>
          <w:szCs w:val="28"/>
          <w:highlight w:val="none"/>
        </w:rPr>
        <w:t>投标人须符合下列情形之一（不良行为记录以《马鞍山市公共资源交易市场竞争主体不良行为管理办法》为准）：</w:t>
      </w:r>
    </w:p>
    <w:p w14:paraId="539E2B11">
      <w:pPr>
        <w:spacing w:line="54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（1）未被马鞍山市各级公共资源交易监管部门记不良行为记录；</w:t>
      </w:r>
    </w:p>
    <w:p w14:paraId="7358E933">
      <w:pPr>
        <w:spacing w:line="54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（2）曾被马鞍山市各级公共资源交易监管部门记不良行为记录，投标截止日不在披露期内。</w:t>
      </w:r>
    </w:p>
    <w:p w14:paraId="7C252942">
      <w:pPr>
        <w:spacing w:line="54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（以上仅以开标当日马鞍山市公共资源交易中心网中“信用信息-市场主体信用信息-不良行为记分”查询结果为准）。</w:t>
      </w:r>
    </w:p>
    <w:p w14:paraId="7AD5F8EF">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6、业绩要求：</w:t>
      </w:r>
      <w:r>
        <w:rPr>
          <w:rFonts w:hint="eastAsia" w:ascii="仿宋" w:hAnsi="仿宋" w:eastAsia="仿宋"/>
          <w:color w:val="auto"/>
          <w:sz w:val="28"/>
          <w:szCs w:val="28"/>
          <w:highlight w:val="none"/>
          <w:u w:val="single"/>
        </w:rPr>
        <w:t>无</w:t>
      </w:r>
      <w:r>
        <w:rPr>
          <w:rFonts w:hint="eastAsia" w:ascii="仿宋" w:hAnsi="仿宋" w:eastAsia="仿宋"/>
          <w:bCs/>
          <w:color w:val="auto"/>
          <w:sz w:val="28"/>
          <w:szCs w:val="28"/>
          <w:highlight w:val="none"/>
        </w:rPr>
        <w:t>。</w:t>
      </w:r>
    </w:p>
    <w:p w14:paraId="2C2D65AE">
      <w:pPr>
        <w:tabs>
          <w:tab w:val="left" w:pos="432"/>
        </w:tabs>
        <w:spacing w:line="540" w:lineRule="exact"/>
        <w:rPr>
          <w:rFonts w:ascii="仿宋" w:hAnsi="仿宋" w:eastAsia="仿宋"/>
          <w:color w:val="auto"/>
          <w:sz w:val="28"/>
          <w:szCs w:val="28"/>
          <w:highlight w:val="none"/>
        </w:rPr>
      </w:pPr>
      <w:r>
        <w:rPr>
          <w:rFonts w:hint="eastAsia" w:ascii="仿宋" w:hAnsi="仿宋" w:eastAsia="仿宋"/>
          <w:bCs/>
          <w:color w:val="auto"/>
          <w:sz w:val="28"/>
          <w:szCs w:val="28"/>
          <w:highlight w:val="none"/>
        </w:rPr>
        <w:t>7、投标人的投标保证金采用汇款方式递交的，必须从其开户银行基本账户足额转出。</w:t>
      </w:r>
    </w:p>
    <w:p w14:paraId="1E86C04C">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8、投标人可就上述标段中的全部标段投标。</w:t>
      </w:r>
    </w:p>
    <w:p w14:paraId="25FC361D">
      <w:pPr>
        <w:spacing w:line="54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r>
        <w:rPr>
          <w:rFonts w:hint="eastAsia" w:ascii="仿宋" w:hAnsi="仿宋" w:eastAsia="仿宋"/>
          <w:color w:val="auto"/>
          <w:sz w:val="28"/>
          <w:szCs w:val="28"/>
          <w:highlight w:val="none"/>
        </w:rPr>
        <w:t>是否采用“实名制”投标:是。</w:t>
      </w:r>
    </w:p>
    <w:p w14:paraId="3067A1CA">
      <w:pPr>
        <w:tabs>
          <w:tab w:val="left" w:pos="432"/>
        </w:tabs>
        <w:spacing w:line="540" w:lineRule="exact"/>
        <w:rPr>
          <w:rFonts w:ascii="仿宋" w:hAnsi="仿宋" w:eastAsia="仿宋" w:cs="仿宋"/>
          <w:color w:val="auto"/>
          <w:kern w:val="0"/>
          <w:sz w:val="28"/>
          <w:szCs w:val="28"/>
          <w:highlight w:val="none"/>
        </w:rPr>
      </w:pPr>
      <w:r>
        <w:rPr>
          <w:rFonts w:hint="eastAsia" w:ascii="黑体" w:hAnsi="黑体" w:eastAsia="黑体" w:cs="黑体"/>
          <w:color w:val="auto"/>
          <w:sz w:val="28"/>
          <w:szCs w:val="28"/>
          <w:highlight w:val="none"/>
        </w:rPr>
        <w:t>十一、招标范围：</w:t>
      </w:r>
      <w:bookmarkStart w:id="16" w:name="OLE_LINK24"/>
      <w:bookmarkStart w:id="17" w:name="OLE_LINK23"/>
      <w:r>
        <w:rPr>
          <w:rFonts w:hint="eastAsia" w:ascii="仿宋" w:hAnsi="仿宋" w:eastAsia="仿宋" w:cs="仿宋"/>
          <w:color w:val="auto"/>
          <w:sz w:val="28"/>
          <w:szCs w:val="28"/>
          <w:highlight w:val="none"/>
        </w:rPr>
        <w:t>施工范围内全部内容的工程施工监理</w:t>
      </w:r>
      <w:bookmarkEnd w:id="16"/>
      <w:bookmarkEnd w:id="17"/>
      <w:r>
        <w:rPr>
          <w:rFonts w:hint="eastAsia" w:ascii="仿宋" w:hAnsi="仿宋" w:eastAsia="仿宋" w:cs="仿宋"/>
          <w:color w:val="auto"/>
          <w:kern w:val="0"/>
          <w:sz w:val="28"/>
          <w:szCs w:val="28"/>
          <w:highlight w:val="none"/>
        </w:rPr>
        <w:t>。</w:t>
      </w:r>
    </w:p>
    <w:p w14:paraId="5EC370A8">
      <w:pPr>
        <w:tabs>
          <w:tab w:val="left" w:pos="432"/>
        </w:tabs>
        <w:spacing w:line="540" w:lineRule="exact"/>
        <w:rPr>
          <w:rFonts w:ascii="仿宋" w:hAnsi="仿宋" w:eastAsia="仿宋"/>
          <w:color w:val="auto"/>
          <w:sz w:val="28"/>
          <w:szCs w:val="28"/>
          <w:highlight w:val="none"/>
        </w:rPr>
      </w:pPr>
      <w:r>
        <w:rPr>
          <w:rFonts w:hint="eastAsia" w:ascii="黑体" w:hAnsi="黑体" w:eastAsia="黑体" w:cs="黑体"/>
          <w:color w:val="auto"/>
          <w:sz w:val="28"/>
          <w:szCs w:val="28"/>
          <w:highlight w:val="none"/>
        </w:rPr>
        <w:t>十二、标段数：</w:t>
      </w:r>
      <w:r>
        <w:rPr>
          <w:rFonts w:hint="eastAsia" w:ascii="仿宋" w:hAnsi="仿宋" w:eastAsia="仿宋"/>
          <w:color w:val="auto"/>
          <w:sz w:val="28"/>
          <w:szCs w:val="28"/>
          <w:highlight w:val="none"/>
        </w:rPr>
        <w:t>1个</w:t>
      </w:r>
    </w:p>
    <w:p w14:paraId="230437CE">
      <w:pPr>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十三、公告发布时间：</w:t>
      </w:r>
    </w:p>
    <w:p w14:paraId="14331034">
      <w:pPr>
        <w:spacing w:line="540" w:lineRule="exact"/>
        <w:rPr>
          <w:rFonts w:ascii="仿宋" w:hAnsi="仿宋" w:eastAsia="仿宋" w:cs="仿宋"/>
          <w:bCs/>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s="仿宋"/>
          <w:bCs/>
          <w:color w:val="auto"/>
          <w:sz w:val="28"/>
          <w:szCs w:val="28"/>
          <w:highlight w:val="none"/>
        </w:rPr>
        <w:t>投标人</w:t>
      </w:r>
      <w:r>
        <w:rPr>
          <w:rFonts w:ascii="仿宋" w:hAnsi="仿宋" w:eastAsia="仿宋" w:cs="仿宋"/>
          <w:color w:val="auto"/>
          <w:kern w:val="0"/>
          <w:sz w:val="28"/>
          <w:szCs w:val="28"/>
          <w:highlight w:val="none"/>
        </w:rPr>
        <w:t>可于本招标公告发布之日起至</w:t>
      </w:r>
      <w:r>
        <w:rPr>
          <w:rFonts w:ascii="仿宋" w:hAnsi="仿宋" w:eastAsia="仿宋" w:cs="仿宋"/>
          <w:color w:val="auto"/>
          <w:kern w:val="0"/>
          <w:sz w:val="28"/>
          <w:szCs w:val="28"/>
          <w:highlight w:val="none"/>
          <w:u w:val="single"/>
        </w:rPr>
        <w:t>20</w:t>
      </w:r>
      <w:r>
        <w:rPr>
          <w:rFonts w:hint="eastAsia" w:ascii="仿宋" w:hAnsi="仿宋" w:eastAsia="仿宋" w:cs="仿宋"/>
          <w:color w:val="auto"/>
          <w:kern w:val="0"/>
          <w:sz w:val="28"/>
          <w:szCs w:val="28"/>
          <w:highlight w:val="none"/>
          <w:u w:val="single"/>
        </w:rPr>
        <w:t>25</w:t>
      </w:r>
      <w:r>
        <w:rPr>
          <w:rFonts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yellow"/>
          <w:lang w:val="en-US" w:eastAsia="zh-CN"/>
        </w:rPr>
        <w:t xml:space="preserve"> </w:t>
      </w:r>
      <w:r>
        <w:rPr>
          <w:rFonts w:ascii="仿宋" w:hAnsi="仿宋" w:eastAsia="仿宋" w:cs="仿宋"/>
          <w:color w:val="auto"/>
          <w:kern w:val="0"/>
          <w:sz w:val="28"/>
          <w:szCs w:val="28"/>
          <w:highlight w:val="yellow"/>
        </w:rPr>
        <w:t>月</w:t>
      </w:r>
      <w:r>
        <w:rPr>
          <w:rFonts w:hint="eastAsia" w:ascii="仿宋" w:hAnsi="仿宋" w:eastAsia="仿宋" w:cs="仿宋"/>
          <w:color w:val="auto"/>
          <w:kern w:val="0"/>
          <w:sz w:val="28"/>
          <w:szCs w:val="28"/>
          <w:highlight w:val="yellow"/>
          <w:lang w:val="en-US" w:eastAsia="zh-CN"/>
        </w:rPr>
        <w:t xml:space="preserve">  </w:t>
      </w:r>
      <w:r>
        <w:rPr>
          <w:rFonts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u w:val="single"/>
        </w:rPr>
        <w:t>17</w:t>
      </w:r>
      <w:r>
        <w:rPr>
          <w:rFonts w:ascii="仿宋" w:hAnsi="仿宋" w:eastAsia="仿宋" w:cs="仿宋"/>
          <w:color w:val="auto"/>
          <w:kern w:val="0"/>
          <w:sz w:val="28"/>
          <w:szCs w:val="28"/>
          <w:highlight w:val="none"/>
        </w:rPr>
        <w:t>时</w:t>
      </w:r>
      <w:r>
        <w:rPr>
          <w:rFonts w:hint="eastAsia" w:ascii="仿宋" w:hAnsi="仿宋" w:eastAsia="仿宋" w:cs="仿宋"/>
          <w:color w:val="auto"/>
          <w:kern w:val="0"/>
          <w:sz w:val="28"/>
          <w:szCs w:val="28"/>
          <w:highlight w:val="none"/>
          <w:u w:val="single"/>
        </w:rPr>
        <w:t>30</w:t>
      </w:r>
      <w:r>
        <w:rPr>
          <w:rFonts w:ascii="仿宋" w:hAnsi="仿宋" w:eastAsia="仿宋" w:cs="仿宋"/>
          <w:color w:val="auto"/>
          <w:kern w:val="0"/>
          <w:sz w:val="28"/>
          <w:szCs w:val="28"/>
          <w:highlight w:val="none"/>
        </w:rPr>
        <w:t>分，登录马鞍山市公共资源新版交易系统(http://zbcg.mas.gov.cn/TPBidderNew/)获取招标文件和其他相关资料。登录前须持有与马鞍山市公共资源新版交易系统兼容的数字证书，CA数字证书办理详情见马鞍山市公共资源交易网站服务指南（https://zbcg.mas.gov.cn/masggzynew/fwzn/003001/handling_affairs_guide.html）。</w:t>
      </w:r>
    </w:p>
    <w:p w14:paraId="0BDCE170">
      <w:pPr>
        <w:tabs>
          <w:tab w:val="left" w:pos="432"/>
        </w:tabs>
        <w:spacing w:line="54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w:t>
      </w:r>
      <w:r>
        <w:rPr>
          <w:rFonts w:ascii="仿宋" w:hAnsi="仿宋" w:eastAsia="仿宋" w:cs="仿宋"/>
          <w:color w:val="auto"/>
          <w:sz w:val="28"/>
          <w:szCs w:val="28"/>
          <w:highlight w:val="none"/>
        </w:rPr>
        <w:t>对招标文件的异议，应当在投标截止时间10日前提出，由投标人自行登录马鞍山市公共资源交易系统进行提出或以其他书面形式提出。投标人或者其他利害关系人对招标人、招标代理机构的答复不满意，或者招标人、招标代理机构未在规定时间内作出答复的，可以在规定时间内通过网上投诉系统或以其他书面形式向监管部门提出投诉。</w:t>
      </w:r>
    </w:p>
    <w:p w14:paraId="013FE5AA">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kern w:val="0"/>
          <w:sz w:val="28"/>
          <w:szCs w:val="28"/>
          <w:highlight w:val="none"/>
        </w:rPr>
        <w:t>3、</w:t>
      </w:r>
      <w:r>
        <w:rPr>
          <w:rFonts w:hint="eastAsia" w:ascii="仿宋" w:hAnsi="仿宋" w:eastAsia="仿宋"/>
          <w:color w:val="auto"/>
          <w:sz w:val="28"/>
          <w:szCs w:val="28"/>
          <w:highlight w:val="none"/>
        </w:rPr>
        <w:t>受理异议的联系人及联系方式：林芝</w:t>
      </w:r>
      <w:r>
        <w:rPr>
          <w:rFonts w:ascii="仿宋" w:hAnsi="仿宋" w:eastAsia="仿宋"/>
          <w:color w:val="auto"/>
          <w:sz w:val="28"/>
          <w:szCs w:val="28"/>
          <w:highlight w:val="none"/>
        </w:rPr>
        <w:t>0555-5200336。</w:t>
      </w:r>
    </w:p>
    <w:p w14:paraId="73EB8A7A">
      <w:pPr>
        <w:tabs>
          <w:tab w:val="left" w:pos="432"/>
        </w:tabs>
        <w:spacing w:line="540" w:lineRule="exact"/>
        <w:rPr>
          <w:rFonts w:ascii="仿宋" w:hAnsi="仿宋" w:eastAsia="仿宋"/>
          <w:color w:val="auto"/>
          <w:sz w:val="28"/>
          <w:szCs w:val="28"/>
          <w:highlight w:val="none"/>
        </w:rPr>
      </w:pPr>
      <w:r>
        <w:rPr>
          <w:rFonts w:hint="eastAsia" w:ascii="黑体" w:hAnsi="黑体" w:eastAsia="黑体" w:cs="黑体"/>
          <w:color w:val="auto"/>
          <w:sz w:val="28"/>
          <w:szCs w:val="28"/>
          <w:highlight w:val="none"/>
        </w:rPr>
        <w:t>十四、公告发布媒介：</w:t>
      </w:r>
      <w:r>
        <w:rPr>
          <w:rFonts w:hint="eastAsia" w:ascii="仿宋" w:hAnsi="仿宋" w:eastAsia="仿宋"/>
          <w:color w:val="auto"/>
          <w:sz w:val="28"/>
          <w:szCs w:val="28"/>
          <w:highlight w:val="none"/>
        </w:rPr>
        <w:t>本次招标公告同时在</w:t>
      </w:r>
      <w:r>
        <w:rPr>
          <w:rFonts w:hint="eastAsia" w:ascii="仿宋" w:hAnsi="仿宋" w:eastAsia="仿宋"/>
          <w:color w:val="auto"/>
          <w:sz w:val="28"/>
          <w:szCs w:val="28"/>
          <w:highlight w:val="none"/>
          <w:u w:val="single"/>
        </w:rPr>
        <w:t>马鞍山市公共资源交易中心网、全国公共资源交易平台（安徽省）</w:t>
      </w:r>
      <w:r>
        <w:rPr>
          <w:rFonts w:hint="eastAsia" w:ascii="仿宋" w:hAnsi="仿宋" w:eastAsia="仿宋"/>
          <w:color w:val="auto"/>
          <w:sz w:val="28"/>
          <w:szCs w:val="28"/>
          <w:highlight w:val="none"/>
        </w:rPr>
        <w:t>上发布。</w:t>
      </w:r>
    </w:p>
    <w:p w14:paraId="38644719">
      <w:pPr>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十五、项目开标时间：</w:t>
      </w:r>
    </w:p>
    <w:p w14:paraId="5253DAFD">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1、开标时间：同投标截止时间；</w:t>
      </w:r>
    </w:p>
    <w:p w14:paraId="2B564D3B">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2、开标地点：马鞍山市雨山区印山东路2009号（印山东路与湖东中路交叉口）汇通大厦附楼五楼第</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开标室。</w:t>
      </w:r>
    </w:p>
    <w:p w14:paraId="4B972EC2">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3、投标人解密时间：自投标截止时间起30分钟内。</w:t>
      </w:r>
    </w:p>
    <w:p w14:paraId="30A4181F">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4、投标文件递交的截止时间（即“投标截止时间”，下同）为</w:t>
      </w:r>
      <w:r>
        <w:rPr>
          <w:rFonts w:hint="eastAsia" w:ascii="仿宋" w:hAnsi="仿宋" w:eastAsia="仿宋"/>
          <w:color w:val="auto"/>
          <w:sz w:val="28"/>
          <w:szCs w:val="28"/>
          <w:highlight w:val="none"/>
          <w:u w:val="single"/>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月</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日</w:t>
      </w:r>
      <w:r>
        <w:rPr>
          <w:rFonts w:ascii="仿宋" w:hAnsi="仿宋" w:eastAsia="仿宋"/>
          <w:color w:val="auto"/>
          <w:sz w:val="28"/>
          <w:szCs w:val="28"/>
          <w:highlight w:val="none"/>
          <w:u w:val="single"/>
        </w:rPr>
        <w:t>9</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u w:val="single"/>
        </w:rPr>
        <w:t>00</w:t>
      </w:r>
      <w:r>
        <w:rPr>
          <w:rFonts w:hint="eastAsia" w:ascii="仿宋" w:hAnsi="仿宋" w:eastAsia="仿宋"/>
          <w:color w:val="auto"/>
          <w:sz w:val="28"/>
          <w:szCs w:val="28"/>
          <w:highlight w:val="none"/>
        </w:rPr>
        <w:t>分。</w:t>
      </w:r>
    </w:p>
    <w:p w14:paraId="61D4AED9">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5、需要递交的投标文件为：在投标截止时间前通过马鞍山市公共资源交易系统递交且系统接收成功的电子投标文件。</w:t>
      </w:r>
    </w:p>
    <w:p w14:paraId="20AFF3B1">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6、投标文件递交地点：马鞍山市公共资源交易系统。</w:t>
      </w:r>
    </w:p>
    <w:p w14:paraId="1B0E592D">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7、逾期递交的投标文件，系统不予受理。</w:t>
      </w:r>
    </w:p>
    <w:p w14:paraId="387B15D2">
      <w:pPr>
        <w:tabs>
          <w:tab w:val="left" w:pos="432"/>
        </w:tabs>
        <w:spacing w:line="540" w:lineRule="exact"/>
        <w:rPr>
          <w:rFonts w:ascii="仿宋" w:hAnsi="仿宋" w:eastAsia="仿宋"/>
          <w:color w:val="auto"/>
          <w:sz w:val="28"/>
          <w:szCs w:val="28"/>
          <w:highlight w:val="none"/>
        </w:rPr>
      </w:pPr>
      <w:r>
        <w:rPr>
          <w:rFonts w:hint="eastAsia" w:ascii="黑体" w:hAnsi="黑体" w:eastAsia="黑体" w:cs="黑体"/>
          <w:color w:val="auto"/>
          <w:sz w:val="28"/>
          <w:szCs w:val="28"/>
          <w:highlight w:val="none"/>
        </w:rPr>
        <w:t>十六、招标文件获取及费用支付方式：</w:t>
      </w:r>
    </w:p>
    <w:p w14:paraId="4EA2C2C6">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1、获取时间：</w:t>
      </w:r>
      <w:r>
        <w:rPr>
          <w:rFonts w:hint="eastAsia" w:ascii="仿宋" w:hAnsi="仿宋" w:eastAsia="仿宋"/>
          <w:color w:val="auto"/>
          <w:sz w:val="28"/>
          <w:szCs w:val="28"/>
          <w:highlight w:val="yellow"/>
          <w:u w:val="single"/>
        </w:rPr>
        <w:t>2025</w:t>
      </w:r>
      <w:r>
        <w:rPr>
          <w:rFonts w:hint="eastAsia" w:ascii="仿宋" w:hAnsi="仿宋" w:eastAsia="仿宋"/>
          <w:color w:val="auto"/>
          <w:sz w:val="28"/>
          <w:szCs w:val="28"/>
          <w:highlight w:val="yellow"/>
        </w:rPr>
        <w:t>年</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月</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日至</w:t>
      </w:r>
      <w:r>
        <w:rPr>
          <w:rFonts w:hint="eastAsia" w:ascii="仿宋" w:hAnsi="仿宋" w:eastAsia="仿宋"/>
          <w:color w:val="auto"/>
          <w:sz w:val="28"/>
          <w:szCs w:val="28"/>
          <w:highlight w:val="yellow"/>
          <w:u w:val="single"/>
        </w:rPr>
        <w:t>2025</w:t>
      </w:r>
      <w:r>
        <w:rPr>
          <w:rFonts w:hint="eastAsia" w:ascii="仿宋" w:hAnsi="仿宋" w:eastAsia="仿宋"/>
          <w:color w:val="auto"/>
          <w:sz w:val="28"/>
          <w:szCs w:val="28"/>
          <w:highlight w:val="yellow"/>
        </w:rPr>
        <w:t>年</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月</w:t>
      </w:r>
      <w:r>
        <w:rPr>
          <w:rFonts w:hint="eastAsia" w:ascii="仿宋" w:hAnsi="仿宋" w:eastAsia="仿宋"/>
          <w:color w:val="auto"/>
          <w:sz w:val="28"/>
          <w:szCs w:val="28"/>
          <w:highlight w:val="yellow"/>
          <w:lang w:val="en-US" w:eastAsia="zh-CN"/>
        </w:rPr>
        <w:t xml:space="preserve">  </w:t>
      </w:r>
      <w:r>
        <w:rPr>
          <w:rFonts w:hint="eastAsia" w:ascii="仿宋" w:hAnsi="仿宋" w:eastAsia="仿宋"/>
          <w:color w:val="auto"/>
          <w:sz w:val="28"/>
          <w:szCs w:val="28"/>
          <w:highlight w:val="yellow"/>
        </w:rPr>
        <w:t>日</w:t>
      </w:r>
      <w:r>
        <w:rPr>
          <w:rFonts w:hint="eastAsia" w:ascii="仿宋" w:hAnsi="仿宋" w:eastAsia="仿宋"/>
          <w:color w:val="auto"/>
          <w:sz w:val="28"/>
          <w:szCs w:val="28"/>
          <w:highlight w:val="yellow"/>
          <w:u w:val="single"/>
        </w:rPr>
        <w:t>17</w:t>
      </w:r>
      <w:r>
        <w:rPr>
          <w:rFonts w:hint="eastAsia" w:ascii="仿宋" w:hAnsi="仿宋" w:eastAsia="仿宋"/>
          <w:color w:val="auto"/>
          <w:sz w:val="28"/>
          <w:szCs w:val="28"/>
          <w:highlight w:val="yellow"/>
        </w:rPr>
        <w:t>时</w:t>
      </w:r>
      <w:r>
        <w:rPr>
          <w:rFonts w:hint="eastAsia" w:ascii="仿宋" w:hAnsi="仿宋" w:eastAsia="仿宋"/>
          <w:color w:val="auto"/>
          <w:sz w:val="28"/>
          <w:szCs w:val="28"/>
          <w:highlight w:val="yellow"/>
          <w:u w:val="single"/>
        </w:rPr>
        <w:t>30</w:t>
      </w:r>
      <w:r>
        <w:rPr>
          <w:rFonts w:hint="eastAsia" w:ascii="仿宋" w:hAnsi="仿宋" w:eastAsia="仿宋"/>
          <w:color w:val="auto"/>
          <w:sz w:val="28"/>
          <w:szCs w:val="28"/>
          <w:highlight w:val="yellow"/>
        </w:rPr>
        <w:t>分</w:t>
      </w:r>
    </w:p>
    <w:p w14:paraId="7B6894DA">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2、费用支付：网上免费下载</w:t>
      </w:r>
    </w:p>
    <w:p w14:paraId="4E2ECFE9">
      <w:pPr>
        <w:tabs>
          <w:tab w:val="left" w:pos="432"/>
        </w:tabs>
        <w:spacing w:line="540" w:lineRule="exact"/>
        <w:rPr>
          <w:rFonts w:ascii="仿宋" w:hAnsi="仿宋" w:eastAsia="仿宋"/>
          <w:color w:val="auto"/>
          <w:sz w:val="28"/>
          <w:szCs w:val="28"/>
          <w:highlight w:val="none"/>
        </w:rPr>
      </w:pPr>
      <w:r>
        <w:rPr>
          <w:rFonts w:hint="eastAsia" w:ascii="黑体" w:hAnsi="黑体" w:eastAsia="黑体" w:cs="黑体"/>
          <w:color w:val="auto"/>
          <w:sz w:val="28"/>
          <w:szCs w:val="28"/>
          <w:highlight w:val="none"/>
        </w:rPr>
        <w:t>十七、资格审查方式：</w:t>
      </w:r>
      <w:r>
        <w:rPr>
          <w:rFonts w:hint="eastAsia" w:ascii="仿宋" w:hAnsi="仿宋" w:eastAsia="仿宋"/>
          <w:color w:val="auto"/>
          <w:sz w:val="28"/>
          <w:szCs w:val="28"/>
          <w:highlight w:val="none"/>
        </w:rPr>
        <w:t>本招标项目采用资格后审方式进行资格审查</w:t>
      </w:r>
    </w:p>
    <w:p w14:paraId="7F74D035">
      <w:pPr>
        <w:tabs>
          <w:tab w:val="left" w:pos="432"/>
        </w:tabs>
        <w:spacing w:line="540" w:lineRule="exact"/>
        <w:rPr>
          <w:rFonts w:ascii="仿宋" w:hAnsi="仿宋" w:eastAsia="仿宋"/>
          <w:color w:val="auto"/>
          <w:sz w:val="28"/>
          <w:szCs w:val="28"/>
          <w:highlight w:val="none"/>
        </w:rPr>
      </w:pPr>
      <w:r>
        <w:rPr>
          <w:rFonts w:hint="eastAsia" w:ascii="黑体" w:hAnsi="黑体" w:eastAsia="黑体" w:cs="黑体"/>
          <w:color w:val="auto"/>
          <w:sz w:val="28"/>
          <w:szCs w:val="28"/>
          <w:highlight w:val="none"/>
        </w:rPr>
        <w:t>十八、评标办法：</w:t>
      </w:r>
      <w:r>
        <w:rPr>
          <w:rFonts w:hint="eastAsia" w:ascii="仿宋" w:hAnsi="仿宋" w:eastAsia="仿宋"/>
          <w:color w:val="auto"/>
          <w:sz w:val="28"/>
          <w:szCs w:val="28"/>
          <w:highlight w:val="none"/>
        </w:rPr>
        <w:t>本招标项目评标办法采用综合评分法。（见招标文件第七章“评标及定标办法”）</w:t>
      </w:r>
    </w:p>
    <w:p w14:paraId="17715819">
      <w:pPr>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十九、备注：</w:t>
      </w:r>
    </w:p>
    <w:p w14:paraId="5ECFAD99">
      <w:pPr>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1、电子投标文件的制作详见《马鞍山市公共资源新版交易系统投标人端操作手册》,网址：https://zbcg.mas.gov.cn/masggzynew/fwzn/003007/20231020/dd52e39d-77ea-4d32-b657-b9fac15c9d13.html</w:t>
      </w:r>
    </w:p>
    <w:p w14:paraId="5C5E9153">
      <w:pPr>
        <w:tabs>
          <w:tab w:val="left" w:pos="432"/>
        </w:tabs>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2、本项目采取不见面开标大厅解密电子投标文件，投标人无须派代表前往开标现场。</w:t>
      </w:r>
      <w:r>
        <w:rPr>
          <w:rFonts w:hint="eastAsia" w:ascii="仿宋" w:hAnsi="仿宋" w:eastAsia="仿宋"/>
          <w:color w:val="auto"/>
          <w:sz w:val="28"/>
          <w:szCs w:val="28"/>
          <w:highlight w:val="none"/>
        </w:rPr>
        <w:tab/>
      </w:r>
    </w:p>
    <w:p w14:paraId="461F4568">
      <w:pPr>
        <w:spacing w:line="54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3、如本项目采用“实名制”投标。</w:t>
      </w:r>
    </w:p>
    <w:p w14:paraId="74A31DB4">
      <w:pPr>
        <w:spacing w:line="54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投标人需登录“标证通”APP进行身份认证比对，相关操作详见马鞍山市公共资源交易中心网-服务指南-软件下载-《实名制投标操作手册》。</w:t>
      </w:r>
    </w:p>
    <w:p w14:paraId="390358C9">
      <w:pPr>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二十、联系方式：</w:t>
      </w:r>
    </w:p>
    <w:p w14:paraId="6025F369">
      <w:pPr>
        <w:tabs>
          <w:tab w:val="left" w:pos="432"/>
        </w:tabs>
        <w:spacing w:line="5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招标人：</w:t>
      </w:r>
      <w:r>
        <w:rPr>
          <w:rFonts w:hint="eastAsia" w:ascii="仿宋" w:hAnsi="仿宋" w:eastAsia="仿宋" w:cs="仿宋"/>
          <w:color w:val="auto"/>
          <w:sz w:val="28"/>
          <w:szCs w:val="28"/>
          <w:highlight w:val="none"/>
          <w:lang w:eastAsia="zh-CN"/>
        </w:rPr>
        <w:t>安徽两江数智建设工程有限公司</w:t>
      </w:r>
    </w:p>
    <w:p w14:paraId="6A80BDA5">
      <w:pPr>
        <w:pStyle w:val="28"/>
        <w:tabs>
          <w:tab w:val="left" w:pos="432"/>
        </w:tabs>
        <w:spacing w:beforeAutospacing="0" w:afterAutospacing="0" w:line="5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rPr>
        <w:t>地址：</w:t>
      </w:r>
      <w:r>
        <w:rPr>
          <w:rFonts w:hint="eastAsia" w:ascii="仿宋" w:hAnsi="仿宋" w:eastAsia="仿宋" w:cs="仿宋"/>
          <w:color w:val="auto"/>
          <w:sz w:val="28"/>
          <w:szCs w:val="28"/>
          <w:highlight w:val="none"/>
          <w:lang w:eastAsia="zh-CN"/>
        </w:rPr>
        <w:t>安徽省马鞍山市雨山区花雨路109号</w:t>
      </w:r>
    </w:p>
    <w:p w14:paraId="2740A7B7">
      <w:pPr>
        <w:pStyle w:val="28"/>
        <w:tabs>
          <w:tab w:val="left" w:pos="432"/>
        </w:tabs>
        <w:spacing w:beforeAutospacing="0" w:afterAutospacing="0" w:line="540" w:lineRule="exact"/>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邮编：</w:t>
      </w:r>
      <w:r>
        <w:rPr>
          <w:rFonts w:hint="eastAsia" w:ascii="仿宋" w:hAnsi="仿宋" w:eastAsia="仿宋" w:cs="仿宋"/>
          <w:color w:val="auto"/>
          <w:sz w:val="28"/>
          <w:szCs w:val="28"/>
          <w:highlight w:val="none"/>
        </w:rPr>
        <w:t>243000</w:t>
      </w:r>
    </w:p>
    <w:p w14:paraId="1145DC24">
      <w:pPr>
        <w:tabs>
          <w:tab w:val="left" w:pos="432"/>
        </w:tabs>
        <w:spacing w:line="54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联系人（受理异议人）：</w:t>
      </w:r>
      <w:r>
        <w:rPr>
          <w:rFonts w:hint="eastAsia" w:ascii="仿宋" w:hAnsi="仿宋" w:eastAsia="仿宋"/>
          <w:color w:val="auto"/>
          <w:kern w:val="0"/>
          <w:sz w:val="28"/>
          <w:szCs w:val="28"/>
          <w:highlight w:val="none"/>
          <w:lang w:val="en-US" w:eastAsia="zh-CN"/>
        </w:rPr>
        <w:t>杜尧</w:t>
      </w:r>
    </w:p>
    <w:p w14:paraId="7371B111">
      <w:pPr>
        <w:spacing w:line="540" w:lineRule="exact"/>
        <w:rPr>
          <w:rFonts w:ascii="仿宋" w:hAnsi="仿宋"/>
          <w:color w:val="auto"/>
          <w:kern w:val="0"/>
          <w:sz w:val="28"/>
          <w:szCs w:val="28"/>
          <w:highlight w:val="none"/>
        </w:rPr>
      </w:pPr>
      <w:r>
        <w:rPr>
          <w:rFonts w:hint="eastAsia" w:ascii="仿宋" w:hAnsi="仿宋" w:eastAsia="仿宋"/>
          <w:color w:val="auto"/>
          <w:kern w:val="0"/>
          <w:sz w:val="28"/>
          <w:szCs w:val="28"/>
          <w:highlight w:val="none"/>
        </w:rPr>
        <w:t>电话：18655520082</w:t>
      </w:r>
    </w:p>
    <w:p w14:paraId="54B696E7">
      <w:pPr>
        <w:tabs>
          <w:tab w:val="left" w:pos="432"/>
          <w:tab w:val="left" w:pos="4228"/>
        </w:tabs>
        <w:spacing w:line="5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招标代理机构：马鞍山市兴马项目咨询有限公司</w:t>
      </w:r>
    </w:p>
    <w:p w14:paraId="564F8F5A">
      <w:pPr>
        <w:tabs>
          <w:tab w:val="left" w:pos="432"/>
          <w:tab w:val="left" w:pos="4228"/>
        </w:tabs>
        <w:spacing w:line="5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地址：马鞍山市雨山区印山东路2009号（印山东路与湖东中路交叉口）汇通大厦附楼五楼</w:t>
      </w:r>
    </w:p>
    <w:p w14:paraId="25DD1ED8">
      <w:pPr>
        <w:tabs>
          <w:tab w:val="left" w:pos="432"/>
        </w:tabs>
        <w:spacing w:line="540" w:lineRule="exact"/>
        <w:rPr>
          <w:rFonts w:ascii="仿宋" w:hAnsi="仿宋" w:eastAsia="仿宋"/>
          <w:color w:val="auto"/>
          <w:kern w:val="0"/>
          <w:sz w:val="28"/>
          <w:szCs w:val="28"/>
          <w:highlight w:val="none"/>
        </w:rPr>
      </w:pPr>
      <w:r>
        <w:rPr>
          <w:rFonts w:hint="eastAsia" w:ascii="仿宋" w:hAnsi="仿宋" w:eastAsia="仿宋" w:cs="仿宋"/>
          <w:color w:val="auto"/>
          <w:sz w:val="28"/>
          <w:szCs w:val="28"/>
          <w:highlight w:val="none"/>
        </w:rPr>
        <w:t>邮编：243000</w:t>
      </w:r>
    </w:p>
    <w:p w14:paraId="57E107DB">
      <w:pPr>
        <w:spacing w:line="54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联系人（受理异议人）：</w:t>
      </w:r>
      <w:r>
        <w:rPr>
          <w:rFonts w:hint="eastAsia" w:ascii="仿宋" w:hAnsi="仿宋" w:eastAsia="仿宋" w:cs="宋体"/>
          <w:color w:val="auto"/>
          <w:sz w:val="28"/>
          <w:szCs w:val="28"/>
          <w:highlight w:val="none"/>
        </w:rPr>
        <w:t>王璐、黄麟</w:t>
      </w:r>
    </w:p>
    <w:p w14:paraId="6E6DB0F1">
      <w:pPr>
        <w:spacing w:line="54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电话：0555-5206657、5200387</w:t>
      </w:r>
    </w:p>
    <w:p w14:paraId="268C33E7">
      <w:pPr>
        <w:spacing w:line="54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技术支持电话：</w:t>
      </w:r>
      <w:r>
        <w:rPr>
          <w:rFonts w:hint="eastAsia" w:ascii="仿宋" w:hAnsi="仿宋" w:eastAsia="仿宋"/>
          <w:color w:val="auto"/>
          <w:kern w:val="0"/>
          <w:sz w:val="28"/>
          <w:szCs w:val="28"/>
          <w:highlight w:val="none"/>
          <w:lang w:eastAsia="zh-CN"/>
        </w:rPr>
        <w:t>0512-58188516</w:t>
      </w:r>
      <w:r>
        <w:rPr>
          <w:rFonts w:hint="eastAsia" w:ascii="仿宋" w:hAnsi="仿宋" w:eastAsia="仿宋"/>
          <w:color w:val="auto"/>
          <w:kern w:val="0"/>
          <w:sz w:val="28"/>
          <w:szCs w:val="28"/>
          <w:highlight w:val="none"/>
        </w:rPr>
        <w:t>、0555-5200194</w:t>
      </w:r>
    </w:p>
    <w:p w14:paraId="6BD23C27">
      <w:pPr>
        <w:spacing w:line="540" w:lineRule="exact"/>
        <w:rPr>
          <w:rFonts w:ascii="仿宋" w:hAnsi="仿宋" w:eastAsia="仿宋"/>
          <w:color w:val="auto"/>
          <w:kern w:val="0"/>
          <w:sz w:val="28"/>
          <w:szCs w:val="28"/>
          <w:highlight w:val="none"/>
        </w:rPr>
      </w:pPr>
      <w:r>
        <w:rPr>
          <w:rFonts w:ascii="仿宋" w:hAnsi="仿宋" w:eastAsia="仿宋"/>
          <w:color w:val="auto"/>
          <w:kern w:val="0"/>
          <w:sz w:val="28"/>
          <w:szCs w:val="28"/>
          <w:highlight w:val="none"/>
        </w:rPr>
        <w:t>公共资源交易监督管理部门：马鞍山市公共资源交易监督管理局</w:t>
      </w:r>
      <w:r>
        <w:rPr>
          <w:rFonts w:ascii="仿宋" w:hAnsi="仿宋" w:eastAsia="仿宋"/>
          <w:color w:val="auto"/>
          <w:kern w:val="0"/>
          <w:sz w:val="28"/>
          <w:szCs w:val="28"/>
          <w:highlight w:val="none"/>
        </w:rPr>
        <w:br w:type="textWrapping"/>
      </w:r>
      <w:r>
        <w:rPr>
          <w:rFonts w:ascii="仿宋" w:hAnsi="仿宋" w:eastAsia="仿宋"/>
          <w:color w:val="auto"/>
          <w:kern w:val="0"/>
          <w:sz w:val="28"/>
          <w:szCs w:val="28"/>
          <w:highlight w:val="none"/>
        </w:rPr>
        <w:t>地址：马鞍山市印山东路2009号汇通大厦725室</w:t>
      </w:r>
      <w:r>
        <w:rPr>
          <w:rFonts w:ascii="仿宋" w:hAnsi="仿宋" w:eastAsia="仿宋"/>
          <w:color w:val="auto"/>
          <w:kern w:val="0"/>
          <w:sz w:val="28"/>
          <w:szCs w:val="28"/>
          <w:highlight w:val="none"/>
        </w:rPr>
        <w:br w:type="textWrapping"/>
      </w:r>
      <w:r>
        <w:rPr>
          <w:rFonts w:ascii="仿宋" w:hAnsi="仿宋" w:eastAsia="仿宋"/>
          <w:color w:val="auto"/>
          <w:kern w:val="0"/>
          <w:sz w:val="28"/>
          <w:szCs w:val="28"/>
          <w:highlight w:val="none"/>
        </w:rPr>
        <w:t>电话：0555-5200185</w:t>
      </w:r>
    </w:p>
    <w:p w14:paraId="5F2A7895">
      <w:pPr>
        <w:tabs>
          <w:tab w:val="left" w:pos="432"/>
        </w:tabs>
        <w:spacing w:line="540" w:lineRule="exac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二十一、投标保证金账号:</w:t>
      </w:r>
    </w:p>
    <w:p w14:paraId="1259B1CB">
      <w:pPr>
        <w:tabs>
          <w:tab w:val="left" w:pos="432"/>
        </w:tabs>
        <w:spacing w:line="54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本项目投标保证金接受的形式详见招标文件；若采用网银、电汇、转账形式提交投标保证金的，选择以下一家银行进行缴费：</w:t>
      </w:r>
    </w:p>
    <w:p w14:paraId="62FD1620">
      <w:pPr>
        <w:pStyle w:val="28"/>
        <w:tabs>
          <w:tab w:val="left" w:pos="432"/>
          <w:tab w:val="left" w:pos="4228"/>
        </w:tabs>
        <w:spacing w:beforeAutospacing="0" w:afterAutospacing="0"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账户</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p>
    <w:p w14:paraId="5D8134A6">
      <w:pPr>
        <w:pStyle w:val="28"/>
        <w:tabs>
          <w:tab w:val="left" w:pos="432"/>
          <w:tab w:val="left" w:pos="4228"/>
        </w:tabs>
        <w:spacing w:beforeAutospacing="0" w:afterAutospacing="0"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户名：马鞍山市公共资源交易中心</w:t>
      </w:r>
    </w:p>
    <w:p w14:paraId="212C5D92">
      <w:pPr>
        <w:pStyle w:val="28"/>
        <w:tabs>
          <w:tab w:val="left" w:pos="432"/>
          <w:tab w:val="left" w:pos="4228"/>
        </w:tabs>
        <w:spacing w:beforeAutospacing="0" w:afterAutospacing="0"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开户行：徽商银行股份有限公司马鞍山汇通支行</w:t>
      </w:r>
    </w:p>
    <w:p w14:paraId="6F1FC240">
      <w:pPr>
        <w:pStyle w:val="28"/>
        <w:tabs>
          <w:tab w:val="left" w:pos="432"/>
          <w:tab w:val="left" w:pos="4228"/>
        </w:tabs>
        <w:spacing w:beforeAutospacing="0" w:afterAutospacing="0"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账号：</w:t>
      </w:r>
    </w:p>
    <w:p w14:paraId="0AF96BCC">
      <w:pPr>
        <w:pStyle w:val="28"/>
        <w:tabs>
          <w:tab w:val="left" w:pos="432"/>
          <w:tab w:val="left" w:pos="4228"/>
        </w:tabs>
        <w:spacing w:beforeAutospacing="0" w:afterAutospacing="0" w:line="540" w:lineRule="exact"/>
        <w:rPr>
          <w:rFonts w:ascii="仿宋" w:hAnsi="仿宋" w:eastAsia="仿宋"/>
          <w:sz w:val="28"/>
          <w:szCs w:val="28"/>
        </w:rPr>
      </w:pPr>
      <w:r>
        <w:rPr>
          <w:rFonts w:hint="eastAsia" w:ascii="仿宋" w:hAnsi="仿宋" w:eastAsia="仿宋"/>
          <w:sz w:val="28"/>
          <w:szCs w:val="28"/>
        </w:rPr>
        <w:t>账户</w:t>
      </w:r>
      <w:r>
        <w:rPr>
          <w:rFonts w:hint="eastAsia" w:ascii="仿宋" w:hAnsi="仿宋" w:eastAsia="仿宋"/>
          <w:sz w:val="28"/>
          <w:szCs w:val="28"/>
          <w:lang w:val="en-US" w:eastAsia="zh-CN"/>
        </w:rPr>
        <w:t>2</w:t>
      </w:r>
      <w:r>
        <w:rPr>
          <w:rFonts w:hint="eastAsia" w:ascii="仿宋" w:hAnsi="仿宋" w:eastAsia="仿宋"/>
          <w:sz w:val="28"/>
          <w:szCs w:val="28"/>
        </w:rPr>
        <w:t>：</w:t>
      </w:r>
    </w:p>
    <w:p w14:paraId="12077403">
      <w:pPr>
        <w:pStyle w:val="28"/>
        <w:tabs>
          <w:tab w:val="left" w:pos="432"/>
          <w:tab w:val="left" w:pos="4228"/>
        </w:tabs>
        <w:spacing w:beforeAutospacing="0" w:afterAutospacing="0" w:line="540" w:lineRule="exact"/>
        <w:rPr>
          <w:rFonts w:ascii="仿宋" w:hAnsi="仿宋" w:eastAsia="仿宋"/>
          <w:sz w:val="28"/>
          <w:szCs w:val="28"/>
        </w:rPr>
      </w:pPr>
      <w:r>
        <w:rPr>
          <w:rFonts w:hint="eastAsia" w:ascii="仿宋" w:hAnsi="仿宋" w:eastAsia="仿宋"/>
          <w:sz w:val="28"/>
          <w:szCs w:val="28"/>
        </w:rPr>
        <w:t>户名：马鞍山市公共资源交易中心</w:t>
      </w:r>
    </w:p>
    <w:p w14:paraId="0DBBA080">
      <w:pPr>
        <w:pStyle w:val="28"/>
        <w:tabs>
          <w:tab w:val="left" w:pos="432"/>
          <w:tab w:val="left" w:pos="4228"/>
        </w:tabs>
        <w:spacing w:beforeAutospacing="0" w:afterAutospacing="0" w:line="540" w:lineRule="exact"/>
        <w:rPr>
          <w:rFonts w:ascii="仿宋" w:hAnsi="仿宋" w:eastAsia="仿宋"/>
          <w:sz w:val="28"/>
          <w:szCs w:val="28"/>
        </w:rPr>
      </w:pPr>
      <w:r>
        <w:rPr>
          <w:rFonts w:hint="eastAsia" w:ascii="仿宋" w:hAnsi="仿宋" w:eastAsia="仿宋"/>
          <w:sz w:val="28"/>
          <w:szCs w:val="28"/>
        </w:rPr>
        <w:t>开户行：中国银行马鞍山市政广场支行</w:t>
      </w:r>
    </w:p>
    <w:p w14:paraId="55FB892F">
      <w:pPr>
        <w:pStyle w:val="28"/>
        <w:tabs>
          <w:tab w:val="left" w:pos="432"/>
          <w:tab w:val="left" w:pos="4228"/>
        </w:tabs>
        <w:spacing w:beforeAutospacing="0" w:afterAutospacing="0" w:line="540" w:lineRule="exact"/>
        <w:rPr>
          <w:rFonts w:ascii="仿宋" w:hAnsi="仿宋" w:eastAsia="仿宋"/>
          <w:sz w:val="28"/>
          <w:szCs w:val="28"/>
        </w:rPr>
      </w:pPr>
      <w:r>
        <w:rPr>
          <w:rFonts w:hint="eastAsia" w:ascii="仿宋" w:hAnsi="仿宋" w:eastAsia="仿宋"/>
          <w:sz w:val="28"/>
          <w:szCs w:val="28"/>
        </w:rPr>
        <w:t>账号：</w:t>
      </w:r>
    </w:p>
    <w:p w14:paraId="5C4F6DB4">
      <w:pPr>
        <w:pStyle w:val="28"/>
        <w:tabs>
          <w:tab w:val="left" w:pos="432"/>
          <w:tab w:val="left" w:pos="4228"/>
        </w:tabs>
        <w:spacing w:beforeAutospacing="0" w:afterAutospacing="0" w:line="540" w:lineRule="exact"/>
        <w:rPr>
          <w:rFonts w:ascii="仿宋" w:hAnsi="仿宋" w:eastAsia="仿宋"/>
          <w:sz w:val="28"/>
          <w:szCs w:val="28"/>
        </w:rPr>
      </w:pPr>
      <w:r>
        <w:rPr>
          <w:rFonts w:hint="eastAsia" w:ascii="仿宋" w:hAnsi="仿宋" w:eastAsia="仿宋"/>
          <w:sz w:val="28"/>
          <w:szCs w:val="28"/>
        </w:rPr>
        <w:t>账户</w:t>
      </w:r>
      <w:r>
        <w:rPr>
          <w:rFonts w:hint="eastAsia" w:ascii="仿宋" w:hAnsi="仿宋" w:eastAsia="仿宋"/>
          <w:sz w:val="28"/>
          <w:szCs w:val="28"/>
          <w:lang w:val="en-US" w:eastAsia="zh-CN"/>
        </w:rPr>
        <w:t>3</w:t>
      </w:r>
      <w:r>
        <w:rPr>
          <w:rFonts w:hint="eastAsia" w:ascii="仿宋" w:hAnsi="仿宋" w:eastAsia="仿宋"/>
          <w:sz w:val="28"/>
          <w:szCs w:val="28"/>
        </w:rPr>
        <w:t>：</w:t>
      </w:r>
    </w:p>
    <w:p w14:paraId="73F2BE14">
      <w:pPr>
        <w:pStyle w:val="28"/>
        <w:tabs>
          <w:tab w:val="left" w:pos="432"/>
          <w:tab w:val="left" w:pos="4228"/>
        </w:tabs>
        <w:spacing w:beforeAutospacing="0" w:afterAutospacing="0" w:line="540" w:lineRule="exact"/>
        <w:rPr>
          <w:rFonts w:ascii="仿宋" w:hAnsi="仿宋" w:eastAsia="仿宋"/>
          <w:sz w:val="28"/>
          <w:szCs w:val="28"/>
        </w:rPr>
      </w:pPr>
      <w:r>
        <w:rPr>
          <w:rFonts w:hint="eastAsia" w:ascii="仿宋" w:hAnsi="仿宋" w:eastAsia="仿宋"/>
          <w:sz w:val="28"/>
          <w:szCs w:val="28"/>
        </w:rPr>
        <w:t>户名：马鞍山市公共资源交易中心</w:t>
      </w:r>
    </w:p>
    <w:p w14:paraId="4FC49305">
      <w:pPr>
        <w:pStyle w:val="28"/>
        <w:tabs>
          <w:tab w:val="left" w:pos="432"/>
          <w:tab w:val="left" w:pos="4228"/>
        </w:tabs>
        <w:spacing w:beforeAutospacing="0" w:afterAutospacing="0" w:line="540" w:lineRule="exact"/>
        <w:rPr>
          <w:rFonts w:ascii="仿宋" w:hAnsi="仿宋" w:eastAsia="仿宋"/>
          <w:sz w:val="28"/>
          <w:szCs w:val="28"/>
        </w:rPr>
      </w:pPr>
      <w:r>
        <w:rPr>
          <w:rFonts w:hint="eastAsia" w:ascii="仿宋" w:hAnsi="仿宋" w:eastAsia="仿宋"/>
          <w:sz w:val="28"/>
          <w:szCs w:val="28"/>
        </w:rPr>
        <w:t>开户行：中国农业银行股份有限公司马鞍山雨丰支行</w:t>
      </w:r>
    </w:p>
    <w:p w14:paraId="43CFCFF1">
      <w:pPr>
        <w:tabs>
          <w:tab w:val="left" w:pos="432"/>
          <w:tab w:val="left" w:pos="4228"/>
        </w:tabs>
        <w:spacing w:line="540" w:lineRule="exact"/>
        <w:rPr>
          <w:rFonts w:ascii="仿宋" w:hAnsi="仿宋" w:eastAsia="仿宋"/>
          <w:sz w:val="28"/>
          <w:szCs w:val="28"/>
        </w:rPr>
      </w:pPr>
      <w:r>
        <w:rPr>
          <w:rFonts w:hint="eastAsia" w:ascii="仿宋" w:hAnsi="仿宋" w:eastAsia="仿宋"/>
          <w:sz w:val="28"/>
          <w:szCs w:val="28"/>
        </w:rPr>
        <w:t>账号：</w:t>
      </w:r>
    </w:p>
    <w:p w14:paraId="6404589F">
      <w:pPr>
        <w:tabs>
          <w:tab w:val="left" w:pos="432"/>
        </w:tabs>
        <w:jc w:val="center"/>
        <w:rPr>
          <w:b/>
          <w:bCs/>
          <w:sz w:val="32"/>
          <w:szCs w:val="32"/>
        </w:rPr>
      </w:pPr>
      <w:r>
        <w:br w:type="page"/>
      </w:r>
      <w:r>
        <w:rPr>
          <w:rFonts w:hint="eastAsia"/>
          <w:b/>
          <w:bCs/>
          <w:sz w:val="32"/>
          <w:szCs w:val="32"/>
        </w:rPr>
        <w:t>第二章  投标人须知</w:t>
      </w:r>
      <w:bookmarkEnd w:id="13"/>
    </w:p>
    <w:p w14:paraId="229CA5B6">
      <w:pPr>
        <w:jc w:val="center"/>
        <w:rPr>
          <w:b/>
          <w:bCs/>
          <w:sz w:val="32"/>
          <w:szCs w:val="32"/>
        </w:rPr>
      </w:pPr>
      <w:r>
        <w:rPr>
          <w:rFonts w:hint="eastAsia"/>
          <w:b/>
          <w:bCs/>
          <w:sz w:val="32"/>
          <w:szCs w:val="32"/>
        </w:rPr>
        <w:t>投标人须知前附表</w:t>
      </w:r>
    </w:p>
    <w:tbl>
      <w:tblPr>
        <w:tblStyle w:val="32"/>
        <w:tblW w:w="103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1703"/>
        <w:gridCol w:w="7340"/>
      </w:tblGrid>
      <w:tr w14:paraId="13635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22762734">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5A2EC317">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内</w:t>
            </w:r>
            <w:r>
              <w:rPr>
                <w:rFonts w:ascii="宋体" w:hAnsi="宋体"/>
                <w:color w:val="000000"/>
                <w:sz w:val="24"/>
              </w:rPr>
              <w:t xml:space="preserve">   容</w:t>
            </w:r>
          </w:p>
        </w:tc>
        <w:tc>
          <w:tcPr>
            <w:tcW w:w="7340" w:type="dxa"/>
            <w:tcBorders>
              <w:top w:val="single" w:color="auto" w:sz="4" w:space="0"/>
              <w:left w:val="single" w:color="auto" w:sz="4" w:space="0"/>
              <w:bottom w:val="single" w:color="auto" w:sz="4" w:space="0"/>
              <w:right w:val="single" w:color="auto" w:sz="4" w:space="0"/>
            </w:tcBorders>
            <w:vAlign w:val="center"/>
          </w:tcPr>
          <w:p w14:paraId="4589B408">
            <w:pPr>
              <w:tabs>
                <w:tab w:val="left" w:pos="1180"/>
              </w:tabs>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说明与要求</w:t>
            </w:r>
          </w:p>
        </w:tc>
      </w:tr>
      <w:tr w14:paraId="7DFA1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7F19E813">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1.1.2</w:t>
            </w:r>
          </w:p>
        </w:tc>
        <w:tc>
          <w:tcPr>
            <w:tcW w:w="1703" w:type="dxa"/>
            <w:tcBorders>
              <w:top w:val="single" w:color="auto" w:sz="4" w:space="0"/>
              <w:left w:val="single" w:color="auto" w:sz="4" w:space="0"/>
              <w:bottom w:val="single" w:color="auto" w:sz="4" w:space="0"/>
              <w:right w:val="single" w:color="auto" w:sz="4" w:space="0"/>
            </w:tcBorders>
            <w:vAlign w:val="center"/>
          </w:tcPr>
          <w:p w14:paraId="4AF5F4A6">
            <w:pPr>
              <w:spacing w:line="400" w:lineRule="exact"/>
              <w:jc w:val="center"/>
              <w:rPr>
                <w:rFonts w:ascii="宋体" w:hAnsi="宋体"/>
                <w:sz w:val="24"/>
              </w:rPr>
            </w:pPr>
            <w:r>
              <w:rPr>
                <w:rFonts w:hint="eastAsia" w:ascii="宋体" w:hAnsi="宋体"/>
                <w:sz w:val="24"/>
              </w:rPr>
              <w:t>招标人</w:t>
            </w:r>
          </w:p>
        </w:tc>
        <w:tc>
          <w:tcPr>
            <w:tcW w:w="7340" w:type="dxa"/>
            <w:tcBorders>
              <w:top w:val="single" w:color="auto" w:sz="4" w:space="0"/>
              <w:left w:val="single" w:color="auto" w:sz="4" w:space="0"/>
              <w:bottom w:val="single" w:color="auto" w:sz="4" w:space="0"/>
              <w:right w:val="single" w:color="auto" w:sz="4" w:space="0"/>
            </w:tcBorders>
            <w:vAlign w:val="center"/>
          </w:tcPr>
          <w:p w14:paraId="7706CD69">
            <w:pPr>
              <w:spacing w:line="400" w:lineRule="exact"/>
              <w:rPr>
                <w:rFonts w:ascii="宋体" w:hAnsi="宋体"/>
                <w:sz w:val="24"/>
              </w:rPr>
            </w:pPr>
            <w:r>
              <w:rPr>
                <w:rFonts w:hint="eastAsia" w:ascii="宋体" w:hAnsi="宋体"/>
                <w:sz w:val="24"/>
              </w:rPr>
              <w:t>见招标公告</w:t>
            </w:r>
          </w:p>
        </w:tc>
      </w:tr>
      <w:tr w14:paraId="487EF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7D0378FE">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1.1.3</w:t>
            </w:r>
          </w:p>
        </w:tc>
        <w:tc>
          <w:tcPr>
            <w:tcW w:w="1703" w:type="dxa"/>
            <w:tcBorders>
              <w:top w:val="single" w:color="auto" w:sz="4" w:space="0"/>
              <w:left w:val="single" w:color="auto" w:sz="4" w:space="0"/>
              <w:bottom w:val="single" w:color="auto" w:sz="4" w:space="0"/>
              <w:right w:val="single" w:color="auto" w:sz="4" w:space="0"/>
            </w:tcBorders>
            <w:vAlign w:val="center"/>
          </w:tcPr>
          <w:p w14:paraId="5768A119">
            <w:pPr>
              <w:spacing w:line="400" w:lineRule="exact"/>
              <w:jc w:val="center"/>
              <w:rPr>
                <w:rFonts w:ascii="宋体" w:hAnsi="宋体"/>
                <w:sz w:val="24"/>
              </w:rPr>
            </w:pPr>
            <w:r>
              <w:rPr>
                <w:rFonts w:hint="eastAsia" w:ascii="宋体" w:hAnsi="宋体"/>
                <w:sz w:val="24"/>
              </w:rPr>
              <w:t>招标代理机构</w:t>
            </w:r>
          </w:p>
        </w:tc>
        <w:tc>
          <w:tcPr>
            <w:tcW w:w="7340" w:type="dxa"/>
            <w:tcBorders>
              <w:top w:val="single" w:color="auto" w:sz="4" w:space="0"/>
              <w:left w:val="single" w:color="auto" w:sz="4" w:space="0"/>
              <w:bottom w:val="single" w:color="auto" w:sz="4" w:space="0"/>
              <w:right w:val="single" w:color="auto" w:sz="4" w:space="0"/>
            </w:tcBorders>
            <w:vAlign w:val="center"/>
          </w:tcPr>
          <w:p w14:paraId="3A67F512">
            <w:pPr>
              <w:spacing w:line="400" w:lineRule="exact"/>
              <w:rPr>
                <w:rFonts w:ascii="宋体" w:hAnsi="宋体"/>
                <w:sz w:val="24"/>
              </w:rPr>
            </w:pPr>
            <w:r>
              <w:rPr>
                <w:rFonts w:hint="eastAsia" w:ascii="宋体" w:hAnsi="宋体"/>
                <w:sz w:val="24"/>
              </w:rPr>
              <w:t>见招标公告</w:t>
            </w:r>
          </w:p>
        </w:tc>
      </w:tr>
      <w:tr w14:paraId="1E04F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34AF5869">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1.1.4</w:t>
            </w:r>
          </w:p>
        </w:tc>
        <w:tc>
          <w:tcPr>
            <w:tcW w:w="1703" w:type="dxa"/>
            <w:tcBorders>
              <w:top w:val="single" w:color="auto" w:sz="4" w:space="0"/>
              <w:left w:val="single" w:color="auto" w:sz="4" w:space="0"/>
              <w:bottom w:val="single" w:color="auto" w:sz="4" w:space="0"/>
              <w:right w:val="single" w:color="auto" w:sz="4" w:space="0"/>
            </w:tcBorders>
            <w:vAlign w:val="center"/>
          </w:tcPr>
          <w:p w14:paraId="36BE2108">
            <w:pPr>
              <w:spacing w:line="400" w:lineRule="exact"/>
              <w:jc w:val="center"/>
              <w:rPr>
                <w:rFonts w:ascii="宋体" w:hAnsi="宋体"/>
                <w:sz w:val="24"/>
              </w:rPr>
            </w:pPr>
            <w:r>
              <w:rPr>
                <w:rFonts w:hint="eastAsia" w:ascii="宋体" w:hAnsi="宋体"/>
                <w:sz w:val="24"/>
              </w:rPr>
              <w:t>项目名称</w:t>
            </w:r>
          </w:p>
        </w:tc>
        <w:tc>
          <w:tcPr>
            <w:tcW w:w="7340" w:type="dxa"/>
            <w:tcBorders>
              <w:top w:val="single" w:color="auto" w:sz="4" w:space="0"/>
              <w:left w:val="single" w:color="auto" w:sz="4" w:space="0"/>
              <w:bottom w:val="single" w:color="auto" w:sz="4" w:space="0"/>
              <w:right w:val="single" w:color="auto" w:sz="4" w:space="0"/>
            </w:tcBorders>
            <w:vAlign w:val="center"/>
          </w:tcPr>
          <w:p w14:paraId="6FDFF668">
            <w:pPr>
              <w:spacing w:line="400" w:lineRule="exact"/>
              <w:rPr>
                <w:rFonts w:ascii="宋体" w:hAnsi="宋体"/>
                <w:sz w:val="24"/>
              </w:rPr>
            </w:pPr>
            <w:r>
              <w:rPr>
                <w:rFonts w:hint="eastAsia" w:ascii="宋体" w:hAnsi="宋体"/>
                <w:sz w:val="24"/>
              </w:rPr>
              <w:t>见招标公告</w:t>
            </w:r>
          </w:p>
        </w:tc>
      </w:tr>
      <w:tr w14:paraId="62DAB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04927EDB">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1.1.5</w:t>
            </w:r>
          </w:p>
        </w:tc>
        <w:tc>
          <w:tcPr>
            <w:tcW w:w="1703" w:type="dxa"/>
            <w:tcBorders>
              <w:top w:val="single" w:color="auto" w:sz="4" w:space="0"/>
              <w:left w:val="single" w:color="auto" w:sz="4" w:space="0"/>
              <w:bottom w:val="single" w:color="auto" w:sz="4" w:space="0"/>
              <w:right w:val="single" w:color="auto" w:sz="4" w:space="0"/>
            </w:tcBorders>
            <w:vAlign w:val="center"/>
          </w:tcPr>
          <w:p w14:paraId="30FDB9BF">
            <w:pPr>
              <w:spacing w:line="400" w:lineRule="exact"/>
              <w:jc w:val="center"/>
              <w:rPr>
                <w:rFonts w:ascii="宋体" w:hAnsi="宋体"/>
                <w:sz w:val="24"/>
              </w:rPr>
            </w:pPr>
            <w:r>
              <w:rPr>
                <w:rFonts w:hint="eastAsia" w:ascii="宋体" w:hAnsi="宋体"/>
                <w:sz w:val="24"/>
              </w:rPr>
              <w:t>建设地点</w:t>
            </w:r>
          </w:p>
        </w:tc>
        <w:tc>
          <w:tcPr>
            <w:tcW w:w="7340" w:type="dxa"/>
            <w:tcBorders>
              <w:top w:val="single" w:color="auto" w:sz="4" w:space="0"/>
              <w:left w:val="single" w:color="auto" w:sz="4" w:space="0"/>
              <w:bottom w:val="single" w:color="auto" w:sz="4" w:space="0"/>
              <w:right w:val="single" w:color="auto" w:sz="4" w:space="0"/>
            </w:tcBorders>
            <w:vAlign w:val="center"/>
          </w:tcPr>
          <w:p w14:paraId="4713BA84">
            <w:pPr>
              <w:spacing w:line="400" w:lineRule="exact"/>
              <w:rPr>
                <w:rFonts w:ascii="宋体" w:hAnsi="宋体"/>
                <w:sz w:val="24"/>
              </w:rPr>
            </w:pPr>
            <w:r>
              <w:rPr>
                <w:rFonts w:hint="eastAsia" w:ascii="宋体" w:hAnsi="宋体"/>
                <w:sz w:val="24"/>
              </w:rPr>
              <w:t>见招标公告</w:t>
            </w:r>
          </w:p>
        </w:tc>
      </w:tr>
      <w:tr w14:paraId="3CC80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5A1FED1A">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1.1.7</w:t>
            </w:r>
          </w:p>
        </w:tc>
        <w:tc>
          <w:tcPr>
            <w:tcW w:w="1703" w:type="dxa"/>
            <w:tcBorders>
              <w:top w:val="single" w:color="auto" w:sz="4" w:space="0"/>
              <w:left w:val="single" w:color="auto" w:sz="4" w:space="0"/>
              <w:bottom w:val="single" w:color="auto" w:sz="4" w:space="0"/>
              <w:right w:val="single" w:color="auto" w:sz="4" w:space="0"/>
            </w:tcBorders>
            <w:vAlign w:val="center"/>
          </w:tcPr>
          <w:p w14:paraId="7806B5FC">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资金来源</w:t>
            </w:r>
          </w:p>
        </w:tc>
        <w:tc>
          <w:tcPr>
            <w:tcW w:w="7340" w:type="dxa"/>
            <w:tcBorders>
              <w:top w:val="single" w:color="auto" w:sz="4" w:space="0"/>
              <w:left w:val="single" w:color="auto" w:sz="4" w:space="0"/>
              <w:bottom w:val="single" w:color="auto" w:sz="4" w:space="0"/>
              <w:right w:val="single" w:color="auto" w:sz="4" w:space="0"/>
            </w:tcBorders>
            <w:vAlign w:val="center"/>
          </w:tcPr>
          <w:p w14:paraId="0B8AD2F8">
            <w:pPr>
              <w:kinsoku w:val="0"/>
              <w:overflowPunct w:val="0"/>
              <w:autoSpaceDE w:val="0"/>
              <w:autoSpaceDN w:val="0"/>
              <w:spacing w:line="400" w:lineRule="exact"/>
              <w:rPr>
                <w:rFonts w:ascii="宋体" w:hAnsi="宋体"/>
                <w:color w:val="000000"/>
                <w:sz w:val="24"/>
              </w:rPr>
            </w:pPr>
            <w:r>
              <w:rPr>
                <w:rFonts w:hint="eastAsia" w:ascii="宋体" w:hAnsi="宋体" w:cs="宋体"/>
                <w:color w:val="000000"/>
                <w:kern w:val="0"/>
                <w:sz w:val="24"/>
              </w:rPr>
              <w:t>其他投资</w:t>
            </w:r>
          </w:p>
        </w:tc>
      </w:tr>
      <w:tr w14:paraId="75B8D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234D815A">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3</w:t>
            </w:r>
          </w:p>
        </w:tc>
        <w:tc>
          <w:tcPr>
            <w:tcW w:w="1703" w:type="dxa"/>
            <w:tcBorders>
              <w:top w:val="single" w:color="auto" w:sz="4" w:space="0"/>
              <w:left w:val="single" w:color="auto" w:sz="4" w:space="0"/>
              <w:bottom w:val="single" w:color="auto" w:sz="4" w:space="0"/>
              <w:right w:val="single" w:color="auto" w:sz="4" w:space="0"/>
            </w:tcBorders>
            <w:vAlign w:val="center"/>
          </w:tcPr>
          <w:p w14:paraId="217F9401">
            <w:pPr>
              <w:widowControl/>
              <w:kinsoku w:val="0"/>
              <w:overflowPunct w:val="0"/>
              <w:autoSpaceDE w:val="0"/>
              <w:autoSpaceDN w:val="0"/>
              <w:spacing w:line="400" w:lineRule="exact"/>
              <w:jc w:val="center"/>
              <w:rPr>
                <w:rFonts w:ascii="宋体" w:hAnsi="宋体" w:cs="宋体"/>
                <w:color w:val="000000"/>
                <w:kern w:val="0"/>
                <w:sz w:val="24"/>
              </w:rPr>
            </w:pPr>
            <w:r>
              <w:rPr>
                <w:rFonts w:hint="eastAsia" w:ascii="宋体" w:hAnsi="宋体" w:cs="宋体"/>
                <w:color w:val="000000"/>
                <w:kern w:val="0"/>
                <w:sz w:val="24"/>
              </w:rPr>
              <w:t>监理服务期</w:t>
            </w:r>
          </w:p>
        </w:tc>
        <w:tc>
          <w:tcPr>
            <w:tcW w:w="7340" w:type="dxa"/>
            <w:tcBorders>
              <w:top w:val="single" w:color="auto" w:sz="4" w:space="0"/>
              <w:left w:val="single" w:color="auto" w:sz="4" w:space="0"/>
              <w:bottom w:val="single" w:color="auto" w:sz="4" w:space="0"/>
              <w:right w:val="single" w:color="auto" w:sz="4" w:space="0"/>
            </w:tcBorders>
            <w:vAlign w:val="center"/>
          </w:tcPr>
          <w:p w14:paraId="24260B25">
            <w:pPr>
              <w:widowControl/>
              <w:kinsoku w:val="0"/>
              <w:overflowPunct w:val="0"/>
              <w:autoSpaceDE w:val="0"/>
              <w:autoSpaceDN w:val="0"/>
              <w:spacing w:line="400" w:lineRule="exact"/>
              <w:rPr>
                <w:rFonts w:ascii="宋体" w:hAnsi="宋体" w:cs="宋体"/>
                <w:color w:val="000000"/>
                <w:kern w:val="0"/>
                <w:sz w:val="24"/>
              </w:rPr>
            </w:pPr>
            <w:r>
              <w:rPr>
                <w:rFonts w:hint="eastAsia" w:ascii="宋体" w:hAnsi="宋体"/>
                <w:color w:val="000000"/>
                <w:sz w:val="24"/>
              </w:rPr>
              <w:t>见招标公告</w:t>
            </w:r>
          </w:p>
        </w:tc>
      </w:tr>
      <w:tr w14:paraId="1812B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1FD854DF">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1.4</w:t>
            </w:r>
          </w:p>
        </w:tc>
        <w:tc>
          <w:tcPr>
            <w:tcW w:w="1703" w:type="dxa"/>
            <w:tcBorders>
              <w:top w:val="single" w:color="auto" w:sz="4" w:space="0"/>
              <w:left w:val="single" w:color="auto" w:sz="4" w:space="0"/>
              <w:bottom w:val="single" w:color="auto" w:sz="4" w:space="0"/>
              <w:right w:val="single" w:color="auto" w:sz="4" w:space="0"/>
            </w:tcBorders>
            <w:vAlign w:val="center"/>
          </w:tcPr>
          <w:p w14:paraId="3C2E0674">
            <w:pPr>
              <w:widowControl/>
              <w:spacing w:line="400" w:lineRule="exact"/>
              <w:jc w:val="center"/>
              <w:rPr>
                <w:rFonts w:ascii="宋体" w:hAnsi="宋体"/>
                <w:color w:val="000000"/>
                <w:sz w:val="24"/>
              </w:rPr>
            </w:pPr>
            <w:r>
              <w:rPr>
                <w:rFonts w:hint="eastAsia" w:ascii="宋体" w:hAnsi="宋体"/>
                <w:color w:val="000000"/>
                <w:sz w:val="24"/>
              </w:rPr>
              <w:t>投标人</w:t>
            </w:r>
          </w:p>
          <w:p w14:paraId="3FF26126">
            <w:pPr>
              <w:widowControl/>
              <w:spacing w:line="400" w:lineRule="exact"/>
              <w:jc w:val="center"/>
              <w:rPr>
                <w:rFonts w:ascii="宋体" w:hAnsi="宋体"/>
                <w:color w:val="000000"/>
                <w:sz w:val="24"/>
              </w:rPr>
            </w:pPr>
            <w:r>
              <w:rPr>
                <w:rFonts w:hint="eastAsia" w:ascii="宋体" w:hAnsi="宋体"/>
                <w:color w:val="000000"/>
                <w:sz w:val="24"/>
              </w:rPr>
              <w:t>资格要求</w:t>
            </w:r>
          </w:p>
        </w:tc>
        <w:tc>
          <w:tcPr>
            <w:tcW w:w="7340" w:type="dxa"/>
            <w:tcBorders>
              <w:top w:val="single" w:color="auto" w:sz="4" w:space="0"/>
              <w:left w:val="single" w:color="auto" w:sz="4" w:space="0"/>
              <w:bottom w:val="single" w:color="auto" w:sz="4" w:space="0"/>
              <w:right w:val="single" w:color="auto" w:sz="4" w:space="0"/>
            </w:tcBorders>
            <w:vAlign w:val="center"/>
          </w:tcPr>
          <w:p w14:paraId="7D9F023E">
            <w:pPr>
              <w:widowControl/>
              <w:spacing w:line="400" w:lineRule="exact"/>
              <w:rPr>
                <w:rFonts w:ascii="宋体" w:hAnsi="宋体"/>
                <w:color w:val="000000"/>
                <w:sz w:val="24"/>
              </w:rPr>
            </w:pPr>
            <w:r>
              <w:rPr>
                <w:rFonts w:hint="eastAsia" w:ascii="宋体" w:hAnsi="宋体"/>
                <w:color w:val="000000"/>
                <w:sz w:val="24"/>
              </w:rPr>
              <w:t>见招标公告</w:t>
            </w:r>
          </w:p>
        </w:tc>
      </w:tr>
      <w:tr w14:paraId="4AA1D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59DF489D">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1.4.1</w:t>
            </w:r>
          </w:p>
        </w:tc>
        <w:tc>
          <w:tcPr>
            <w:tcW w:w="1703" w:type="dxa"/>
            <w:tcBorders>
              <w:top w:val="single" w:color="auto" w:sz="4" w:space="0"/>
              <w:left w:val="single" w:color="auto" w:sz="4" w:space="0"/>
              <w:bottom w:val="single" w:color="auto" w:sz="4" w:space="0"/>
              <w:right w:val="single" w:color="auto" w:sz="4" w:space="0"/>
            </w:tcBorders>
            <w:vAlign w:val="center"/>
          </w:tcPr>
          <w:p w14:paraId="2FDA9D94">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资格审查方式</w:t>
            </w:r>
          </w:p>
        </w:tc>
        <w:tc>
          <w:tcPr>
            <w:tcW w:w="7340" w:type="dxa"/>
            <w:tcBorders>
              <w:top w:val="single" w:color="auto" w:sz="4" w:space="0"/>
              <w:left w:val="single" w:color="auto" w:sz="4" w:space="0"/>
              <w:bottom w:val="single" w:color="auto" w:sz="4" w:space="0"/>
              <w:right w:val="single" w:color="auto" w:sz="4" w:space="0"/>
            </w:tcBorders>
            <w:vAlign w:val="center"/>
          </w:tcPr>
          <w:p w14:paraId="1AEA2A1C">
            <w:pPr>
              <w:kinsoku w:val="0"/>
              <w:overflowPunct w:val="0"/>
              <w:autoSpaceDE w:val="0"/>
              <w:autoSpaceDN w:val="0"/>
              <w:spacing w:line="400" w:lineRule="exact"/>
              <w:rPr>
                <w:rFonts w:ascii="宋体" w:hAnsi="宋体"/>
                <w:color w:val="000000"/>
                <w:sz w:val="24"/>
              </w:rPr>
            </w:pPr>
            <w:r>
              <w:rPr>
                <w:rFonts w:hint="eastAsia" w:ascii="宋体" w:hAnsi="宋体"/>
                <w:color w:val="000000"/>
                <w:sz w:val="24"/>
              </w:rPr>
              <w:t>资格后审</w:t>
            </w:r>
          </w:p>
        </w:tc>
      </w:tr>
      <w:tr w14:paraId="30117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1997FD57">
            <w:pPr>
              <w:spacing w:line="400" w:lineRule="exact"/>
              <w:jc w:val="center"/>
              <w:rPr>
                <w:rFonts w:ascii="宋体" w:hAnsi="宋体"/>
                <w:sz w:val="24"/>
              </w:rPr>
            </w:pPr>
            <w:r>
              <w:rPr>
                <w:rFonts w:hint="eastAsia" w:ascii="宋体" w:hAnsi="宋体"/>
                <w:sz w:val="24"/>
              </w:rPr>
              <w:t>1.8.1</w:t>
            </w:r>
          </w:p>
        </w:tc>
        <w:tc>
          <w:tcPr>
            <w:tcW w:w="1703" w:type="dxa"/>
            <w:tcBorders>
              <w:top w:val="single" w:color="auto" w:sz="4" w:space="0"/>
              <w:left w:val="single" w:color="auto" w:sz="4" w:space="0"/>
              <w:bottom w:val="single" w:color="auto" w:sz="4" w:space="0"/>
              <w:right w:val="single" w:color="auto" w:sz="4" w:space="0"/>
            </w:tcBorders>
            <w:vAlign w:val="center"/>
          </w:tcPr>
          <w:p w14:paraId="7CDC7C49">
            <w:pPr>
              <w:spacing w:line="400" w:lineRule="exact"/>
              <w:jc w:val="center"/>
              <w:rPr>
                <w:rFonts w:ascii="宋体" w:hAnsi="宋体"/>
                <w:sz w:val="24"/>
              </w:rPr>
            </w:pPr>
            <w:r>
              <w:rPr>
                <w:rFonts w:hint="eastAsia" w:ascii="宋体" w:hAnsi="宋体"/>
                <w:sz w:val="24"/>
              </w:rPr>
              <w:t>投标预备会</w:t>
            </w:r>
          </w:p>
        </w:tc>
        <w:tc>
          <w:tcPr>
            <w:tcW w:w="7340" w:type="dxa"/>
            <w:tcBorders>
              <w:top w:val="single" w:color="auto" w:sz="4" w:space="0"/>
              <w:left w:val="single" w:color="auto" w:sz="4" w:space="0"/>
              <w:bottom w:val="single" w:color="auto" w:sz="4" w:space="0"/>
              <w:right w:val="single" w:color="auto" w:sz="4" w:space="0"/>
            </w:tcBorders>
            <w:vAlign w:val="center"/>
          </w:tcPr>
          <w:p w14:paraId="781DCF58">
            <w:pPr>
              <w:spacing w:line="400" w:lineRule="exact"/>
              <w:rPr>
                <w:rFonts w:ascii="宋体" w:hAnsi="宋体"/>
                <w:sz w:val="24"/>
              </w:rPr>
            </w:pPr>
            <w:r>
              <w:rPr>
                <w:rFonts w:hint="eastAsia" w:ascii="宋体" w:hAnsi="宋体"/>
                <w:sz w:val="24"/>
              </w:rPr>
              <w:t>不召开</w:t>
            </w:r>
          </w:p>
        </w:tc>
      </w:tr>
      <w:tr w14:paraId="58253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7AF4C841">
            <w:pPr>
              <w:spacing w:line="400" w:lineRule="exact"/>
              <w:jc w:val="center"/>
              <w:rPr>
                <w:rFonts w:ascii="宋体" w:hAnsi="宋体"/>
                <w:sz w:val="24"/>
              </w:rPr>
            </w:pPr>
            <w:r>
              <w:rPr>
                <w:rFonts w:hint="eastAsia" w:ascii="宋体" w:hAnsi="宋体"/>
                <w:sz w:val="24"/>
              </w:rPr>
              <w:t>1.8.2</w:t>
            </w:r>
          </w:p>
        </w:tc>
        <w:tc>
          <w:tcPr>
            <w:tcW w:w="1703" w:type="dxa"/>
            <w:tcBorders>
              <w:top w:val="single" w:color="auto" w:sz="4" w:space="0"/>
              <w:left w:val="single" w:color="auto" w:sz="4" w:space="0"/>
              <w:bottom w:val="single" w:color="auto" w:sz="4" w:space="0"/>
              <w:right w:val="single" w:color="auto" w:sz="4" w:space="0"/>
            </w:tcBorders>
            <w:vAlign w:val="center"/>
          </w:tcPr>
          <w:p w14:paraId="3CBFA946">
            <w:pPr>
              <w:spacing w:line="400" w:lineRule="exact"/>
              <w:jc w:val="center"/>
              <w:rPr>
                <w:rFonts w:ascii="宋体" w:hAnsi="宋体"/>
                <w:sz w:val="24"/>
              </w:rPr>
            </w:pPr>
            <w:r>
              <w:rPr>
                <w:rFonts w:hint="eastAsia" w:ascii="宋体" w:hAnsi="宋体"/>
                <w:sz w:val="24"/>
              </w:rPr>
              <w:t>投标人提出异议的截止时间</w:t>
            </w:r>
          </w:p>
        </w:tc>
        <w:tc>
          <w:tcPr>
            <w:tcW w:w="7340" w:type="dxa"/>
            <w:tcBorders>
              <w:top w:val="single" w:color="auto" w:sz="4" w:space="0"/>
              <w:left w:val="single" w:color="auto" w:sz="4" w:space="0"/>
              <w:bottom w:val="single" w:color="auto" w:sz="4" w:space="0"/>
              <w:right w:val="single" w:color="auto" w:sz="4" w:space="0"/>
            </w:tcBorders>
            <w:vAlign w:val="center"/>
          </w:tcPr>
          <w:p w14:paraId="79753A0B">
            <w:pPr>
              <w:adjustRightInd w:val="0"/>
              <w:spacing w:line="400" w:lineRule="exact"/>
              <w:rPr>
                <w:rFonts w:ascii="宋体" w:hAnsi="宋体" w:cs="Arial"/>
                <w:kern w:val="0"/>
                <w:sz w:val="24"/>
              </w:rPr>
            </w:pPr>
            <w:r>
              <w:rPr>
                <w:rFonts w:hint="eastAsia" w:ascii="宋体" w:hAnsi="宋体"/>
                <w:color w:val="FF0000"/>
                <w:sz w:val="24"/>
              </w:rPr>
              <w:t>投标人若对招标文件有任何异议，应当在投标截止时间10日前，以电子文档在马鞍山市公共资源交易系统中向招标人提出。（询问联系电话：0555-5200336）</w:t>
            </w:r>
          </w:p>
        </w:tc>
      </w:tr>
      <w:tr w14:paraId="0C117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10FF5877">
            <w:pPr>
              <w:spacing w:line="400" w:lineRule="exact"/>
              <w:jc w:val="center"/>
              <w:rPr>
                <w:rFonts w:ascii="宋体" w:hAnsi="宋体"/>
                <w:sz w:val="24"/>
              </w:rPr>
            </w:pPr>
            <w:r>
              <w:rPr>
                <w:rFonts w:hint="eastAsia" w:ascii="宋体" w:hAnsi="宋体"/>
                <w:sz w:val="24"/>
              </w:rPr>
              <w:t>1.8.3</w:t>
            </w:r>
          </w:p>
        </w:tc>
        <w:tc>
          <w:tcPr>
            <w:tcW w:w="1703" w:type="dxa"/>
            <w:tcBorders>
              <w:top w:val="single" w:color="auto" w:sz="4" w:space="0"/>
              <w:left w:val="single" w:color="auto" w:sz="4" w:space="0"/>
              <w:bottom w:val="single" w:color="auto" w:sz="4" w:space="0"/>
              <w:right w:val="single" w:color="auto" w:sz="4" w:space="0"/>
            </w:tcBorders>
            <w:vAlign w:val="center"/>
          </w:tcPr>
          <w:p w14:paraId="3DFC78EC">
            <w:pPr>
              <w:spacing w:line="400" w:lineRule="exact"/>
              <w:jc w:val="center"/>
              <w:rPr>
                <w:rFonts w:ascii="宋体" w:hAnsi="宋体"/>
                <w:sz w:val="24"/>
              </w:rPr>
            </w:pPr>
            <w:r>
              <w:rPr>
                <w:rFonts w:hint="eastAsia" w:ascii="宋体" w:hAnsi="宋体"/>
                <w:sz w:val="24"/>
              </w:rPr>
              <w:t>招标人澄清或修改截止时间</w:t>
            </w:r>
          </w:p>
        </w:tc>
        <w:tc>
          <w:tcPr>
            <w:tcW w:w="7340" w:type="dxa"/>
            <w:tcBorders>
              <w:top w:val="single" w:color="auto" w:sz="4" w:space="0"/>
              <w:left w:val="single" w:color="auto" w:sz="4" w:space="0"/>
              <w:bottom w:val="single" w:color="auto" w:sz="4" w:space="0"/>
              <w:right w:val="single" w:color="auto" w:sz="4" w:space="0"/>
            </w:tcBorders>
            <w:vAlign w:val="center"/>
          </w:tcPr>
          <w:p w14:paraId="3AEE709E">
            <w:pPr>
              <w:spacing w:line="400" w:lineRule="exact"/>
              <w:rPr>
                <w:rFonts w:ascii="宋体" w:hAnsi="宋体"/>
                <w:sz w:val="24"/>
              </w:rPr>
            </w:pPr>
            <w:r>
              <w:rPr>
                <w:rFonts w:hint="eastAsia" w:ascii="宋体" w:hAnsi="宋体"/>
                <w:sz w:val="24"/>
              </w:rPr>
              <w:t>招标人在提交投标文件截止时间</w:t>
            </w:r>
            <w:r>
              <w:rPr>
                <w:rFonts w:hint="eastAsia" w:ascii="宋体" w:hAnsi="宋体"/>
                <w:bCs/>
                <w:sz w:val="24"/>
              </w:rPr>
              <w:t xml:space="preserve">15 </w:t>
            </w:r>
            <w:r>
              <w:rPr>
                <w:rFonts w:hint="eastAsia" w:ascii="宋体" w:hAnsi="宋体"/>
                <w:sz w:val="24"/>
              </w:rPr>
              <w:t>天前，发布对招标文件的澄清或修改内容。</w:t>
            </w:r>
          </w:p>
        </w:tc>
      </w:tr>
      <w:tr w14:paraId="0FBC6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268E3D2B">
            <w:pPr>
              <w:spacing w:line="400" w:lineRule="exact"/>
              <w:jc w:val="center"/>
              <w:rPr>
                <w:rFonts w:ascii="宋体" w:hAnsi="宋体"/>
                <w:sz w:val="24"/>
              </w:rPr>
            </w:pPr>
            <w:r>
              <w:rPr>
                <w:rFonts w:hint="eastAsia" w:ascii="宋体" w:hAnsi="宋体"/>
                <w:sz w:val="24"/>
              </w:rPr>
              <w:t>1.8.4</w:t>
            </w:r>
          </w:p>
        </w:tc>
        <w:tc>
          <w:tcPr>
            <w:tcW w:w="1703" w:type="dxa"/>
            <w:tcBorders>
              <w:top w:val="single" w:color="auto" w:sz="4" w:space="0"/>
              <w:left w:val="single" w:color="auto" w:sz="4" w:space="0"/>
              <w:bottom w:val="single" w:color="auto" w:sz="4" w:space="0"/>
              <w:right w:val="single" w:color="auto" w:sz="4" w:space="0"/>
            </w:tcBorders>
            <w:vAlign w:val="center"/>
          </w:tcPr>
          <w:p w14:paraId="47CD106D">
            <w:pPr>
              <w:spacing w:line="400" w:lineRule="exact"/>
              <w:jc w:val="center"/>
              <w:rPr>
                <w:rFonts w:ascii="宋体" w:hAnsi="宋体"/>
                <w:sz w:val="24"/>
              </w:rPr>
            </w:pPr>
            <w:r>
              <w:rPr>
                <w:rFonts w:hint="eastAsia" w:ascii="宋体" w:hAnsi="宋体"/>
                <w:sz w:val="24"/>
              </w:rPr>
              <w:t>重要</w:t>
            </w:r>
            <w:r>
              <w:rPr>
                <w:rFonts w:hint="eastAsia" w:ascii="宋体" w:hAnsi="宋体"/>
                <w:bCs/>
                <w:sz w:val="24"/>
              </w:rPr>
              <w:t>提示</w:t>
            </w:r>
          </w:p>
        </w:tc>
        <w:tc>
          <w:tcPr>
            <w:tcW w:w="7340" w:type="dxa"/>
            <w:tcBorders>
              <w:top w:val="single" w:color="auto" w:sz="4" w:space="0"/>
              <w:left w:val="single" w:color="auto" w:sz="4" w:space="0"/>
              <w:bottom w:val="single" w:color="auto" w:sz="4" w:space="0"/>
              <w:right w:val="single" w:color="auto" w:sz="4" w:space="0"/>
            </w:tcBorders>
            <w:vAlign w:val="center"/>
          </w:tcPr>
          <w:p w14:paraId="2378B525">
            <w:pPr>
              <w:spacing w:line="400" w:lineRule="exact"/>
              <w:rPr>
                <w:rFonts w:ascii="宋体" w:hAnsi="宋体"/>
                <w:bCs/>
                <w:sz w:val="24"/>
              </w:rPr>
            </w:pPr>
            <w:r>
              <w:rPr>
                <w:rFonts w:hint="eastAsia" w:ascii="宋体" w:hAnsi="宋体"/>
                <w:bCs/>
                <w:sz w:val="24"/>
              </w:rPr>
              <w:t>1、本项目的招标文件的澄清、修改等相关资料均通过马鞍山市公共资源交易中心网发布，请投标人自行下载。投标人必须及时登录马鞍山市公共资源交易中心网查看有无相关澄清、修改等内容。</w:t>
            </w:r>
          </w:p>
          <w:p w14:paraId="6D6CE2EF">
            <w:pPr>
              <w:spacing w:line="400" w:lineRule="exact"/>
              <w:rPr>
                <w:rFonts w:ascii="宋体" w:hAnsi="宋体"/>
                <w:bCs/>
                <w:sz w:val="24"/>
              </w:rPr>
            </w:pPr>
            <w:r>
              <w:rPr>
                <w:rFonts w:hint="eastAsia" w:ascii="宋体" w:hAnsi="宋体"/>
                <w:bCs/>
                <w:sz w:val="24"/>
              </w:rPr>
              <w:t>2、在开标前，投标人必须主动登录马鞍山市公共资源交易中心网查询相关信息，招标人和招标代理机构不承担投标人未及时关注相关信息引发的相关责任。</w:t>
            </w:r>
          </w:p>
        </w:tc>
      </w:tr>
      <w:tr w14:paraId="39E9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76374E58">
            <w:pPr>
              <w:spacing w:line="400" w:lineRule="exact"/>
              <w:jc w:val="center"/>
              <w:rPr>
                <w:rFonts w:ascii="宋体" w:hAnsi="宋体"/>
                <w:color w:val="000000"/>
                <w:sz w:val="24"/>
              </w:rPr>
            </w:pPr>
            <w:r>
              <w:rPr>
                <w:rFonts w:hint="eastAsia" w:ascii="宋体" w:hAnsi="宋体"/>
                <w:color w:val="000000"/>
                <w:sz w:val="24"/>
              </w:rPr>
              <w:t>3.2.3</w:t>
            </w:r>
          </w:p>
        </w:tc>
        <w:tc>
          <w:tcPr>
            <w:tcW w:w="1703" w:type="dxa"/>
            <w:tcBorders>
              <w:top w:val="single" w:color="auto" w:sz="4" w:space="0"/>
              <w:left w:val="single" w:color="auto" w:sz="4" w:space="0"/>
              <w:bottom w:val="single" w:color="auto" w:sz="4" w:space="0"/>
              <w:right w:val="single" w:color="auto" w:sz="4" w:space="0"/>
            </w:tcBorders>
            <w:vAlign w:val="center"/>
          </w:tcPr>
          <w:p w14:paraId="73429593">
            <w:pPr>
              <w:spacing w:line="400" w:lineRule="exact"/>
              <w:jc w:val="center"/>
              <w:rPr>
                <w:rFonts w:ascii="宋体" w:hAnsi="宋体"/>
                <w:color w:val="000000"/>
                <w:sz w:val="24"/>
              </w:rPr>
            </w:pPr>
            <w:r>
              <w:rPr>
                <w:rFonts w:hint="eastAsia" w:ascii="宋体" w:hAnsi="宋体"/>
                <w:color w:val="000000"/>
                <w:sz w:val="24"/>
              </w:rPr>
              <w:t>投标文件份数</w:t>
            </w:r>
          </w:p>
        </w:tc>
        <w:tc>
          <w:tcPr>
            <w:tcW w:w="7340" w:type="dxa"/>
            <w:tcBorders>
              <w:top w:val="single" w:color="auto" w:sz="4" w:space="0"/>
              <w:left w:val="single" w:color="auto" w:sz="4" w:space="0"/>
              <w:bottom w:val="single" w:color="auto" w:sz="4" w:space="0"/>
              <w:right w:val="single" w:color="auto" w:sz="4" w:space="0"/>
            </w:tcBorders>
            <w:vAlign w:val="center"/>
          </w:tcPr>
          <w:p w14:paraId="6537C5CE">
            <w:pPr>
              <w:spacing w:line="400" w:lineRule="exact"/>
              <w:rPr>
                <w:rFonts w:ascii="宋体" w:hAnsi="宋体"/>
                <w:color w:val="000000"/>
                <w:sz w:val="24"/>
              </w:rPr>
            </w:pPr>
            <w:r>
              <w:rPr>
                <w:rFonts w:hint="eastAsia" w:ascii="宋体" w:hAnsi="宋体"/>
                <w:color w:val="FF0000"/>
                <w:sz w:val="24"/>
              </w:rPr>
              <w:t>通过马鞍山市公共资源交易系统递交且系统成功接收的电子投标文件：一份。</w:t>
            </w:r>
          </w:p>
        </w:tc>
      </w:tr>
      <w:tr w14:paraId="3F030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6020FA17">
            <w:pPr>
              <w:spacing w:line="400" w:lineRule="exact"/>
              <w:jc w:val="center"/>
              <w:rPr>
                <w:rFonts w:ascii="宋体" w:hAnsi="宋体"/>
                <w:color w:val="000000"/>
                <w:sz w:val="24"/>
              </w:rPr>
            </w:pPr>
            <w:r>
              <w:rPr>
                <w:rFonts w:hint="eastAsia" w:ascii="宋体" w:hAnsi="宋体"/>
                <w:color w:val="000000"/>
                <w:sz w:val="24"/>
              </w:rPr>
              <w:t>3.2.4</w:t>
            </w:r>
          </w:p>
        </w:tc>
        <w:tc>
          <w:tcPr>
            <w:tcW w:w="1703" w:type="dxa"/>
            <w:tcBorders>
              <w:top w:val="single" w:color="auto" w:sz="4" w:space="0"/>
              <w:left w:val="single" w:color="auto" w:sz="4" w:space="0"/>
              <w:bottom w:val="single" w:color="auto" w:sz="4" w:space="0"/>
              <w:right w:val="single" w:color="auto" w:sz="4" w:space="0"/>
            </w:tcBorders>
            <w:vAlign w:val="center"/>
          </w:tcPr>
          <w:p w14:paraId="18182883">
            <w:pPr>
              <w:spacing w:line="400" w:lineRule="exact"/>
              <w:jc w:val="center"/>
              <w:rPr>
                <w:rFonts w:ascii="宋体" w:hAnsi="宋体"/>
                <w:color w:val="000000"/>
                <w:sz w:val="24"/>
              </w:rPr>
            </w:pPr>
            <w:r>
              <w:rPr>
                <w:rFonts w:hint="eastAsia" w:ascii="宋体" w:hAnsi="宋体"/>
                <w:color w:val="000000"/>
                <w:sz w:val="24"/>
              </w:rPr>
              <w:t>电子投标文件的递交要求</w:t>
            </w:r>
          </w:p>
        </w:tc>
        <w:tc>
          <w:tcPr>
            <w:tcW w:w="7340" w:type="dxa"/>
            <w:tcBorders>
              <w:top w:val="single" w:color="auto" w:sz="4" w:space="0"/>
              <w:left w:val="single" w:color="auto" w:sz="4" w:space="0"/>
              <w:bottom w:val="single" w:color="auto" w:sz="4" w:space="0"/>
              <w:right w:val="single" w:color="auto" w:sz="4" w:space="0"/>
            </w:tcBorders>
            <w:vAlign w:val="center"/>
          </w:tcPr>
          <w:p w14:paraId="6B30C4F5">
            <w:pPr>
              <w:spacing w:line="400" w:lineRule="exact"/>
              <w:rPr>
                <w:rFonts w:ascii="宋体" w:hAnsi="宋体"/>
                <w:color w:val="0000FF"/>
                <w:sz w:val="24"/>
              </w:rPr>
            </w:pPr>
            <w:r>
              <w:rPr>
                <w:rFonts w:hint="eastAsia" w:ascii="宋体" w:hAnsi="宋体"/>
                <w:color w:val="FF0000"/>
                <w:sz w:val="24"/>
              </w:rPr>
              <w:t>在投标截止时间前通过马鞍山市公共资源交易系统递交且系统接收成功的电子投标文件。</w:t>
            </w:r>
          </w:p>
        </w:tc>
      </w:tr>
      <w:tr w14:paraId="2EB91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64F1F92F">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3.3.2</w:t>
            </w:r>
          </w:p>
        </w:tc>
        <w:tc>
          <w:tcPr>
            <w:tcW w:w="1703" w:type="dxa"/>
            <w:tcBorders>
              <w:top w:val="single" w:color="auto" w:sz="4" w:space="0"/>
              <w:left w:val="single" w:color="auto" w:sz="4" w:space="0"/>
              <w:bottom w:val="single" w:color="auto" w:sz="4" w:space="0"/>
              <w:right w:val="single" w:color="auto" w:sz="4" w:space="0"/>
            </w:tcBorders>
            <w:vAlign w:val="center"/>
          </w:tcPr>
          <w:p w14:paraId="5B53F60A">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最高投标限价</w:t>
            </w:r>
          </w:p>
        </w:tc>
        <w:tc>
          <w:tcPr>
            <w:tcW w:w="7340" w:type="dxa"/>
            <w:tcBorders>
              <w:top w:val="single" w:color="auto" w:sz="4" w:space="0"/>
              <w:left w:val="single" w:color="auto" w:sz="4" w:space="0"/>
              <w:bottom w:val="single" w:color="auto" w:sz="4" w:space="0"/>
              <w:right w:val="single" w:color="auto" w:sz="4" w:space="0"/>
            </w:tcBorders>
            <w:vAlign w:val="center"/>
          </w:tcPr>
          <w:p w14:paraId="62A57C2B">
            <w:pPr>
              <w:kinsoku w:val="0"/>
              <w:overflowPunct w:val="0"/>
              <w:autoSpaceDE w:val="0"/>
              <w:autoSpaceDN w:val="0"/>
              <w:spacing w:line="400" w:lineRule="exact"/>
              <w:rPr>
                <w:rFonts w:ascii="宋体" w:hAnsi="宋体"/>
                <w:color w:val="000000"/>
                <w:sz w:val="24"/>
              </w:rPr>
            </w:pPr>
            <w:r>
              <w:rPr>
                <w:rFonts w:hint="eastAsia" w:ascii="宋体" w:hAnsi="宋体"/>
                <w:color w:val="000000"/>
                <w:sz w:val="24"/>
              </w:rPr>
              <w:t>见招标公告</w:t>
            </w:r>
          </w:p>
        </w:tc>
      </w:tr>
      <w:tr w14:paraId="0CD2E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6D061D9A">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3.4</w:t>
            </w:r>
          </w:p>
        </w:tc>
        <w:tc>
          <w:tcPr>
            <w:tcW w:w="1703" w:type="dxa"/>
            <w:tcBorders>
              <w:top w:val="single" w:color="auto" w:sz="4" w:space="0"/>
              <w:left w:val="single" w:color="auto" w:sz="4" w:space="0"/>
              <w:bottom w:val="single" w:color="auto" w:sz="4" w:space="0"/>
              <w:right w:val="single" w:color="auto" w:sz="4" w:space="0"/>
            </w:tcBorders>
            <w:vAlign w:val="center"/>
          </w:tcPr>
          <w:p w14:paraId="3F76D863">
            <w:pPr>
              <w:kinsoku w:val="0"/>
              <w:overflowPunct w:val="0"/>
              <w:autoSpaceDE w:val="0"/>
              <w:autoSpaceDN w:val="0"/>
              <w:spacing w:line="400" w:lineRule="exact"/>
              <w:jc w:val="center"/>
              <w:rPr>
                <w:rFonts w:ascii="宋体" w:hAnsi="宋体"/>
                <w:color w:val="000000"/>
                <w:sz w:val="24"/>
              </w:rPr>
            </w:pPr>
            <w:r>
              <w:rPr>
                <w:rFonts w:hint="eastAsia" w:ascii="宋体" w:hAnsi="宋体"/>
                <w:color w:val="000000"/>
                <w:sz w:val="24"/>
              </w:rPr>
              <w:t>投标有效期</w:t>
            </w:r>
          </w:p>
        </w:tc>
        <w:tc>
          <w:tcPr>
            <w:tcW w:w="7340" w:type="dxa"/>
            <w:tcBorders>
              <w:top w:val="single" w:color="auto" w:sz="4" w:space="0"/>
              <w:left w:val="single" w:color="auto" w:sz="4" w:space="0"/>
              <w:bottom w:val="single" w:color="auto" w:sz="4" w:space="0"/>
              <w:right w:val="single" w:color="auto" w:sz="4" w:space="0"/>
            </w:tcBorders>
            <w:vAlign w:val="center"/>
          </w:tcPr>
          <w:p w14:paraId="3A146689">
            <w:pPr>
              <w:kinsoku w:val="0"/>
              <w:overflowPunct w:val="0"/>
              <w:autoSpaceDE w:val="0"/>
              <w:autoSpaceDN w:val="0"/>
              <w:spacing w:line="400" w:lineRule="exact"/>
              <w:rPr>
                <w:rFonts w:ascii="宋体" w:hAnsi="宋体"/>
                <w:color w:val="000000"/>
                <w:sz w:val="24"/>
              </w:rPr>
            </w:pPr>
            <w:r>
              <w:rPr>
                <w:rFonts w:hint="eastAsia" w:ascii="宋体" w:hAnsi="宋体"/>
                <w:color w:val="000000"/>
                <w:sz w:val="24"/>
              </w:rPr>
              <w:t>为：</w:t>
            </w:r>
            <w:r>
              <w:rPr>
                <w:rFonts w:hint="eastAsia" w:ascii="宋体" w:hAnsi="宋体"/>
                <w:color w:val="000000"/>
                <w:sz w:val="24"/>
                <w:u w:val="single"/>
              </w:rPr>
              <w:t xml:space="preserve"> 90 </w:t>
            </w:r>
            <w:r>
              <w:rPr>
                <w:rFonts w:hint="eastAsia" w:ascii="宋体" w:hAnsi="宋体"/>
                <w:color w:val="000000"/>
                <w:sz w:val="24"/>
              </w:rPr>
              <w:t>日历天（从投标截止之日算起）</w:t>
            </w:r>
          </w:p>
        </w:tc>
      </w:tr>
      <w:tr w14:paraId="3DCE5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5BE54FDC">
            <w:pPr>
              <w:spacing w:line="400" w:lineRule="exact"/>
              <w:jc w:val="center"/>
              <w:rPr>
                <w:rFonts w:ascii="宋体" w:hAnsi="宋体"/>
                <w:color w:val="000000"/>
                <w:sz w:val="24"/>
              </w:rPr>
            </w:pPr>
            <w:r>
              <w:rPr>
                <w:rFonts w:hint="eastAsia" w:ascii="宋体" w:hAnsi="宋体"/>
                <w:color w:val="000000"/>
                <w:sz w:val="24"/>
              </w:rPr>
              <w:t>3.5</w:t>
            </w:r>
          </w:p>
        </w:tc>
        <w:tc>
          <w:tcPr>
            <w:tcW w:w="1703" w:type="dxa"/>
            <w:tcBorders>
              <w:top w:val="single" w:color="auto" w:sz="4" w:space="0"/>
              <w:left w:val="single" w:color="auto" w:sz="4" w:space="0"/>
              <w:bottom w:val="single" w:color="auto" w:sz="4" w:space="0"/>
              <w:right w:val="single" w:color="auto" w:sz="4" w:space="0"/>
            </w:tcBorders>
            <w:vAlign w:val="center"/>
          </w:tcPr>
          <w:p w14:paraId="3C08B349">
            <w:pPr>
              <w:spacing w:line="400" w:lineRule="exact"/>
              <w:jc w:val="center"/>
              <w:rPr>
                <w:rFonts w:ascii="宋体" w:hAnsi="宋体"/>
                <w:color w:val="000000"/>
                <w:sz w:val="24"/>
              </w:rPr>
            </w:pPr>
            <w:r>
              <w:rPr>
                <w:rFonts w:hint="eastAsia" w:ascii="宋体" w:hAnsi="宋体"/>
                <w:sz w:val="24"/>
              </w:rPr>
              <w:t>投标保证金</w:t>
            </w:r>
          </w:p>
        </w:tc>
        <w:tc>
          <w:tcPr>
            <w:tcW w:w="7340" w:type="dxa"/>
            <w:tcBorders>
              <w:top w:val="single" w:color="auto" w:sz="4" w:space="0"/>
              <w:left w:val="single" w:color="auto" w:sz="4" w:space="0"/>
              <w:bottom w:val="single" w:color="auto" w:sz="4" w:space="0"/>
              <w:right w:val="single" w:color="auto" w:sz="4" w:space="0"/>
            </w:tcBorders>
            <w:vAlign w:val="center"/>
          </w:tcPr>
          <w:p w14:paraId="57BD8C1D">
            <w:pPr>
              <w:snapToGrid w:val="0"/>
              <w:spacing w:line="400" w:lineRule="exact"/>
              <w:rPr>
                <w:rFonts w:ascii="新宋体" w:hAnsi="新宋体" w:eastAsia="新宋体"/>
                <w:color w:val="000000"/>
                <w:sz w:val="24"/>
              </w:rPr>
            </w:pPr>
            <w:r>
              <w:rPr>
                <w:rFonts w:hint="eastAsia" w:ascii="新宋体" w:hAnsi="新宋体" w:eastAsia="新宋体"/>
                <w:color w:val="000000"/>
                <w:sz w:val="24"/>
              </w:rPr>
              <w:t>1、是否要求投标人递交投标保证金：</w:t>
            </w:r>
          </w:p>
          <w:p w14:paraId="76823166">
            <w:pPr>
              <w:snapToGrid w:val="0"/>
              <w:spacing w:line="400" w:lineRule="exact"/>
              <w:rPr>
                <w:rFonts w:ascii="新宋体" w:hAnsi="新宋体" w:eastAsia="新宋体"/>
                <w:color w:val="000000"/>
                <w:sz w:val="24"/>
              </w:rPr>
            </w:pPr>
            <w:r>
              <w:rPr>
                <w:rFonts w:hint="eastAsia" w:ascii="新宋体" w:hAnsi="新宋体" w:eastAsia="新宋体"/>
                <w:color w:val="000000"/>
                <w:sz w:val="24"/>
              </w:rPr>
              <w:t>□不要求</w:t>
            </w:r>
            <w:r>
              <w:rPr>
                <w:rFonts w:ascii="新宋体" w:hAnsi="新宋体" w:eastAsia="新宋体"/>
                <w:color w:val="000000"/>
                <w:sz w:val="24"/>
              </w:rPr>
              <w:t xml:space="preserve"> </w:t>
            </w:r>
            <w:r>
              <w:rPr>
                <w:rFonts w:hint="eastAsia" w:ascii="新宋体" w:hAnsi="新宋体" w:eastAsia="新宋体" w:cs="新宋体"/>
                <w:color w:val="000000"/>
                <w:sz w:val="24"/>
              </w:rPr>
              <w:t></w:t>
            </w:r>
            <w:r>
              <w:rPr>
                <w:rFonts w:hint="eastAsia" w:ascii="MS Mincho" w:hAnsi="MS Mincho" w:eastAsia="MS Mincho" w:cs="MS Mincho"/>
                <w:color w:val="000000"/>
                <w:sz w:val="24"/>
              </w:rPr>
              <w:t>☑</w:t>
            </w:r>
            <w:r>
              <w:rPr>
                <w:rFonts w:hint="eastAsia" w:ascii="新宋体" w:hAnsi="新宋体" w:eastAsia="新宋体"/>
                <w:color w:val="000000"/>
                <w:sz w:val="24"/>
              </w:rPr>
              <w:t>要求</w:t>
            </w:r>
          </w:p>
          <w:p w14:paraId="0063CFB6">
            <w:pPr>
              <w:snapToGrid w:val="0"/>
              <w:spacing w:line="400" w:lineRule="exact"/>
              <w:rPr>
                <w:rFonts w:ascii="新宋体" w:hAnsi="新宋体" w:eastAsia="新宋体"/>
                <w:color w:val="000000"/>
                <w:sz w:val="24"/>
              </w:rPr>
            </w:pPr>
            <w:r>
              <w:rPr>
                <w:rFonts w:hint="eastAsia" w:ascii="新宋体" w:hAnsi="新宋体" w:eastAsia="新宋体"/>
                <w:color w:val="000000"/>
                <w:sz w:val="24"/>
              </w:rPr>
              <w:t>2、投标保证金的形式：</w:t>
            </w:r>
          </w:p>
          <w:p w14:paraId="230C13FB">
            <w:pPr>
              <w:snapToGrid w:val="0"/>
              <w:spacing w:line="400" w:lineRule="exact"/>
              <w:rPr>
                <w:rFonts w:ascii="新宋体" w:hAnsi="新宋体" w:eastAsia="新宋体"/>
                <w:color w:val="000000"/>
                <w:sz w:val="24"/>
              </w:rPr>
            </w:pPr>
            <w:r>
              <w:rPr>
                <w:rFonts w:hint="eastAsia" w:ascii="新宋体" w:hAnsi="新宋体" w:eastAsia="新宋体"/>
                <w:color w:val="000000"/>
                <w:sz w:val="24"/>
              </w:rPr>
              <w:t>第一类：</w:t>
            </w:r>
            <w:r>
              <w:rPr>
                <w:rFonts w:ascii="新宋体" w:hAnsi="新宋体" w:eastAsia="新宋体"/>
                <w:color w:val="000000"/>
                <w:sz w:val="24"/>
              </w:rPr>
              <w:t xml:space="preserve"> </w:t>
            </w:r>
            <w:r>
              <w:rPr>
                <w:rFonts w:hint="eastAsia" w:ascii="MS Mincho" w:hAnsi="MS Mincho" w:eastAsia="MS Mincho" w:cs="MS Mincho"/>
                <w:color w:val="000000"/>
                <w:sz w:val="24"/>
              </w:rPr>
              <w:t>☑</w:t>
            </w:r>
            <w:r>
              <w:rPr>
                <w:rFonts w:ascii="新宋体" w:hAnsi="新宋体" w:eastAsia="新宋体"/>
                <w:color w:val="000000"/>
                <w:sz w:val="24"/>
              </w:rPr>
              <w:t xml:space="preserve"> </w:t>
            </w:r>
            <w:r>
              <w:rPr>
                <w:rFonts w:hint="eastAsia" w:ascii="新宋体" w:hAnsi="新宋体" w:eastAsia="新宋体"/>
                <w:color w:val="000000"/>
                <w:sz w:val="24"/>
              </w:rPr>
              <w:t>网银、电汇、转账</w:t>
            </w:r>
          </w:p>
          <w:p w14:paraId="4AD8A817">
            <w:pPr>
              <w:snapToGrid w:val="0"/>
              <w:spacing w:line="400" w:lineRule="exact"/>
              <w:ind w:left="1301" w:hanging="1300" w:hangingChars="542"/>
              <w:rPr>
                <w:rFonts w:ascii="新宋体" w:hAnsi="新宋体" w:eastAsia="新宋体"/>
                <w:color w:val="000000"/>
                <w:sz w:val="24"/>
              </w:rPr>
            </w:pPr>
            <w:r>
              <w:rPr>
                <w:rFonts w:hint="eastAsia" w:ascii="新宋体" w:hAnsi="新宋体" w:eastAsia="新宋体"/>
                <w:color w:val="000000"/>
                <w:sz w:val="24"/>
              </w:rPr>
              <w:t>第二类：</w:t>
            </w:r>
            <w:r>
              <w:rPr>
                <w:rFonts w:ascii="新宋体" w:hAnsi="新宋体" w:eastAsia="新宋体"/>
                <w:color w:val="000000"/>
                <w:sz w:val="24"/>
              </w:rPr>
              <w:t xml:space="preserve"> </w:t>
            </w:r>
            <w:r>
              <w:rPr>
                <w:rFonts w:hint="eastAsia" w:ascii="MS Mincho" w:hAnsi="MS Mincho" w:eastAsia="MS Mincho" w:cs="MS Mincho"/>
                <w:color w:val="000000"/>
                <w:sz w:val="24"/>
              </w:rPr>
              <w:t>☑</w:t>
            </w:r>
            <w:r>
              <w:rPr>
                <w:rFonts w:hint="eastAsia" w:ascii="新宋体" w:hAnsi="新宋体" w:eastAsia="新宋体"/>
                <w:color w:val="000000"/>
                <w:sz w:val="24"/>
              </w:rPr>
              <w:t>电子保函（银行、保险、担保等）</w:t>
            </w:r>
          </w:p>
          <w:p w14:paraId="10F93AF1">
            <w:pPr>
              <w:snapToGrid w:val="0"/>
              <w:spacing w:line="400" w:lineRule="exact"/>
              <w:rPr>
                <w:rFonts w:ascii="新宋体" w:hAnsi="新宋体" w:eastAsia="新宋体"/>
                <w:color w:val="000000"/>
                <w:sz w:val="24"/>
              </w:rPr>
            </w:pPr>
            <w:r>
              <w:rPr>
                <w:rFonts w:hint="eastAsia" w:ascii="新宋体" w:hAnsi="新宋体" w:eastAsia="新宋体"/>
                <w:color w:val="000000"/>
                <w:sz w:val="24"/>
              </w:rPr>
              <w:t>第三类：</w:t>
            </w:r>
            <w:r>
              <w:rPr>
                <w:rFonts w:ascii="新宋体" w:hAnsi="新宋体" w:eastAsia="新宋体"/>
                <w:color w:val="000000"/>
                <w:sz w:val="24"/>
              </w:rPr>
              <w:t xml:space="preserve"> </w:t>
            </w:r>
            <w:r>
              <w:rPr>
                <w:rFonts w:hint="eastAsia" w:ascii="MS Mincho" w:hAnsi="MS Mincho" w:eastAsia="宋体" w:cs="MS Mincho"/>
                <w:color w:val="000000"/>
                <w:sz w:val="24"/>
                <w:lang w:eastAsia="zh-CN"/>
              </w:rPr>
              <w:t>□</w:t>
            </w:r>
            <w:r>
              <w:rPr>
                <w:rFonts w:hint="eastAsia" w:ascii="新宋体" w:hAnsi="新宋体" w:eastAsia="新宋体"/>
                <w:color w:val="000000"/>
                <w:sz w:val="24"/>
              </w:rPr>
              <w:t>纸质保函（纸质银行保函、 纸质担保机构担保、 纸质保证保险等）</w:t>
            </w:r>
          </w:p>
          <w:p w14:paraId="134A3DB8">
            <w:pPr>
              <w:snapToGrid w:val="0"/>
              <w:spacing w:line="400" w:lineRule="exact"/>
              <w:rPr>
                <w:rFonts w:ascii="新宋体" w:hAnsi="新宋体" w:eastAsia="新宋体"/>
                <w:color w:val="000000"/>
                <w:sz w:val="24"/>
              </w:rPr>
            </w:pPr>
            <w:r>
              <w:rPr>
                <w:rFonts w:hint="eastAsia" w:ascii="新宋体" w:hAnsi="新宋体" w:eastAsia="新宋体"/>
                <w:color w:val="000000"/>
                <w:sz w:val="24"/>
              </w:rPr>
              <w:t>3、投标保证金的金额：</w:t>
            </w:r>
            <w:r>
              <w:rPr>
                <w:rFonts w:hint="eastAsia" w:ascii="新宋体" w:hAnsi="新宋体" w:eastAsia="新宋体"/>
                <w:color w:val="000000"/>
                <w:sz w:val="24"/>
                <w:highlight w:val="yellow"/>
              </w:rPr>
              <w:t>人民币</w:t>
            </w:r>
            <w:r>
              <w:rPr>
                <w:rFonts w:hint="eastAsia" w:ascii="新宋体" w:hAnsi="新宋体" w:eastAsia="新宋体"/>
                <w:color w:val="000000"/>
                <w:sz w:val="24"/>
                <w:highlight w:val="yellow"/>
                <w:lang w:val="en-US" w:eastAsia="zh-CN"/>
              </w:rPr>
              <w:t>6</w:t>
            </w:r>
            <w:r>
              <w:rPr>
                <w:rFonts w:hint="eastAsia" w:ascii="新宋体" w:hAnsi="新宋体" w:eastAsia="新宋体"/>
                <w:b/>
                <w:color w:val="000000"/>
                <w:sz w:val="24"/>
                <w:highlight w:val="yellow"/>
              </w:rPr>
              <w:t>万元</w:t>
            </w:r>
          </w:p>
          <w:p w14:paraId="03A27314">
            <w:pPr>
              <w:snapToGrid w:val="0"/>
              <w:spacing w:line="400" w:lineRule="exact"/>
              <w:rPr>
                <w:rFonts w:ascii="新宋体" w:hAnsi="新宋体" w:eastAsia="新宋体"/>
                <w:color w:val="000000"/>
                <w:sz w:val="24"/>
              </w:rPr>
            </w:pPr>
            <w:r>
              <w:rPr>
                <w:rFonts w:hint="eastAsia" w:ascii="新宋体" w:hAnsi="新宋体" w:eastAsia="新宋体"/>
                <w:color w:val="000000"/>
                <w:sz w:val="24"/>
              </w:rPr>
              <w:t>4、递交要求：</w:t>
            </w:r>
          </w:p>
          <w:p w14:paraId="2DA29A9C">
            <w:pPr>
              <w:snapToGrid w:val="0"/>
              <w:spacing w:line="400" w:lineRule="exact"/>
              <w:rPr>
                <w:rFonts w:ascii="新宋体" w:hAnsi="新宋体" w:eastAsia="新宋体"/>
                <w:color w:val="000000"/>
                <w:sz w:val="24"/>
              </w:rPr>
            </w:pPr>
            <w:r>
              <w:rPr>
                <w:rFonts w:hint="eastAsia" w:ascii="新宋体" w:hAnsi="新宋体" w:eastAsia="新宋体"/>
                <w:color w:val="000000"/>
                <w:sz w:val="24"/>
              </w:rPr>
              <w:t>（1）如采用第一类形式：</w:t>
            </w:r>
          </w:p>
          <w:p w14:paraId="328DD61F">
            <w:pPr>
              <w:snapToGrid w:val="0"/>
              <w:spacing w:line="400" w:lineRule="exact"/>
              <w:rPr>
                <w:rFonts w:ascii="新宋体" w:hAnsi="新宋体" w:eastAsia="新宋体"/>
                <w:color w:val="000000"/>
                <w:sz w:val="24"/>
              </w:rPr>
            </w:pPr>
            <w:r>
              <w:rPr>
                <w:rFonts w:hint="eastAsia" w:ascii="新宋体" w:hAnsi="新宋体" w:eastAsia="新宋体"/>
                <w:color w:val="000000"/>
                <w:sz w:val="24"/>
              </w:rPr>
              <w:t>①投标保证金专用账户的户名、账号、开户行：见招标公告。</w:t>
            </w:r>
          </w:p>
          <w:p w14:paraId="6C019458">
            <w:pPr>
              <w:snapToGrid w:val="0"/>
              <w:spacing w:line="400" w:lineRule="exact"/>
              <w:rPr>
                <w:rFonts w:ascii="新宋体" w:hAnsi="新宋体" w:eastAsia="新宋体"/>
                <w:color w:val="000000"/>
                <w:sz w:val="24"/>
              </w:rPr>
            </w:pPr>
            <w:r>
              <w:rPr>
                <w:rFonts w:hint="eastAsia" w:ascii="新宋体" w:hAnsi="新宋体" w:eastAsia="新宋体"/>
                <w:color w:val="000000"/>
                <w:sz w:val="24"/>
              </w:rPr>
              <w:t>②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w:t>
            </w:r>
          </w:p>
          <w:p w14:paraId="5EE0419F">
            <w:pPr>
              <w:snapToGrid w:val="0"/>
              <w:spacing w:line="400" w:lineRule="exact"/>
              <w:rPr>
                <w:rFonts w:ascii="新宋体" w:hAnsi="新宋体" w:eastAsia="新宋体"/>
                <w:color w:val="000000"/>
                <w:sz w:val="24"/>
              </w:rPr>
            </w:pPr>
            <w:r>
              <w:rPr>
                <w:rFonts w:hint="eastAsia" w:ascii="宋体" w:hAnsi="宋体"/>
                <w:color w:val="000000"/>
                <w:sz w:val="24"/>
              </w:rPr>
              <w:t>③</w:t>
            </w:r>
            <w:r>
              <w:rPr>
                <w:rFonts w:hint="eastAsia" w:ascii="新宋体" w:hAnsi="新宋体" w:eastAsia="新宋体"/>
                <w:color w:val="000000"/>
                <w:sz w:val="24"/>
              </w:rPr>
              <w:t>马鞍山市公共资源交易中心在收到投标保证金后，无须向投标人出具收据；投标人在收到马鞍山市公共资源交易中心退还的投标保证金后，也无须向马鞍山市公共资源交易中心出具收据。</w:t>
            </w:r>
          </w:p>
          <w:p w14:paraId="6782E5C5">
            <w:pPr>
              <w:snapToGrid w:val="0"/>
              <w:spacing w:line="400" w:lineRule="exact"/>
              <w:rPr>
                <w:rFonts w:ascii="新宋体" w:hAnsi="新宋体" w:eastAsia="新宋体"/>
                <w:color w:val="000000"/>
                <w:sz w:val="24"/>
              </w:rPr>
            </w:pPr>
            <w:r>
              <w:rPr>
                <w:rFonts w:hint="eastAsia" w:ascii="新宋体" w:hAnsi="新宋体" w:eastAsia="新宋体"/>
                <w:color w:val="000000"/>
                <w:sz w:val="24"/>
              </w:rPr>
              <w:t>（2）如采用第二类形式：</w:t>
            </w:r>
          </w:p>
          <w:p w14:paraId="6610D1E7">
            <w:pPr>
              <w:snapToGrid w:val="0"/>
              <w:spacing w:line="400" w:lineRule="exact"/>
              <w:rPr>
                <w:rFonts w:ascii="新宋体" w:hAnsi="新宋体" w:eastAsia="新宋体"/>
                <w:color w:val="000000"/>
                <w:sz w:val="24"/>
              </w:rPr>
            </w:pPr>
            <w:r>
              <w:rPr>
                <w:rFonts w:hint="eastAsia" w:ascii="新宋体" w:hAnsi="新宋体" w:eastAsia="新宋体"/>
                <w:color w:val="000000"/>
                <w:sz w:val="24"/>
              </w:rPr>
              <w:t>投标人须在投标文件递交截止时间前提供与马鞍山市公共资源交易中心交易系统对接的电子保函，否则视为投标保证金未按规定要求缴纳，由评标委员会否决其投标。</w:t>
            </w:r>
          </w:p>
          <w:p w14:paraId="06A8F04B">
            <w:pPr>
              <w:snapToGrid w:val="0"/>
              <w:spacing w:line="400" w:lineRule="exact"/>
              <w:rPr>
                <w:rFonts w:ascii="新宋体" w:hAnsi="新宋体" w:eastAsia="新宋体"/>
                <w:color w:val="000000"/>
                <w:sz w:val="24"/>
              </w:rPr>
            </w:pPr>
            <w:r>
              <w:rPr>
                <w:rFonts w:hint="eastAsia" w:ascii="新宋体" w:hAnsi="新宋体" w:eastAsia="新宋体"/>
                <w:color w:val="000000"/>
                <w:sz w:val="24"/>
              </w:rPr>
              <w:t>（3）如采用第三类形式：</w:t>
            </w:r>
          </w:p>
          <w:p w14:paraId="69D53E48">
            <w:pPr>
              <w:snapToGrid w:val="0"/>
              <w:spacing w:line="400" w:lineRule="exact"/>
              <w:rPr>
                <w:rFonts w:ascii="新宋体" w:hAnsi="新宋体" w:eastAsia="新宋体"/>
                <w:color w:val="000000"/>
                <w:sz w:val="24"/>
              </w:rPr>
            </w:pPr>
            <w:r>
              <w:rPr>
                <w:rFonts w:hint="eastAsia" w:ascii="新宋体" w:hAnsi="新宋体" w:eastAsia="新宋体"/>
                <w:color w:val="000000"/>
                <w:sz w:val="24"/>
              </w:rPr>
              <w:t>①</w:t>
            </w:r>
            <w:r>
              <w:rPr>
                <w:rFonts w:hint="eastAsia" w:ascii="新宋体" w:hAnsi="新宋体" w:eastAsia="新宋体"/>
                <w:b/>
                <w:color w:val="000000"/>
                <w:sz w:val="24"/>
              </w:rPr>
              <w:t>采用纸质银行保函的</w:t>
            </w:r>
            <w:r>
              <w:rPr>
                <w:rFonts w:hint="eastAsia" w:ascii="新宋体" w:hAnsi="新宋体" w:eastAsia="新宋体"/>
                <w:color w:val="000000"/>
                <w:sz w:val="24"/>
              </w:rPr>
              <w:t>，应为投标人基本存款账户开户行出具的不可撤销、不可转让的见索即付独立保函；出具保函的银行级别无要求，所需的费用由投标人承担。</w:t>
            </w:r>
          </w:p>
          <w:p w14:paraId="6CD228FE">
            <w:pPr>
              <w:snapToGrid w:val="0"/>
              <w:spacing w:line="400" w:lineRule="exact"/>
              <w:rPr>
                <w:rFonts w:ascii="新宋体" w:hAnsi="新宋体" w:eastAsia="新宋体"/>
                <w:color w:val="000000"/>
                <w:sz w:val="24"/>
              </w:rPr>
            </w:pPr>
            <w:r>
              <w:rPr>
                <w:rFonts w:hint="eastAsia" w:ascii="新宋体" w:hAnsi="新宋体" w:eastAsia="新宋体"/>
                <w:color w:val="000000"/>
                <w:sz w:val="24"/>
              </w:rPr>
              <w:t>②</w:t>
            </w:r>
            <w:r>
              <w:rPr>
                <w:rFonts w:hint="eastAsia" w:ascii="新宋体" w:hAnsi="新宋体" w:eastAsia="新宋体"/>
                <w:b/>
                <w:color w:val="000000"/>
                <w:sz w:val="24"/>
              </w:rPr>
              <w:t>采用纸质担保机构担保的</w:t>
            </w:r>
            <w:r>
              <w:rPr>
                <w:rFonts w:hint="eastAsia" w:ascii="新宋体" w:hAnsi="新宋体" w:eastAsia="新宋体"/>
                <w:color w:val="000000"/>
                <w:sz w:val="24"/>
              </w:rPr>
              <w:t>，应为经安徽省地方金融监督管理局审查批准，依法取得融资担保业务经营许可证的融资担保机构出具的不可撤销、不可转让的见索即付独立保函。</w:t>
            </w:r>
          </w:p>
          <w:p w14:paraId="6B9DB44E">
            <w:pPr>
              <w:snapToGrid w:val="0"/>
              <w:spacing w:line="400" w:lineRule="exact"/>
              <w:rPr>
                <w:rFonts w:ascii="新宋体" w:hAnsi="新宋体" w:eastAsia="新宋体"/>
                <w:color w:val="000000"/>
                <w:sz w:val="24"/>
              </w:rPr>
            </w:pPr>
            <w:r>
              <w:rPr>
                <w:rFonts w:hint="eastAsia" w:ascii="新宋体" w:hAnsi="新宋体" w:eastAsia="新宋体"/>
                <w:color w:val="000000"/>
                <w:sz w:val="24"/>
              </w:rPr>
              <w:t>③</w:t>
            </w:r>
            <w:r>
              <w:rPr>
                <w:rFonts w:hint="eastAsia" w:ascii="新宋体" w:hAnsi="新宋体" w:eastAsia="新宋体"/>
                <w:b/>
                <w:color w:val="000000"/>
                <w:sz w:val="24"/>
              </w:rPr>
              <w:t>采用纸质保证保险的</w:t>
            </w:r>
            <w:r>
              <w:rPr>
                <w:rFonts w:hint="eastAsia" w:ascii="新宋体" w:hAnsi="新宋体" w:eastAsia="新宋体"/>
                <w:color w:val="000000"/>
                <w:sz w:val="24"/>
              </w:rPr>
              <w:t>，应为保险公司出具的不可撤销、不可转让的见索即付保证保险。</w:t>
            </w:r>
          </w:p>
          <w:p w14:paraId="356679C2">
            <w:pPr>
              <w:snapToGrid w:val="0"/>
              <w:spacing w:line="400" w:lineRule="exact"/>
              <w:rPr>
                <w:rFonts w:ascii="新宋体" w:hAnsi="新宋体" w:eastAsia="新宋体"/>
                <w:color w:val="000000"/>
                <w:sz w:val="24"/>
              </w:rPr>
            </w:pPr>
            <w:r>
              <w:rPr>
                <w:rFonts w:hint="eastAsia" w:ascii="新宋体" w:hAnsi="新宋体" w:eastAsia="新宋体"/>
                <w:color w:val="FF0000"/>
                <w:sz w:val="24"/>
              </w:rPr>
              <w:t>④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 扫描件、保函（或保证保险）扫描件、</w:t>
            </w:r>
            <w:r>
              <w:rPr>
                <w:rFonts w:hint="eastAsia" w:ascii="新宋体" w:hAnsi="新宋体" w:eastAsia="新宋体"/>
                <w:color w:val="FF0000"/>
                <w:sz w:val="24"/>
                <w:highlight w:val="yellow"/>
              </w:rPr>
              <w:t>融资担保机构的融资担保业务经营许可证扫描件(若采用纸质担保机构担保的)</w:t>
            </w:r>
            <w:r>
              <w:rPr>
                <w:rFonts w:hint="eastAsia" w:ascii="新宋体" w:hAnsi="新宋体" w:eastAsia="新宋体"/>
                <w:color w:val="FF0000"/>
                <w:sz w:val="24"/>
              </w:rPr>
              <w:t>编入投标文件中，由评标委员会在评标时审查认定。未提交或未完整提交的视为未按规定提交投标保证金。</w:t>
            </w:r>
          </w:p>
          <w:p w14:paraId="4DBD0DC6">
            <w:pPr>
              <w:snapToGrid w:val="0"/>
              <w:spacing w:line="400" w:lineRule="exact"/>
              <w:rPr>
                <w:rFonts w:ascii="新宋体" w:hAnsi="新宋体" w:eastAsia="新宋体"/>
                <w:color w:val="000000"/>
                <w:sz w:val="24"/>
              </w:rPr>
            </w:pPr>
            <w:r>
              <w:rPr>
                <w:rFonts w:hint="eastAsia" w:ascii="新宋体" w:hAnsi="新宋体" w:eastAsia="新宋体"/>
                <w:color w:val="000000"/>
                <w:sz w:val="24"/>
              </w:rPr>
              <w:t>5、免缴投标保证金政策</w:t>
            </w:r>
          </w:p>
          <w:p w14:paraId="058AE678">
            <w:pPr>
              <w:snapToGrid w:val="0"/>
              <w:spacing w:line="400" w:lineRule="exact"/>
              <w:rPr>
                <w:rFonts w:ascii="新宋体" w:hAnsi="新宋体" w:eastAsia="新宋体"/>
                <w:color w:val="000000"/>
                <w:sz w:val="24"/>
                <w:highlight w:val="green"/>
              </w:rPr>
            </w:pPr>
            <w:r>
              <w:rPr>
                <w:rFonts w:hint="eastAsia" w:ascii="新宋体" w:hAnsi="新宋体" w:eastAsia="新宋体"/>
                <w:color w:val="000000"/>
                <w:sz w:val="24"/>
                <w:highlight w:val="green"/>
              </w:rPr>
              <w:t>投标人属于中小微企业的，且在投标文件中提供了《中小企业声明函》，可免缴投标保证金。出现以下情形的，视为投标人不属于中小微企业：①投标人未在投标文件中提供《中小企业声明函》的；②投标人提供的《中小企业声明函》不符合招标文件要求的。</w:t>
            </w:r>
          </w:p>
          <w:p w14:paraId="0DCB5FE4">
            <w:pPr>
              <w:snapToGrid w:val="0"/>
              <w:spacing w:line="400" w:lineRule="exact"/>
              <w:rPr>
                <w:rFonts w:ascii="新宋体" w:hAnsi="新宋体" w:eastAsia="新宋体"/>
                <w:color w:val="000000"/>
                <w:sz w:val="24"/>
              </w:rPr>
            </w:pPr>
            <w:r>
              <w:rPr>
                <w:rFonts w:hint="eastAsia" w:ascii="新宋体" w:hAnsi="新宋体" w:eastAsia="新宋体"/>
                <w:color w:val="000000"/>
                <w:sz w:val="24"/>
                <w:highlight w:val="green"/>
              </w:rPr>
              <w:t>【本项目是否采用免缴投标保证金政策：□是</w:t>
            </w:r>
            <w:r>
              <w:rPr>
                <w:rFonts w:ascii="新宋体" w:hAnsi="新宋体" w:eastAsia="新宋体"/>
                <w:color w:val="000000"/>
                <w:sz w:val="24"/>
                <w:highlight w:val="green"/>
              </w:rPr>
              <w:t xml:space="preserve">  </w:t>
            </w:r>
            <w:r>
              <w:rPr>
                <w:rFonts w:hint="eastAsia" w:ascii="MS Mincho" w:hAnsi="MS Mincho" w:eastAsia="MS Mincho" w:cs="MS Mincho"/>
                <w:color w:val="000000"/>
                <w:sz w:val="24"/>
                <w:highlight w:val="green"/>
              </w:rPr>
              <w:t>☑</w:t>
            </w:r>
            <w:r>
              <w:rPr>
                <w:rFonts w:hint="eastAsia" w:ascii="新宋体" w:hAnsi="新宋体" w:eastAsia="新宋体"/>
                <w:color w:val="000000"/>
                <w:sz w:val="24"/>
                <w:highlight w:val="green"/>
              </w:rPr>
              <w:t>否】</w:t>
            </w:r>
          </w:p>
          <w:p w14:paraId="728791B5">
            <w:pPr>
              <w:snapToGrid w:val="0"/>
              <w:spacing w:line="400" w:lineRule="exact"/>
              <w:rPr>
                <w:rFonts w:ascii="新宋体" w:hAnsi="新宋体" w:eastAsia="新宋体"/>
                <w:color w:val="FF0000"/>
                <w:sz w:val="24"/>
                <w:szCs w:val="22"/>
              </w:rPr>
            </w:pPr>
            <w:r>
              <w:rPr>
                <w:rFonts w:hint="eastAsia" w:ascii="新宋体" w:hAnsi="新宋体" w:eastAsia="新宋体"/>
                <w:color w:val="FF0000"/>
                <w:sz w:val="24"/>
                <w:szCs w:val="22"/>
              </w:rPr>
              <w:t>6、</w:t>
            </w:r>
            <w:r>
              <w:rPr>
                <w:rFonts w:hint="eastAsia" w:ascii="新宋体" w:hAnsi="新宋体" w:eastAsia="新宋体"/>
                <w:color w:val="FF0000"/>
                <w:sz w:val="24"/>
                <w:szCs w:val="22"/>
                <w:highlight w:val="yellow"/>
                <w:lang w:val="en-US" w:eastAsia="zh-CN"/>
              </w:rPr>
              <w:t>定</w:t>
            </w:r>
            <w:r>
              <w:rPr>
                <w:rFonts w:hint="eastAsia" w:ascii="宋体" w:hAnsi="宋体"/>
                <w:color w:val="FF0000"/>
                <w:sz w:val="24"/>
                <w:szCs w:val="22"/>
              </w:rPr>
              <w:t>标候选人</w:t>
            </w:r>
            <w:r>
              <w:rPr>
                <w:rFonts w:hint="eastAsia" w:ascii="新宋体" w:hAnsi="新宋体" w:eastAsia="新宋体"/>
                <w:color w:val="FF0000"/>
                <w:sz w:val="24"/>
                <w:szCs w:val="22"/>
              </w:rPr>
              <w:t>若采用电子保函、纸质保函形式递交投标保证金的,其电子保函、纸质保函将随</w:t>
            </w:r>
            <w:r>
              <w:rPr>
                <w:rFonts w:hint="eastAsia" w:ascii="新宋体" w:hAnsi="新宋体" w:eastAsia="新宋体"/>
                <w:color w:val="FF0000"/>
                <w:sz w:val="24"/>
                <w:szCs w:val="22"/>
                <w:highlight w:val="yellow"/>
                <w:lang w:val="en-US" w:eastAsia="zh-CN"/>
              </w:rPr>
              <w:t>定</w:t>
            </w:r>
            <w:r>
              <w:rPr>
                <w:rFonts w:hint="eastAsia" w:ascii="宋体" w:hAnsi="宋体"/>
                <w:color w:val="FF0000"/>
                <w:sz w:val="24"/>
                <w:szCs w:val="22"/>
              </w:rPr>
              <w:t>标候选人</w:t>
            </w:r>
            <w:r>
              <w:rPr>
                <w:rFonts w:hint="eastAsia" w:ascii="新宋体" w:hAnsi="新宋体" w:eastAsia="新宋体"/>
                <w:color w:val="FF0000"/>
                <w:sz w:val="24"/>
                <w:szCs w:val="22"/>
              </w:rPr>
              <w:t>公示一并公示。</w:t>
            </w:r>
          </w:p>
          <w:p w14:paraId="76F6DC23">
            <w:pPr>
              <w:snapToGrid w:val="0"/>
              <w:spacing w:line="400" w:lineRule="exact"/>
              <w:rPr>
                <w:rFonts w:ascii="新宋体" w:hAnsi="新宋体" w:eastAsia="新宋体"/>
                <w:b/>
                <w:color w:val="FF0000"/>
                <w:sz w:val="24"/>
              </w:rPr>
            </w:pPr>
            <w:r>
              <w:rPr>
                <w:rFonts w:hint="eastAsia" w:ascii="新宋体" w:hAnsi="新宋体" w:eastAsia="新宋体"/>
                <w:b/>
                <w:color w:val="FF0000"/>
                <w:sz w:val="24"/>
                <w:szCs w:val="22"/>
              </w:rPr>
              <w:t>7、</w:t>
            </w:r>
            <w:r>
              <w:rPr>
                <w:rFonts w:hint="eastAsia" w:ascii="新宋体" w:hAnsi="新宋体" w:eastAsia="新宋体"/>
                <w:b/>
                <w:color w:val="FF0000"/>
                <w:sz w:val="24"/>
              </w:rPr>
              <w:t>其他注意事项</w:t>
            </w:r>
          </w:p>
          <w:p w14:paraId="3306AA29">
            <w:pPr>
              <w:snapToGrid w:val="0"/>
              <w:spacing w:line="400" w:lineRule="exact"/>
              <w:rPr>
                <w:rFonts w:ascii="新宋体" w:hAnsi="新宋体" w:eastAsia="新宋体"/>
                <w:color w:val="000000"/>
                <w:sz w:val="24"/>
              </w:rPr>
            </w:pPr>
            <w:r>
              <w:rPr>
                <w:rFonts w:hint="eastAsia" w:ascii="新宋体" w:hAnsi="新宋体" w:eastAsia="新宋体"/>
                <w:color w:val="000000"/>
                <w:sz w:val="24"/>
              </w:rPr>
              <w:t>（1）采用网银、电汇、转账形式递交投标保证金的：投标保证金缴纳账号采用动态虚拟账号，项目招标失败后，投标保证金缴纳账号将会发生变化，请投标人参与后续招标时，注意勿将投标保证金错交至其他项目虚拟账号或前次公告账号。如本项目前次招标失败，招标人退还投标人的投标保证金。 投标人参与本次招标，须向本项目本次公告公布的投标保证金账号重新缴纳投标保证金。凡转账到其他项目虚拟账户或本项目前次公告账户的， 投标保证金无效。</w:t>
            </w:r>
          </w:p>
          <w:p w14:paraId="656B3AD4">
            <w:pPr>
              <w:snapToGrid w:val="0"/>
              <w:spacing w:line="400" w:lineRule="exact"/>
              <w:rPr>
                <w:rFonts w:ascii="新宋体" w:hAnsi="新宋体" w:eastAsia="新宋体"/>
                <w:color w:val="000000"/>
                <w:sz w:val="24"/>
              </w:rPr>
            </w:pPr>
            <w:r>
              <w:rPr>
                <w:rFonts w:hint="eastAsia" w:ascii="新宋体" w:hAnsi="新宋体" w:eastAsia="新宋体"/>
                <w:color w:val="000000"/>
                <w:sz w:val="24"/>
              </w:rPr>
              <w:t>（2）投标人参与本项目多个标段（包别）投标的（如分多标段/包别的），应该按标段（包别）分别递交投标保证金。未递交投标保证金的标段（包别），其投标无效。</w:t>
            </w:r>
          </w:p>
          <w:p w14:paraId="64B56F0D">
            <w:pPr>
              <w:snapToGrid w:val="0"/>
              <w:spacing w:line="400" w:lineRule="exact"/>
              <w:rPr>
                <w:rFonts w:ascii="新宋体" w:hAnsi="新宋体" w:eastAsia="新宋体"/>
                <w:color w:val="000000"/>
                <w:sz w:val="24"/>
              </w:rPr>
            </w:pPr>
            <w:r>
              <w:rPr>
                <w:rFonts w:hint="eastAsia" w:ascii="新宋体" w:hAnsi="新宋体" w:eastAsia="新宋体"/>
                <w:color w:val="000000"/>
                <w:sz w:val="24"/>
              </w:rPr>
              <w:t>（3）投标人采用保函方式提交投标保证金的，如出现本项目招标文件中所列的投标保证金不予退还情形的，提供担保的银行、担保机构及保险机构将无条件向招标人支付保函所列的全部投标保证金金额，该支付行为视同投标保证金不予退还。</w:t>
            </w:r>
          </w:p>
          <w:p w14:paraId="2EF4E07D">
            <w:pPr>
              <w:snapToGrid w:val="0"/>
              <w:spacing w:line="400" w:lineRule="exact"/>
              <w:rPr>
                <w:rFonts w:ascii="新宋体" w:hAnsi="新宋体" w:eastAsia="新宋体"/>
                <w:color w:val="000000"/>
                <w:sz w:val="24"/>
              </w:rPr>
            </w:pPr>
            <w:r>
              <w:rPr>
                <w:rFonts w:hint="eastAsia" w:ascii="新宋体" w:hAnsi="新宋体" w:eastAsia="新宋体"/>
                <w:color w:val="000000"/>
                <w:sz w:val="24"/>
              </w:rPr>
              <w:t>（4）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14:paraId="37F4A460">
            <w:pPr>
              <w:snapToGrid w:val="0"/>
              <w:spacing w:line="400" w:lineRule="exact"/>
              <w:rPr>
                <w:rFonts w:ascii="新宋体" w:hAnsi="新宋体" w:eastAsia="新宋体"/>
                <w:color w:val="000000"/>
                <w:sz w:val="24"/>
              </w:rPr>
            </w:pPr>
            <w:r>
              <w:rPr>
                <w:rFonts w:hint="eastAsia" w:ascii="新宋体" w:hAnsi="新宋体" w:eastAsia="新宋体"/>
                <w:color w:val="000000"/>
                <w:sz w:val="24"/>
              </w:rPr>
              <w:t>（5）投标保证金注意事项：</w:t>
            </w:r>
          </w:p>
          <w:p w14:paraId="30669A89">
            <w:pPr>
              <w:snapToGrid w:val="0"/>
              <w:spacing w:line="400" w:lineRule="exact"/>
              <w:rPr>
                <w:rFonts w:ascii="新宋体" w:hAnsi="新宋体" w:eastAsia="新宋体"/>
                <w:color w:val="000000"/>
                <w:sz w:val="24"/>
              </w:rPr>
            </w:pPr>
            <w:r>
              <w:rPr>
                <w:rFonts w:hint="eastAsia" w:ascii="新宋体" w:hAnsi="新宋体" w:eastAsia="新宋体"/>
                <w:color w:val="FF0000"/>
                <w:sz w:val="24"/>
              </w:rPr>
              <w:t>①投标人采用纸质保函形式的，须提供明确有效的查询途径（网址链接及查询方式），否则无效。</w:t>
            </w:r>
          </w:p>
          <w:p w14:paraId="3DFA9188">
            <w:pPr>
              <w:snapToGrid w:val="0"/>
              <w:spacing w:line="400" w:lineRule="exact"/>
              <w:rPr>
                <w:rFonts w:ascii="新宋体" w:hAnsi="新宋体" w:eastAsia="新宋体"/>
                <w:color w:val="000000"/>
                <w:sz w:val="24"/>
              </w:rPr>
            </w:pPr>
            <w:r>
              <w:rPr>
                <w:rFonts w:hint="eastAsia" w:ascii="新宋体" w:hAnsi="新宋体" w:eastAsia="新宋体"/>
                <w:color w:val="000000"/>
                <w:sz w:val="24"/>
              </w:rPr>
              <w:t>②保函存在明显异常情形的（如多家投标人的保函编号相同；保函存在明显伪造痕迹、内容前后矛盾等情形），评标委员会应根据投标人提供的查询途径进行核查， 并在评标报告中予以记录。</w:t>
            </w:r>
          </w:p>
          <w:p w14:paraId="518795A1">
            <w:pPr>
              <w:snapToGrid w:val="0"/>
              <w:spacing w:line="400" w:lineRule="exact"/>
              <w:rPr>
                <w:rFonts w:ascii="新宋体" w:hAnsi="新宋体" w:eastAsia="新宋体"/>
                <w:color w:val="000000"/>
                <w:sz w:val="24"/>
              </w:rPr>
            </w:pPr>
            <w:r>
              <w:rPr>
                <w:rFonts w:hint="eastAsia" w:ascii="新宋体" w:hAnsi="新宋体" w:eastAsia="新宋体"/>
                <w:color w:val="000000"/>
                <w:sz w:val="24"/>
              </w:rPr>
              <w:t>③</w:t>
            </w:r>
            <w:r>
              <w:rPr>
                <w:rFonts w:hint="eastAsia" w:ascii="新宋体" w:hAnsi="新宋体" w:eastAsia="新宋体"/>
                <w:color w:val="000000"/>
                <w:sz w:val="24"/>
                <w:highlight w:val="yellow"/>
                <w:lang w:val="en-US" w:eastAsia="zh-CN"/>
              </w:rPr>
              <w:t>定</w:t>
            </w:r>
            <w:r>
              <w:rPr>
                <w:rFonts w:hint="eastAsia" w:ascii="新宋体" w:hAnsi="新宋体" w:eastAsia="新宋体"/>
                <w:color w:val="000000"/>
                <w:sz w:val="24"/>
              </w:rPr>
              <w:t>标候选人须在</w:t>
            </w:r>
            <w:r>
              <w:rPr>
                <w:rFonts w:hint="eastAsia" w:ascii="新宋体" w:hAnsi="新宋体" w:eastAsia="新宋体"/>
                <w:color w:val="000000"/>
                <w:sz w:val="24"/>
                <w:highlight w:val="yellow"/>
                <w:lang w:val="en-US" w:eastAsia="zh-CN"/>
              </w:rPr>
              <w:t>定</w:t>
            </w:r>
            <w:r>
              <w:rPr>
                <w:rFonts w:hint="eastAsia" w:ascii="新宋体" w:hAnsi="新宋体" w:eastAsia="新宋体"/>
                <w:color w:val="000000"/>
                <w:sz w:val="24"/>
              </w:rPr>
              <w:t>标候选人公示期间将其开具至本招标项目的纸质保函原件提交招标人，且原件须与投标文件中提供的扫描件一致，如存在未按照规定提交或提交内容不一致，或发现弄虚作假的，招标人应报公共资源交易监督管理部门。</w:t>
            </w:r>
          </w:p>
        </w:tc>
      </w:tr>
      <w:tr w14:paraId="0010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347A821B">
            <w:pPr>
              <w:spacing w:line="400" w:lineRule="exact"/>
              <w:jc w:val="center"/>
              <w:rPr>
                <w:rFonts w:ascii="宋体" w:hAnsi="宋体"/>
                <w:color w:val="000000"/>
                <w:sz w:val="24"/>
              </w:rPr>
            </w:pPr>
            <w:r>
              <w:rPr>
                <w:rFonts w:hint="eastAsia" w:ascii="宋体" w:hAnsi="宋体"/>
                <w:color w:val="000000"/>
                <w:sz w:val="24"/>
              </w:rPr>
              <w:t>6.1.1</w:t>
            </w:r>
          </w:p>
        </w:tc>
        <w:tc>
          <w:tcPr>
            <w:tcW w:w="1703" w:type="dxa"/>
            <w:tcBorders>
              <w:top w:val="single" w:color="auto" w:sz="4" w:space="0"/>
              <w:left w:val="single" w:color="auto" w:sz="4" w:space="0"/>
              <w:bottom w:val="single" w:color="auto" w:sz="4" w:space="0"/>
              <w:right w:val="single" w:color="auto" w:sz="4" w:space="0"/>
            </w:tcBorders>
            <w:vAlign w:val="center"/>
          </w:tcPr>
          <w:p w14:paraId="307212DD">
            <w:pPr>
              <w:spacing w:line="400" w:lineRule="exact"/>
              <w:jc w:val="center"/>
              <w:rPr>
                <w:rFonts w:ascii="宋体" w:hAnsi="宋体"/>
                <w:color w:val="000000"/>
                <w:sz w:val="24"/>
              </w:rPr>
            </w:pPr>
            <w:r>
              <w:rPr>
                <w:rFonts w:hint="eastAsia" w:ascii="宋体" w:hAnsi="宋体"/>
                <w:color w:val="000000"/>
                <w:sz w:val="24"/>
              </w:rPr>
              <w:t>评标委员会的组建</w:t>
            </w:r>
          </w:p>
        </w:tc>
        <w:tc>
          <w:tcPr>
            <w:tcW w:w="7340" w:type="dxa"/>
            <w:tcBorders>
              <w:top w:val="single" w:color="auto" w:sz="4" w:space="0"/>
              <w:left w:val="single" w:color="auto" w:sz="4" w:space="0"/>
              <w:bottom w:val="single" w:color="auto" w:sz="4" w:space="0"/>
              <w:right w:val="single" w:color="auto" w:sz="4" w:space="0"/>
            </w:tcBorders>
            <w:vAlign w:val="center"/>
          </w:tcPr>
          <w:p w14:paraId="375F8BC4">
            <w:pPr>
              <w:spacing w:line="400" w:lineRule="exact"/>
              <w:rPr>
                <w:rFonts w:ascii="宋体" w:hAnsi="宋体"/>
                <w:sz w:val="24"/>
              </w:rPr>
            </w:pPr>
            <w:r>
              <w:rPr>
                <w:rFonts w:ascii="宋体" w:hAnsi="宋体"/>
                <w:sz w:val="24"/>
                <w:highlight w:val="green"/>
              </w:rPr>
              <w:t>评标委员会成员：5人（含）以上单数，由招标人依法组建；</w:t>
            </w:r>
          </w:p>
          <w:p w14:paraId="5273B144">
            <w:pPr>
              <w:spacing w:line="400" w:lineRule="exact"/>
              <w:rPr>
                <w:rFonts w:ascii="宋体" w:hAnsi="宋体"/>
                <w:color w:val="000000"/>
                <w:sz w:val="24"/>
              </w:rPr>
            </w:pPr>
            <w:r>
              <w:rPr>
                <w:rFonts w:hint="eastAsia" w:ascii="宋体" w:hAnsi="宋体"/>
                <w:sz w:val="24"/>
              </w:rPr>
              <w:t>评标专家确定方式：从专家库中随机抽取。</w:t>
            </w:r>
          </w:p>
        </w:tc>
      </w:tr>
      <w:tr w14:paraId="35D87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30352E0D">
            <w:pPr>
              <w:spacing w:line="400" w:lineRule="exact"/>
              <w:jc w:val="center"/>
              <w:rPr>
                <w:rFonts w:ascii="宋体" w:hAnsi="宋体"/>
                <w:color w:val="000000"/>
                <w:sz w:val="24"/>
              </w:rPr>
            </w:pPr>
            <w:r>
              <w:rPr>
                <w:rFonts w:hint="eastAsia" w:ascii="宋体" w:hAnsi="宋体"/>
                <w:color w:val="000000"/>
                <w:sz w:val="24"/>
              </w:rPr>
              <w:t>7.1</w:t>
            </w:r>
          </w:p>
        </w:tc>
        <w:tc>
          <w:tcPr>
            <w:tcW w:w="1703" w:type="dxa"/>
            <w:tcBorders>
              <w:top w:val="single" w:color="auto" w:sz="4" w:space="0"/>
              <w:left w:val="single" w:color="auto" w:sz="4" w:space="0"/>
              <w:bottom w:val="single" w:color="auto" w:sz="4" w:space="0"/>
              <w:right w:val="single" w:color="auto" w:sz="4" w:space="0"/>
            </w:tcBorders>
          </w:tcPr>
          <w:p w14:paraId="5D755683">
            <w:pPr>
              <w:spacing w:line="400" w:lineRule="exact"/>
              <w:jc w:val="center"/>
              <w:rPr>
                <w:rFonts w:ascii="宋体" w:hAnsi="宋体"/>
                <w:color w:val="000000"/>
                <w:sz w:val="24"/>
              </w:rPr>
            </w:pPr>
            <w:r>
              <w:rPr>
                <w:rFonts w:hint="eastAsia" w:ascii="宋体" w:hAnsi="宋体"/>
                <w:color w:val="000000"/>
                <w:sz w:val="24"/>
              </w:rPr>
              <w:t>是否授权评标委员会确定</w:t>
            </w:r>
          </w:p>
          <w:p w14:paraId="7684F28A">
            <w:pPr>
              <w:spacing w:line="400" w:lineRule="exact"/>
              <w:jc w:val="center"/>
              <w:rPr>
                <w:rFonts w:ascii="宋体" w:hAnsi="宋体"/>
                <w:color w:val="000000"/>
                <w:sz w:val="24"/>
              </w:rPr>
            </w:pPr>
            <w:r>
              <w:rPr>
                <w:rFonts w:hint="eastAsia" w:ascii="宋体" w:hAnsi="宋体"/>
                <w:color w:val="000000"/>
                <w:sz w:val="24"/>
              </w:rPr>
              <w:t>中标人</w:t>
            </w:r>
          </w:p>
        </w:tc>
        <w:tc>
          <w:tcPr>
            <w:tcW w:w="7340" w:type="dxa"/>
            <w:tcBorders>
              <w:top w:val="single" w:color="auto" w:sz="4" w:space="0"/>
              <w:left w:val="single" w:color="auto" w:sz="4" w:space="0"/>
              <w:bottom w:val="single" w:color="auto" w:sz="4" w:space="0"/>
              <w:right w:val="single" w:color="auto" w:sz="4" w:space="0"/>
            </w:tcBorders>
            <w:vAlign w:val="center"/>
          </w:tcPr>
          <w:p w14:paraId="43123BA2">
            <w:pPr>
              <w:spacing w:line="400" w:lineRule="exact"/>
              <w:rPr>
                <w:rFonts w:ascii="宋体" w:hAnsi="宋体"/>
                <w:sz w:val="24"/>
                <w:szCs w:val="22"/>
                <w:highlight w:val="yellow"/>
              </w:rPr>
            </w:pPr>
            <w:r>
              <w:rPr>
                <w:rFonts w:hint="eastAsia" w:ascii="宋体" w:hAnsi="宋体"/>
                <w:sz w:val="24"/>
                <w:szCs w:val="22"/>
                <w:highlight w:val="yellow"/>
              </w:rPr>
              <w:t>否。</w:t>
            </w:r>
          </w:p>
          <w:p w14:paraId="373B3C4F">
            <w:pPr>
              <w:spacing w:line="400" w:lineRule="exact"/>
              <w:rPr>
                <w:rFonts w:ascii="宋体" w:hAnsi="宋体"/>
                <w:sz w:val="24"/>
                <w:szCs w:val="22"/>
                <w:highlight w:val="yellow"/>
              </w:rPr>
            </w:pPr>
            <w:r>
              <w:rPr>
                <w:rFonts w:hint="eastAsia" w:ascii="宋体" w:hAnsi="宋体"/>
                <w:sz w:val="24"/>
                <w:szCs w:val="22"/>
                <w:highlight w:val="yellow"/>
              </w:rPr>
              <w:t>本项目评标、定标采用“</w:t>
            </w:r>
            <w:r>
              <w:rPr>
                <w:rFonts w:hint="eastAsia" w:ascii="宋体" w:hAnsi="宋体"/>
                <w:b/>
                <w:sz w:val="24"/>
                <w:szCs w:val="22"/>
                <w:highlight w:val="yellow"/>
              </w:rPr>
              <w:t>评定分离</w:t>
            </w:r>
            <w:r>
              <w:rPr>
                <w:rFonts w:hint="eastAsia" w:ascii="宋体" w:hAnsi="宋体"/>
                <w:sz w:val="24"/>
                <w:szCs w:val="22"/>
                <w:highlight w:val="yellow"/>
              </w:rPr>
              <w:t>”</w:t>
            </w:r>
            <w:r>
              <w:rPr>
                <w:rFonts w:hint="eastAsia" w:ascii="宋体" w:hAnsi="宋体"/>
                <w:b/>
                <w:sz w:val="24"/>
                <w:szCs w:val="22"/>
                <w:highlight w:val="yellow"/>
              </w:rPr>
              <w:t>办法</w:t>
            </w:r>
            <w:r>
              <w:rPr>
                <w:rFonts w:hint="eastAsia" w:ascii="宋体" w:hAnsi="宋体"/>
                <w:sz w:val="24"/>
                <w:szCs w:val="22"/>
                <w:highlight w:val="yellow"/>
              </w:rPr>
              <w:t>。</w:t>
            </w:r>
          </w:p>
          <w:p w14:paraId="7C7425CD">
            <w:pPr>
              <w:spacing w:line="400" w:lineRule="exact"/>
              <w:rPr>
                <w:rFonts w:ascii="宋体" w:hAnsi="宋体"/>
                <w:color w:val="000000"/>
                <w:sz w:val="24"/>
              </w:rPr>
            </w:pPr>
            <w:r>
              <w:rPr>
                <w:rFonts w:hint="eastAsia" w:ascii="宋体" w:hAnsi="宋体"/>
                <w:b/>
                <w:color w:val="FF0000"/>
                <w:sz w:val="24"/>
                <w:szCs w:val="22"/>
                <w:highlight w:val="yellow"/>
              </w:rPr>
              <w:t>评标委员会向招标人推荐不超过3 名定标候选人；</w:t>
            </w:r>
            <w:r>
              <w:rPr>
                <w:sz w:val="24"/>
                <w:szCs w:val="22"/>
                <w:highlight w:val="yellow"/>
              </w:rPr>
              <w:t>由招标人按规定组建</w:t>
            </w:r>
            <w:r>
              <w:rPr>
                <w:rFonts w:hint="eastAsia" w:ascii="宋体" w:hAnsi="宋体"/>
                <w:sz w:val="24"/>
                <w:szCs w:val="22"/>
                <w:highlight w:val="yellow"/>
              </w:rPr>
              <w:t>定标委员会，并根据招标文件规定，</w:t>
            </w:r>
            <w:r>
              <w:rPr>
                <w:rFonts w:hint="eastAsia" w:ascii="宋体" w:hAnsi="宋体"/>
                <w:sz w:val="24"/>
                <w:highlight w:val="yellow"/>
              </w:rPr>
              <w:t>由定标委员会确定1-3名中标候选人，定标委员会同时确定第一中标候选人为中标人。</w:t>
            </w:r>
          </w:p>
        </w:tc>
      </w:tr>
      <w:tr w14:paraId="22FC6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3D800382">
            <w:pPr>
              <w:spacing w:line="40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7.2</w:t>
            </w:r>
          </w:p>
        </w:tc>
        <w:tc>
          <w:tcPr>
            <w:tcW w:w="1703" w:type="dxa"/>
            <w:tcBorders>
              <w:top w:val="single" w:color="auto" w:sz="4" w:space="0"/>
              <w:left w:val="single" w:color="auto" w:sz="4" w:space="0"/>
              <w:bottom w:val="single" w:color="auto" w:sz="4" w:space="0"/>
              <w:right w:val="single" w:color="auto" w:sz="4" w:space="0"/>
            </w:tcBorders>
          </w:tcPr>
          <w:p w14:paraId="7DBABF63">
            <w:pPr>
              <w:spacing w:line="400" w:lineRule="exact"/>
              <w:jc w:val="center"/>
              <w:rPr>
                <w:rFonts w:hint="eastAsia" w:ascii="宋体" w:hAnsi="宋体"/>
                <w:color w:val="000000"/>
                <w:sz w:val="24"/>
              </w:rPr>
            </w:pPr>
            <w:r>
              <w:rPr>
                <w:rFonts w:hint="eastAsia" w:ascii="宋体" w:hAnsi="宋体"/>
                <w:color w:val="000000"/>
                <w:sz w:val="24"/>
              </w:rPr>
              <w:t>定标时间</w:t>
            </w:r>
          </w:p>
        </w:tc>
        <w:tc>
          <w:tcPr>
            <w:tcW w:w="7340" w:type="dxa"/>
            <w:tcBorders>
              <w:top w:val="single" w:color="auto" w:sz="4" w:space="0"/>
              <w:left w:val="single" w:color="auto" w:sz="4" w:space="0"/>
              <w:bottom w:val="single" w:color="auto" w:sz="4" w:space="0"/>
              <w:right w:val="single" w:color="auto" w:sz="4" w:space="0"/>
            </w:tcBorders>
            <w:vAlign w:val="center"/>
          </w:tcPr>
          <w:p w14:paraId="6EA75813">
            <w:pPr>
              <w:spacing w:line="400" w:lineRule="exact"/>
              <w:rPr>
                <w:rFonts w:hint="eastAsia" w:ascii="宋体" w:hAnsi="宋体"/>
                <w:b/>
                <w:color w:val="FF0000"/>
                <w:sz w:val="24"/>
                <w:szCs w:val="22"/>
                <w:highlight w:val="yellow"/>
              </w:rPr>
            </w:pPr>
            <w:r>
              <w:rPr>
                <w:rFonts w:hint="eastAsia" w:ascii="宋体" w:hAnsi="宋体"/>
                <w:color w:val="FF0000"/>
                <w:sz w:val="24"/>
                <w:highlight w:val="yellow"/>
              </w:rPr>
              <w:t>招标人自定标候选人公示结束后5个工作日内组织定标会议。如因招标文件约定或其他特殊原因，定标会议时间可以适当延期，但不得超过投标有效期。</w:t>
            </w:r>
          </w:p>
        </w:tc>
      </w:tr>
      <w:tr w14:paraId="0357C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vMerge w:val="restart"/>
            <w:tcBorders>
              <w:top w:val="single" w:color="auto" w:sz="4" w:space="0"/>
              <w:left w:val="single" w:color="auto" w:sz="4" w:space="0"/>
              <w:right w:val="single" w:color="auto" w:sz="4" w:space="0"/>
            </w:tcBorders>
            <w:vAlign w:val="center"/>
          </w:tcPr>
          <w:p w14:paraId="4C7C8F74">
            <w:pPr>
              <w:spacing w:line="400" w:lineRule="exact"/>
              <w:jc w:val="center"/>
              <w:rPr>
                <w:rFonts w:ascii="宋体" w:hAnsi="宋体"/>
                <w:color w:val="000000"/>
                <w:sz w:val="24"/>
              </w:rPr>
            </w:pPr>
            <w:r>
              <w:rPr>
                <w:rFonts w:hint="eastAsia" w:ascii="宋体" w:hAnsi="宋体"/>
                <w:color w:val="000000"/>
                <w:sz w:val="24"/>
              </w:rPr>
              <w:t>7.3.2</w:t>
            </w:r>
          </w:p>
        </w:tc>
        <w:tc>
          <w:tcPr>
            <w:tcW w:w="1703" w:type="dxa"/>
            <w:tcBorders>
              <w:top w:val="single" w:color="auto" w:sz="4" w:space="0"/>
              <w:left w:val="single" w:color="auto" w:sz="4" w:space="0"/>
              <w:bottom w:val="single" w:color="auto" w:sz="4" w:space="0"/>
              <w:right w:val="single" w:color="auto" w:sz="4" w:space="0"/>
            </w:tcBorders>
            <w:vAlign w:val="center"/>
          </w:tcPr>
          <w:p w14:paraId="3070AA8D">
            <w:pPr>
              <w:spacing w:line="400" w:lineRule="exact"/>
              <w:jc w:val="center"/>
              <w:rPr>
                <w:rFonts w:ascii="宋体" w:hAnsi="宋体"/>
                <w:color w:val="000000"/>
                <w:sz w:val="24"/>
              </w:rPr>
            </w:pPr>
            <w:r>
              <w:rPr>
                <w:rFonts w:hint="eastAsia" w:ascii="宋体" w:hAnsi="宋体"/>
                <w:color w:val="000000"/>
                <w:sz w:val="24"/>
              </w:rPr>
              <w:t>招标人核验中标候选人相应证书</w:t>
            </w:r>
          </w:p>
        </w:tc>
        <w:tc>
          <w:tcPr>
            <w:tcW w:w="7340" w:type="dxa"/>
            <w:tcBorders>
              <w:top w:val="single" w:color="auto" w:sz="4" w:space="0"/>
              <w:left w:val="single" w:color="auto" w:sz="4" w:space="0"/>
              <w:bottom w:val="single" w:color="auto" w:sz="4" w:space="0"/>
              <w:right w:val="single" w:color="auto" w:sz="4" w:space="0"/>
            </w:tcBorders>
            <w:vAlign w:val="center"/>
          </w:tcPr>
          <w:p w14:paraId="7D4D7268">
            <w:pPr>
              <w:spacing w:line="400" w:lineRule="exact"/>
              <w:rPr>
                <w:rFonts w:ascii="宋体" w:hAnsi="宋体"/>
                <w:color w:val="000000"/>
                <w:sz w:val="24"/>
              </w:rPr>
            </w:pPr>
            <w:r>
              <w:rPr>
                <w:rFonts w:hint="eastAsia" w:ascii="宋体" w:hAnsi="宋体"/>
                <w:sz w:val="24"/>
              </w:rPr>
              <w:t>中标公示期满且无异议后，第一中标候选人须将</w:t>
            </w:r>
            <w:r>
              <w:rPr>
                <w:rFonts w:hint="eastAsia" w:ascii="宋体" w:hAnsi="宋体"/>
                <w:b/>
                <w:sz w:val="24"/>
              </w:rPr>
              <w:t>企业资质证书原件、企业营业执照原件、项目总监理工程师注册执业证书原件、资格证明及辅助资料附表6-监理人员资质表中相关人员的证书原件</w:t>
            </w:r>
            <w:r>
              <w:rPr>
                <w:rFonts w:hint="eastAsia" w:ascii="宋体" w:hAnsi="宋体"/>
                <w:sz w:val="24"/>
              </w:rPr>
              <w:t>提交至招标人核验</w:t>
            </w:r>
            <w:r>
              <w:rPr>
                <w:rFonts w:hint="eastAsia" w:ascii="宋体" w:hAnsi="宋体"/>
                <w:b/>
                <w:sz w:val="24"/>
              </w:rPr>
              <w:t>(以上资料中，国家、省对电子资质证书等有相关要求的，中标候选人应向招标人提供相关电子证书供招标人核验)</w:t>
            </w:r>
            <w:r>
              <w:rPr>
                <w:rFonts w:hint="eastAsia" w:ascii="宋体" w:hAnsi="宋体"/>
                <w:sz w:val="24"/>
              </w:rPr>
              <w:t>，招标人核验后向中标人发放中标通知书。</w:t>
            </w:r>
          </w:p>
        </w:tc>
      </w:tr>
      <w:tr w14:paraId="75F1D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vMerge w:val="continue"/>
            <w:tcBorders>
              <w:left w:val="single" w:color="auto" w:sz="4" w:space="0"/>
              <w:bottom w:val="single" w:color="auto" w:sz="4" w:space="0"/>
              <w:right w:val="single" w:color="auto" w:sz="4" w:space="0"/>
            </w:tcBorders>
            <w:vAlign w:val="center"/>
          </w:tcPr>
          <w:p w14:paraId="062340D6">
            <w:pPr>
              <w:spacing w:line="400" w:lineRule="exact"/>
              <w:jc w:val="center"/>
              <w:rPr>
                <w:rFonts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46F189A1">
            <w:pPr>
              <w:spacing w:line="400" w:lineRule="exact"/>
              <w:jc w:val="center"/>
              <w:rPr>
                <w:rFonts w:ascii="宋体" w:hAnsi="宋体"/>
                <w:sz w:val="24"/>
              </w:rPr>
            </w:pPr>
            <w:r>
              <w:rPr>
                <w:rFonts w:hint="eastAsia" w:ascii="宋体" w:hAnsi="宋体"/>
                <w:sz w:val="24"/>
              </w:rPr>
              <w:t>中标通知书发出的形式</w:t>
            </w:r>
          </w:p>
        </w:tc>
        <w:tc>
          <w:tcPr>
            <w:tcW w:w="7340" w:type="dxa"/>
            <w:tcBorders>
              <w:top w:val="single" w:color="auto" w:sz="4" w:space="0"/>
              <w:left w:val="single" w:color="auto" w:sz="4" w:space="0"/>
              <w:bottom w:val="single" w:color="auto" w:sz="4" w:space="0"/>
              <w:right w:val="single" w:color="auto" w:sz="4" w:space="0"/>
            </w:tcBorders>
            <w:vAlign w:val="center"/>
          </w:tcPr>
          <w:p w14:paraId="603E2F2E">
            <w:pPr>
              <w:spacing w:line="400" w:lineRule="exact"/>
              <w:rPr>
                <w:rFonts w:ascii="宋体" w:hAnsi="宋体"/>
                <w:sz w:val="24"/>
              </w:rPr>
            </w:pPr>
            <w:r>
              <w:rPr>
                <w:rFonts w:hint="eastAsia" w:ascii="新宋体" w:hAnsi="新宋体" w:eastAsia="新宋体"/>
                <w:color w:val="000000"/>
                <w:sz w:val="24"/>
              </w:rPr>
              <w:t>□</w:t>
            </w:r>
            <w:r>
              <w:rPr>
                <w:rFonts w:hint="eastAsia" w:ascii="宋体" w:hAnsi="宋体"/>
                <w:sz w:val="24"/>
              </w:rPr>
              <w:t xml:space="preserve">纸质      </w:t>
            </w:r>
            <w:r>
              <w:rPr>
                <w:rFonts w:hint="eastAsia" w:ascii="MS Mincho" w:hAnsi="MS Mincho" w:eastAsia="MS Mincho" w:cs="MS Mincho"/>
                <w:color w:val="000000"/>
                <w:sz w:val="24"/>
                <w:highlight w:val="yellow"/>
              </w:rPr>
              <w:t>☑</w:t>
            </w:r>
            <w:r>
              <w:rPr>
                <w:rFonts w:hint="eastAsia" w:ascii="宋体" w:hAnsi="宋体"/>
                <w:sz w:val="24"/>
                <w:highlight w:val="yellow"/>
              </w:rPr>
              <w:t xml:space="preserve"> 数据电文</w:t>
            </w:r>
          </w:p>
        </w:tc>
      </w:tr>
      <w:tr w14:paraId="75278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103AD752">
            <w:pPr>
              <w:spacing w:line="400" w:lineRule="exact"/>
              <w:jc w:val="center"/>
              <w:rPr>
                <w:rFonts w:ascii="宋体" w:hAnsi="宋体"/>
                <w:color w:val="000000"/>
                <w:sz w:val="24"/>
              </w:rPr>
            </w:pPr>
            <w:r>
              <w:rPr>
                <w:rFonts w:hint="eastAsia" w:ascii="宋体" w:hAnsi="宋体"/>
                <w:color w:val="000000"/>
                <w:sz w:val="24"/>
              </w:rPr>
              <w:t>7.4</w:t>
            </w:r>
          </w:p>
        </w:tc>
        <w:tc>
          <w:tcPr>
            <w:tcW w:w="1703" w:type="dxa"/>
            <w:tcBorders>
              <w:top w:val="single" w:color="auto" w:sz="4" w:space="0"/>
              <w:left w:val="single" w:color="auto" w:sz="4" w:space="0"/>
              <w:bottom w:val="single" w:color="auto" w:sz="4" w:space="0"/>
              <w:right w:val="single" w:color="auto" w:sz="4" w:space="0"/>
            </w:tcBorders>
            <w:vAlign w:val="center"/>
          </w:tcPr>
          <w:p w14:paraId="70048843">
            <w:pPr>
              <w:spacing w:line="400" w:lineRule="exact"/>
              <w:jc w:val="center"/>
              <w:rPr>
                <w:rFonts w:ascii="宋体" w:hAnsi="宋体"/>
                <w:color w:val="000000"/>
                <w:sz w:val="24"/>
              </w:rPr>
            </w:pPr>
            <w:r>
              <w:rPr>
                <w:rFonts w:hint="eastAsia" w:ascii="宋体" w:hAnsi="宋体"/>
                <w:color w:val="000000"/>
                <w:sz w:val="24"/>
              </w:rPr>
              <w:t>履约担保</w:t>
            </w:r>
          </w:p>
          <w:p w14:paraId="37749358">
            <w:pPr>
              <w:spacing w:line="400" w:lineRule="exact"/>
              <w:jc w:val="center"/>
              <w:rPr>
                <w:rFonts w:ascii="宋体" w:hAnsi="宋体"/>
                <w:color w:val="000000"/>
                <w:sz w:val="24"/>
              </w:rPr>
            </w:pPr>
            <w:r>
              <w:rPr>
                <w:rFonts w:hint="eastAsia" w:ascii="宋体" w:hAnsi="宋体"/>
                <w:color w:val="000000"/>
                <w:sz w:val="24"/>
              </w:rPr>
              <w:t>及约谈</w:t>
            </w:r>
          </w:p>
        </w:tc>
        <w:tc>
          <w:tcPr>
            <w:tcW w:w="7340" w:type="dxa"/>
            <w:tcBorders>
              <w:top w:val="single" w:color="auto" w:sz="4" w:space="0"/>
              <w:left w:val="single" w:color="auto" w:sz="4" w:space="0"/>
              <w:bottom w:val="single" w:color="auto" w:sz="4" w:space="0"/>
              <w:right w:val="single" w:color="auto" w:sz="4" w:space="0"/>
            </w:tcBorders>
            <w:vAlign w:val="center"/>
          </w:tcPr>
          <w:p w14:paraId="0D9414C6">
            <w:pPr>
              <w:spacing w:line="400" w:lineRule="exact"/>
              <w:rPr>
                <w:rFonts w:ascii="宋体"/>
                <w:sz w:val="24"/>
              </w:rPr>
            </w:pPr>
            <w:r>
              <w:rPr>
                <w:rFonts w:ascii="宋体" w:hAnsi="宋体"/>
                <w:sz w:val="24"/>
              </w:rPr>
              <w:t>1</w:t>
            </w:r>
            <w:r>
              <w:rPr>
                <w:rFonts w:hint="eastAsia" w:ascii="宋体" w:hAnsi="宋体"/>
                <w:sz w:val="24"/>
              </w:rPr>
              <w:t>、履约担保</w:t>
            </w:r>
          </w:p>
          <w:p w14:paraId="6F3F6231">
            <w:pPr>
              <w:spacing w:line="400" w:lineRule="exact"/>
              <w:rPr>
                <w:rFonts w:ascii="宋体" w:hAnsi="宋体"/>
                <w:sz w:val="24"/>
              </w:rPr>
            </w:pPr>
            <w:r>
              <w:rPr>
                <w:rFonts w:hint="eastAsia" w:ascii="宋体" w:hAnsi="宋体"/>
                <w:sz w:val="24"/>
              </w:rPr>
              <w:t>（1）形式：</w:t>
            </w:r>
          </w:p>
          <w:p w14:paraId="204AA74A">
            <w:pPr>
              <w:snapToGrid w:val="0"/>
              <w:spacing w:line="400" w:lineRule="exact"/>
              <w:rPr>
                <w:rFonts w:ascii="MS Mincho" w:hAnsi="MS Mincho" w:eastAsia="MS Mincho" w:cs="MS Mincho"/>
                <w:color w:val="000000"/>
                <w:sz w:val="24"/>
              </w:rPr>
            </w:pPr>
            <w:bookmarkStart w:id="18" w:name="EBbf7d1a7cf1904eb0a9d5ad6f728c2166"/>
            <w:r>
              <w:rPr>
                <w:rFonts w:hint="eastAsia" w:ascii="MS Mincho" w:hAnsi="MS Mincho" w:eastAsia="MS Mincho" w:cs="MS Mincho"/>
                <w:color w:val="000000"/>
                <w:sz w:val="24"/>
              </w:rPr>
              <w:t>☑</w:t>
            </w:r>
            <w:r>
              <w:rPr>
                <w:rFonts w:hint="eastAsia" w:ascii="新宋体" w:hAnsi="新宋体" w:eastAsia="新宋体"/>
                <w:color w:val="000000"/>
                <w:sz w:val="24"/>
              </w:rPr>
              <w:t>银行转账</w:t>
            </w:r>
            <w:r>
              <w:rPr>
                <w:rFonts w:hint="eastAsia" w:ascii="MS Mincho" w:hAnsi="MS Mincho" w:eastAsia="MS Mincho" w:cs="MS Mincho"/>
                <w:color w:val="000000"/>
                <w:sz w:val="24"/>
              </w:rPr>
              <w:t xml:space="preserve">   ☑</w:t>
            </w:r>
            <w:r>
              <w:rPr>
                <w:rFonts w:hint="eastAsia" w:ascii="新宋体" w:hAnsi="新宋体" w:eastAsia="新宋体"/>
                <w:color w:val="000000"/>
                <w:sz w:val="24"/>
              </w:rPr>
              <w:t xml:space="preserve">银行电汇 </w:t>
            </w:r>
          </w:p>
          <w:p w14:paraId="796FD2D8">
            <w:pPr>
              <w:snapToGrid w:val="0"/>
              <w:spacing w:line="400" w:lineRule="exact"/>
              <w:rPr>
                <w:rFonts w:ascii="MS Mincho" w:hAnsi="MS Mincho" w:eastAsia="MS Mincho" w:cs="MS Mincho"/>
                <w:color w:val="000000"/>
                <w:sz w:val="24"/>
              </w:rPr>
            </w:pPr>
            <w:r>
              <w:rPr>
                <w:rFonts w:hint="eastAsia" w:ascii="MS Mincho" w:hAnsi="MS Mincho" w:eastAsia="MS Mincho" w:cs="MS Mincho"/>
                <w:color w:val="000000"/>
                <w:sz w:val="24"/>
              </w:rPr>
              <w:t>☑</w:t>
            </w:r>
            <w:r>
              <w:rPr>
                <w:rFonts w:hint="eastAsia" w:ascii="新宋体" w:hAnsi="新宋体" w:eastAsia="新宋体"/>
                <w:color w:val="000000"/>
                <w:sz w:val="24"/>
              </w:rPr>
              <w:t xml:space="preserve">银行保函 </w:t>
            </w:r>
            <w:r>
              <w:rPr>
                <w:rFonts w:hint="eastAsia" w:ascii="MS Mincho" w:hAnsi="MS Mincho" w:eastAsia="MS Mincho" w:cs="MS Mincho"/>
                <w:color w:val="000000"/>
                <w:sz w:val="24"/>
              </w:rPr>
              <w:t xml:space="preserve">  ☑</w:t>
            </w:r>
            <w:r>
              <w:rPr>
                <w:rFonts w:hint="eastAsia" w:ascii="新宋体" w:hAnsi="新宋体" w:eastAsia="新宋体"/>
                <w:color w:val="000000"/>
                <w:sz w:val="24"/>
              </w:rPr>
              <w:t xml:space="preserve">担保机构担保 </w:t>
            </w:r>
            <w:bookmarkEnd w:id="18"/>
          </w:p>
          <w:p w14:paraId="415763B8">
            <w:pPr>
              <w:snapToGrid w:val="0"/>
              <w:spacing w:line="400" w:lineRule="exact"/>
              <w:rPr>
                <w:rFonts w:ascii="MS Mincho" w:hAnsi="MS Mincho" w:eastAsia="MS Mincho" w:cs="MS Mincho"/>
                <w:color w:val="000000"/>
                <w:sz w:val="24"/>
              </w:rPr>
            </w:pPr>
            <w:r>
              <w:rPr>
                <w:rFonts w:hint="eastAsia" w:ascii="MS Mincho" w:hAnsi="MS Mincho" w:eastAsia="MS Mincho" w:cs="MS Mincho"/>
                <w:color w:val="000000"/>
                <w:sz w:val="24"/>
              </w:rPr>
              <w:t>☑</w:t>
            </w:r>
            <w:r>
              <w:rPr>
                <w:rFonts w:hint="eastAsia" w:ascii="新宋体" w:hAnsi="新宋体" w:eastAsia="新宋体"/>
                <w:color w:val="000000"/>
                <w:sz w:val="24"/>
              </w:rPr>
              <w:t>保证保险</w:t>
            </w:r>
          </w:p>
          <w:p w14:paraId="08C38300">
            <w:pPr>
              <w:spacing w:line="400" w:lineRule="exact"/>
              <w:rPr>
                <w:rFonts w:ascii="宋体"/>
                <w:sz w:val="24"/>
              </w:rPr>
            </w:pPr>
            <w:r>
              <w:rPr>
                <w:rFonts w:hint="eastAsia" w:ascii="宋体" w:hAnsi="宋体"/>
                <w:sz w:val="24"/>
              </w:rPr>
              <w:t>（</w:t>
            </w:r>
            <w:r>
              <w:rPr>
                <w:rFonts w:ascii="宋体" w:hAnsi="宋体"/>
                <w:sz w:val="24"/>
              </w:rPr>
              <w:t>2</w:t>
            </w:r>
            <w:r>
              <w:rPr>
                <w:rFonts w:hint="eastAsia" w:ascii="宋体" w:hAnsi="宋体"/>
                <w:sz w:val="24"/>
              </w:rPr>
              <w:t>）比例/金额：中标合同金额的2</w:t>
            </w:r>
            <w:r>
              <w:rPr>
                <w:rFonts w:hint="eastAsia" w:ascii="宋体" w:hAnsi="宋体"/>
                <w:sz w:val="24"/>
                <w:u w:val="single"/>
              </w:rPr>
              <w:t>％</w:t>
            </w:r>
            <w:r>
              <w:rPr>
                <w:rFonts w:hint="eastAsia" w:ascii="宋体" w:hAnsi="宋体"/>
                <w:sz w:val="24"/>
              </w:rPr>
              <w:t>。</w:t>
            </w:r>
          </w:p>
          <w:p w14:paraId="66AAC577">
            <w:pPr>
              <w:spacing w:line="400" w:lineRule="exact"/>
              <w:rPr>
                <w:rFonts w:ascii="宋体"/>
                <w:sz w:val="24"/>
              </w:rPr>
            </w:pPr>
            <w:r>
              <w:rPr>
                <w:rFonts w:hint="eastAsia" w:ascii="宋体" w:hAnsi="宋体"/>
                <w:sz w:val="24"/>
              </w:rPr>
              <w:t>（</w:t>
            </w:r>
            <w:r>
              <w:rPr>
                <w:rFonts w:ascii="宋体" w:hAnsi="宋体"/>
                <w:sz w:val="24"/>
              </w:rPr>
              <w:t>3</w:t>
            </w:r>
            <w:r>
              <w:rPr>
                <w:rFonts w:hint="eastAsia" w:ascii="宋体" w:hAnsi="宋体"/>
                <w:sz w:val="24"/>
              </w:rPr>
              <w:t>）提交时限：中标通知书发出后，</w:t>
            </w:r>
            <w:r>
              <w:rPr>
                <w:rFonts w:hint="eastAsia" w:ascii="宋体" w:hAnsi="宋体"/>
                <w:sz w:val="24"/>
                <w:highlight w:val="yellow"/>
                <w:u w:val="single"/>
              </w:rPr>
              <w:t>中标人</w:t>
            </w:r>
            <w:r>
              <w:rPr>
                <w:rFonts w:hint="eastAsia" w:ascii="宋体" w:hAnsi="宋体"/>
                <w:sz w:val="24"/>
              </w:rPr>
              <w:t>须在签订合同前提供符合以上形式之一的履约担保，否则视为放弃中标。</w:t>
            </w:r>
          </w:p>
          <w:p w14:paraId="01B5CB94">
            <w:pPr>
              <w:pStyle w:val="15"/>
              <w:adjustRightInd w:val="0"/>
              <w:spacing w:line="400" w:lineRule="exact"/>
              <w:textAlignment w:val="baseline"/>
              <w:rPr>
                <w:rFonts w:ascii="宋体" w:hAnsi="宋体"/>
                <w:color w:val="000000"/>
                <w:kern w:val="0"/>
                <w:sz w:val="24"/>
                <w:szCs w:val="20"/>
              </w:rPr>
            </w:pPr>
            <w:r>
              <w:rPr>
                <w:rFonts w:hint="eastAsia" w:ascii="宋体" w:hAnsi="宋体"/>
                <w:color w:val="000000"/>
                <w:kern w:val="0"/>
                <w:sz w:val="24"/>
                <w:szCs w:val="20"/>
              </w:rPr>
              <w:t>2、按规定属约谈的工程，中标人须按通知参加约谈。参加约谈的人员须是中标单位副总经理以上（含副总经理）领导、中标项目总监理工程师。</w:t>
            </w:r>
          </w:p>
          <w:p w14:paraId="02BC6255">
            <w:pPr>
              <w:spacing w:line="400" w:lineRule="exact"/>
              <w:rPr>
                <w:rFonts w:ascii="宋体" w:hAnsi="宋体"/>
                <w:color w:val="000000"/>
                <w:sz w:val="24"/>
              </w:rPr>
            </w:pPr>
            <w:r>
              <w:rPr>
                <w:rFonts w:hint="eastAsia" w:ascii="宋体" w:hAnsi="宋体"/>
                <w:color w:val="000000"/>
                <w:kern w:val="0"/>
                <w:sz w:val="24"/>
                <w:szCs w:val="20"/>
              </w:rPr>
              <w:t>3、</w:t>
            </w:r>
            <w:r>
              <w:rPr>
                <w:rFonts w:hint="eastAsia" w:ascii="宋体" w:hAnsi="宋体"/>
                <w:sz w:val="24"/>
              </w:rPr>
              <w:t>履约担保的退还：</w:t>
            </w:r>
            <w:r>
              <w:rPr>
                <w:rFonts w:ascii="宋体" w:hAnsi="宋体"/>
                <w:bCs/>
                <w:sz w:val="24"/>
                <w:u w:val="single"/>
              </w:rPr>
              <w:t>承包人无违约情况下，如为汇款方式提交的，在履约保证金有效期期满后由承包人提出书面退还申请，经发包人审批同意后7日内退还；如为其他形式提交的，履约担保有效期到期后履约担保项下的义务和责任均自动消灭。</w:t>
            </w:r>
          </w:p>
        </w:tc>
      </w:tr>
      <w:tr w14:paraId="4B2C8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314" w:type="dxa"/>
            <w:gridSpan w:val="3"/>
            <w:tcBorders>
              <w:top w:val="single" w:color="auto" w:sz="4" w:space="0"/>
              <w:left w:val="single" w:color="auto" w:sz="4" w:space="0"/>
              <w:bottom w:val="single" w:color="auto" w:sz="4" w:space="0"/>
              <w:right w:val="single" w:color="auto" w:sz="4" w:space="0"/>
            </w:tcBorders>
            <w:vAlign w:val="center"/>
          </w:tcPr>
          <w:p w14:paraId="1115F798">
            <w:pPr>
              <w:spacing w:line="400" w:lineRule="exact"/>
              <w:jc w:val="center"/>
              <w:rPr>
                <w:rFonts w:ascii="宋体" w:hAnsi="宋体"/>
                <w:bCs/>
                <w:color w:val="000000"/>
                <w:sz w:val="24"/>
              </w:rPr>
            </w:pPr>
            <w:r>
              <w:rPr>
                <w:rFonts w:hint="eastAsia" w:ascii="宋体" w:hAnsi="宋体"/>
                <w:sz w:val="24"/>
              </w:rPr>
              <w:t>需要补充的其他内容</w:t>
            </w:r>
          </w:p>
        </w:tc>
      </w:tr>
      <w:tr w14:paraId="08259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3E7B7344">
            <w:pPr>
              <w:spacing w:line="360" w:lineRule="auto"/>
              <w:jc w:val="center"/>
              <w:rPr>
                <w:rFonts w:ascii="宋体" w:hAnsi="宋体"/>
                <w:color w:val="000000"/>
                <w:sz w:val="24"/>
              </w:rPr>
            </w:pPr>
            <w:r>
              <w:rPr>
                <w:rFonts w:hint="eastAsia" w:ascii="宋体" w:hAnsi="宋体"/>
                <w:color w:val="000000"/>
                <w:sz w:val="24"/>
              </w:rPr>
              <w:t>10.1</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0A0A8F6F">
            <w:pPr>
              <w:snapToGrid w:val="0"/>
              <w:spacing w:line="440" w:lineRule="exact"/>
              <w:jc w:val="left"/>
              <w:textAlignment w:val="baseline"/>
              <w:rPr>
                <w:rFonts w:ascii="宋体" w:hAnsi="宋体"/>
                <w:bCs/>
                <w:sz w:val="24"/>
              </w:rPr>
            </w:pPr>
            <w:r>
              <w:rPr>
                <w:rFonts w:hint="eastAsia" w:ascii="宋体" w:hAnsi="宋体"/>
                <w:bCs/>
                <w:sz w:val="24"/>
              </w:rPr>
              <w:t>1、投标人在报价时，另行考虑招标代理服务费。中标后，由中标人（如为联合体投标的，则为联合体牵头人）另外支付给招标代理机构。</w:t>
            </w:r>
          </w:p>
          <w:p w14:paraId="6CAFDC4C">
            <w:pPr>
              <w:pStyle w:val="19"/>
              <w:snapToGrid w:val="0"/>
              <w:spacing w:line="440" w:lineRule="exact"/>
              <w:jc w:val="left"/>
              <w:textAlignment w:val="baseline"/>
              <w:rPr>
                <w:rFonts w:hAnsi="宋体"/>
                <w:bCs/>
                <w:sz w:val="24"/>
                <w:szCs w:val="24"/>
              </w:rPr>
            </w:pPr>
            <w:r>
              <w:rPr>
                <w:rFonts w:hint="eastAsia" w:hAnsi="宋体"/>
                <w:bCs/>
                <w:sz w:val="24"/>
                <w:szCs w:val="24"/>
              </w:rPr>
              <w:t>2、招标代理服务费：以中标价为计算基数，分标段按下表规定计算后乘以</w:t>
            </w:r>
            <w:r>
              <w:rPr>
                <w:rFonts w:hint="eastAsia" w:hAnsi="宋体"/>
                <w:bCs/>
                <w:sz w:val="24"/>
                <w:szCs w:val="24"/>
                <w:highlight w:val="green"/>
              </w:rPr>
              <w:t>90%</w:t>
            </w:r>
            <w:r>
              <w:rPr>
                <w:rFonts w:hint="eastAsia" w:hAnsi="宋体"/>
                <w:bCs/>
                <w:sz w:val="24"/>
                <w:szCs w:val="24"/>
              </w:rPr>
              <w:t>向中标人</w:t>
            </w:r>
            <w:r>
              <w:rPr>
                <w:rFonts w:hint="eastAsia" w:hAnsi="宋体"/>
                <w:bCs/>
                <w:sz w:val="24"/>
              </w:rPr>
              <w:t>（如为联合体投标的，则为联合体牵头人）</w:t>
            </w:r>
            <w:r>
              <w:rPr>
                <w:rFonts w:hint="eastAsia" w:hAnsi="宋体"/>
                <w:bCs/>
                <w:sz w:val="24"/>
                <w:szCs w:val="24"/>
              </w:rPr>
              <w:t>收取。</w:t>
            </w:r>
            <w:r>
              <w:rPr>
                <w:rFonts w:hint="eastAsia" w:hAnsi="宋体"/>
                <w:bCs/>
                <w:color w:val="FF0000"/>
                <w:sz w:val="24"/>
                <w:szCs w:val="24"/>
              </w:rPr>
              <w:t>招标代理服务费按元计算，计算结果有小数的，四舍五入，保留到个位。</w:t>
            </w:r>
          </w:p>
          <w:p w14:paraId="4DCA343D">
            <w:pPr>
              <w:snapToGrid w:val="0"/>
              <w:spacing w:line="440" w:lineRule="exact"/>
              <w:textAlignment w:val="baseline"/>
              <w:rPr>
                <w:rFonts w:ascii="宋体" w:hAnsi="宋体"/>
                <w:bCs/>
                <w:sz w:val="24"/>
              </w:rPr>
            </w:pPr>
            <w:r>
              <w:rPr>
                <w:rFonts w:hint="eastAsia" w:ascii="宋体" w:hAnsi="宋体"/>
                <w:bCs/>
                <w:sz w:val="24"/>
              </w:rPr>
              <w:t>3、招标代理服务费收费计算示例</w:t>
            </w:r>
          </w:p>
          <w:tbl>
            <w:tblPr>
              <w:tblStyle w:val="32"/>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882"/>
              <w:gridCol w:w="5335"/>
            </w:tblGrid>
            <w:tr w14:paraId="040C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tcPr>
                <w:p w14:paraId="14AE4476">
                  <w:pPr>
                    <w:topLinePunct/>
                    <w:snapToGrid w:val="0"/>
                    <w:spacing w:line="360" w:lineRule="auto"/>
                    <w:textAlignment w:val="baseline"/>
                    <w:rPr>
                      <w:rFonts w:ascii="宋体" w:hAnsi="宋体"/>
                      <w:bCs/>
                      <w:sz w:val="24"/>
                    </w:rPr>
                  </w:pPr>
                  <w:r>
                    <w:rPr>
                      <w:rFonts w:hint="eastAsia" w:ascii="宋体" w:hAnsi="宋体"/>
                      <w:bCs/>
                      <w:sz w:val="24"/>
                    </w:rPr>
                    <w:t>中标价</w:t>
                  </w:r>
                </w:p>
              </w:tc>
              <w:tc>
                <w:tcPr>
                  <w:tcW w:w="882" w:type="dxa"/>
                </w:tcPr>
                <w:p w14:paraId="2D161262">
                  <w:pPr>
                    <w:topLinePunct/>
                    <w:snapToGrid w:val="0"/>
                    <w:spacing w:line="360" w:lineRule="auto"/>
                    <w:jc w:val="center"/>
                    <w:textAlignment w:val="baseline"/>
                    <w:rPr>
                      <w:rFonts w:ascii="宋体" w:hAnsi="宋体"/>
                      <w:bCs/>
                      <w:sz w:val="24"/>
                    </w:rPr>
                  </w:pPr>
                  <w:r>
                    <w:rPr>
                      <w:rFonts w:hint="eastAsia" w:ascii="宋体" w:hAnsi="宋体"/>
                      <w:bCs/>
                      <w:sz w:val="24"/>
                    </w:rPr>
                    <w:t>费率</w:t>
                  </w:r>
                </w:p>
              </w:tc>
              <w:tc>
                <w:tcPr>
                  <w:tcW w:w="5335" w:type="dxa"/>
                  <w:vMerge w:val="restart"/>
                </w:tcPr>
                <w:p w14:paraId="2F2A2B1F">
                  <w:pPr>
                    <w:topLinePunct/>
                    <w:snapToGrid w:val="0"/>
                    <w:spacing w:line="360" w:lineRule="auto"/>
                    <w:textAlignment w:val="baseline"/>
                    <w:rPr>
                      <w:rFonts w:ascii="宋体" w:hAnsi="宋体" w:cs="宋体"/>
                      <w:sz w:val="24"/>
                    </w:rPr>
                  </w:pPr>
                  <w:r>
                    <w:rPr>
                      <w:rFonts w:ascii="宋体" w:hAnsi="宋体" w:cs="宋体"/>
                      <w:sz w:val="24"/>
                    </w:rPr>
                    <w:t>按差额定率累进法计算：</w:t>
                  </w:r>
                  <w:r>
                    <w:rPr>
                      <w:rFonts w:ascii="宋体" w:hAnsi="宋体" w:cs="宋体"/>
                      <w:sz w:val="24"/>
                    </w:rPr>
                    <w:br w:type="textWrapping"/>
                  </w:r>
                  <w:r>
                    <w:rPr>
                      <w:rFonts w:ascii="宋体" w:hAnsi="宋体" w:cs="宋体"/>
                      <w:sz w:val="24"/>
                    </w:rPr>
                    <w:t>例如：中标价金额1000万元，计算招标代理服务费额如下：</w:t>
                  </w:r>
                  <w:r>
                    <w:rPr>
                      <w:rFonts w:ascii="宋体" w:hAnsi="宋体" w:cs="宋体"/>
                      <w:sz w:val="24"/>
                    </w:rPr>
                    <w:br w:type="textWrapping"/>
                  </w:r>
                  <w:r>
                    <w:rPr>
                      <w:rFonts w:ascii="宋体" w:hAnsi="宋体" w:cs="宋体"/>
                      <w:sz w:val="24"/>
                    </w:rPr>
                    <w:t>100万元*1.5%=1.5万元</w:t>
                  </w:r>
                  <w:r>
                    <w:rPr>
                      <w:rFonts w:ascii="宋体" w:hAnsi="宋体" w:cs="宋体"/>
                      <w:sz w:val="24"/>
                    </w:rPr>
                    <w:br w:type="textWrapping"/>
                  </w:r>
                  <w:r>
                    <w:rPr>
                      <w:rFonts w:ascii="宋体" w:hAnsi="宋体" w:cs="宋体"/>
                      <w:sz w:val="24"/>
                    </w:rPr>
                    <w:t>（500-100）*0.8%=3.2万元</w:t>
                  </w:r>
                  <w:r>
                    <w:rPr>
                      <w:rFonts w:ascii="宋体" w:hAnsi="宋体" w:cs="宋体"/>
                      <w:sz w:val="24"/>
                    </w:rPr>
                    <w:br w:type="textWrapping"/>
                  </w:r>
                  <w:r>
                    <w:rPr>
                      <w:rFonts w:ascii="宋体" w:hAnsi="宋体" w:cs="宋体"/>
                      <w:sz w:val="24"/>
                    </w:rPr>
                    <w:t>（1000-500）*0.45%=2.25万元</w:t>
                  </w:r>
                  <w:r>
                    <w:rPr>
                      <w:rFonts w:ascii="宋体" w:hAnsi="宋体" w:cs="宋体"/>
                      <w:sz w:val="24"/>
                    </w:rPr>
                    <w:br w:type="textWrapping"/>
                  </w:r>
                  <w:r>
                    <w:rPr>
                      <w:rFonts w:ascii="宋体" w:hAnsi="宋体" w:cs="宋体"/>
                      <w:sz w:val="24"/>
                    </w:rPr>
                    <w:t>合计1.5+3.2+2.25=6.95万元</w:t>
                  </w:r>
                  <w:r>
                    <w:rPr>
                      <w:rFonts w:ascii="宋体" w:hAnsi="宋体" w:cs="宋体"/>
                      <w:sz w:val="24"/>
                    </w:rPr>
                    <w:br w:type="textWrapping"/>
                  </w:r>
                  <w:r>
                    <w:rPr>
                      <w:rFonts w:ascii="宋体" w:hAnsi="宋体" w:cs="宋体"/>
                      <w:sz w:val="24"/>
                    </w:rPr>
                    <w:t>应收招标代理服务费=6.95万元*</w:t>
                  </w:r>
                  <w:r>
                    <w:rPr>
                      <w:rFonts w:hint="eastAsia" w:ascii="宋体" w:hAnsi="宋体" w:cs="宋体"/>
                      <w:sz w:val="24"/>
                    </w:rPr>
                    <w:t>9</w:t>
                  </w:r>
                  <w:r>
                    <w:rPr>
                      <w:rFonts w:ascii="宋体" w:hAnsi="宋体" w:cs="宋体"/>
                      <w:sz w:val="24"/>
                    </w:rPr>
                    <w:t>0%=</w:t>
                  </w:r>
                  <w:r>
                    <w:rPr>
                      <w:rFonts w:hint="eastAsia" w:ascii="宋体" w:hAnsi="宋体" w:cs="宋体"/>
                      <w:sz w:val="24"/>
                    </w:rPr>
                    <w:t>6.255</w:t>
                  </w:r>
                  <w:r>
                    <w:rPr>
                      <w:rFonts w:ascii="宋体" w:hAnsi="宋体" w:cs="宋体"/>
                      <w:sz w:val="24"/>
                    </w:rPr>
                    <w:t>万元</w:t>
                  </w:r>
                </w:p>
              </w:tc>
            </w:tr>
            <w:tr w14:paraId="17B5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vAlign w:val="center"/>
                </w:tcPr>
                <w:p w14:paraId="18F26E88">
                  <w:pPr>
                    <w:topLinePunct/>
                    <w:snapToGrid w:val="0"/>
                    <w:spacing w:line="360" w:lineRule="auto"/>
                    <w:textAlignment w:val="baseline"/>
                    <w:rPr>
                      <w:rFonts w:ascii="宋体" w:hAnsi="宋体"/>
                      <w:bCs/>
                      <w:sz w:val="24"/>
                    </w:rPr>
                  </w:pPr>
                  <w:r>
                    <w:rPr>
                      <w:rFonts w:hint="eastAsia" w:ascii="宋体" w:hAnsi="宋体"/>
                      <w:bCs/>
                      <w:sz w:val="24"/>
                    </w:rPr>
                    <w:t>100万元以下</w:t>
                  </w:r>
                </w:p>
              </w:tc>
              <w:tc>
                <w:tcPr>
                  <w:tcW w:w="882" w:type="dxa"/>
                </w:tcPr>
                <w:p w14:paraId="02BC4DE6">
                  <w:pPr>
                    <w:snapToGrid w:val="0"/>
                    <w:spacing w:line="360" w:lineRule="auto"/>
                    <w:jc w:val="center"/>
                    <w:textAlignment w:val="baseline"/>
                    <w:rPr>
                      <w:rFonts w:ascii="宋体" w:hAnsi="宋体"/>
                      <w:bCs/>
                      <w:sz w:val="24"/>
                    </w:rPr>
                  </w:pPr>
                  <w:r>
                    <w:rPr>
                      <w:rFonts w:ascii="宋体" w:hAnsi="宋体"/>
                      <w:bCs/>
                      <w:sz w:val="24"/>
                    </w:rPr>
                    <w:t>1.5%</w:t>
                  </w:r>
                </w:p>
              </w:tc>
              <w:tc>
                <w:tcPr>
                  <w:tcW w:w="5335" w:type="dxa"/>
                  <w:vMerge w:val="continue"/>
                </w:tcPr>
                <w:p w14:paraId="47E7AB3E">
                  <w:pPr>
                    <w:topLinePunct/>
                    <w:snapToGrid w:val="0"/>
                    <w:spacing w:line="360" w:lineRule="auto"/>
                    <w:textAlignment w:val="baseline"/>
                    <w:rPr>
                      <w:rFonts w:ascii="宋体" w:hAnsi="宋体"/>
                      <w:bCs/>
                      <w:sz w:val="24"/>
                    </w:rPr>
                  </w:pPr>
                </w:p>
              </w:tc>
            </w:tr>
            <w:tr w14:paraId="4E0A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vAlign w:val="center"/>
                </w:tcPr>
                <w:p w14:paraId="18707721">
                  <w:pPr>
                    <w:topLinePunct/>
                    <w:snapToGrid w:val="0"/>
                    <w:spacing w:line="360" w:lineRule="auto"/>
                    <w:textAlignment w:val="baseline"/>
                    <w:rPr>
                      <w:rFonts w:ascii="宋体" w:hAnsi="宋体"/>
                      <w:bCs/>
                      <w:sz w:val="24"/>
                    </w:rPr>
                  </w:pPr>
                  <w:r>
                    <w:rPr>
                      <w:rFonts w:hint="eastAsia" w:ascii="宋体" w:hAnsi="宋体"/>
                      <w:bCs/>
                      <w:sz w:val="24"/>
                    </w:rPr>
                    <w:t>100万元-500万元</w:t>
                  </w:r>
                </w:p>
              </w:tc>
              <w:tc>
                <w:tcPr>
                  <w:tcW w:w="882" w:type="dxa"/>
                </w:tcPr>
                <w:p w14:paraId="3E65A066">
                  <w:pPr>
                    <w:snapToGrid w:val="0"/>
                    <w:spacing w:line="360" w:lineRule="auto"/>
                    <w:jc w:val="center"/>
                    <w:textAlignment w:val="baseline"/>
                    <w:rPr>
                      <w:rFonts w:ascii="宋体" w:hAnsi="宋体"/>
                      <w:bCs/>
                      <w:sz w:val="24"/>
                    </w:rPr>
                  </w:pPr>
                  <w:r>
                    <w:rPr>
                      <w:rFonts w:ascii="宋体" w:hAnsi="宋体"/>
                      <w:bCs/>
                      <w:sz w:val="24"/>
                    </w:rPr>
                    <w:t>0.8%</w:t>
                  </w:r>
                </w:p>
              </w:tc>
              <w:tc>
                <w:tcPr>
                  <w:tcW w:w="5335" w:type="dxa"/>
                  <w:vMerge w:val="continue"/>
                </w:tcPr>
                <w:p w14:paraId="37AA458D">
                  <w:pPr>
                    <w:topLinePunct/>
                    <w:snapToGrid w:val="0"/>
                    <w:spacing w:line="360" w:lineRule="auto"/>
                    <w:textAlignment w:val="baseline"/>
                    <w:rPr>
                      <w:rFonts w:ascii="宋体" w:hAnsi="宋体"/>
                      <w:bCs/>
                      <w:sz w:val="24"/>
                    </w:rPr>
                  </w:pPr>
                </w:p>
              </w:tc>
            </w:tr>
            <w:tr w14:paraId="6574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vAlign w:val="center"/>
                </w:tcPr>
                <w:p w14:paraId="0C8039AE">
                  <w:pPr>
                    <w:snapToGrid w:val="0"/>
                    <w:spacing w:line="360" w:lineRule="auto"/>
                    <w:textAlignment w:val="baseline"/>
                    <w:rPr>
                      <w:rFonts w:ascii="宋体" w:hAnsi="宋体"/>
                      <w:bCs/>
                      <w:sz w:val="24"/>
                    </w:rPr>
                  </w:pPr>
                  <w:r>
                    <w:rPr>
                      <w:rFonts w:hint="eastAsia" w:ascii="宋体" w:hAnsi="宋体"/>
                      <w:bCs/>
                      <w:sz w:val="24"/>
                    </w:rPr>
                    <w:t>500万元-1000万元</w:t>
                  </w:r>
                </w:p>
              </w:tc>
              <w:tc>
                <w:tcPr>
                  <w:tcW w:w="882" w:type="dxa"/>
                </w:tcPr>
                <w:p w14:paraId="72A51D97">
                  <w:pPr>
                    <w:snapToGrid w:val="0"/>
                    <w:spacing w:line="360" w:lineRule="auto"/>
                    <w:textAlignment w:val="baseline"/>
                    <w:rPr>
                      <w:rFonts w:ascii="宋体" w:hAnsi="宋体"/>
                      <w:bCs/>
                      <w:sz w:val="24"/>
                    </w:rPr>
                  </w:pPr>
                  <w:r>
                    <w:rPr>
                      <w:rFonts w:ascii="宋体" w:hAnsi="宋体"/>
                      <w:bCs/>
                      <w:sz w:val="24"/>
                    </w:rPr>
                    <w:t>0.45%</w:t>
                  </w:r>
                </w:p>
              </w:tc>
              <w:tc>
                <w:tcPr>
                  <w:tcW w:w="5335" w:type="dxa"/>
                  <w:vMerge w:val="continue"/>
                </w:tcPr>
                <w:p w14:paraId="252EED7B">
                  <w:pPr>
                    <w:snapToGrid w:val="0"/>
                    <w:spacing w:line="360" w:lineRule="auto"/>
                    <w:textAlignment w:val="baseline"/>
                    <w:rPr>
                      <w:rFonts w:ascii="宋体" w:hAnsi="宋体"/>
                      <w:bCs/>
                      <w:sz w:val="24"/>
                    </w:rPr>
                  </w:pPr>
                </w:p>
              </w:tc>
            </w:tr>
            <w:tr w14:paraId="5317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vAlign w:val="center"/>
                </w:tcPr>
                <w:p w14:paraId="79FAA58F">
                  <w:pPr>
                    <w:topLinePunct/>
                    <w:snapToGrid w:val="0"/>
                    <w:spacing w:line="360" w:lineRule="auto"/>
                    <w:textAlignment w:val="baseline"/>
                    <w:rPr>
                      <w:rFonts w:ascii="宋体" w:hAnsi="宋体"/>
                      <w:bCs/>
                      <w:sz w:val="24"/>
                    </w:rPr>
                  </w:pPr>
                  <w:r>
                    <w:rPr>
                      <w:rFonts w:hint="eastAsia" w:ascii="宋体" w:hAnsi="宋体"/>
                      <w:bCs/>
                      <w:sz w:val="24"/>
                    </w:rPr>
                    <w:t>1000万元-5000万元</w:t>
                  </w:r>
                </w:p>
              </w:tc>
              <w:tc>
                <w:tcPr>
                  <w:tcW w:w="882" w:type="dxa"/>
                </w:tcPr>
                <w:p w14:paraId="040C1E2D">
                  <w:pPr>
                    <w:snapToGrid w:val="0"/>
                    <w:spacing w:line="360" w:lineRule="auto"/>
                    <w:jc w:val="center"/>
                    <w:textAlignment w:val="baseline"/>
                    <w:rPr>
                      <w:rFonts w:ascii="宋体" w:hAnsi="宋体"/>
                      <w:bCs/>
                      <w:sz w:val="24"/>
                    </w:rPr>
                  </w:pPr>
                  <w:r>
                    <w:rPr>
                      <w:rFonts w:ascii="宋体" w:hAnsi="宋体"/>
                      <w:bCs/>
                      <w:sz w:val="24"/>
                    </w:rPr>
                    <w:t>0.25%</w:t>
                  </w:r>
                </w:p>
              </w:tc>
              <w:tc>
                <w:tcPr>
                  <w:tcW w:w="5335" w:type="dxa"/>
                  <w:vMerge w:val="continue"/>
                </w:tcPr>
                <w:p w14:paraId="6DCFEAEA">
                  <w:pPr>
                    <w:topLinePunct/>
                    <w:snapToGrid w:val="0"/>
                    <w:spacing w:line="360" w:lineRule="auto"/>
                    <w:textAlignment w:val="baseline"/>
                    <w:rPr>
                      <w:rFonts w:ascii="宋体" w:hAnsi="宋体"/>
                      <w:bCs/>
                      <w:sz w:val="24"/>
                    </w:rPr>
                  </w:pPr>
                </w:p>
              </w:tc>
            </w:tr>
            <w:tr w14:paraId="7E8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vAlign w:val="center"/>
                </w:tcPr>
                <w:p w14:paraId="02A9BF56">
                  <w:pPr>
                    <w:topLinePunct/>
                    <w:snapToGrid w:val="0"/>
                    <w:spacing w:line="360" w:lineRule="auto"/>
                    <w:textAlignment w:val="baseline"/>
                    <w:rPr>
                      <w:rFonts w:ascii="宋体" w:hAnsi="宋体"/>
                      <w:bCs/>
                      <w:sz w:val="24"/>
                    </w:rPr>
                  </w:pPr>
                  <w:r>
                    <w:rPr>
                      <w:rFonts w:hint="eastAsia" w:ascii="宋体" w:hAnsi="宋体"/>
                      <w:bCs/>
                      <w:sz w:val="24"/>
                    </w:rPr>
                    <w:t>5000万元-10000万元</w:t>
                  </w:r>
                </w:p>
              </w:tc>
              <w:tc>
                <w:tcPr>
                  <w:tcW w:w="882" w:type="dxa"/>
                </w:tcPr>
                <w:p w14:paraId="492B2D14">
                  <w:pPr>
                    <w:snapToGrid w:val="0"/>
                    <w:spacing w:line="360" w:lineRule="auto"/>
                    <w:jc w:val="center"/>
                    <w:textAlignment w:val="baseline"/>
                    <w:rPr>
                      <w:rFonts w:ascii="宋体" w:hAnsi="宋体"/>
                      <w:bCs/>
                      <w:sz w:val="24"/>
                    </w:rPr>
                  </w:pPr>
                  <w:r>
                    <w:rPr>
                      <w:rFonts w:ascii="宋体" w:hAnsi="宋体"/>
                      <w:bCs/>
                      <w:sz w:val="24"/>
                    </w:rPr>
                    <w:t>0.1%</w:t>
                  </w:r>
                </w:p>
              </w:tc>
              <w:tc>
                <w:tcPr>
                  <w:tcW w:w="5335" w:type="dxa"/>
                  <w:vMerge w:val="continue"/>
                </w:tcPr>
                <w:p w14:paraId="378ABF91">
                  <w:pPr>
                    <w:topLinePunct/>
                    <w:snapToGrid w:val="0"/>
                    <w:spacing w:line="360" w:lineRule="auto"/>
                    <w:textAlignment w:val="baseline"/>
                    <w:rPr>
                      <w:rFonts w:ascii="宋体" w:hAnsi="宋体"/>
                      <w:bCs/>
                      <w:sz w:val="24"/>
                    </w:rPr>
                  </w:pPr>
                </w:p>
              </w:tc>
            </w:tr>
            <w:tr w14:paraId="268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vAlign w:val="center"/>
                </w:tcPr>
                <w:p w14:paraId="791F4E64">
                  <w:pPr>
                    <w:topLinePunct/>
                    <w:snapToGrid w:val="0"/>
                    <w:spacing w:line="360" w:lineRule="auto"/>
                    <w:textAlignment w:val="baseline"/>
                    <w:rPr>
                      <w:rFonts w:ascii="宋体" w:hAnsi="宋体"/>
                      <w:bCs/>
                      <w:sz w:val="24"/>
                    </w:rPr>
                  </w:pPr>
                  <w:r>
                    <w:rPr>
                      <w:rFonts w:hint="eastAsia" w:ascii="宋体" w:hAnsi="宋体"/>
                      <w:bCs/>
                      <w:sz w:val="24"/>
                    </w:rPr>
                    <w:t>10000万元-100000万元</w:t>
                  </w:r>
                </w:p>
              </w:tc>
              <w:tc>
                <w:tcPr>
                  <w:tcW w:w="882" w:type="dxa"/>
                </w:tcPr>
                <w:p w14:paraId="38C46182">
                  <w:pPr>
                    <w:snapToGrid w:val="0"/>
                    <w:spacing w:line="360" w:lineRule="auto"/>
                    <w:jc w:val="center"/>
                    <w:textAlignment w:val="baseline"/>
                    <w:rPr>
                      <w:rFonts w:ascii="宋体" w:hAnsi="宋体"/>
                      <w:bCs/>
                      <w:sz w:val="24"/>
                    </w:rPr>
                  </w:pPr>
                  <w:r>
                    <w:rPr>
                      <w:rFonts w:ascii="宋体" w:hAnsi="宋体"/>
                      <w:bCs/>
                      <w:sz w:val="24"/>
                    </w:rPr>
                    <w:t>0.05%</w:t>
                  </w:r>
                </w:p>
              </w:tc>
              <w:tc>
                <w:tcPr>
                  <w:tcW w:w="5335" w:type="dxa"/>
                  <w:vMerge w:val="continue"/>
                </w:tcPr>
                <w:p w14:paraId="162EFBA5">
                  <w:pPr>
                    <w:topLinePunct/>
                    <w:snapToGrid w:val="0"/>
                    <w:spacing w:line="360" w:lineRule="auto"/>
                    <w:textAlignment w:val="baseline"/>
                    <w:rPr>
                      <w:rFonts w:ascii="宋体" w:hAnsi="宋体"/>
                      <w:bCs/>
                      <w:sz w:val="24"/>
                    </w:rPr>
                  </w:pPr>
                </w:p>
              </w:tc>
            </w:tr>
            <w:tr w14:paraId="7DC1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2" w:type="dxa"/>
                  <w:vAlign w:val="center"/>
                </w:tcPr>
                <w:p w14:paraId="78C9A4AF">
                  <w:pPr>
                    <w:topLinePunct/>
                    <w:snapToGrid w:val="0"/>
                    <w:spacing w:line="360" w:lineRule="auto"/>
                    <w:textAlignment w:val="baseline"/>
                    <w:rPr>
                      <w:rFonts w:ascii="宋体" w:hAnsi="宋体"/>
                      <w:bCs/>
                      <w:sz w:val="24"/>
                    </w:rPr>
                  </w:pPr>
                  <w:r>
                    <w:rPr>
                      <w:rFonts w:hint="eastAsia" w:ascii="宋体" w:hAnsi="宋体"/>
                      <w:bCs/>
                      <w:sz w:val="24"/>
                    </w:rPr>
                    <w:t>100000万元以上</w:t>
                  </w:r>
                </w:p>
              </w:tc>
              <w:tc>
                <w:tcPr>
                  <w:tcW w:w="882" w:type="dxa"/>
                </w:tcPr>
                <w:p w14:paraId="74DF5CC1">
                  <w:pPr>
                    <w:snapToGrid w:val="0"/>
                    <w:spacing w:line="360" w:lineRule="auto"/>
                    <w:jc w:val="center"/>
                    <w:textAlignment w:val="baseline"/>
                    <w:rPr>
                      <w:rFonts w:ascii="宋体" w:hAnsi="宋体"/>
                      <w:bCs/>
                      <w:sz w:val="24"/>
                    </w:rPr>
                  </w:pPr>
                  <w:r>
                    <w:rPr>
                      <w:rFonts w:ascii="宋体" w:hAnsi="宋体"/>
                      <w:bCs/>
                      <w:sz w:val="24"/>
                    </w:rPr>
                    <w:t>0.01%</w:t>
                  </w:r>
                </w:p>
              </w:tc>
              <w:tc>
                <w:tcPr>
                  <w:tcW w:w="5335" w:type="dxa"/>
                  <w:vMerge w:val="continue"/>
                </w:tcPr>
                <w:p w14:paraId="2E666ECF">
                  <w:pPr>
                    <w:topLinePunct/>
                    <w:snapToGrid w:val="0"/>
                    <w:spacing w:line="360" w:lineRule="auto"/>
                    <w:textAlignment w:val="baseline"/>
                    <w:rPr>
                      <w:rFonts w:ascii="宋体" w:hAnsi="宋体"/>
                      <w:bCs/>
                      <w:sz w:val="24"/>
                    </w:rPr>
                  </w:pPr>
                </w:p>
              </w:tc>
            </w:tr>
          </w:tbl>
          <w:p w14:paraId="3D54A557">
            <w:pPr>
              <w:spacing w:line="440" w:lineRule="exact"/>
              <w:rPr>
                <w:rFonts w:ascii="宋体" w:hAnsi="宋体"/>
                <w:bCs/>
                <w:color w:val="FF0000"/>
                <w:sz w:val="24"/>
              </w:rPr>
            </w:pPr>
            <w:r>
              <w:rPr>
                <w:rFonts w:hint="eastAsia"/>
                <w:color w:val="FF0000"/>
                <w:sz w:val="24"/>
              </w:rPr>
              <w:t>注：计算后不足肆仟元的，招标代理服务费按肆仟元向中标人收取。</w:t>
            </w:r>
          </w:p>
          <w:p w14:paraId="3B76EA51">
            <w:pPr>
              <w:spacing w:line="440" w:lineRule="exact"/>
              <w:rPr>
                <w:rFonts w:ascii="宋体" w:hAnsi="宋体"/>
                <w:bCs/>
                <w:sz w:val="24"/>
              </w:rPr>
            </w:pPr>
            <w:r>
              <w:rPr>
                <w:rFonts w:hint="eastAsia" w:ascii="宋体" w:hAnsi="宋体"/>
                <w:bCs/>
                <w:sz w:val="24"/>
              </w:rPr>
              <w:t>4、中标人（如为联合体投标的，则为联合体牵头人）应在结果公示发布后1个工作日内与招标代理机构核对招标代理服务费数额，逾期不核对，视为已认同。</w:t>
            </w:r>
          </w:p>
          <w:p w14:paraId="613A40B0">
            <w:pPr>
              <w:spacing w:line="440" w:lineRule="exact"/>
              <w:rPr>
                <w:rFonts w:ascii="宋体" w:hAnsi="宋体"/>
                <w:bCs/>
                <w:sz w:val="24"/>
              </w:rPr>
            </w:pPr>
            <w:r>
              <w:rPr>
                <w:rFonts w:hint="eastAsia" w:ascii="宋体" w:hAnsi="宋体"/>
                <w:bCs/>
                <w:sz w:val="24"/>
              </w:rPr>
              <w:t>5、招标代理服务费以汇款形式支付。</w:t>
            </w:r>
          </w:p>
          <w:p w14:paraId="20176DCE">
            <w:pPr>
              <w:spacing w:line="440" w:lineRule="exact"/>
              <w:rPr>
                <w:rFonts w:ascii="宋体" w:hAnsi="宋体"/>
                <w:bCs/>
                <w:sz w:val="24"/>
              </w:rPr>
            </w:pPr>
            <w:r>
              <w:rPr>
                <w:rFonts w:hint="eastAsia" w:ascii="宋体" w:hAnsi="宋体"/>
                <w:bCs/>
                <w:sz w:val="24"/>
              </w:rPr>
              <w:t>6、中标人（如为联合体投标的，则为联合体牵头人）须在以下账户中交纳招标代理服务费：</w:t>
            </w:r>
          </w:p>
          <w:p w14:paraId="3AC41AC7">
            <w:pPr>
              <w:spacing w:line="440" w:lineRule="exact"/>
              <w:rPr>
                <w:rFonts w:ascii="宋体" w:hAnsi="宋体"/>
                <w:bCs/>
                <w:sz w:val="24"/>
              </w:rPr>
            </w:pPr>
            <w:r>
              <w:rPr>
                <w:rFonts w:hint="eastAsia" w:ascii="宋体" w:hAnsi="宋体"/>
                <w:bCs/>
                <w:sz w:val="24"/>
              </w:rPr>
              <w:t>账户名：马鞍山市兴马项目咨询有限公司</w:t>
            </w:r>
          </w:p>
          <w:p w14:paraId="303C021B">
            <w:pPr>
              <w:spacing w:line="440" w:lineRule="exact"/>
              <w:rPr>
                <w:rFonts w:ascii="宋体" w:hAnsi="宋体"/>
                <w:bCs/>
                <w:sz w:val="24"/>
              </w:rPr>
            </w:pPr>
            <w:r>
              <w:rPr>
                <w:rFonts w:hint="eastAsia" w:ascii="宋体" w:hAnsi="宋体"/>
                <w:bCs/>
                <w:sz w:val="24"/>
              </w:rPr>
              <w:t>开户银行：安徽马鞍山农村商业银行股份有限公司</w:t>
            </w:r>
          </w:p>
          <w:p w14:paraId="7D093587">
            <w:pPr>
              <w:spacing w:line="440" w:lineRule="exact"/>
              <w:rPr>
                <w:rFonts w:ascii="宋体" w:hAnsi="宋体"/>
                <w:bCs/>
                <w:sz w:val="24"/>
              </w:rPr>
            </w:pPr>
            <w:r>
              <w:rPr>
                <w:rFonts w:hint="eastAsia" w:ascii="宋体" w:hAnsi="宋体"/>
                <w:bCs/>
                <w:sz w:val="24"/>
              </w:rPr>
              <w:t>账号：20000470123310300000155</w:t>
            </w:r>
          </w:p>
          <w:p w14:paraId="3A09AC56">
            <w:pPr>
              <w:spacing w:line="440" w:lineRule="exact"/>
            </w:pPr>
            <w:r>
              <w:rPr>
                <w:rFonts w:hint="eastAsia" w:ascii="宋体" w:hAnsi="宋体"/>
                <w:bCs/>
                <w:sz w:val="24"/>
              </w:rPr>
              <w:t>注：招标代理服务费须从中标人（如为联合体投标的，则为联合体牵头人）单位账户汇出，汇款时备注项目名称。</w:t>
            </w:r>
          </w:p>
        </w:tc>
      </w:tr>
      <w:tr w14:paraId="28664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6D7C7EC5">
            <w:pPr>
              <w:spacing w:line="440" w:lineRule="exact"/>
              <w:jc w:val="center"/>
              <w:rPr>
                <w:rFonts w:ascii="宋体" w:hAnsi="宋体"/>
                <w:sz w:val="24"/>
              </w:rPr>
            </w:pPr>
            <w:r>
              <w:rPr>
                <w:rFonts w:hint="eastAsia" w:ascii="宋体" w:hAnsi="宋体"/>
                <w:sz w:val="24"/>
              </w:rPr>
              <w:t>10.</w:t>
            </w:r>
            <w:r>
              <w:rPr>
                <w:rFonts w:ascii="宋体" w:hAnsi="宋体"/>
                <w:sz w:val="24"/>
              </w:rPr>
              <w:t>2</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5D6A80EA">
            <w:pPr>
              <w:spacing w:line="400" w:lineRule="exact"/>
              <w:rPr>
                <w:rFonts w:ascii="宋体" w:hAnsi="宋体" w:cs="宋体"/>
                <w:kern w:val="0"/>
                <w:sz w:val="24"/>
                <w:highlight w:val="green"/>
              </w:rPr>
            </w:pPr>
            <w:r>
              <w:rPr>
                <w:rFonts w:hint="eastAsia" w:ascii="宋体" w:hAnsi="宋体" w:cs="宋体"/>
                <w:kern w:val="0"/>
                <w:sz w:val="24"/>
                <w:highlight w:val="green"/>
              </w:rPr>
              <w:t>在线提起询问、异议、投诉方式：</w:t>
            </w:r>
          </w:p>
          <w:p w14:paraId="0924F2F0">
            <w:pPr>
              <w:spacing w:line="400" w:lineRule="exact"/>
              <w:rPr>
                <w:rFonts w:ascii="宋体" w:hAnsi="宋体" w:cs="宋体"/>
                <w:kern w:val="0"/>
                <w:sz w:val="24"/>
                <w:highlight w:val="green"/>
              </w:rPr>
            </w:pPr>
            <w:r>
              <w:rPr>
                <w:rFonts w:hint="eastAsia" w:ascii="宋体" w:hAnsi="宋体" w:cs="宋体"/>
                <w:kern w:val="0"/>
                <w:sz w:val="24"/>
                <w:highlight w:val="green"/>
              </w:rPr>
              <w:t>1、在线提起询问，路径为：马鞍山市公共资源交易中心网（</w:t>
            </w:r>
            <w:r>
              <w:rPr>
                <w:rFonts w:ascii="宋体" w:hAnsi="宋体" w:cs="宋体"/>
                <w:kern w:val="0"/>
                <w:sz w:val="24"/>
                <w:highlight w:val="green"/>
              </w:rPr>
              <w:t>https://zbcg.mas.gov.cn/masggzynew/syywb/012006/detail_commonptdl.html</w:t>
            </w:r>
            <w:r>
              <w:rPr>
                <w:rFonts w:hint="eastAsia" w:ascii="宋体" w:hAnsi="宋体" w:cs="宋体"/>
                <w:kern w:val="0"/>
                <w:sz w:val="24"/>
                <w:highlight w:val="green"/>
              </w:rPr>
              <w:t>）登录马鞍山市公共资源交易系统-工程业务-网上提问</w:t>
            </w:r>
          </w:p>
          <w:p w14:paraId="763B3CBA">
            <w:pPr>
              <w:spacing w:line="400" w:lineRule="exact"/>
              <w:rPr>
                <w:rFonts w:ascii="宋体" w:hAnsi="宋体" w:cs="宋体"/>
                <w:kern w:val="0"/>
                <w:sz w:val="24"/>
                <w:highlight w:val="green"/>
              </w:rPr>
            </w:pPr>
            <w:r>
              <w:rPr>
                <w:rFonts w:hint="eastAsia" w:ascii="宋体" w:hAnsi="宋体" w:cs="宋体"/>
                <w:kern w:val="0"/>
                <w:sz w:val="24"/>
                <w:highlight w:val="green"/>
              </w:rPr>
              <w:t>2、在线提起异议，路径为：马鞍山市公共资源交易中心网（</w:t>
            </w:r>
            <w:r>
              <w:rPr>
                <w:rFonts w:ascii="宋体" w:hAnsi="宋体" w:cs="宋体"/>
                <w:kern w:val="0"/>
                <w:sz w:val="24"/>
                <w:highlight w:val="green"/>
              </w:rPr>
              <w:t>https://zbcg.mas.gov.cn/masggzynew/syywb/012006/detail_commonptdl.html</w:t>
            </w:r>
            <w:r>
              <w:rPr>
                <w:rFonts w:hint="eastAsia" w:ascii="宋体" w:hAnsi="宋体" w:cs="宋体"/>
                <w:kern w:val="0"/>
                <w:sz w:val="24"/>
                <w:highlight w:val="green"/>
              </w:rPr>
              <w:t>）登录马鞍山市公共资源交易系统-工程业务-异议</w:t>
            </w:r>
          </w:p>
          <w:p w14:paraId="7A574B35">
            <w:pPr>
              <w:spacing w:line="440" w:lineRule="exact"/>
              <w:rPr>
                <w:rFonts w:ascii="宋体" w:hAnsi="宋体"/>
                <w:sz w:val="24"/>
              </w:rPr>
            </w:pPr>
            <w:r>
              <w:rPr>
                <w:rFonts w:hint="eastAsia" w:ascii="宋体" w:hAnsi="宋体" w:cs="宋体"/>
                <w:kern w:val="0"/>
                <w:sz w:val="24"/>
                <w:highlight w:val="green"/>
              </w:rPr>
              <w:t>3、在线提起投诉，路径为：马鞍山市公共资源交易中心网（</w:t>
            </w:r>
            <w:r>
              <w:rPr>
                <w:rFonts w:ascii="宋体" w:hAnsi="宋体" w:cs="宋体"/>
                <w:kern w:val="0"/>
                <w:sz w:val="24"/>
                <w:highlight w:val="green"/>
              </w:rPr>
              <w:t>https://zbcg.mas.gov.cn/masggzynew/syywb/012006/detail_commonptdl.html</w:t>
            </w:r>
            <w:r>
              <w:rPr>
                <w:rFonts w:hint="eastAsia" w:ascii="宋体" w:hAnsi="宋体" w:cs="宋体"/>
                <w:kern w:val="0"/>
                <w:sz w:val="24"/>
                <w:highlight w:val="green"/>
              </w:rPr>
              <w:t>）登录马鞍山市公共资源交易系统-工程业务-投诉举报（投诉受理机构：马鞍山市公共资源交易监督管理局；联系方式：0555</w:t>
            </w:r>
            <w:r>
              <w:rPr>
                <w:rFonts w:ascii="宋体" w:hAnsi="宋体" w:cs="宋体"/>
                <w:kern w:val="0"/>
                <w:sz w:val="24"/>
                <w:highlight w:val="green"/>
              </w:rPr>
              <w:t>-</w:t>
            </w:r>
            <w:r>
              <w:rPr>
                <w:rFonts w:hint="eastAsia" w:ascii="宋体" w:hAnsi="宋体" w:cs="宋体"/>
                <w:kern w:val="0"/>
                <w:sz w:val="24"/>
                <w:highlight w:val="green"/>
              </w:rPr>
              <w:t>5200185）</w:t>
            </w:r>
          </w:p>
        </w:tc>
      </w:tr>
      <w:tr w14:paraId="54F69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7235A557">
            <w:pPr>
              <w:spacing w:line="440" w:lineRule="exact"/>
              <w:jc w:val="center"/>
              <w:rPr>
                <w:rFonts w:ascii="宋体" w:hAnsi="宋体"/>
                <w:sz w:val="24"/>
              </w:rPr>
            </w:pPr>
            <w:r>
              <w:rPr>
                <w:rFonts w:hint="eastAsia" w:ascii="宋体" w:hAnsi="宋体"/>
                <w:sz w:val="24"/>
              </w:rPr>
              <w:t>10.3</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080D2B77">
            <w:pPr>
              <w:spacing w:line="400" w:lineRule="exact"/>
              <w:jc w:val="left"/>
              <w:rPr>
                <w:rFonts w:ascii="宋体" w:hAnsi="宋体" w:cs="宋体"/>
                <w:sz w:val="24"/>
              </w:rPr>
            </w:pPr>
            <w:r>
              <w:rPr>
                <w:rFonts w:hint="eastAsia" w:ascii="宋体" w:hAnsi="宋体" w:cs="宋体"/>
                <w:sz w:val="24"/>
              </w:rPr>
              <w:t>若本项目招标文件中要求投标人配备人员提供社保证明材料的，为下述形式之一（投标文件中须提供复印件（或影印件））：</w:t>
            </w:r>
          </w:p>
          <w:p w14:paraId="7F19A3E0">
            <w:pPr>
              <w:spacing w:line="400" w:lineRule="exact"/>
              <w:jc w:val="left"/>
              <w:rPr>
                <w:rFonts w:ascii="宋体" w:hAnsi="宋体" w:cs="宋体"/>
                <w:sz w:val="24"/>
              </w:rPr>
            </w:pPr>
            <w:r>
              <w:rPr>
                <w:rFonts w:hint="eastAsia" w:ascii="宋体" w:hAnsi="宋体" w:cs="宋体"/>
                <w:sz w:val="24"/>
              </w:rPr>
              <w:t>①社保缴款凭证。</w:t>
            </w:r>
          </w:p>
          <w:p w14:paraId="21819B80">
            <w:pPr>
              <w:spacing w:line="400" w:lineRule="exact"/>
              <w:jc w:val="left"/>
              <w:rPr>
                <w:rFonts w:ascii="宋体" w:hAnsi="宋体" w:cs="宋体"/>
                <w:sz w:val="24"/>
              </w:rPr>
            </w:pPr>
            <w:r>
              <w:rPr>
                <w:rFonts w:hint="eastAsia" w:ascii="宋体" w:hAnsi="宋体" w:cs="宋体"/>
                <w:sz w:val="24"/>
              </w:rPr>
              <w:t>②人社部门（或税务部门）官方网站查询的缴费记录截图。</w:t>
            </w:r>
          </w:p>
          <w:p w14:paraId="75079067">
            <w:pPr>
              <w:spacing w:line="400" w:lineRule="exact"/>
              <w:jc w:val="left"/>
              <w:rPr>
                <w:rFonts w:ascii="宋体" w:hAnsi="宋体" w:cs="宋体"/>
                <w:sz w:val="24"/>
              </w:rPr>
            </w:pPr>
            <w:r>
              <w:rPr>
                <w:rFonts w:hint="eastAsia" w:ascii="宋体" w:hAnsi="宋体" w:cs="宋体"/>
                <w:sz w:val="24"/>
              </w:rPr>
              <w:t>③人社部门（或税务部门）出具的证明材料。</w:t>
            </w:r>
          </w:p>
          <w:p w14:paraId="15B4872B">
            <w:pPr>
              <w:spacing w:line="400" w:lineRule="exact"/>
              <w:jc w:val="left"/>
              <w:rPr>
                <w:rFonts w:ascii="宋体" w:hAnsi="宋体" w:cs="宋体"/>
                <w:sz w:val="24"/>
              </w:rPr>
            </w:pPr>
            <w:r>
              <w:rPr>
                <w:rFonts w:hint="eastAsia" w:ascii="宋体" w:hAnsi="宋体" w:cs="宋体"/>
                <w:sz w:val="24"/>
              </w:rPr>
              <w:t>④与投标人有直接隶属关系的机构缴纳的社保视同投标人缴纳，但须提供有关证明材料。</w:t>
            </w:r>
          </w:p>
          <w:p w14:paraId="7F955BB9">
            <w:pPr>
              <w:spacing w:line="400" w:lineRule="exact"/>
              <w:jc w:val="left"/>
              <w:rPr>
                <w:rFonts w:ascii="宋体" w:hAnsi="宋体" w:cs="宋体"/>
                <w:sz w:val="24"/>
              </w:rPr>
            </w:pPr>
            <w:r>
              <w:rPr>
                <w:rFonts w:hint="eastAsia" w:ascii="宋体" w:hAnsi="宋体" w:cs="宋体"/>
                <w:sz w:val="24"/>
              </w:rPr>
              <w:t>⑤法定代表人参与项目的，无需提供法定代表人的社保证明材料，提供身份证明材料即可。</w:t>
            </w:r>
          </w:p>
          <w:p w14:paraId="5FF0A948">
            <w:pPr>
              <w:spacing w:line="400" w:lineRule="exact"/>
              <w:jc w:val="left"/>
              <w:rPr>
                <w:rFonts w:ascii="宋体" w:hAnsi="宋体" w:cs="宋体"/>
                <w:sz w:val="24"/>
              </w:rPr>
            </w:pPr>
            <w:r>
              <w:rPr>
                <w:rFonts w:hint="eastAsia" w:ascii="宋体" w:hAnsi="宋体" w:cs="宋体"/>
                <w:sz w:val="24"/>
              </w:rPr>
              <w:t>⑥如投标人为事业单位，也可以提供由人社部门出具的人事关系在投标人单位的证明材料。</w:t>
            </w:r>
          </w:p>
          <w:p w14:paraId="216C85EF">
            <w:pPr>
              <w:spacing w:line="400" w:lineRule="exact"/>
              <w:jc w:val="left"/>
              <w:rPr>
                <w:rFonts w:ascii="宋体" w:hAnsi="宋体" w:cs="宋体"/>
                <w:sz w:val="24"/>
              </w:rPr>
            </w:pPr>
            <w:r>
              <w:rPr>
                <w:rFonts w:hint="eastAsia" w:ascii="宋体" w:hAnsi="宋体" w:cs="宋体"/>
                <w:sz w:val="24"/>
              </w:rPr>
              <w:t>⑦如投标人配备人员为退役军人，须提供退役军人相关证明材料及投标人与该人员签订的用工合同复印件（或影印件）。</w:t>
            </w:r>
          </w:p>
          <w:p w14:paraId="0F99526B">
            <w:pPr>
              <w:spacing w:line="400" w:lineRule="exact"/>
              <w:rPr>
                <w:rFonts w:ascii="宋体" w:hAnsi="宋体" w:cs="宋体"/>
                <w:kern w:val="0"/>
                <w:sz w:val="24"/>
                <w:highlight w:val="green"/>
              </w:rPr>
            </w:pPr>
            <w:r>
              <w:rPr>
                <w:rFonts w:hint="eastAsia" w:ascii="宋体" w:hAnsi="宋体" w:cs="宋体"/>
                <w:kern w:val="0"/>
                <w:sz w:val="24"/>
              </w:rPr>
              <w:t>⑧如投标人配备人员为退休人员，无需提供社保证明材料，但须提供退休证明材料复印件（或影印件）和投标人与其签订的用工合同复印件（或影印件）。</w:t>
            </w:r>
          </w:p>
        </w:tc>
      </w:tr>
      <w:tr w14:paraId="03E83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55BA4B8A">
            <w:pPr>
              <w:spacing w:line="440" w:lineRule="exact"/>
              <w:jc w:val="center"/>
              <w:rPr>
                <w:rFonts w:ascii="宋体" w:hAnsi="宋体" w:cs="Arial"/>
                <w:color w:val="FF0000"/>
                <w:sz w:val="24"/>
              </w:rPr>
            </w:pPr>
            <w:r>
              <w:rPr>
                <w:rFonts w:hint="eastAsia" w:ascii="宋体" w:hAnsi="宋体" w:cs="Arial"/>
                <w:color w:val="FF0000"/>
                <w:sz w:val="24"/>
              </w:rPr>
              <w:t>重要</w:t>
            </w:r>
          </w:p>
          <w:p w14:paraId="6417FDB9">
            <w:pPr>
              <w:spacing w:line="440" w:lineRule="exact"/>
              <w:jc w:val="center"/>
              <w:rPr>
                <w:rFonts w:ascii="宋体" w:hAnsi="宋体" w:cs="Arial"/>
                <w:color w:val="FF0000"/>
                <w:sz w:val="24"/>
              </w:rPr>
            </w:pPr>
            <w:r>
              <w:rPr>
                <w:rFonts w:hint="eastAsia" w:ascii="宋体" w:hAnsi="宋体" w:cs="Arial"/>
                <w:color w:val="FF0000"/>
                <w:sz w:val="24"/>
              </w:rPr>
              <w:t>提示1</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0EB55676">
            <w:pPr>
              <w:spacing w:line="440" w:lineRule="exact"/>
              <w:rPr>
                <w:rFonts w:ascii="宋体" w:hAnsi="宋体" w:cs="宋体"/>
                <w:color w:val="FF0000"/>
                <w:kern w:val="0"/>
                <w:sz w:val="24"/>
              </w:rPr>
            </w:pPr>
            <w:r>
              <w:rPr>
                <w:rFonts w:hint="eastAsia" w:ascii="宋体" w:hAnsi="宋体" w:cs="宋体"/>
                <w:color w:val="FF0000"/>
                <w:kern w:val="0"/>
                <w:sz w:val="24"/>
              </w:rPr>
              <w:t>1、投标人投标文件中提供的所有资料（包括但不限于复印件、影印件、扫描件）必须清晰、完整，否则因投标文件中提供的资料内容不清晰、不完整，而导致在评审中处于不利地位的风险由投标人单方面承担。</w:t>
            </w:r>
          </w:p>
          <w:p w14:paraId="2E3645FC">
            <w:pPr>
              <w:spacing w:line="440" w:lineRule="exact"/>
              <w:rPr>
                <w:rFonts w:ascii="宋体" w:hAnsi="宋体" w:cs="宋体"/>
                <w:b/>
                <w:color w:val="FF0000"/>
                <w:kern w:val="0"/>
                <w:sz w:val="24"/>
                <w:highlight w:val="green"/>
              </w:rPr>
            </w:pPr>
            <w:r>
              <w:rPr>
                <w:rFonts w:hint="eastAsia" w:ascii="宋体" w:hAnsi="宋体"/>
                <w:b/>
                <w:color w:val="FF0000"/>
                <w:sz w:val="32"/>
                <w:szCs w:val="32"/>
                <w:highlight w:val="yellow"/>
              </w:rPr>
              <w:t>2、本项目为电子招标投标。</w:t>
            </w:r>
            <w:r>
              <w:rPr>
                <w:rFonts w:hint="eastAsia" w:ascii="宋体" w:hAnsi="宋体" w:cs="宋体"/>
                <w:b/>
                <w:color w:val="FF0000"/>
                <w:kern w:val="0"/>
                <w:sz w:val="24"/>
                <w:highlight w:val="green"/>
              </w:rPr>
              <w:t>投标人应按本项目招标文件中的“投标文件格式”编制电子投标文件。招标文件中的“投标文件格式”与电子招投标系统中预设的相应模块（投标文件格式）内容不一致的，应以招标文件中的“投标文件格式”为准。如未按招标文件中的“投标文件格式”编制投标文件，评委会有权做出无效标处理。</w:t>
            </w:r>
          </w:p>
          <w:p w14:paraId="5F1B20E8">
            <w:pPr>
              <w:spacing w:line="440" w:lineRule="exact"/>
              <w:rPr>
                <w:rFonts w:ascii="宋体" w:hAnsi="宋体" w:cs="宋体"/>
                <w:b/>
                <w:color w:val="FF0000"/>
                <w:kern w:val="0"/>
                <w:sz w:val="24"/>
                <w:highlight w:val="green"/>
              </w:rPr>
            </w:pPr>
            <w:r>
              <w:rPr>
                <w:rFonts w:hint="eastAsia" w:ascii="宋体" w:hAnsi="宋体" w:cs="宋体"/>
                <w:b/>
                <w:color w:val="FF0000"/>
                <w:kern w:val="0"/>
                <w:sz w:val="24"/>
                <w:highlight w:val="green"/>
              </w:rPr>
              <w:t>3、本项目签字和盖章要求：采用电子招投标的项目，签字、盖章均接受电子公章、电子印鉴章、电子签名章。</w:t>
            </w:r>
          </w:p>
          <w:p w14:paraId="1992CAFE">
            <w:pPr>
              <w:spacing w:line="440" w:lineRule="exact"/>
              <w:rPr>
                <w:rFonts w:ascii="宋体" w:hAnsi="宋体" w:cs="宋体"/>
                <w:b/>
                <w:color w:val="FF0000"/>
                <w:kern w:val="0"/>
                <w:sz w:val="24"/>
                <w:highlight w:val="green"/>
              </w:rPr>
            </w:pPr>
            <w:r>
              <w:rPr>
                <w:rFonts w:hint="eastAsia" w:ascii="宋体" w:hAnsi="宋体" w:cs="宋体"/>
                <w:b/>
                <w:color w:val="FF0000"/>
                <w:kern w:val="0"/>
                <w:sz w:val="24"/>
                <w:highlight w:val="green"/>
              </w:rPr>
              <w:t>4、投标人应合理安排招标文件获取、投标文件上传、解密等时间，因投标人网络速度慢、网络拥堵等原因造成无法操作的，责任自负。</w:t>
            </w:r>
          </w:p>
        </w:tc>
      </w:tr>
      <w:tr w14:paraId="2167C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066214C3">
            <w:pPr>
              <w:spacing w:line="400" w:lineRule="exact"/>
              <w:jc w:val="center"/>
              <w:rPr>
                <w:rFonts w:ascii="宋体" w:hAnsi="宋体" w:cs="宋体"/>
                <w:color w:val="FF0000"/>
                <w:kern w:val="0"/>
                <w:sz w:val="24"/>
              </w:rPr>
            </w:pPr>
            <w:r>
              <w:rPr>
                <w:rFonts w:hint="eastAsia" w:ascii="宋体" w:hAnsi="宋体" w:cs="宋体"/>
                <w:color w:val="FF0000"/>
                <w:kern w:val="0"/>
                <w:sz w:val="24"/>
              </w:rPr>
              <w:t>重要</w:t>
            </w:r>
          </w:p>
          <w:p w14:paraId="1CBB7835">
            <w:pPr>
              <w:spacing w:line="400" w:lineRule="exact"/>
              <w:jc w:val="center"/>
              <w:rPr>
                <w:rFonts w:ascii="宋体" w:hAnsi="宋体" w:cs="Arial"/>
                <w:color w:val="FF0000"/>
                <w:sz w:val="24"/>
              </w:rPr>
            </w:pPr>
            <w:r>
              <w:rPr>
                <w:rFonts w:hint="eastAsia" w:ascii="宋体" w:hAnsi="宋体" w:cs="宋体"/>
                <w:color w:val="FF0000"/>
                <w:kern w:val="0"/>
                <w:sz w:val="24"/>
              </w:rPr>
              <w:t>提示2</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70E56E5B">
            <w:pPr>
              <w:spacing w:line="440" w:lineRule="exact"/>
              <w:rPr>
                <w:rFonts w:ascii="宋体" w:hAnsi="宋体" w:cs="宋体"/>
                <w:b/>
                <w:color w:val="FF0000"/>
                <w:kern w:val="0"/>
                <w:sz w:val="24"/>
              </w:rPr>
            </w:pPr>
            <w:r>
              <w:rPr>
                <w:rFonts w:hint="eastAsia" w:ascii="宋体" w:hAnsi="宋体" w:cs="宋体"/>
                <w:b/>
                <w:color w:val="FF0000"/>
                <w:kern w:val="0"/>
                <w:sz w:val="24"/>
                <w:highlight w:val="yellow"/>
              </w:rPr>
              <w:t>本项目监理管理文件（监理大纲）采用“暗标”，请投标人按照招标文件中关于“暗标”的相关要求编制和上传“监理管理文件（监理大纲）”，否则，由此造成的不利后果，由投标人自行承担。</w:t>
            </w:r>
          </w:p>
        </w:tc>
      </w:tr>
      <w:tr w14:paraId="0B0FA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60E4C70">
            <w:pPr>
              <w:spacing w:line="400" w:lineRule="exact"/>
              <w:jc w:val="center"/>
              <w:rPr>
                <w:rFonts w:ascii="宋体" w:hAnsi="宋体" w:cs="宋体"/>
                <w:color w:val="FF0000"/>
                <w:kern w:val="0"/>
                <w:sz w:val="24"/>
              </w:rPr>
            </w:pPr>
            <w:r>
              <w:rPr>
                <w:rFonts w:hint="eastAsia" w:ascii="宋体" w:hAnsi="宋体" w:cs="宋体"/>
                <w:color w:val="FF0000"/>
                <w:kern w:val="0"/>
                <w:sz w:val="24"/>
              </w:rPr>
              <w:t>重要</w:t>
            </w:r>
          </w:p>
          <w:p w14:paraId="66EF42E9">
            <w:pPr>
              <w:spacing w:line="400" w:lineRule="exact"/>
              <w:jc w:val="center"/>
              <w:rPr>
                <w:rFonts w:ascii="宋体" w:hAnsi="宋体" w:cs="宋体"/>
                <w:color w:val="FF0000"/>
                <w:kern w:val="0"/>
                <w:sz w:val="24"/>
              </w:rPr>
            </w:pPr>
            <w:r>
              <w:rPr>
                <w:rFonts w:hint="eastAsia" w:ascii="宋体" w:hAnsi="宋体" w:cs="宋体"/>
                <w:color w:val="FF0000"/>
                <w:kern w:val="0"/>
                <w:sz w:val="24"/>
              </w:rPr>
              <w:t>提示3</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73CED062">
            <w:pPr>
              <w:spacing w:line="440" w:lineRule="exact"/>
              <w:rPr>
                <w:rFonts w:ascii="宋体" w:hAnsi="宋体" w:cs="宋体"/>
                <w:b/>
                <w:color w:val="FF0000"/>
                <w:kern w:val="0"/>
                <w:sz w:val="24"/>
                <w:highlight w:val="green"/>
              </w:rPr>
            </w:pPr>
            <w:r>
              <w:rPr>
                <w:rFonts w:hint="eastAsia" w:ascii="宋体" w:hAnsi="宋体" w:cs="宋体"/>
                <w:b/>
                <w:color w:val="FF0000"/>
                <w:kern w:val="0"/>
                <w:sz w:val="24"/>
                <w:highlight w:val="green"/>
              </w:rPr>
              <w:t>1、本项目采取不见面开标（详见“不见面开标相关要求”），投标人无须派代表前往开标现场。</w:t>
            </w:r>
          </w:p>
          <w:p w14:paraId="5E192A53">
            <w:pPr>
              <w:spacing w:line="440" w:lineRule="exact"/>
              <w:rPr>
                <w:rFonts w:ascii="宋体" w:hAnsi="宋体" w:cs="宋体"/>
                <w:b/>
                <w:color w:val="FF0000"/>
                <w:kern w:val="0"/>
                <w:sz w:val="24"/>
                <w:highlight w:val="green"/>
              </w:rPr>
            </w:pPr>
            <w:r>
              <w:rPr>
                <w:rFonts w:hint="eastAsia" w:ascii="宋体" w:hAnsi="宋体" w:cs="宋体"/>
                <w:b/>
                <w:color w:val="FF0000"/>
                <w:kern w:val="0"/>
                <w:sz w:val="24"/>
                <w:highlight w:val="green"/>
              </w:rPr>
              <w:t>2、本项目在开评标过程中，对招标文件中有涉及系数抽取、号码抽取等，由开标现场招标代理机构工作人员操作、交易中心见证。</w:t>
            </w:r>
          </w:p>
          <w:p w14:paraId="48CC3286">
            <w:pPr>
              <w:spacing w:line="440" w:lineRule="exact"/>
            </w:pPr>
            <w:r>
              <w:rPr>
                <w:rFonts w:hint="eastAsia" w:ascii="宋体" w:hAnsi="宋体" w:cs="宋体"/>
                <w:b/>
                <w:color w:val="FF0000"/>
                <w:kern w:val="0"/>
                <w:sz w:val="24"/>
                <w:highlight w:val="green"/>
              </w:rPr>
              <w:t>3、开标过程中展示的有关信息与投标人的投标文件不一致的，评委会以投标文件作为评审依据。</w:t>
            </w:r>
          </w:p>
        </w:tc>
      </w:tr>
      <w:tr w14:paraId="62F90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88C64CC">
            <w:pPr>
              <w:spacing w:line="400" w:lineRule="exact"/>
              <w:jc w:val="center"/>
              <w:rPr>
                <w:rFonts w:ascii="宋体" w:hAnsi="宋体" w:cs="宋体"/>
                <w:color w:val="FF0000"/>
                <w:kern w:val="0"/>
                <w:sz w:val="24"/>
              </w:rPr>
            </w:pPr>
            <w:r>
              <w:rPr>
                <w:rFonts w:hint="eastAsia" w:ascii="宋体" w:hAnsi="宋体" w:cs="宋体"/>
                <w:color w:val="FF0000"/>
                <w:kern w:val="0"/>
                <w:sz w:val="24"/>
              </w:rPr>
              <w:t>重要</w:t>
            </w:r>
          </w:p>
          <w:p w14:paraId="411AF06D">
            <w:pPr>
              <w:spacing w:line="400" w:lineRule="exact"/>
              <w:jc w:val="center"/>
              <w:rPr>
                <w:rFonts w:ascii="宋体" w:hAnsi="宋体" w:cs="宋体"/>
                <w:color w:val="FF0000"/>
                <w:kern w:val="0"/>
                <w:sz w:val="24"/>
              </w:rPr>
            </w:pPr>
            <w:r>
              <w:rPr>
                <w:rFonts w:hint="eastAsia" w:ascii="宋体" w:hAnsi="宋体" w:cs="宋体"/>
                <w:color w:val="FF0000"/>
                <w:kern w:val="0"/>
                <w:sz w:val="24"/>
              </w:rPr>
              <w:t>提示4</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75604DF5">
            <w:pPr>
              <w:spacing w:line="440" w:lineRule="exact"/>
              <w:rPr>
                <w:rFonts w:ascii="宋体" w:hAnsi="宋体" w:cs="宋体"/>
                <w:color w:val="FF0000"/>
                <w:kern w:val="0"/>
                <w:sz w:val="24"/>
              </w:rPr>
            </w:pPr>
            <w:r>
              <w:rPr>
                <w:rFonts w:hint="eastAsia" w:ascii="宋体" w:hAnsi="宋体" w:cs="宋体"/>
                <w:color w:val="FF0000"/>
                <w:kern w:val="0"/>
                <w:sz w:val="24"/>
              </w:rPr>
              <w:t>1、创建优质工程</w:t>
            </w:r>
          </w:p>
          <w:p w14:paraId="08035812">
            <w:pPr>
              <w:spacing w:line="440" w:lineRule="exact"/>
              <w:rPr>
                <w:rFonts w:ascii="宋体" w:hAnsi="宋体" w:cs="宋体"/>
                <w:color w:val="FF0000"/>
                <w:kern w:val="0"/>
                <w:sz w:val="24"/>
                <w:highlight w:val="yellow"/>
              </w:rPr>
            </w:pPr>
            <w:r>
              <w:rPr>
                <w:rFonts w:hint="eastAsia" w:ascii="宋体" w:hAnsi="宋体" w:cs="宋体"/>
                <w:color w:val="FF0000"/>
                <w:kern w:val="0"/>
                <w:sz w:val="24"/>
                <w:highlight w:val="yellow"/>
              </w:rPr>
              <w:t>√不要求。</w:t>
            </w:r>
          </w:p>
          <w:p w14:paraId="7E52F524">
            <w:pPr>
              <w:spacing w:line="440" w:lineRule="exact"/>
              <w:rPr>
                <w:rFonts w:ascii="宋体" w:hAnsi="宋体" w:cs="宋体"/>
                <w:color w:val="FF0000"/>
                <w:kern w:val="0"/>
                <w:sz w:val="24"/>
              </w:rPr>
            </w:pPr>
            <w:r>
              <w:rPr>
                <w:rFonts w:hint="eastAsia" w:ascii="宋体" w:hAnsi="宋体" w:cs="宋体"/>
                <w:color w:val="FF0000"/>
                <w:kern w:val="0"/>
                <w:sz w:val="24"/>
              </w:rPr>
              <w:t>□要求。</w:t>
            </w:r>
          </w:p>
          <w:p w14:paraId="09401307">
            <w:pPr>
              <w:spacing w:line="440" w:lineRule="exact"/>
              <w:rPr>
                <w:rFonts w:ascii="宋体" w:hAnsi="宋体" w:cs="宋体"/>
                <w:color w:val="FF0000"/>
                <w:kern w:val="0"/>
                <w:sz w:val="24"/>
              </w:rPr>
            </w:pPr>
            <w:r>
              <w:rPr>
                <w:rFonts w:hint="eastAsia" w:ascii="宋体" w:hAnsi="宋体" w:cs="宋体"/>
                <w:color w:val="FF0000"/>
                <w:kern w:val="0"/>
                <w:sz w:val="24"/>
              </w:rPr>
              <w:t>①创建优质工程奖励要求 ：</w:t>
            </w:r>
          </w:p>
          <w:p w14:paraId="3B5E8264">
            <w:pPr>
              <w:spacing w:line="440" w:lineRule="exact"/>
              <w:rPr>
                <w:rFonts w:ascii="宋体" w:hAnsi="宋体" w:cs="宋体"/>
                <w:color w:val="FF0000"/>
                <w:kern w:val="0"/>
                <w:sz w:val="24"/>
              </w:rPr>
            </w:pPr>
            <w:r>
              <w:rPr>
                <w:rFonts w:hint="eastAsia" w:ascii="宋体" w:hAnsi="宋体" w:cs="宋体"/>
                <w:color w:val="FF0000"/>
                <w:kern w:val="0"/>
                <w:sz w:val="24"/>
              </w:rPr>
              <w:t>□获得市级优质工程奖项，给予合同金额的  /  奖励；</w:t>
            </w:r>
          </w:p>
          <w:p w14:paraId="5DDE3720">
            <w:pPr>
              <w:spacing w:line="440" w:lineRule="exact"/>
              <w:rPr>
                <w:rFonts w:ascii="宋体" w:hAnsi="宋体" w:cs="宋体"/>
                <w:color w:val="FF0000"/>
                <w:kern w:val="0"/>
                <w:sz w:val="24"/>
              </w:rPr>
            </w:pPr>
            <w:r>
              <w:rPr>
                <w:rFonts w:hint="eastAsia" w:ascii="宋体" w:hAnsi="宋体" w:cs="宋体"/>
                <w:color w:val="FF0000"/>
                <w:kern w:val="0"/>
                <w:sz w:val="24"/>
              </w:rPr>
              <w:t>□获得省级优质工程奖项，给予合同金额的   / 奖励；</w:t>
            </w:r>
          </w:p>
          <w:p w14:paraId="34007BC9">
            <w:pPr>
              <w:spacing w:line="440" w:lineRule="exact"/>
              <w:rPr>
                <w:rFonts w:ascii="宋体" w:hAnsi="宋体" w:cs="宋体"/>
                <w:color w:val="FF0000"/>
                <w:kern w:val="0"/>
                <w:sz w:val="24"/>
              </w:rPr>
            </w:pPr>
            <w:r>
              <w:rPr>
                <w:rFonts w:hint="eastAsia" w:ascii="宋体" w:hAnsi="宋体" w:cs="宋体"/>
                <w:color w:val="FF0000"/>
                <w:kern w:val="0"/>
                <w:sz w:val="24"/>
              </w:rPr>
              <w:t>□获得国家级优质工程奖项，给予合同金额的   / 奖励；</w:t>
            </w:r>
          </w:p>
          <w:p w14:paraId="34310370">
            <w:pPr>
              <w:spacing w:line="440" w:lineRule="exact"/>
              <w:rPr>
                <w:rFonts w:ascii="宋体" w:hAnsi="宋体" w:cs="宋体"/>
                <w:color w:val="FF0000"/>
                <w:kern w:val="0"/>
                <w:sz w:val="24"/>
              </w:rPr>
            </w:pPr>
            <w:r>
              <w:rPr>
                <w:rFonts w:hint="eastAsia" w:ascii="宋体" w:hAnsi="宋体" w:cs="宋体"/>
                <w:color w:val="FF0000"/>
                <w:kern w:val="0"/>
                <w:sz w:val="24"/>
              </w:rPr>
              <w:t xml:space="preserve">②创建优质工程其他要求： /  </w:t>
            </w:r>
          </w:p>
          <w:p w14:paraId="14415AE6">
            <w:pPr>
              <w:widowControl/>
              <w:spacing w:line="440" w:lineRule="exact"/>
              <w:rPr>
                <w:rFonts w:ascii="宋体" w:hAnsi="宋体" w:cs="宋体"/>
                <w:kern w:val="0"/>
                <w:sz w:val="24"/>
                <w:highlight w:val="green"/>
              </w:rPr>
            </w:pPr>
            <w:r>
              <w:rPr>
                <w:rFonts w:hint="eastAsia" w:ascii="宋体" w:hAnsi="宋体" w:cs="宋体"/>
                <w:color w:val="FF0000"/>
                <w:kern w:val="0"/>
                <w:sz w:val="24"/>
              </w:rPr>
              <w:t>2、相关创优奖励政策执行马鞍山市《关于印发以制造业为主体促进现代产业高质量发展“1+N+X”政策体系的通知》（党办〔2022〕5号）文件。</w:t>
            </w:r>
          </w:p>
        </w:tc>
      </w:tr>
      <w:tr w14:paraId="529EC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6C0864D">
            <w:pPr>
              <w:snapToGrid w:val="0"/>
              <w:spacing w:line="400" w:lineRule="exact"/>
              <w:jc w:val="center"/>
              <w:rPr>
                <w:rFonts w:ascii="宋体" w:hAnsi="宋体" w:cs="宋体"/>
                <w:b/>
                <w:color w:val="000000"/>
                <w:kern w:val="0"/>
                <w:sz w:val="24"/>
                <w:highlight w:val="yellow"/>
              </w:rPr>
            </w:pPr>
            <w:r>
              <w:rPr>
                <w:rFonts w:hint="eastAsia" w:ascii="宋体" w:hAnsi="宋体" w:cs="宋体"/>
                <w:b/>
                <w:color w:val="000000"/>
                <w:kern w:val="0"/>
                <w:sz w:val="24"/>
                <w:highlight w:val="yellow"/>
              </w:rPr>
              <w:t>“实名制”投标相关要求</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2959EF49">
            <w:pPr>
              <w:widowControl/>
              <w:spacing w:line="400" w:lineRule="exact"/>
              <w:rPr>
                <w:rFonts w:ascii="宋体" w:hAnsi="宋体" w:cs="宋体"/>
                <w:b/>
                <w:bCs/>
                <w:color w:val="FF0000"/>
                <w:kern w:val="0"/>
                <w:sz w:val="24"/>
                <w:highlight w:val="yellow"/>
              </w:rPr>
            </w:pPr>
            <w:r>
              <w:rPr>
                <w:rFonts w:hint="eastAsia" w:ascii="宋体" w:hAnsi="宋体" w:cs="宋体"/>
                <w:b/>
                <w:bCs/>
                <w:color w:val="FF0000"/>
                <w:kern w:val="0"/>
                <w:sz w:val="24"/>
                <w:highlight w:val="yellow"/>
              </w:rPr>
              <w:t>本项目是否采用“实名制”投标：详见招标公告。</w:t>
            </w:r>
          </w:p>
          <w:p w14:paraId="359E7992">
            <w:pPr>
              <w:widowControl/>
              <w:spacing w:line="400" w:lineRule="exact"/>
              <w:rPr>
                <w:rFonts w:ascii="宋体" w:hAnsi="宋体" w:cs="宋体"/>
                <w:b/>
                <w:bCs/>
                <w:color w:val="FF0000"/>
                <w:kern w:val="0"/>
                <w:sz w:val="24"/>
                <w:highlight w:val="yellow"/>
              </w:rPr>
            </w:pPr>
            <w:r>
              <w:rPr>
                <w:rFonts w:hint="eastAsia" w:ascii="宋体" w:hAnsi="宋体" w:cs="宋体"/>
                <w:b/>
                <w:bCs/>
                <w:color w:val="FF0000"/>
                <w:kern w:val="0"/>
                <w:sz w:val="24"/>
                <w:highlight w:val="yellow"/>
              </w:rPr>
              <w:t>相关要求如下：</w:t>
            </w:r>
          </w:p>
          <w:p w14:paraId="269E9E5F">
            <w:pPr>
              <w:widowControl/>
              <w:spacing w:line="400" w:lineRule="exact"/>
              <w:rPr>
                <w:rFonts w:ascii="宋体" w:hAnsi="宋体" w:cs="宋体"/>
                <w:b/>
                <w:bCs/>
                <w:color w:val="FF0000"/>
                <w:kern w:val="0"/>
                <w:sz w:val="24"/>
                <w:highlight w:val="yellow"/>
              </w:rPr>
            </w:pPr>
            <w:r>
              <w:rPr>
                <w:rFonts w:hint="eastAsia" w:ascii="宋体" w:hAnsi="宋体" w:cs="宋体"/>
                <w:b/>
                <w:bCs/>
                <w:color w:val="FF0000"/>
                <w:kern w:val="0"/>
                <w:sz w:val="24"/>
                <w:highlight w:val="yellow"/>
              </w:rPr>
              <w:t>1、“实名制”投标是指应用“人脸识别”技术，对投标联系人进行身份验证的投标活动。投标联系人在上传投标文件前，须在电子交易系统中完成身份认证比对。</w:t>
            </w:r>
          </w:p>
          <w:p w14:paraId="78C1A9F0">
            <w:pPr>
              <w:widowControl/>
              <w:spacing w:line="400" w:lineRule="exact"/>
              <w:rPr>
                <w:rFonts w:ascii="宋体" w:hAnsi="宋体" w:cs="宋体"/>
                <w:b/>
                <w:bCs/>
                <w:color w:val="FF0000"/>
                <w:sz w:val="22"/>
                <w:highlight w:val="yellow"/>
              </w:rPr>
            </w:pPr>
            <w:r>
              <w:rPr>
                <w:rFonts w:hint="eastAsia" w:ascii="宋体" w:hAnsi="宋体" w:cs="宋体"/>
                <w:b/>
                <w:bCs/>
                <w:color w:val="FF0000"/>
                <w:kern w:val="0"/>
                <w:sz w:val="24"/>
                <w:highlight w:val="yellow"/>
              </w:rPr>
              <w:t>2、参与“实名制”项目的投标人须自备智能手机，下载、安装、调试好“标证通”APP（详见马鞍山市公共资源交易中心网-服务指南-软件下载-《实名制投标操作手册》）。</w:t>
            </w:r>
          </w:p>
          <w:p w14:paraId="7C2C0207">
            <w:pPr>
              <w:keepNext/>
              <w:keepLines/>
              <w:spacing w:line="480" w:lineRule="exact"/>
              <w:outlineLvl w:val="3"/>
              <w:rPr>
                <w:rFonts w:ascii="宋体" w:hAnsi="宋体"/>
                <w:bCs/>
                <w:color w:val="FF0000"/>
                <w:sz w:val="24"/>
                <w:highlight w:val="green"/>
              </w:rPr>
            </w:pPr>
            <w:r>
              <w:rPr>
                <w:rFonts w:hint="eastAsia" w:ascii="宋体" w:hAnsi="宋体" w:cs="宋体"/>
                <w:b/>
                <w:bCs/>
                <w:color w:val="FF0000"/>
                <w:kern w:val="0"/>
                <w:sz w:val="24"/>
                <w:highlight w:val="yellow"/>
              </w:rPr>
              <w:t>3、联合体单位参与“实名制”项目投标的，须以联合体牵头单位的投标联系人办理实名制验证。</w:t>
            </w:r>
          </w:p>
        </w:tc>
      </w:tr>
      <w:tr w14:paraId="7C5B9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09505BD">
            <w:pPr>
              <w:snapToGrid w:val="0"/>
              <w:spacing w:line="400" w:lineRule="exact"/>
              <w:jc w:val="center"/>
              <w:rPr>
                <w:rFonts w:ascii="宋体" w:hAnsi="宋体"/>
                <w:color w:val="FF0000"/>
                <w:sz w:val="24"/>
              </w:rPr>
            </w:pPr>
            <w:r>
              <w:rPr>
                <w:rFonts w:hint="eastAsia" w:ascii="宋体" w:hAnsi="宋体" w:cs="宋体"/>
                <w:b/>
                <w:color w:val="FF0000"/>
                <w:kern w:val="0"/>
                <w:sz w:val="24"/>
                <w:highlight w:val="yellow"/>
              </w:rPr>
              <w:t>不见面开标相关要求</w:t>
            </w:r>
          </w:p>
        </w:tc>
        <w:tc>
          <w:tcPr>
            <w:tcW w:w="9043" w:type="dxa"/>
            <w:gridSpan w:val="2"/>
            <w:tcBorders>
              <w:top w:val="single" w:color="auto" w:sz="4" w:space="0"/>
              <w:left w:val="single" w:color="auto" w:sz="4" w:space="0"/>
              <w:bottom w:val="single" w:color="auto" w:sz="4" w:space="0"/>
              <w:right w:val="single" w:color="auto" w:sz="4" w:space="0"/>
            </w:tcBorders>
            <w:vAlign w:val="center"/>
          </w:tcPr>
          <w:p w14:paraId="0B04B99A">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1、不见面开标时间以马鞍山市公共资源交易中心不见面开标系统显示时间为准。</w:t>
            </w:r>
          </w:p>
          <w:p w14:paraId="02AC4036">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2、不见面开标程序</w:t>
            </w:r>
          </w:p>
          <w:p w14:paraId="7D1DBDF0">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（1）宣布开标纪律；</w:t>
            </w:r>
          </w:p>
          <w:p w14:paraId="75B93B0B">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（2）宣布开标人、招标人等有关人员姓名；</w:t>
            </w:r>
          </w:p>
          <w:p w14:paraId="61F620B5">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（3）对投标截止时间前递交的投标文件由投标人解密后再由代理机构解密，系统自动记录开标过程，当众开标；</w:t>
            </w:r>
          </w:p>
          <w:p w14:paraId="7CA864F2">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（4）公布开标信息；</w:t>
            </w:r>
          </w:p>
          <w:p w14:paraId="469EB70E">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（5）抽取与评标办法有关的相关系数（如有）以及随机抽取一定数量投标人（如有）（开标现场招标代理机构工作人员操作，交易中心见证，抽取结果由主持人录入开标系统，投标人可自行查看）；</w:t>
            </w:r>
          </w:p>
          <w:p w14:paraId="4B8219DC">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（6）开标结束。</w:t>
            </w:r>
          </w:p>
          <w:p w14:paraId="2D90B622">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3、开标时出现下列情形之一的，拒绝其投标或投标无效：</w:t>
            </w:r>
          </w:p>
          <w:p w14:paraId="4431528C">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（1）投标截止时间以马鞍山市公共资源交易系统显示的时间为准，投标人应在投标截止前上传投标文件，逾期未完成上传的投标文件将被拒绝。</w:t>
            </w:r>
          </w:p>
          <w:p w14:paraId="4F0E334E">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（2）所有投标人均须使用本单位制作投标文件的CA锁，在招标文件规定时间内完成解密，超过招标文件规定时间不再接受投标人解密，视为放弃投标。</w:t>
            </w:r>
          </w:p>
          <w:p w14:paraId="1E27D3BA">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（3）经检查确认数字证书无效的投标文件；</w:t>
            </w:r>
          </w:p>
          <w:p w14:paraId="3B1984FD">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（4）投标文件未按招标文件要求进行数字证书加密的；</w:t>
            </w:r>
          </w:p>
          <w:p w14:paraId="2C3F18EE">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 xml:space="preserve">（5）不符合招标文件其他要求或对电子开标活动造成严重后果的。 </w:t>
            </w:r>
          </w:p>
          <w:p w14:paraId="77540260">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4、意外情况的处理</w:t>
            </w:r>
          </w:p>
          <w:p w14:paraId="338C9FB3">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交易系统出现下列情形导致系统无法正常运行，或者无法保证交易过程的公平、公正和信息安全时，各方当事人免责：</w:t>
            </w:r>
          </w:p>
          <w:p w14:paraId="54C44B10">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（1）网络发生故障而无法访问网站或无法使用交易系统；</w:t>
            </w:r>
          </w:p>
          <w:p w14:paraId="6F9697DE">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（2）交易系统发生故障，不能进行正常操作；</w:t>
            </w:r>
          </w:p>
          <w:p w14:paraId="695DA0A3">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（3）交易系统发现有安全漏洞，有潜在的泄密危险；</w:t>
            </w:r>
          </w:p>
          <w:p w14:paraId="13772838">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（4）计算机病毒发作导致交易系统无法正常运行；</w:t>
            </w:r>
          </w:p>
          <w:p w14:paraId="21A47CF5">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（5）电力系统发生故障导致交易系统无法运行；</w:t>
            </w:r>
          </w:p>
          <w:p w14:paraId="69BEBCCB">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（6）其他无法保证招投标过程公平、公正和信息安全的。</w:t>
            </w:r>
          </w:p>
          <w:p w14:paraId="7AA7E93D">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出现以上所列情形，不能及时解决的，由招标人或代理机构、监管部门和交易中心及时进行协商。可以采取以下办法处理：</w:t>
            </w:r>
          </w:p>
          <w:p w14:paraId="0ED73DB7">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（1）项目暂停，系统或网络故障在三个小时内排除并通过可靠测试的，恢复系统运行并重新启动在系统中实施暂停的项目开评标；</w:t>
            </w:r>
          </w:p>
          <w:p w14:paraId="55861460">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（2）项目封存，系统或网络故障在三个小时内未能排除的，封存所有开评标数据，另行通知开标时间。</w:t>
            </w:r>
          </w:p>
          <w:p w14:paraId="43812767">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5、其他</w:t>
            </w:r>
          </w:p>
          <w:p w14:paraId="043355F5">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如本要求与招标文件其他条款不一致时，以本要求为准。</w:t>
            </w:r>
          </w:p>
          <w:p w14:paraId="27E33FD1">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6、 注意事项</w:t>
            </w:r>
          </w:p>
          <w:p w14:paraId="6C845902">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1）不见面开标是指将传统的开标场所移到互联网。开标当日，投标人不必抵达开标现场，仅需通过不见面开标系统均可在任意地点参加开标会议，并使用不见面开标系统完成交易文件在线解密、互动交流、在线提疑、澄清等开标活动。</w:t>
            </w:r>
          </w:p>
          <w:p w14:paraId="5B1CB8E5">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（2）不见面开标时间以马鞍山市公共资源交易中心不见面开标系统显示时间为准。</w:t>
            </w:r>
          </w:p>
          <w:p w14:paraId="5642A48A">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（3）参与不见面开标的招标人或其委托代理机构、投标人等交易主体，应当按照规定取得和使用数字证书及电子签章。各方主体在系统中所有操作均具有法律效力，并承担法律责任。</w:t>
            </w:r>
          </w:p>
          <w:p w14:paraId="5A32AF87">
            <w:pPr>
              <w:widowControl/>
              <w:wordWrap w:val="0"/>
              <w:spacing w:line="400" w:lineRule="atLeast"/>
              <w:rPr>
                <w:rFonts w:ascii="宋体" w:hAnsi="宋体" w:cs="宋体"/>
                <w:color w:val="C00000"/>
                <w:kern w:val="0"/>
                <w:sz w:val="24"/>
              </w:rPr>
            </w:pPr>
            <w:r>
              <w:rPr>
                <w:rFonts w:hint="eastAsia" w:ascii="宋体" w:hAnsi="宋体" w:cs="宋体"/>
                <w:color w:val="C00000"/>
                <w:kern w:val="0"/>
                <w:sz w:val="24"/>
                <w:highlight w:val="yellow"/>
              </w:rPr>
              <w:t>（4）</w:t>
            </w:r>
            <w:r>
              <w:rPr>
                <w:rFonts w:ascii="宋体" w:hAnsi="宋体" w:cs="宋体"/>
                <w:color w:val="C00000"/>
                <w:kern w:val="0"/>
                <w:sz w:val="24"/>
                <w:highlight w:val="yellow"/>
              </w:rPr>
              <w:t>评标委员会通过电子交易系统发出询标、告知等信息，投标人应登录电子交易系统并保持在线状态，以便及时接收评标委员会可能发出的询标、告知等信息，并在规定时间内线上回复。若投标人未及时回复，评标委员会将视为其放弃。由此产生的不利后果由投标人自行承担。（在线操作要求见马鞍山市公共资源交易中心网站“服务指南”，技术支持联系电话：0555-5200194。）</w:t>
            </w:r>
          </w:p>
          <w:p w14:paraId="618AAD54">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（5）不见面开标项目，开标、评标过程中，投标人参与远程音视频交互（以下简称“交互”）的系统操作人员，均视为投标人法人代表或授权委托人，且保持通讯畅通。</w:t>
            </w:r>
          </w:p>
          <w:p w14:paraId="1A30A3A5">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（6）各投标人需要保障参与不见面开标的电脑硬件要求符合以下内容：</w:t>
            </w:r>
          </w:p>
          <w:p w14:paraId="5FC091BD">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①要求使用ie浏览器11版本。</w:t>
            </w:r>
          </w:p>
          <w:p w14:paraId="6EA451E4">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②电脑操作系统要求在win7及以上。</w:t>
            </w:r>
          </w:p>
          <w:p w14:paraId="723B400A">
            <w:pPr>
              <w:widowControl/>
              <w:wordWrap w:val="0"/>
              <w:spacing w:line="400" w:lineRule="atLeast"/>
              <w:rPr>
                <w:rFonts w:ascii="宋体" w:hAnsi="宋体" w:cs="宋体"/>
                <w:color w:val="C00000"/>
                <w:kern w:val="0"/>
                <w:sz w:val="24"/>
              </w:rPr>
            </w:pPr>
            <w:r>
              <w:rPr>
                <w:rFonts w:hint="eastAsia" w:ascii="宋体" w:hAnsi="宋体" w:cs="宋体"/>
                <w:color w:val="C00000"/>
                <w:kern w:val="0"/>
                <w:sz w:val="24"/>
              </w:rPr>
              <w:t>③内存要求在4G以上。</w:t>
            </w:r>
          </w:p>
          <w:p w14:paraId="3134B58C">
            <w:pPr>
              <w:widowControl/>
              <w:wordWrap w:val="0"/>
              <w:spacing w:line="400" w:lineRule="atLeast"/>
              <w:rPr>
                <w:rFonts w:ascii="宋体" w:hAnsi="宋体" w:cs="宋体"/>
                <w:b/>
                <w:color w:val="FF0000"/>
                <w:kern w:val="0"/>
                <w:sz w:val="24"/>
                <w:szCs w:val="20"/>
                <w:highlight w:val="yellow"/>
              </w:rPr>
            </w:pPr>
            <w:r>
              <w:rPr>
                <w:rFonts w:hint="eastAsia" w:ascii="宋体" w:hAnsi="宋体" w:cs="宋体"/>
                <w:color w:val="C00000"/>
                <w:kern w:val="0"/>
                <w:sz w:val="24"/>
              </w:rPr>
              <w:t>④要求正确安装马鞍山市电子招投标驱动程序（技术支持电话：</w:t>
            </w:r>
            <w:r>
              <w:rPr>
                <w:rFonts w:hint="eastAsia" w:ascii="宋体" w:hAnsi="宋体" w:cs="宋体"/>
                <w:color w:val="C00000"/>
                <w:kern w:val="0"/>
                <w:sz w:val="24"/>
                <w:lang w:eastAsia="zh-CN"/>
              </w:rPr>
              <w:t>0512-58188516</w:t>
            </w:r>
            <w:r>
              <w:rPr>
                <w:rFonts w:hint="eastAsia" w:ascii="宋体" w:hAnsi="宋体" w:cs="宋体"/>
                <w:color w:val="C00000"/>
                <w:kern w:val="0"/>
                <w:sz w:val="24"/>
              </w:rPr>
              <w:t>、0555-5200194）。</w:t>
            </w:r>
          </w:p>
        </w:tc>
      </w:tr>
    </w:tbl>
    <w:p w14:paraId="193C8BA2">
      <w:pPr>
        <w:spacing w:line="400" w:lineRule="exact"/>
        <w:rPr>
          <w:rFonts w:ascii="宋体" w:hAnsi="宋体"/>
          <w:sz w:val="24"/>
        </w:rPr>
      </w:pPr>
      <w:bookmarkStart w:id="19" w:name="_Toc306020557"/>
      <w:r>
        <w:rPr>
          <w:rFonts w:hint="eastAsia" w:ascii="宋体" w:hAnsi="宋体"/>
          <w:sz w:val="24"/>
        </w:rPr>
        <w:t>1.总则</w:t>
      </w:r>
      <w:bookmarkEnd w:id="19"/>
    </w:p>
    <w:p w14:paraId="7F9BE916">
      <w:pPr>
        <w:snapToGrid w:val="0"/>
        <w:spacing w:line="400" w:lineRule="exact"/>
        <w:rPr>
          <w:rFonts w:ascii="宋体" w:hAnsi="宋体"/>
          <w:sz w:val="24"/>
        </w:rPr>
      </w:pPr>
      <w:r>
        <w:rPr>
          <w:rFonts w:hint="eastAsia" w:ascii="宋体" w:hAnsi="宋体"/>
          <w:sz w:val="24"/>
        </w:rPr>
        <w:t>1.1项目概况</w:t>
      </w:r>
    </w:p>
    <w:p w14:paraId="3BD3D857">
      <w:pPr>
        <w:snapToGrid w:val="0"/>
        <w:spacing w:line="400" w:lineRule="exact"/>
        <w:rPr>
          <w:rFonts w:ascii="宋体" w:hAnsi="宋体"/>
          <w:sz w:val="24"/>
        </w:rPr>
      </w:pPr>
      <w:r>
        <w:rPr>
          <w:rFonts w:hint="eastAsia" w:ascii="宋体" w:hAnsi="宋体"/>
          <w:sz w:val="24"/>
        </w:rPr>
        <w:t>1.1.1根据《中华人民共和国招标投标法》等有关法律、法规和规章的规定，本项目已具备招标条件，现对本标段监理进行招标。</w:t>
      </w:r>
    </w:p>
    <w:p w14:paraId="0CA1396F">
      <w:pPr>
        <w:snapToGrid w:val="0"/>
        <w:spacing w:line="400" w:lineRule="exact"/>
        <w:rPr>
          <w:rFonts w:ascii="宋体" w:hAnsi="宋体"/>
          <w:sz w:val="24"/>
        </w:rPr>
      </w:pPr>
      <w:r>
        <w:rPr>
          <w:rFonts w:hint="eastAsia" w:ascii="宋体" w:hAnsi="宋体"/>
          <w:sz w:val="24"/>
        </w:rPr>
        <w:t>1.1.2本项目招标人：见投标人须知前附表。</w:t>
      </w:r>
    </w:p>
    <w:p w14:paraId="4F35BE92">
      <w:pPr>
        <w:snapToGrid w:val="0"/>
        <w:spacing w:line="400" w:lineRule="exact"/>
        <w:rPr>
          <w:rFonts w:ascii="宋体" w:hAnsi="宋体"/>
          <w:sz w:val="24"/>
        </w:rPr>
      </w:pPr>
      <w:r>
        <w:rPr>
          <w:rFonts w:hint="eastAsia" w:ascii="宋体" w:hAnsi="宋体"/>
          <w:sz w:val="24"/>
        </w:rPr>
        <w:t>1.1.3本项目招标代理机构：见投标人须知前附表。</w:t>
      </w:r>
    </w:p>
    <w:p w14:paraId="4E1DF952">
      <w:pPr>
        <w:snapToGrid w:val="0"/>
        <w:spacing w:line="400" w:lineRule="exact"/>
        <w:rPr>
          <w:rFonts w:ascii="宋体" w:hAnsi="宋体"/>
          <w:sz w:val="24"/>
        </w:rPr>
      </w:pPr>
      <w:r>
        <w:rPr>
          <w:rFonts w:hint="eastAsia" w:ascii="宋体" w:hAnsi="宋体"/>
          <w:sz w:val="24"/>
        </w:rPr>
        <w:t>1.1.4本项目名称：见投标人须知前附表。</w:t>
      </w:r>
    </w:p>
    <w:p w14:paraId="4F07017F">
      <w:pPr>
        <w:snapToGrid w:val="0"/>
        <w:spacing w:line="400" w:lineRule="exact"/>
        <w:rPr>
          <w:rFonts w:ascii="宋体" w:hAnsi="宋体"/>
          <w:sz w:val="24"/>
        </w:rPr>
      </w:pPr>
      <w:r>
        <w:rPr>
          <w:rFonts w:hint="eastAsia" w:ascii="宋体" w:hAnsi="宋体"/>
          <w:sz w:val="24"/>
        </w:rPr>
        <w:t>1.1.5本项目建设地点：见投标人须知前附表。</w:t>
      </w:r>
    </w:p>
    <w:p w14:paraId="4557B9C6">
      <w:pPr>
        <w:snapToGrid w:val="0"/>
        <w:spacing w:line="400" w:lineRule="exact"/>
        <w:rPr>
          <w:rFonts w:ascii="宋体" w:hAnsi="宋体"/>
          <w:color w:val="000000"/>
          <w:sz w:val="24"/>
        </w:rPr>
      </w:pPr>
      <w:r>
        <w:rPr>
          <w:rFonts w:hint="eastAsia" w:ascii="宋体" w:hAnsi="宋体"/>
          <w:sz w:val="24"/>
        </w:rPr>
        <w:t>1.1.6本项目</w:t>
      </w:r>
      <w:r>
        <w:rPr>
          <w:rFonts w:hint="eastAsia" w:ascii="新宋体" w:hAnsi="新宋体" w:eastAsia="新宋体"/>
          <w:sz w:val="24"/>
        </w:rPr>
        <w:t>工程建设费用</w:t>
      </w:r>
      <w:r>
        <w:rPr>
          <w:rFonts w:hint="eastAsia" w:ascii="宋体" w:hAnsi="宋体"/>
          <w:color w:val="000000"/>
          <w:sz w:val="24"/>
        </w:rPr>
        <w:t>：见招标公告。</w:t>
      </w:r>
    </w:p>
    <w:p w14:paraId="0FF98734">
      <w:pPr>
        <w:snapToGrid w:val="0"/>
        <w:spacing w:line="400" w:lineRule="exact"/>
        <w:rPr>
          <w:rFonts w:ascii="宋体" w:hAnsi="宋体"/>
          <w:sz w:val="24"/>
        </w:rPr>
      </w:pPr>
      <w:r>
        <w:rPr>
          <w:rFonts w:hint="eastAsia" w:ascii="宋体" w:hAnsi="宋体"/>
          <w:sz w:val="24"/>
        </w:rPr>
        <w:t>1.1.7本</w:t>
      </w:r>
      <w:r>
        <w:rPr>
          <w:rFonts w:hint="eastAsia" w:ascii="宋体" w:hAnsi="宋体"/>
          <w:color w:val="000000"/>
          <w:sz w:val="24"/>
        </w:rPr>
        <w:t>项目建设资金来源：见投标人须知前附表。</w:t>
      </w:r>
    </w:p>
    <w:p w14:paraId="4FDD5D5C">
      <w:pPr>
        <w:pStyle w:val="19"/>
        <w:spacing w:line="400" w:lineRule="exact"/>
        <w:rPr>
          <w:rFonts w:hAnsi="宋体"/>
          <w:color w:val="000000"/>
          <w:sz w:val="24"/>
          <w:szCs w:val="24"/>
        </w:rPr>
      </w:pPr>
      <w:r>
        <w:rPr>
          <w:rFonts w:hint="eastAsia" w:hAnsi="宋体"/>
          <w:color w:val="000000"/>
          <w:sz w:val="24"/>
          <w:szCs w:val="24"/>
        </w:rPr>
        <w:t>1</w:t>
      </w:r>
      <w:r>
        <w:rPr>
          <w:rFonts w:hAnsi="宋体"/>
          <w:color w:val="000000"/>
          <w:sz w:val="24"/>
          <w:szCs w:val="24"/>
        </w:rPr>
        <w:t>.</w:t>
      </w:r>
      <w:r>
        <w:rPr>
          <w:rFonts w:hint="eastAsia" w:hAnsi="宋体"/>
          <w:color w:val="000000"/>
          <w:sz w:val="24"/>
          <w:szCs w:val="24"/>
        </w:rPr>
        <w:t>2监理范围：见招标公告</w:t>
      </w:r>
    </w:p>
    <w:p w14:paraId="1C0D3F15">
      <w:pPr>
        <w:pStyle w:val="19"/>
        <w:spacing w:line="400" w:lineRule="exact"/>
        <w:rPr>
          <w:rFonts w:hAnsi="宋体"/>
          <w:color w:val="000000"/>
          <w:sz w:val="24"/>
          <w:szCs w:val="24"/>
        </w:rPr>
      </w:pPr>
      <w:r>
        <w:rPr>
          <w:rFonts w:hint="eastAsia" w:hAnsi="宋体"/>
          <w:color w:val="000000"/>
          <w:sz w:val="24"/>
          <w:szCs w:val="24"/>
        </w:rPr>
        <w:t>1</w:t>
      </w:r>
      <w:r>
        <w:rPr>
          <w:rFonts w:hAnsi="宋体"/>
          <w:color w:val="000000"/>
          <w:sz w:val="24"/>
          <w:szCs w:val="24"/>
        </w:rPr>
        <w:t>.</w:t>
      </w:r>
      <w:r>
        <w:rPr>
          <w:rFonts w:hint="eastAsia" w:hAnsi="宋体"/>
          <w:color w:val="000000"/>
          <w:sz w:val="24"/>
          <w:szCs w:val="24"/>
        </w:rPr>
        <w:t>3监理服务期</w:t>
      </w:r>
    </w:p>
    <w:p w14:paraId="40BBE036">
      <w:pPr>
        <w:spacing w:line="400" w:lineRule="exact"/>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1监理服务期：见招标公告。</w:t>
      </w:r>
    </w:p>
    <w:p w14:paraId="3B9E6B27">
      <w:pPr>
        <w:pStyle w:val="19"/>
        <w:spacing w:line="400" w:lineRule="exact"/>
        <w:ind w:left="1"/>
        <w:rPr>
          <w:rFonts w:hAnsi="宋体"/>
          <w:color w:val="000000"/>
          <w:sz w:val="24"/>
        </w:rPr>
      </w:pPr>
      <w:r>
        <w:rPr>
          <w:rFonts w:hint="eastAsia" w:hAnsi="宋体"/>
          <w:color w:val="000000"/>
          <w:sz w:val="24"/>
          <w:szCs w:val="24"/>
        </w:rPr>
        <w:t>1</w:t>
      </w:r>
      <w:r>
        <w:rPr>
          <w:rFonts w:hAnsi="宋体"/>
          <w:color w:val="000000"/>
          <w:sz w:val="24"/>
          <w:szCs w:val="24"/>
        </w:rPr>
        <w:t>.</w:t>
      </w:r>
      <w:r>
        <w:rPr>
          <w:rFonts w:hint="eastAsia" w:hAnsi="宋体"/>
          <w:color w:val="000000"/>
          <w:sz w:val="24"/>
          <w:szCs w:val="24"/>
        </w:rPr>
        <w:t>3</w:t>
      </w:r>
      <w:r>
        <w:rPr>
          <w:rFonts w:hAnsi="宋体"/>
          <w:color w:val="000000"/>
          <w:sz w:val="24"/>
          <w:szCs w:val="24"/>
        </w:rPr>
        <w:t>.</w:t>
      </w:r>
      <w:r>
        <w:rPr>
          <w:rFonts w:hint="eastAsia" w:hAnsi="宋体"/>
          <w:color w:val="000000"/>
          <w:sz w:val="24"/>
          <w:szCs w:val="24"/>
        </w:rPr>
        <w:t>2如因非监理单位的原因造成工期调整或拖延，监理服务期应相应顺延，而且监理单位可适当调整监理计划，但这种计划调整以不影响监理服务水平为前提，并须经业主批准。</w:t>
      </w:r>
    </w:p>
    <w:p w14:paraId="00912D41">
      <w:pPr>
        <w:pStyle w:val="19"/>
        <w:spacing w:line="400" w:lineRule="exact"/>
        <w:ind w:left="1"/>
        <w:rPr>
          <w:rFonts w:hAnsi="宋体"/>
          <w:color w:val="000000"/>
          <w:sz w:val="24"/>
          <w:szCs w:val="24"/>
        </w:rPr>
      </w:pPr>
      <w:r>
        <w:rPr>
          <w:rFonts w:hint="eastAsia" w:hAnsi="宋体"/>
          <w:color w:val="000000"/>
          <w:sz w:val="24"/>
          <w:szCs w:val="24"/>
        </w:rPr>
        <w:t>1</w:t>
      </w:r>
      <w:r>
        <w:rPr>
          <w:rFonts w:hAnsi="宋体"/>
          <w:color w:val="000000"/>
          <w:sz w:val="24"/>
          <w:szCs w:val="24"/>
        </w:rPr>
        <w:t>.</w:t>
      </w:r>
      <w:r>
        <w:rPr>
          <w:rFonts w:hint="eastAsia" w:hAnsi="宋体"/>
          <w:color w:val="000000"/>
          <w:sz w:val="24"/>
          <w:szCs w:val="24"/>
        </w:rPr>
        <w:t>3</w:t>
      </w:r>
      <w:r>
        <w:rPr>
          <w:rFonts w:hAnsi="宋体"/>
          <w:color w:val="000000"/>
          <w:sz w:val="24"/>
          <w:szCs w:val="24"/>
        </w:rPr>
        <w:t>.</w:t>
      </w:r>
      <w:r>
        <w:rPr>
          <w:rFonts w:hint="eastAsia" w:hAnsi="宋体"/>
          <w:color w:val="000000"/>
          <w:sz w:val="24"/>
          <w:szCs w:val="24"/>
        </w:rPr>
        <w:t>3</w:t>
      </w:r>
      <w:r>
        <w:rPr>
          <w:rFonts w:hint="eastAsia" w:hAnsi="宋体"/>
          <w:color w:val="000000"/>
          <w:sz w:val="24"/>
        </w:rPr>
        <w:t>业主对工期进行调整或延长，监理服务期也相应作调整或延长。</w:t>
      </w:r>
    </w:p>
    <w:p w14:paraId="595073AE">
      <w:pPr>
        <w:pStyle w:val="19"/>
        <w:spacing w:line="400" w:lineRule="exact"/>
        <w:rPr>
          <w:rFonts w:hAnsi="宋体"/>
          <w:color w:val="000000"/>
          <w:sz w:val="24"/>
          <w:szCs w:val="24"/>
        </w:rPr>
      </w:pPr>
      <w:r>
        <w:rPr>
          <w:rFonts w:hint="eastAsia" w:hAnsi="宋体"/>
          <w:color w:val="000000"/>
          <w:sz w:val="24"/>
          <w:szCs w:val="24"/>
        </w:rPr>
        <w:t>1</w:t>
      </w:r>
      <w:r>
        <w:rPr>
          <w:rFonts w:hAnsi="宋体"/>
          <w:color w:val="000000"/>
          <w:sz w:val="24"/>
          <w:szCs w:val="24"/>
        </w:rPr>
        <w:t>.</w:t>
      </w:r>
      <w:r>
        <w:rPr>
          <w:rFonts w:hint="eastAsia" w:hAnsi="宋体"/>
          <w:color w:val="000000"/>
          <w:sz w:val="24"/>
          <w:szCs w:val="24"/>
        </w:rPr>
        <w:t>4投标人资格要求：</w:t>
      </w:r>
    </w:p>
    <w:p w14:paraId="264C9DB0">
      <w:pPr>
        <w:pStyle w:val="19"/>
        <w:spacing w:line="400" w:lineRule="exact"/>
        <w:rPr>
          <w:rFonts w:hAnsi="宋体"/>
          <w:color w:val="000000"/>
          <w:sz w:val="24"/>
          <w:szCs w:val="24"/>
        </w:rPr>
      </w:pPr>
      <w:r>
        <w:rPr>
          <w:rFonts w:hint="eastAsia" w:hAnsi="宋体"/>
          <w:color w:val="000000"/>
          <w:sz w:val="24"/>
          <w:szCs w:val="24"/>
        </w:rPr>
        <w:t>（一）具有独立订立合同的权利；</w:t>
      </w:r>
    </w:p>
    <w:p w14:paraId="6F68E893">
      <w:pPr>
        <w:pStyle w:val="19"/>
        <w:spacing w:line="400" w:lineRule="exact"/>
        <w:ind w:left="1"/>
        <w:rPr>
          <w:rFonts w:hAnsi="宋体"/>
          <w:color w:val="000000"/>
          <w:sz w:val="24"/>
          <w:szCs w:val="24"/>
        </w:rPr>
      </w:pPr>
      <w:r>
        <w:rPr>
          <w:rFonts w:hint="eastAsia" w:hAnsi="宋体"/>
          <w:color w:val="000000"/>
          <w:sz w:val="24"/>
          <w:szCs w:val="24"/>
        </w:rPr>
        <w:t>（二）具有履行合同的能力，包括专业、技术资格和能力，资金、设备和其他物质设施的状况，管理能力，经验、信誉和相应的从业人员</w:t>
      </w:r>
      <w:r>
        <w:rPr>
          <w:rFonts w:hint="eastAsia" w:hAnsi="宋体"/>
          <w:color w:val="000000"/>
          <w:sz w:val="24"/>
          <w:szCs w:val="24"/>
          <w:highlight w:val="yellow"/>
        </w:rPr>
        <w:t>等</w:t>
      </w:r>
      <w:r>
        <w:rPr>
          <w:rFonts w:hint="eastAsia" w:hAnsi="宋体"/>
          <w:color w:val="000000"/>
          <w:sz w:val="24"/>
          <w:szCs w:val="24"/>
        </w:rPr>
        <w:t>；</w:t>
      </w:r>
    </w:p>
    <w:p w14:paraId="0A757A54">
      <w:pPr>
        <w:pStyle w:val="19"/>
        <w:spacing w:line="400" w:lineRule="exact"/>
        <w:rPr>
          <w:rFonts w:hAnsi="宋体"/>
          <w:sz w:val="24"/>
          <w:szCs w:val="24"/>
        </w:rPr>
      </w:pPr>
      <w:r>
        <w:rPr>
          <w:rFonts w:hint="eastAsia" w:hAnsi="宋体"/>
          <w:sz w:val="24"/>
          <w:szCs w:val="24"/>
        </w:rPr>
        <w:t>（1）投标人资格要求</w:t>
      </w:r>
      <w:r>
        <w:rPr>
          <w:rFonts w:hint="eastAsia" w:hAnsi="宋体"/>
          <w:b/>
          <w:sz w:val="24"/>
          <w:szCs w:val="24"/>
        </w:rPr>
        <w:t>：</w:t>
      </w:r>
      <w:r>
        <w:rPr>
          <w:rFonts w:hint="eastAsia" w:hAnsi="宋体"/>
          <w:sz w:val="24"/>
          <w:szCs w:val="24"/>
        </w:rPr>
        <w:t>见招标公告；</w:t>
      </w:r>
    </w:p>
    <w:p w14:paraId="7649303B">
      <w:pPr>
        <w:pStyle w:val="19"/>
        <w:spacing w:line="400" w:lineRule="exact"/>
        <w:rPr>
          <w:rFonts w:hAnsi="宋体"/>
          <w:sz w:val="24"/>
          <w:szCs w:val="24"/>
        </w:rPr>
      </w:pPr>
      <w:r>
        <w:rPr>
          <w:rFonts w:hint="eastAsia" w:hAnsi="宋体"/>
          <w:sz w:val="24"/>
          <w:szCs w:val="24"/>
        </w:rPr>
        <w:t>（2）拟派本项目总监理工程师资格要求：见招标公告；</w:t>
      </w:r>
    </w:p>
    <w:p w14:paraId="380C7376">
      <w:pPr>
        <w:pStyle w:val="19"/>
        <w:spacing w:line="400" w:lineRule="exact"/>
        <w:rPr>
          <w:rFonts w:hAnsi="宋体"/>
          <w:sz w:val="24"/>
          <w:szCs w:val="24"/>
        </w:rPr>
      </w:pPr>
      <w:r>
        <w:rPr>
          <w:rFonts w:hint="eastAsia" w:hAnsi="宋体"/>
          <w:sz w:val="24"/>
          <w:szCs w:val="24"/>
        </w:rPr>
        <w:t>（3）投标人和项目总监理工程师业绩要求：详见招标公告；</w:t>
      </w:r>
    </w:p>
    <w:p w14:paraId="77D72650">
      <w:pPr>
        <w:pStyle w:val="19"/>
        <w:spacing w:line="400" w:lineRule="exact"/>
        <w:rPr>
          <w:rFonts w:hAnsi="宋体"/>
          <w:color w:val="000000"/>
          <w:sz w:val="24"/>
          <w:szCs w:val="24"/>
        </w:rPr>
      </w:pPr>
      <w:r>
        <w:rPr>
          <w:rFonts w:hint="eastAsia" w:hAnsi="宋体"/>
          <w:color w:val="000000"/>
          <w:sz w:val="24"/>
          <w:szCs w:val="24"/>
        </w:rPr>
        <w:t>（4）拟派遣到本工程的专业监理工程师人员至少满足第五章</w:t>
      </w:r>
      <w:r>
        <w:rPr>
          <w:rFonts w:hint="eastAsia" w:hAnsi="宋体"/>
          <w:color w:val="000000"/>
          <w:sz w:val="24"/>
        </w:rPr>
        <w:t>资格证明及辅助资料</w:t>
      </w:r>
      <w:r>
        <w:rPr>
          <w:rFonts w:hint="eastAsia" w:hAnsi="宋体"/>
          <w:color w:val="000000"/>
          <w:sz w:val="24"/>
          <w:szCs w:val="24"/>
        </w:rPr>
        <w:t>附表6中的最低标准。</w:t>
      </w:r>
    </w:p>
    <w:p w14:paraId="6CE02D0E">
      <w:pPr>
        <w:widowControl/>
        <w:spacing w:line="400" w:lineRule="exact"/>
        <w:jc w:val="left"/>
        <w:rPr>
          <w:rFonts w:ascii="宋体" w:hAnsi="宋体"/>
          <w:color w:val="000000"/>
          <w:kern w:val="0"/>
          <w:sz w:val="24"/>
        </w:rPr>
      </w:pPr>
      <w:r>
        <w:rPr>
          <w:rFonts w:hint="eastAsia" w:ascii="宋体" w:hAnsi="宋体" w:cs="Arial"/>
          <w:color w:val="000000"/>
          <w:kern w:val="0"/>
          <w:sz w:val="24"/>
        </w:rPr>
        <w:t>（三）</w:t>
      </w:r>
      <w:r>
        <w:rPr>
          <w:rFonts w:hint="eastAsia" w:ascii="宋体" w:hAnsi="宋体"/>
          <w:color w:val="000000"/>
          <w:kern w:val="0"/>
          <w:sz w:val="24"/>
        </w:rPr>
        <w:t>投标人无被当地主管部门责令停业、取消投标资格或企业处于破产状态。</w:t>
      </w:r>
    </w:p>
    <w:p w14:paraId="61C00CE0">
      <w:pPr>
        <w:widowControl/>
        <w:spacing w:line="400" w:lineRule="exact"/>
        <w:jc w:val="left"/>
        <w:rPr>
          <w:rFonts w:ascii="宋体" w:hAnsi="宋体"/>
          <w:color w:val="000000"/>
          <w:kern w:val="0"/>
          <w:sz w:val="24"/>
        </w:rPr>
      </w:pPr>
      <w:r>
        <w:rPr>
          <w:rFonts w:hint="eastAsia" w:ascii="宋体" w:hAnsi="宋体"/>
          <w:color w:val="000000"/>
          <w:kern w:val="0"/>
          <w:sz w:val="24"/>
        </w:rPr>
        <w:t>（四）信誉要求：</w:t>
      </w:r>
      <w:r>
        <w:rPr>
          <w:rFonts w:hint="eastAsia" w:ascii="宋体" w:hAnsi="宋体"/>
          <w:color w:val="000000"/>
          <w:sz w:val="24"/>
        </w:rPr>
        <w:t>见招标公告</w:t>
      </w:r>
      <w:r>
        <w:rPr>
          <w:rFonts w:hint="eastAsia" w:ascii="宋体" w:hAnsi="宋体"/>
          <w:color w:val="000000"/>
          <w:kern w:val="0"/>
          <w:sz w:val="24"/>
        </w:rPr>
        <w:t>。</w:t>
      </w:r>
    </w:p>
    <w:p w14:paraId="41335987">
      <w:pPr>
        <w:pStyle w:val="19"/>
        <w:spacing w:line="400" w:lineRule="exact"/>
        <w:rPr>
          <w:rFonts w:hAnsi="宋体"/>
          <w:color w:val="000000"/>
          <w:sz w:val="24"/>
          <w:szCs w:val="24"/>
        </w:rPr>
      </w:pPr>
      <w:r>
        <w:rPr>
          <w:rFonts w:hint="eastAsia" w:hAnsi="宋体"/>
          <w:color w:val="000000"/>
          <w:sz w:val="24"/>
          <w:szCs w:val="24"/>
        </w:rPr>
        <w:t>（五）法律、行政法规规定的其他资格条件。</w:t>
      </w:r>
    </w:p>
    <w:p w14:paraId="5FF16A2B">
      <w:pPr>
        <w:pStyle w:val="19"/>
        <w:spacing w:line="400" w:lineRule="exact"/>
        <w:rPr>
          <w:rFonts w:hAnsi="宋体"/>
          <w:color w:val="000000"/>
          <w:sz w:val="24"/>
          <w:szCs w:val="24"/>
        </w:rPr>
      </w:pPr>
      <w:r>
        <w:rPr>
          <w:rFonts w:hint="eastAsia" w:hAnsi="宋体"/>
          <w:color w:val="000000"/>
          <w:sz w:val="24"/>
          <w:szCs w:val="24"/>
        </w:rPr>
        <w:t>1.4.1资格审查方式：</w:t>
      </w:r>
      <w:r>
        <w:rPr>
          <w:rFonts w:hint="eastAsia" w:hAnsi="宋体"/>
          <w:sz w:val="24"/>
          <w:szCs w:val="24"/>
        </w:rPr>
        <w:t>见投标人须知前附表。</w:t>
      </w:r>
    </w:p>
    <w:p w14:paraId="4353853E">
      <w:pPr>
        <w:snapToGrid w:val="0"/>
        <w:spacing w:line="400" w:lineRule="exact"/>
        <w:rPr>
          <w:rFonts w:ascii="宋体" w:hAnsi="宋体"/>
          <w:sz w:val="24"/>
        </w:rPr>
      </w:pPr>
      <w:r>
        <w:rPr>
          <w:rFonts w:hint="eastAsia" w:ascii="宋体" w:hAnsi="宋体"/>
          <w:sz w:val="24"/>
        </w:rPr>
        <w:t>1.4.2投标人不得存在下列情形之一：</w:t>
      </w:r>
    </w:p>
    <w:p w14:paraId="70B27BCF">
      <w:pPr>
        <w:snapToGrid w:val="0"/>
        <w:spacing w:line="400" w:lineRule="exact"/>
        <w:rPr>
          <w:rFonts w:ascii="宋体" w:hAnsi="宋体"/>
          <w:sz w:val="24"/>
        </w:rPr>
      </w:pPr>
      <w:r>
        <w:rPr>
          <w:rFonts w:hint="eastAsia" w:ascii="宋体" w:hAnsi="宋体"/>
          <w:sz w:val="24"/>
        </w:rPr>
        <w:t>（1）为招标人不具有独立法人资格的附属机构（单位）；</w:t>
      </w:r>
    </w:p>
    <w:p w14:paraId="285F1DED">
      <w:pPr>
        <w:snapToGrid w:val="0"/>
        <w:spacing w:line="400" w:lineRule="exact"/>
        <w:rPr>
          <w:rFonts w:ascii="宋体" w:hAnsi="宋体"/>
          <w:sz w:val="24"/>
        </w:rPr>
      </w:pPr>
      <w:r>
        <w:rPr>
          <w:rFonts w:hint="eastAsia" w:ascii="宋体" w:hAnsi="宋体"/>
          <w:sz w:val="24"/>
        </w:rPr>
        <w:t>（2）与招标人存在利害关系且可能影响招标公正性；</w:t>
      </w:r>
    </w:p>
    <w:p w14:paraId="3B4E0DFB">
      <w:pPr>
        <w:snapToGrid w:val="0"/>
        <w:spacing w:line="400" w:lineRule="exact"/>
        <w:rPr>
          <w:rFonts w:ascii="宋体" w:hAnsi="宋体"/>
          <w:sz w:val="24"/>
        </w:rPr>
      </w:pPr>
      <w:r>
        <w:rPr>
          <w:rFonts w:hint="eastAsia" w:ascii="宋体" w:hAnsi="宋体"/>
          <w:sz w:val="24"/>
        </w:rPr>
        <w:t>（3）与本招标项目的其他投标人为同一个单位负责人；</w:t>
      </w:r>
    </w:p>
    <w:p w14:paraId="5BACCC3E">
      <w:pPr>
        <w:snapToGrid w:val="0"/>
        <w:spacing w:line="400" w:lineRule="exact"/>
        <w:rPr>
          <w:rFonts w:ascii="宋体" w:hAnsi="宋体"/>
          <w:sz w:val="24"/>
        </w:rPr>
      </w:pPr>
      <w:r>
        <w:rPr>
          <w:rFonts w:hint="eastAsia" w:ascii="宋体" w:hAnsi="宋体"/>
          <w:sz w:val="24"/>
        </w:rPr>
        <w:t>（4）与本招标项目的其他投标人存在控股、管理关系；</w:t>
      </w:r>
    </w:p>
    <w:p w14:paraId="0BEEF0A6">
      <w:pPr>
        <w:snapToGrid w:val="0"/>
        <w:spacing w:line="400" w:lineRule="exact"/>
        <w:rPr>
          <w:rFonts w:ascii="宋体" w:hAnsi="宋体"/>
          <w:sz w:val="24"/>
        </w:rPr>
      </w:pPr>
      <w:r>
        <w:rPr>
          <w:rFonts w:hint="eastAsia" w:ascii="宋体" w:hAnsi="宋体"/>
          <w:sz w:val="24"/>
        </w:rPr>
        <w:t>（5）为本招标项目的代建人；</w:t>
      </w:r>
    </w:p>
    <w:p w14:paraId="15658A5C">
      <w:pPr>
        <w:snapToGrid w:val="0"/>
        <w:spacing w:line="400" w:lineRule="exact"/>
        <w:rPr>
          <w:rFonts w:ascii="宋体" w:hAnsi="宋体"/>
          <w:sz w:val="24"/>
        </w:rPr>
      </w:pPr>
      <w:r>
        <w:rPr>
          <w:rFonts w:hint="eastAsia" w:ascii="宋体" w:hAnsi="宋体"/>
          <w:sz w:val="24"/>
        </w:rPr>
        <w:t>（6）为本招标项目的招标代理机构；</w:t>
      </w:r>
    </w:p>
    <w:p w14:paraId="4FA264D8">
      <w:pPr>
        <w:snapToGrid w:val="0"/>
        <w:spacing w:line="400" w:lineRule="exact"/>
        <w:rPr>
          <w:rFonts w:ascii="宋体" w:hAnsi="宋体"/>
          <w:sz w:val="24"/>
        </w:rPr>
      </w:pPr>
      <w:r>
        <w:rPr>
          <w:rFonts w:hint="eastAsia" w:ascii="宋体" w:hAnsi="宋体"/>
          <w:sz w:val="24"/>
        </w:rPr>
        <w:t>（7）与本招标项目的代建人或招标代理机构同为一个法定代表人；</w:t>
      </w:r>
    </w:p>
    <w:p w14:paraId="609E9B40">
      <w:pPr>
        <w:snapToGrid w:val="0"/>
        <w:spacing w:line="400" w:lineRule="exact"/>
        <w:rPr>
          <w:rFonts w:ascii="宋体" w:hAnsi="宋体"/>
          <w:sz w:val="24"/>
        </w:rPr>
      </w:pPr>
      <w:r>
        <w:rPr>
          <w:rFonts w:hint="eastAsia" w:ascii="宋体" w:hAnsi="宋体"/>
          <w:sz w:val="24"/>
        </w:rPr>
        <w:t>（8）与本招标项目的代建人或招标代理机构存在控股或参股关系；</w:t>
      </w:r>
    </w:p>
    <w:p w14:paraId="5B892BA3">
      <w:pPr>
        <w:snapToGrid w:val="0"/>
        <w:spacing w:line="400" w:lineRule="exact"/>
        <w:rPr>
          <w:rFonts w:ascii="宋体" w:hAnsi="宋体"/>
          <w:color w:val="FF0000"/>
          <w:sz w:val="24"/>
        </w:rPr>
      </w:pPr>
      <w:r>
        <w:rPr>
          <w:rFonts w:hint="eastAsia" w:ascii="宋体" w:hAnsi="宋体"/>
          <w:color w:val="FF0000"/>
          <w:sz w:val="24"/>
        </w:rPr>
        <w:t>（9）与本招标项目的施工承包人以及建筑材料、建筑构配件和设备供应商有隶属关系或者其他利害关系；</w:t>
      </w:r>
    </w:p>
    <w:p w14:paraId="1B03EDF2">
      <w:pPr>
        <w:snapToGrid w:val="0"/>
        <w:spacing w:line="400" w:lineRule="exact"/>
        <w:rPr>
          <w:rFonts w:ascii="宋体" w:hAnsi="宋体"/>
          <w:sz w:val="24"/>
        </w:rPr>
      </w:pPr>
      <w:r>
        <w:rPr>
          <w:rFonts w:hint="eastAsia" w:ascii="宋体" w:hAnsi="宋体"/>
          <w:sz w:val="24"/>
        </w:rPr>
        <w:t>（10）被责令停产停业、暂扣或者吊销许可证、暂扣或者吊销执照。</w:t>
      </w:r>
    </w:p>
    <w:p w14:paraId="67A7CCE8">
      <w:pPr>
        <w:snapToGrid w:val="0"/>
        <w:spacing w:line="400" w:lineRule="exact"/>
        <w:rPr>
          <w:rFonts w:ascii="宋体" w:hAnsi="宋体"/>
          <w:sz w:val="24"/>
        </w:rPr>
      </w:pPr>
      <w:r>
        <w:rPr>
          <w:rFonts w:hint="eastAsia" w:ascii="宋体" w:hAnsi="宋体"/>
          <w:sz w:val="24"/>
        </w:rPr>
        <w:t>1.4.3投标人不得存在以下不良信用记录情形之一：</w:t>
      </w:r>
    </w:p>
    <w:p w14:paraId="018A0C4B">
      <w:pPr>
        <w:snapToGrid w:val="0"/>
        <w:spacing w:line="400" w:lineRule="exact"/>
        <w:rPr>
          <w:rFonts w:ascii="宋体" w:hAnsi="宋体"/>
          <w:sz w:val="24"/>
        </w:rPr>
      </w:pPr>
      <w:r>
        <w:rPr>
          <w:rFonts w:hint="eastAsia" w:ascii="宋体" w:hAnsi="宋体"/>
          <w:sz w:val="24"/>
        </w:rPr>
        <w:t>（1）投标人被人民法院列入失信被执行人的。</w:t>
      </w:r>
    </w:p>
    <w:p w14:paraId="7C8CAD72">
      <w:pPr>
        <w:snapToGrid w:val="0"/>
        <w:spacing w:line="400" w:lineRule="exact"/>
        <w:rPr>
          <w:rFonts w:ascii="宋体" w:hAnsi="宋体"/>
          <w:sz w:val="24"/>
        </w:rPr>
      </w:pPr>
      <w:r>
        <w:rPr>
          <w:rFonts w:hint="eastAsia" w:ascii="宋体" w:hAnsi="宋体"/>
          <w:sz w:val="24"/>
        </w:rPr>
        <w:t>（2）投标人被市场监督管理部门列入企业经营异常名录的。</w:t>
      </w:r>
    </w:p>
    <w:p w14:paraId="7487BE57">
      <w:pPr>
        <w:snapToGrid w:val="0"/>
        <w:spacing w:line="400" w:lineRule="exact"/>
        <w:rPr>
          <w:rFonts w:ascii="宋体" w:hAnsi="宋体"/>
          <w:sz w:val="24"/>
        </w:rPr>
      </w:pPr>
      <w:r>
        <w:rPr>
          <w:rFonts w:hint="eastAsia" w:ascii="宋体" w:hAnsi="宋体"/>
          <w:sz w:val="24"/>
        </w:rPr>
        <w:t>（3）投标人被税务部门列入重大税收违法案件当事人名单的。</w:t>
      </w:r>
    </w:p>
    <w:p w14:paraId="2AE6F87C">
      <w:pPr>
        <w:spacing w:line="400" w:lineRule="exact"/>
        <w:rPr>
          <w:rFonts w:ascii="宋体" w:hAnsi="宋体"/>
          <w:sz w:val="24"/>
        </w:rPr>
      </w:pPr>
      <w:r>
        <w:rPr>
          <w:rFonts w:hint="eastAsia" w:ascii="宋体" w:hAnsi="宋体"/>
          <w:sz w:val="24"/>
        </w:rPr>
        <w:t>（4）投标人被人力资源社会保障行政部门列入拖欠农民工工资“黑名单”的。</w:t>
      </w:r>
    </w:p>
    <w:p w14:paraId="5170D066">
      <w:pPr>
        <w:snapToGrid w:val="0"/>
        <w:spacing w:line="400" w:lineRule="exact"/>
        <w:rPr>
          <w:rFonts w:ascii="宋体" w:hAnsi="宋体"/>
          <w:sz w:val="24"/>
        </w:rPr>
      </w:pPr>
      <w:r>
        <w:rPr>
          <w:rFonts w:hint="eastAsia" w:ascii="宋体" w:hAnsi="宋体"/>
          <w:sz w:val="24"/>
        </w:rPr>
        <w:t>（</w:t>
      </w:r>
      <w:r>
        <w:rPr>
          <w:rFonts w:hint="eastAsia" w:ascii="宋体" w:hAnsi="宋体"/>
          <w:color w:val="000000"/>
          <w:sz w:val="24"/>
        </w:rPr>
        <w:t>以上仅以开标当日“信用中国”网http://www.creditchina.gov.cn/中“信用信息报告”查询结果为准</w:t>
      </w:r>
      <w:r>
        <w:rPr>
          <w:rFonts w:hint="eastAsia" w:ascii="宋体" w:hAnsi="宋体"/>
          <w:sz w:val="24"/>
        </w:rPr>
        <w:t>）。</w:t>
      </w:r>
    </w:p>
    <w:p w14:paraId="7750C516">
      <w:pPr>
        <w:pStyle w:val="19"/>
        <w:spacing w:line="400" w:lineRule="exact"/>
        <w:rPr>
          <w:rFonts w:hAnsi="宋体"/>
          <w:color w:val="000000"/>
          <w:sz w:val="24"/>
          <w:szCs w:val="24"/>
        </w:rPr>
      </w:pPr>
      <w:r>
        <w:rPr>
          <w:rFonts w:hint="eastAsia" w:hAnsi="宋体"/>
          <w:color w:val="000000"/>
          <w:sz w:val="24"/>
          <w:szCs w:val="24"/>
        </w:rPr>
        <w:t>1.5现场监理机构人员配备及其资质要求</w:t>
      </w:r>
    </w:p>
    <w:p w14:paraId="7838AF3A">
      <w:pPr>
        <w:pStyle w:val="19"/>
        <w:spacing w:line="400" w:lineRule="exact"/>
        <w:rPr>
          <w:rFonts w:hAnsi="宋体"/>
          <w:color w:val="000000"/>
          <w:sz w:val="24"/>
          <w:szCs w:val="24"/>
        </w:rPr>
      </w:pPr>
      <w:r>
        <w:rPr>
          <w:rFonts w:hint="eastAsia" w:hAnsi="宋体"/>
          <w:color w:val="000000"/>
          <w:sz w:val="24"/>
          <w:szCs w:val="24"/>
        </w:rPr>
        <w:t>1.5.1投标人应根据本工程的特点，组建监理项目部，要求监理项目部监理人员专业配备齐全，完全满足现场所需要的最低人数。</w:t>
      </w:r>
    </w:p>
    <w:p w14:paraId="0FF5B3E8">
      <w:pPr>
        <w:pStyle w:val="19"/>
        <w:spacing w:line="400" w:lineRule="exact"/>
        <w:rPr>
          <w:rFonts w:hAnsi="宋体"/>
          <w:color w:val="000000"/>
          <w:sz w:val="24"/>
          <w:szCs w:val="24"/>
        </w:rPr>
      </w:pPr>
      <w:r>
        <w:rPr>
          <w:rFonts w:hint="eastAsia" w:hAnsi="宋体"/>
          <w:color w:val="000000"/>
          <w:sz w:val="24"/>
          <w:szCs w:val="24"/>
        </w:rPr>
        <w:t>1.5.2现场主要监理人员配备要求如下：</w:t>
      </w:r>
    </w:p>
    <w:p w14:paraId="58D73083">
      <w:pPr>
        <w:pStyle w:val="19"/>
        <w:spacing w:line="400" w:lineRule="exact"/>
        <w:rPr>
          <w:rFonts w:hAnsi="宋体"/>
          <w:color w:val="000000"/>
          <w:sz w:val="24"/>
          <w:szCs w:val="24"/>
        </w:rPr>
      </w:pPr>
      <w:r>
        <w:rPr>
          <w:rFonts w:hint="eastAsia" w:hAnsi="宋体"/>
          <w:color w:val="000000"/>
          <w:sz w:val="24"/>
          <w:szCs w:val="24"/>
        </w:rPr>
        <w:t>派驻到现场的监理工程师(含总监理工程师)人数最低要求应根据不同施工阶段的需求且必须符合第五章“</w:t>
      </w:r>
      <w:r>
        <w:rPr>
          <w:rFonts w:hint="eastAsia" w:hAnsi="宋体"/>
          <w:color w:val="000000"/>
          <w:sz w:val="24"/>
        </w:rPr>
        <w:t>资格证明及辅助资料</w:t>
      </w:r>
      <w:r>
        <w:rPr>
          <w:rFonts w:hint="eastAsia" w:hAnsi="宋体"/>
          <w:color w:val="000000"/>
          <w:sz w:val="24"/>
          <w:szCs w:val="24"/>
        </w:rPr>
        <w:t>附表6”要求。</w:t>
      </w:r>
    </w:p>
    <w:p w14:paraId="5E9E7C6E">
      <w:pPr>
        <w:pStyle w:val="19"/>
        <w:spacing w:line="400" w:lineRule="exact"/>
        <w:rPr>
          <w:rFonts w:hAnsi="宋体"/>
          <w:color w:val="000000"/>
          <w:sz w:val="24"/>
          <w:szCs w:val="24"/>
        </w:rPr>
      </w:pPr>
      <w:r>
        <w:rPr>
          <w:rFonts w:hint="eastAsia" w:hAnsi="宋体"/>
          <w:color w:val="000000"/>
          <w:sz w:val="24"/>
          <w:szCs w:val="24"/>
        </w:rPr>
        <w:t>1.5.3总监理工程师及现场各专业监理工程师人员应具备相应的资格和经历，具体要求见第五章“</w:t>
      </w:r>
      <w:r>
        <w:rPr>
          <w:rFonts w:hint="eastAsia" w:hAnsi="宋体"/>
          <w:color w:val="000000"/>
          <w:sz w:val="24"/>
        </w:rPr>
        <w:t>资格证明及辅助资料</w:t>
      </w:r>
      <w:r>
        <w:rPr>
          <w:rFonts w:hint="eastAsia" w:hAnsi="宋体"/>
          <w:color w:val="000000"/>
          <w:sz w:val="24"/>
          <w:szCs w:val="24"/>
        </w:rPr>
        <w:t>附表6”。</w:t>
      </w:r>
    </w:p>
    <w:p w14:paraId="328C3A64">
      <w:pPr>
        <w:spacing w:line="400" w:lineRule="exact"/>
        <w:rPr>
          <w:rFonts w:ascii="宋体" w:hAnsi="宋体" w:cs="Courier New"/>
          <w:color w:val="000000"/>
          <w:sz w:val="24"/>
        </w:rPr>
      </w:pPr>
      <w:r>
        <w:rPr>
          <w:rFonts w:hint="eastAsia" w:ascii="宋体" w:hAnsi="宋体" w:cs="Courier New"/>
          <w:color w:val="000000"/>
          <w:sz w:val="24"/>
        </w:rPr>
        <w:t>1.5.4所有监理人员均应有相应证书，</w:t>
      </w:r>
      <w:r>
        <w:rPr>
          <w:rFonts w:hint="eastAsia" w:ascii="宋体" w:hAnsi="宋体"/>
          <w:color w:val="000000"/>
          <w:sz w:val="24"/>
        </w:rPr>
        <w:t>具体要求见第五章“资格证明及辅助资料附表6”</w:t>
      </w:r>
      <w:r>
        <w:rPr>
          <w:rFonts w:hint="eastAsia" w:ascii="宋体" w:hAnsi="宋体" w:cs="Courier New"/>
          <w:color w:val="000000"/>
          <w:sz w:val="24"/>
        </w:rPr>
        <w:t>。</w:t>
      </w:r>
    </w:p>
    <w:p w14:paraId="7E3B093A">
      <w:pPr>
        <w:pStyle w:val="19"/>
        <w:spacing w:line="400" w:lineRule="exact"/>
        <w:rPr>
          <w:rFonts w:hAnsi="宋体"/>
          <w:color w:val="000000"/>
          <w:sz w:val="24"/>
          <w:szCs w:val="24"/>
        </w:rPr>
      </w:pPr>
      <w:r>
        <w:rPr>
          <w:rFonts w:hint="eastAsia" w:hAnsi="宋体"/>
          <w:color w:val="000000"/>
          <w:sz w:val="24"/>
          <w:szCs w:val="24"/>
        </w:rPr>
        <w:t>1.5.5业主保留在投标人的项目人员中优先选择（或调整）项目主要人员，并可根据工程实际情况要求监理单位增加人员权利。</w:t>
      </w:r>
    </w:p>
    <w:p w14:paraId="5C876E3B">
      <w:pPr>
        <w:pStyle w:val="19"/>
        <w:spacing w:line="400" w:lineRule="exact"/>
        <w:rPr>
          <w:rFonts w:hAnsi="宋体"/>
          <w:color w:val="000000"/>
          <w:sz w:val="24"/>
          <w:szCs w:val="24"/>
        </w:rPr>
      </w:pPr>
      <w:r>
        <w:rPr>
          <w:rFonts w:hint="eastAsia" w:hAnsi="宋体"/>
          <w:color w:val="000000"/>
          <w:sz w:val="24"/>
          <w:szCs w:val="24"/>
        </w:rPr>
        <w:t>1.6工程质量监理及检查验收标准、招标人的项目实施目标及拟采用的具体项目控制手段</w:t>
      </w:r>
    </w:p>
    <w:p w14:paraId="466085C9">
      <w:pPr>
        <w:pStyle w:val="19"/>
        <w:spacing w:line="400" w:lineRule="exact"/>
        <w:rPr>
          <w:rFonts w:hAnsi="宋体"/>
          <w:color w:val="000000"/>
          <w:sz w:val="24"/>
          <w:szCs w:val="24"/>
        </w:rPr>
      </w:pPr>
      <w:r>
        <w:rPr>
          <w:rFonts w:hint="eastAsia" w:hAnsi="宋体"/>
          <w:color w:val="000000"/>
          <w:sz w:val="24"/>
          <w:szCs w:val="24"/>
        </w:rPr>
        <w:t>本工程以工程施工设计图纸、图纸会审记录、设计变更通知书、技术联系单、各类试验报告、产品合格证书等有关资料和合同规定的条款为依据，按国家颁布的工程施工验收规范及监理大纲进行监理、检查、验收。</w:t>
      </w:r>
    </w:p>
    <w:p w14:paraId="452EF31E">
      <w:pPr>
        <w:pStyle w:val="19"/>
        <w:spacing w:line="400" w:lineRule="exact"/>
        <w:rPr>
          <w:rFonts w:hAnsi="宋体"/>
          <w:color w:val="000000"/>
          <w:sz w:val="24"/>
          <w:szCs w:val="24"/>
        </w:rPr>
      </w:pPr>
      <w:r>
        <w:rPr>
          <w:rFonts w:hint="eastAsia" w:hAnsi="宋体"/>
          <w:color w:val="000000"/>
          <w:sz w:val="24"/>
          <w:szCs w:val="24"/>
        </w:rPr>
        <w:t>1.7踏勘现场</w:t>
      </w:r>
    </w:p>
    <w:p w14:paraId="03E73CD9">
      <w:pPr>
        <w:pStyle w:val="19"/>
        <w:spacing w:line="400" w:lineRule="exact"/>
        <w:rPr>
          <w:rFonts w:hAnsi="宋体"/>
          <w:color w:val="000000"/>
          <w:sz w:val="24"/>
          <w:szCs w:val="24"/>
        </w:rPr>
      </w:pPr>
      <w:r>
        <w:rPr>
          <w:rFonts w:hint="eastAsia" w:hAnsi="宋体"/>
          <w:color w:val="000000"/>
          <w:sz w:val="24"/>
          <w:szCs w:val="24"/>
        </w:rPr>
        <w:t>投标人自行安排踏勘现场，考察费用由投标人自理。考察期间所发生的人身伤害、财产损失由投标人自行负责。</w:t>
      </w:r>
    </w:p>
    <w:p w14:paraId="1217913E">
      <w:pPr>
        <w:snapToGrid w:val="0"/>
        <w:spacing w:line="400" w:lineRule="exact"/>
        <w:rPr>
          <w:rFonts w:ascii="宋体" w:hAnsi="宋体" w:cs="Courier New"/>
          <w:color w:val="000000"/>
          <w:sz w:val="24"/>
        </w:rPr>
      </w:pPr>
      <w:r>
        <w:rPr>
          <w:rFonts w:hint="eastAsia" w:ascii="宋体" w:hAnsi="宋体" w:cs="Courier New"/>
          <w:color w:val="000000"/>
          <w:sz w:val="24"/>
        </w:rPr>
        <w:t>1.8投标预备会</w:t>
      </w:r>
    </w:p>
    <w:p w14:paraId="64DCF249">
      <w:pPr>
        <w:pStyle w:val="15"/>
        <w:spacing w:line="400" w:lineRule="exact"/>
        <w:rPr>
          <w:rFonts w:ascii="宋体" w:hAnsi="宋体" w:cs="Courier New"/>
          <w:color w:val="000000"/>
          <w:sz w:val="24"/>
        </w:rPr>
      </w:pPr>
      <w:r>
        <w:rPr>
          <w:rFonts w:hint="eastAsia" w:ascii="宋体" w:hAnsi="宋体" w:cs="Courier New"/>
          <w:color w:val="000000"/>
          <w:sz w:val="24"/>
        </w:rPr>
        <w:t>1.8.1投标人须知前附表规定召开投标预备会的，招标人按投标人须知前附表规定的时间、地点召开投标预备会，澄清或修改投标人提出的问题。</w:t>
      </w:r>
    </w:p>
    <w:p w14:paraId="5A66CF31">
      <w:pPr>
        <w:pStyle w:val="15"/>
        <w:spacing w:line="400" w:lineRule="exact"/>
        <w:rPr>
          <w:rFonts w:ascii="宋体" w:hAnsi="宋体" w:cs="Courier New"/>
          <w:color w:val="000000"/>
          <w:sz w:val="24"/>
        </w:rPr>
      </w:pPr>
      <w:r>
        <w:rPr>
          <w:rFonts w:hint="eastAsia" w:ascii="宋体" w:hAnsi="宋体" w:cs="Courier New"/>
          <w:color w:val="000000"/>
          <w:sz w:val="24"/>
        </w:rPr>
        <w:t>1.8.2投标人须知前附表规定投标人提出问题的截止时间的，投标人按投标人须知前附表规定的时间提出问题。</w:t>
      </w:r>
    </w:p>
    <w:p w14:paraId="31DB586A">
      <w:pPr>
        <w:pStyle w:val="15"/>
        <w:spacing w:line="400" w:lineRule="exact"/>
        <w:rPr>
          <w:rFonts w:ascii="宋体" w:hAnsi="宋体" w:cs="Courier New"/>
          <w:color w:val="000000"/>
          <w:sz w:val="24"/>
        </w:rPr>
      </w:pPr>
      <w:r>
        <w:rPr>
          <w:rFonts w:hint="eastAsia" w:ascii="宋体" w:hAnsi="宋体" w:cs="Courier New"/>
          <w:color w:val="000000"/>
          <w:sz w:val="24"/>
        </w:rPr>
        <w:t>1.8.3投标人须知前附表规定招标人澄清或修改截止时间的，招标人按投标人须知前附表规定的时间发布澄清或修改。</w:t>
      </w:r>
    </w:p>
    <w:p w14:paraId="153852D4">
      <w:pPr>
        <w:spacing w:line="400" w:lineRule="exact"/>
        <w:rPr>
          <w:rFonts w:ascii="宋体" w:hAnsi="宋体"/>
          <w:bCs/>
          <w:sz w:val="24"/>
        </w:rPr>
      </w:pPr>
      <w:r>
        <w:rPr>
          <w:rFonts w:hint="eastAsia" w:ascii="宋体" w:hAnsi="宋体" w:cs="Courier New"/>
          <w:color w:val="000000"/>
          <w:sz w:val="24"/>
        </w:rPr>
        <w:t>1.8.4本工程的招标文件的澄清、修改等相关资料均通过马鞍山市公共资源交易中心网发布，请投标人自行下载。投标人必须及时登录马鞍山市公共资源交易中心网查看有无相关澄清、修改等内容。在开标前，投标人必须主动登录马鞍山市公共资源交易中心网查询相关信息，招标人和招标代理机</w:t>
      </w:r>
      <w:r>
        <w:rPr>
          <w:rFonts w:hint="eastAsia" w:ascii="宋体" w:hAnsi="宋体"/>
          <w:bCs/>
          <w:sz w:val="24"/>
        </w:rPr>
        <w:t>构不承担投标人未及时关注相关信息引发的相关责任。</w:t>
      </w:r>
    </w:p>
    <w:p w14:paraId="52719936">
      <w:pPr>
        <w:pStyle w:val="19"/>
        <w:spacing w:line="400" w:lineRule="exact"/>
        <w:rPr>
          <w:rFonts w:hAnsi="宋体"/>
          <w:color w:val="000000"/>
          <w:sz w:val="24"/>
          <w:szCs w:val="24"/>
        </w:rPr>
      </w:pPr>
      <w:r>
        <w:rPr>
          <w:rFonts w:hint="eastAsia" w:hAnsi="宋体"/>
          <w:color w:val="000000"/>
          <w:sz w:val="24"/>
          <w:szCs w:val="24"/>
        </w:rPr>
        <w:t>2.招标文件</w:t>
      </w:r>
    </w:p>
    <w:p w14:paraId="233B8AD1">
      <w:pPr>
        <w:pStyle w:val="19"/>
        <w:spacing w:line="400" w:lineRule="exact"/>
        <w:rPr>
          <w:rFonts w:hAnsi="宋体"/>
          <w:color w:val="000000"/>
          <w:sz w:val="24"/>
          <w:szCs w:val="24"/>
        </w:rPr>
      </w:pPr>
      <w:r>
        <w:rPr>
          <w:rFonts w:hint="eastAsia" w:hAnsi="宋体"/>
          <w:color w:val="000000"/>
          <w:sz w:val="24"/>
          <w:szCs w:val="24"/>
        </w:rPr>
        <w:t>2.1招标文件的组成</w:t>
      </w:r>
    </w:p>
    <w:p w14:paraId="57B1B240">
      <w:pPr>
        <w:pStyle w:val="19"/>
        <w:spacing w:line="400" w:lineRule="exact"/>
        <w:rPr>
          <w:rFonts w:hAnsi="宋体"/>
          <w:color w:val="000000"/>
          <w:sz w:val="24"/>
          <w:szCs w:val="24"/>
        </w:rPr>
      </w:pPr>
      <w:r>
        <w:rPr>
          <w:rFonts w:hint="eastAsia" w:hAnsi="宋体"/>
          <w:color w:val="000000"/>
          <w:sz w:val="24"/>
          <w:szCs w:val="24"/>
        </w:rPr>
        <w:t>2.1.1本招标文件包括下列内容以及所有按本须知2.2款及2.3款发出的补充资料:</w:t>
      </w: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6967"/>
      </w:tblGrid>
      <w:tr w14:paraId="1AFF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7" w:type="dxa"/>
            <w:vAlign w:val="center"/>
          </w:tcPr>
          <w:p w14:paraId="3D262188">
            <w:pPr>
              <w:pStyle w:val="19"/>
              <w:spacing w:line="400" w:lineRule="exact"/>
              <w:jc w:val="center"/>
              <w:rPr>
                <w:rFonts w:hAnsi="宋体"/>
                <w:color w:val="000000"/>
                <w:sz w:val="24"/>
                <w:szCs w:val="24"/>
              </w:rPr>
            </w:pPr>
            <w:r>
              <w:rPr>
                <w:rFonts w:hint="eastAsia" w:hAnsi="宋体"/>
                <w:color w:val="000000"/>
                <w:sz w:val="24"/>
                <w:szCs w:val="24"/>
              </w:rPr>
              <w:t>第一章</w:t>
            </w:r>
          </w:p>
        </w:tc>
        <w:tc>
          <w:tcPr>
            <w:tcW w:w="6967" w:type="dxa"/>
            <w:vAlign w:val="center"/>
          </w:tcPr>
          <w:p w14:paraId="5B87CA2A">
            <w:pPr>
              <w:pStyle w:val="19"/>
              <w:spacing w:line="400" w:lineRule="exact"/>
              <w:rPr>
                <w:rFonts w:hAnsi="宋体"/>
                <w:color w:val="000000"/>
                <w:sz w:val="24"/>
                <w:szCs w:val="24"/>
              </w:rPr>
            </w:pPr>
            <w:r>
              <w:rPr>
                <w:rFonts w:hint="eastAsia" w:hAnsi="宋体"/>
                <w:color w:val="000000"/>
                <w:sz w:val="24"/>
                <w:szCs w:val="24"/>
              </w:rPr>
              <w:t>招标公告</w:t>
            </w:r>
          </w:p>
        </w:tc>
      </w:tr>
      <w:tr w14:paraId="2AB1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7" w:type="dxa"/>
            <w:vAlign w:val="center"/>
          </w:tcPr>
          <w:p w14:paraId="226D62E7">
            <w:pPr>
              <w:pStyle w:val="19"/>
              <w:spacing w:line="400" w:lineRule="exact"/>
              <w:jc w:val="center"/>
              <w:rPr>
                <w:rFonts w:hAnsi="宋体"/>
                <w:color w:val="000000"/>
                <w:sz w:val="24"/>
                <w:szCs w:val="24"/>
              </w:rPr>
            </w:pPr>
            <w:r>
              <w:rPr>
                <w:rFonts w:hint="eastAsia" w:hAnsi="宋体"/>
                <w:color w:val="000000"/>
                <w:sz w:val="24"/>
                <w:szCs w:val="24"/>
              </w:rPr>
              <w:t>第二章</w:t>
            </w:r>
          </w:p>
        </w:tc>
        <w:tc>
          <w:tcPr>
            <w:tcW w:w="6967" w:type="dxa"/>
            <w:vAlign w:val="center"/>
          </w:tcPr>
          <w:p w14:paraId="012A6DFF">
            <w:pPr>
              <w:pStyle w:val="19"/>
              <w:spacing w:line="400" w:lineRule="exact"/>
              <w:rPr>
                <w:rFonts w:hAnsi="宋体"/>
                <w:color w:val="000000"/>
                <w:sz w:val="24"/>
                <w:szCs w:val="24"/>
              </w:rPr>
            </w:pPr>
            <w:r>
              <w:rPr>
                <w:rFonts w:hint="eastAsia" w:hAnsi="宋体"/>
                <w:color w:val="000000"/>
                <w:sz w:val="24"/>
                <w:szCs w:val="24"/>
              </w:rPr>
              <w:t>投标人须知</w:t>
            </w:r>
          </w:p>
        </w:tc>
      </w:tr>
      <w:tr w14:paraId="04D2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7" w:type="dxa"/>
            <w:vAlign w:val="center"/>
          </w:tcPr>
          <w:p w14:paraId="67112800">
            <w:pPr>
              <w:pStyle w:val="19"/>
              <w:spacing w:line="400" w:lineRule="exact"/>
              <w:jc w:val="center"/>
              <w:rPr>
                <w:rFonts w:hAnsi="宋体"/>
                <w:color w:val="000000"/>
                <w:sz w:val="24"/>
                <w:szCs w:val="24"/>
              </w:rPr>
            </w:pPr>
            <w:r>
              <w:rPr>
                <w:rFonts w:hint="eastAsia" w:hAnsi="宋体"/>
                <w:color w:val="000000"/>
                <w:sz w:val="24"/>
                <w:szCs w:val="24"/>
              </w:rPr>
              <w:t>第三章</w:t>
            </w:r>
          </w:p>
        </w:tc>
        <w:tc>
          <w:tcPr>
            <w:tcW w:w="6967" w:type="dxa"/>
            <w:vAlign w:val="center"/>
          </w:tcPr>
          <w:p w14:paraId="0D112F9B">
            <w:pPr>
              <w:pStyle w:val="19"/>
              <w:spacing w:line="400" w:lineRule="exact"/>
              <w:rPr>
                <w:rFonts w:hAnsi="宋体"/>
                <w:color w:val="000000"/>
                <w:sz w:val="24"/>
                <w:szCs w:val="24"/>
              </w:rPr>
            </w:pPr>
            <w:r>
              <w:rPr>
                <w:rFonts w:hint="eastAsia" w:hAnsi="宋体"/>
                <w:color w:val="000000"/>
                <w:sz w:val="24"/>
                <w:szCs w:val="24"/>
              </w:rPr>
              <w:t>委托监理合同</w:t>
            </w:r>
          </w:p>
        </w:tc>
      </w:tr>
      <w:tr w14:paraId="1F04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7" w:type="dxa"/>
            <w:vAlign w:val="center"/>
          </w:tcPr>
          <w:p w14:paraId="57380CDC">
            <w:pPr>
              <w:pStyle w:val="19"/>
              <w:spacing w:line="400" w:lineRule="exact"/>
              <w:jc w:val="center"/>
              <w:rPr>
                <w:rFonts w:hAnsi="宋体"/>
                <w:color w:val="000000"/>
                <w:sz w:val="24"/>
                <w:szCs w:val="24"/>
              </w:rPr>
            </w:pPr>
            <w:r>
              <w:rPr>
                <w:rFonts w:hint="eastAsia" w:hAnsi="宋体"/>
                <w:color w:val="000000"/>
                <w:sz w:val="24"/>
                <w:szCs w:val="24"/>
              </w:rPr>
              <w:t>第四章</w:t>
            </w:r>
          </w:p>
        </w:tc>
        <w:tc>
          <w:tcPr>
            <w:tcW w:w="6967" w:type="dxa"/>
            <w:vAlign w:val="center"/>
          </w:tcPr>
          <w:p w14:paraId="47F2904A">
            <w:pPr>
              <w:pStyle w:val="19"/>
              <w:spacing w:line="400" w:lineRule="exact"/>
              <w:rPr>
                <w:rFonts w:hAnsi="宋体"/>
                <w:color w:val="000000"/>
                <w:sz w:val="24"/>
                <w:szCs w:val="24"/>
              </w:rPr>
            </w:pPr>
            <w:r>
              <w:rPr>
                <w:rFonts w:hint="eastAsia" w:hAnsi="宋体"/>
                <w:color w:val="000000"/>
                <w:sz w:val="24"/>
                <w:szCs w:val="24"/>
              </w:rPr>
              <w:t>合同附件格式（无）</w:t>
            </w:r>
          </w:p>
        </w:tc>
      </w:tr>
      <w:tr w14:paraId="4BCF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7" w:type="dxa"/>
            <w:vAlign w:val="center"/>
          </w:tcPr>
          <w:p w14:paraId="055CF8BD">
            <w:pPr>
              <w:pStyle w:val="19"/>
              <w:spacing w:line="400" w:lineRule="exact"/>
              <w:jc w:val="center"/>
              <w:rPr>
                <w:rFonts w:hAnsi="宋体"/>
                <w:color w:val="000000"/>
                <w:sz w:val="24"/>
                <w:szCs w:val="24"/>
              </w:rPr>
            </w:pPr>
            <w:r>
              <w:rPr>
                <w:rFonts w:hint="eastAsia" w:hAnsi="宋体"/>
                <w:color w:val="000000"/>
                <w:sz w:val="24"/>
                <w:szCs w:val="24"/>
              </w:rPr>
              <w:t>第五章</w:t>
            </w:r>
          </w:p>
        </w:tc>
        <w:tc>
          <w:tcPr>
            <w:tcW w:w="6967" w:type="dxa"/>
            <w:vAlign w:val="center"/>
          </w:tcPr>
          <w:p w14:paraId="0033B66B">
            <w:pPr>
              <w:pStyle w:val="19"/>
              <w:spacing w:line="400" w:lineRule="exact"/>
              <w:rPr>
                <w:rFonts w:hAnsi="宋体"/>
                <w:color w:val="000000"/>
                <w:sz w:val="24"/>
                <w:szCs w:val="24"/>
              </w:rPr>
            </w:pPr>
            <w:r>
              <w:rPr>
                <w:rFonts w:hint="eastAsia" w:hAnsi="宋体"/>
                <w:color w:val="000000"/>
                <w:sz w:val="24"/>
                <w:szCs w:val="24"/>
              </w:rPr>
              <w:t>投标文件格式</w:t>
            </w:r>
          </w:p>
        </w:tc>
      </w:tr>
      <w:tr w14:paraId="2890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7" w:type="dxa"/>
            <w:vAlign w:val="center"/>
          </w:tcPr>
          <w:p w14:paraId="7DC132B4">
            <w:pPr>
              <w:pStyle w:val="19"/>
              <w:spacing w:line="400" w:lineRule="exact"/>
              <w:jc w:val="center"/>
              <w:rPr>
                <w:rFonts w:hAnsi="宋体"/>
                <w:color w:val="000000"/>
                <w:sz w:val="24"/>
                <w:szCs w:val="24"/>
              </w:rPr>
            </w:pPr>
            <w:r>
              <w:rPr>
                <w:rFonts w:hint="eastAsia" w:hAnsi="宋体"/>
                <w:color w:val="000000"/>
                <w:sz w:val="24"/>
                <w:szCs w:val="24"/>
              </w:rPr>
              <w:t>第六章</w:t>
            </w:r>
          </w:p>
        </w:tc>
        <w:tc>
          <w:tcPr>
            <w:tcW w:w="6967" w:type="dxa"/>
            <w:vAlign w:val="center"/>
          </w:tcPr>
          <w:p w14:paraId="53BB921A">
            <w:pPr>
              <w:pStyle w:val="19"/>
              <w:spacing w:line="400" w:lineRule="exact"/>
              <w:rPr>
                <w:rFonts w:hAnsi="宋体"/>
                <w:color w:val="000000"/>
                <w:sz w:val="24"/>
                <w:szCs w:val="24"/>
              </w:rPr>
            </w:pPr>
            <w:r>
              <w:rPr>
                <w:rFonts w:hint="eastAsia" w:hAnsi="宋体"/>
                <w:color w:val="000000"/>
                <w:sz w:val="24"/>
                <w:szCs w:val="24"/>
              </w:rPr>
              <w:t>附件</w:t>
            </w:r>
          </w:p>
        </w:tc>
      </w:tr>
      <w:tr w14:paraId="1FA7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7" w:type="dxa"/>
            <w:vAlign w:val="center"/>
          </w:tcPr>
          <w:p w14:paraId="67537FD1">
            <w:pPr>
              <w:pStyle w:val="19"/>
              <w:spacing w:line="400" w:lineRule="exact"/>
              <w:jc w:val="center"/>
              <w:rPr>
                <w:rFonts w:hAnsi="宋体"/>
                <w:color w:val="000000"/>
                <w:sz w:val="24"/>
                <w:szCs w:val="24"/>
              </w:rPr>
            </w:pPr>
            <w:r>
              <w:rPr>
                <w:rFonts w:hint="eastAsia" w:hAnsi="宋体"/>
                <w:color w:val="000000"/>
                <w:sz w:val="24"/>
                <w:szCs w:val="24"/>
              </w:rPr>
              <w:t>第七章</w:t>
            </w:r>
          </w:p>
        </w:tc>
        <w:tc>
          <w:tcPr>
            <w:tcW w:w="6967" w:type="dxa"/>
            <w:vAlign w:val="center"/>
          </w:tcPr>
          <w:p w14:paraId="6273F8C6">
            <w:pPr>
              <w:pStyle w:val="19"/>
              <w:spacing w:line="400" w:lineRule="exact"/>
              <w:rPr>
                <w:rFonts w:hAnsi="宋体"/>
                <w:color w:val="000000"/>
                <w:sz w:val="24"/>
                <w:szCs w:val="24"/>
              </w:rPr>
            </w:pPr>
            <w:r>
              <w:rPr>
                <w:rFonts w:hint="eastAsia" w:hAnsi="宋体"/>
                <w:color w:val="000000"/>
                <w:sz w:val="24"/>
                <w:szCs w:val="24"/>
                <w:highlight w:val="yellow"/>
              </w:rPr>
              <w:t>评标及定标办法（综合评分法）</w:t>
            </w:r>
          </w:p>
        </w:tc>
      </w:tr>
    </w:tbl>
    <w:p w14:paraId="1374FCA1">
      <w:pPr>
        <w:pStyle w:val="19"/>
        <w:spacing w:line="400" w:lineRule="exact"/>
        <w:rPr>
          <w:rFonts w:hAnsi="宋体"/>
          <w:color w:val="000000"/>
          <w:sz w:val="24"/>
          <w:szCs w:val="24"/>
        </w:rPr>
      </w:pPr>
      <w:r>
        <w:rPr>
          <w:rFonts w:hint="eastAsia" w:hAnsi="宋体"/>
          <w:color w:val="000000"/>
          <w:sz w:val="24"/>
          <w:szCs w:val="24"/>
        </w:rPr>
        <w:t>2.1.2投标人应认真阅读招标文件中所有的投标须知、说明、合同条件、格式、技术规范、附表等。如果投标人的投标文件不能满足本招标文件的要求，由此产生的责任和后果由投标人自负。招标人有权拒绝未实质上响应招标文件要求的投标文件。</w:t>
      </w:r>
    </w:p>
    <w:p w14:paraId="3DD23D74">
      <w:pPr>
        <w:pStyle w:val="19"/>
        <w:spacing w:line="400" w:lineRule="exact"/>
        <w:rPr>
          <w:rFonts w:hAnsi="宋体"/>
          <w:color w:val="000000"/>
          <w:sz w:val="24"/>
          <w:szCs w:val="24"/>
        </w:rPr>
      </w:pPr>
      <w:r>
        <w:rPr>
          <w:rFonts w:hint="eastAsia" w:hAnsi="宋体"/>
          <w:color w:val="000000"/>
          <w:sz w:val="24"/>
          <w:szCs w:val="24"/>
        </w:rPr>
        <w:t>2.2招标文件的澄清</w:t>
      </w:r>
    </w:p>
    <w:p w14:paraId="453B7F36">
      <w:pPr>
        <w:spacing w:line="400" w:lineRule="exact"/>
        <w:rPr>
          <w:rFonts w:ascii="宋体" w:hAnsi="宋体" w:cs="Courier New"/>
          <w:color w:val="000000"/>
          <w:sz w:val="24"/>
        </w:rPr>
      </w:pPr>
      <w:r>
        <w:rPr>
          <w:rFonts w:hint="eastAsia" w:ascii="宋体" w:hAnsi="宋体"/>
          <w:bCs/>
          <w:color w:val="000000"/>
          <w:sz w:val="24"/>
        </w:rPr>
        <w:t>2.2.1</w:t>
      </w:r>
      <w:r>
        <w:rPr>
          <w:rFonts w:hint="eastAsia" w:ascii="宋体" w:hAnsi="宋体" w:cs="Courier New"/>
          <w:color w:val="000000"/>
          <w:sz w:val="24"/>
        </w:rPr>
        <w:t>招标文件澄清、修改等相关资料均通过马鞍山市公共资源交易中心网发布，请投标人自行从网上下载。投标人必须及时登录马鞍山市公共资源交易中心网查看有无相关澄清、修改等内容。</w:t>
      </w:r>
    </w:p>
    <w:p w14:paraId="14C9FE67">
      <w:pPr>
        <w:pStyle w:val="19"/>
        <w:spacing w:line="400" w:lineRule="exact"/>
        <w:rPr>
          <w:rFonts w:hAnsi="宋体"/>
          <w:color w:val="000000"/>
          <w:sz w:val="24"/>
          <w:szCs w:val="24"/>
        </w:rPr>
      </w:pPr>
      <w:r>
        <w:rPr>
          <w:rFonts w:hint="eastAsia" w:hAnsi="宋体"/>
          <w:color w:val="000000"/>
          <w:sz w:val="24"/>
          <w:szCs w:val="24"/>
        </w:rPr>
        <w:t>2.2.2在开标前，投标人必须主动上网查询相关信息，招标人和招标代理机构不承担投标人未及时关注相关信息引发的相关责任。</w:t>
      </w:r>
    </w:p>
    <w:p w14:paraId="3DF7348A">
      <w:pPr>
        <w:pStyle w:val="19"/>
        <w:spacing w:line="400" w:lineRule="exact"/>
        <w:rPr>
          <w:rFonts w:hAnsi="宋体"/>
          <w:color w:val="000000"/>
          <w:sz w:val="24"/>
          <w:szCs w:val="24"/>
        </w:rPr>
      </w:pPr>
      <w:r>
        <w:rPr>
          <w:rFonts w:hint="eastAsia" w:hAnsi="宋体"/>
          <w:color w:val="000000"/>
          <w:sz w:val="24"/>
          <w:szCs w:val="24"/>
        </w:rPr>
        <w:t>2.3招标文件的修改</w:t>
      </w:r>
    </w:p>
    <w:p w14:paraId="4509B52D">
      <w:pPr>
        <w:pStyle w:val="19"/>
        <w:spacing w:line="400" w:lineRule="exact"/>
        <w:rPr>
          <w:rFonts w:hAnsi="宋体"/>
          <w:color w:val="000000"/>
          <w:sz w:val="24"/>
          <w:szCs w:val="24"/>
        </w:rPr>
      </w:pPr>
      <w:r>
        <w:rPr>
          <w:rFonts w:hint="eastAsia" w:hAnsi="宋体"/>
          <w:color w:val="000000"/>
          <w:sz w:val="24"/>
          <w:szCs w:val="24"/>
        </w:rPr>
        <w:t>招标人有权以补充通知的方式修改招标文件。补充通知作为招标文件的组成部分，对投标人起约束作用。</w:t>
      </w:r>
    </w:p>
    <w:p w14:paraId="75987D27">
      <w:pPr>
        <w:pStyle w:val="19"/>
        <w:spacing w:line="400" w:lineRule="exact"/>
        <w:rPr>
          <w:rFonts w:hAnsi="宋体"/>
          <w:b/>
          <w:color w:val="FF0000"/>
          <w:sz w:val="24"/>
          <w:szCs w:val="24"/>
        </w:rPr>
      </w:pPr>
      <w:r>
        <w:rPr>
          <w:rFonts w:hint="eastAsia" w:hAnsi="宋体"/>
          <w:b/>
          <w:color w:val="FF0000"/>
          <w:sz w:val="24"/>
          <w:szCs w:val="24"/>
        </w:rPr>
        <w:t>3.投标文件的编制（其中：“监理管理文件（监理大纲）”部分采用暗标。）</w:t>
      </w:r>
    </w:p>
    <w:p w14:paraId="528F6D08">
      <w:pPr>
        <w:pStyle w:val="19"/>
        <w:spacing w:line="400" w:lineRule="exact"/>
        <w:rPr>
          <w:rFonts w:hAnsi="宋体"/>
          <w:color w:val="000000"/>
          <w:sz w:val="24"/>
          <w:szCs w:val="24"/>
        </w:rPr>
      </w:pPr>
      <w:r>
        <w:rPr>
          <w:rFonts w:hint="eastAsia" w:hAnsi="宋体"/>
          <w:color w:val="000000"/>
          <w:sz w:val="24"/>
          <w:szCs w:val="24"/>
        </w:rPr>
        <w:t>3.1投标文件的语言及投标费用</w:t>
      </w:r>
    </w:p>
    <w:p w14:paraId="13447AF6">
      <w:pPr>
        <w:pStyle w:val="19"/>
        <w:spacing w:line="400" w:lineRule="exact"/>
        <w:rPr>
          <w:rFonts w:hAnsi="宋体"/>
          <w:color w:val="000000"/>
          <w:sz w:val="24"/>
          <w:szCs w:val="24"/>
        </w:rPr>
      </w:pPr>
      <w:r>
        <w:rPr>
          <w:rFonts w:hint="eastAsia" w:hAnsi="宋体"/>
          <w:color w:val="000000"/>
          <w:sz w:val="24"/>
          <w:szCs w:val="24"/>
        </w:rPr>
        <w:t>3.1.1投标人与招标人之间与投标有关的来往通知、函件和文件均应使用中文。</w:t>
      </w:r>
    </w:p>
    <w:p w14:paraId="7D4A7DBC">
      <w:pPr>
        <w:pStyle w:val="19"/>
        <w:spacing w:line="400" w:lineRule="exact"/>
        <w:rPr>
          <w:rFonts w:hAnsi="宋体"/>
          <w:color w:val="000000"/>
          <w:sz w:val="24"/>
          <w:szCs w:val="24"/>
        </w:rPr>
      </w:pPr>
      <w:r>
        <w:rPr>
          <w:rFonts w:hint="eastAsia" w:hAnsi="宋体"/>
          <w:color w:val="000000"/>
          <w:sz w:val="24"/>
          <w:szCs w:val="24"/>
        </w:rPr>
        <w:t>3.1.2投标人应承担其投标文件编制与送达所涉及的一切费用，不论投标结果如何，招标人对上述费用不负任何责任。</w:t>
      </w:r>
    </w:p>
    <w:p w14:paraId="4B69DF69">
      <w:pPr>
        <w:pStyle w:val="19"/>
        <w:spacing w:line="400" w:lineRule="exact"/>
        <w:rPr>
          <w:rFonts w:hAnsi="宋体"/>
          <w:color w:val="000000"/>
          <w:sz w:val="24"/>
          <w:szCs w:val="24"/>
        </w:rPr>
      </w:pPr>
      <w:r>
        <w:rPr>
          <w:rFonts w:hint="eastAsia" w:hAnsi="宋体"/>
          <w:color w:val="000000"/>
          <w:sz w:val="24"/>
          <w:szCs w:val="24"/>
        </w:rPr>
        <w:t>3.2投标文件的内容</w:t>
      </w:r>
    </w:p>
    <w:p w14:paraId="11A5098B">
      <w:pPr>
        <w:pStyle w:val="19"/>
        <w:spacing w:line="400" w:lineRule="exact"/>
        <w:rPr>
          <w:rFonts w:hAnsi="宋体"/>
          <w:color w:val="000000"/>
          <w:sz w:val="24"/>
          <w:szCs w:val="24"/>
        </w:rPr>
      </w:pPr>
      <w:r>
        <w:rPr>
          <w:rFonts w:hint="eastAsia" w:hAnsi="宋体"/>
          <w:color w:val="000000"/>
          <w:sz w:val="24"/>
          <w:szCs w:val="24"/>
        </w:rPr>
        <w:t>3.2.1投标人提交的投标文件应包括但不限于以下内容:</w:t>
      </w:r>
    </w:p>
    <w:tbl>
      <w:tblPr>
        <w:tblStyle w:val="32"/>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7610"/>
      </w:tblGrid>
      <w:tr w14:paraId="7679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1115" w:type="dxa"/>
            <w:vAlign w:val="center"/>
          </w:tcPr>
          <w:p w14:paraId="4B4B2D38">
            <w:pPr>
              <w:pStyle w:val="19"/>
              <w:spacing w:line="400" w:lineRule="exact"/>
              <w:jc w:val="center"/>
              <w:rPr>
                <w:rFonts w:hAnsi="宋体"/>
                <w:color w:val="000000"/>
                <w:sz w:val="24"/>
                <w:szCs w:val="24"/>
              </w:rPr>
            </w:pPr>
            <w:r>
              <w:rPr>
                <w:rFonts w:hint="eastAsia" w:hAnsi="宋体"/>
                <w:color w:val="000000"/>
                <w:sz w:val="24"/>
                <w:szCs w:val="24"/>
              </w:rPr>
              <w:t>一</w:t>
            </w:r>
          </w:p>
        </w:tc>
        <w:tc>
          <w:tcPr>
            <w:tcW w:w="7610" w:type="dxa"/>
            <w:vAlign w:val="center"/>
          </w:tcPr>
          <w:p w14:paraId="63D23EFF">
            <w:pPr>
              <w:pStyle w:val="19"/>
              <w:spacing w:line="400" w:lineRule="exact"/>
              <w:rPr>
                <w:rFonts w:hAnsi="宋体"/>
                <w:color w:val="000000"/>
                <w:sz w:val="24"/>
                <w:szCs w:val="24"/>
              </w:rPr>
            </w:pPr>
            <w:r>
              <w:rPr>
                <w:rFonts w:hint="eastAsia" w:hAnsi="宋体"/>
                <w:color w:val="000000"/>
                <w:sz w:val="24"/>
                <w:szCs w:val="24"/>
              </w:rPr>
              <w:t>投标函及投标函附录</w:t>
            </w:r>
          </w:p>
        </w:tc>
      </w:tr>
      <w:tr w14:paraId="4B94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115" w:type="dxa"/>
            <w:vAlign w:val="center"/>
          </w:tcPr>
          <w:p w14:paraId="6EAB8400">
            <w:pPr>
              <w:pStyle w:val="19"/>
              <w:spacing w:line="400" w:lineRule="exact"/>
              <w:jc w:val="center"/>
              <w:rPr>
                <w:rFonts w:hAnsi="宋体"/>
                <w:color w:val="000000"/>
                <w:sz w:val="24"/>
                <w:szCs w:val="24"/>
              </w:rPr>
            </w:pPr>
            <w:r>
              <w:rPr>
                <w:rFonts w:hint="eastAsia" w:hAnsi="宋体"/>
                <w:color w:val="000000"/>
                <w:sz w:val="24"/>
                <w:szCs w:val="24"/>
              </w:rPr>
              <w:t>二</w:t>
            </w:r>
          </w:p>
        </w:tc>
        <w:tc>
          <w:tcPr>
            <w:tcW w:w="7610" w:type="dxa"/>
            <w:vAlign w:val="center"/>
          </w:tcPr>
          <w:p w14:paraId="290229C8">
            <w:pPr>
              <w:pStyle w:val="19"/>
              <w:spacing w:line="400" w:lineRule="exact"/>
              <w:rPr>
                <w:rFonts w:hAnsi="宋体"/>
                <w:color w:val="000000"/>
                <w:sz w:val="24"/>
                <w:szCs w:val="24"/>
              </w:rPr>
            </w:pPr>
            <w:r>
              <w:rPr>
                <w:rFonts w:hint="eastAsia" w:hAnsi="宋体"/>
                <w:color w:val="000000"/>
                <w:sz w:val="24"/>
                <w:szCs w:val="24"/>
              </w:rPr>
              <w:t>法定代表人资格证明书或授权委托书（若无授权代理人，则不需提供）</w:t>
            </w:r>
          </w:p>
        </w:tc>
      </w:tr>
      <w:tr w14:paraId="3BD5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6040296">
            <w:pPr>
              <w:pStyle w:val="19"/>
              <w:spacing w:line="400" w:lineRule="exact"/>
              <w:jc w:val="center"/>
              <w:rPr>
                <w:rFonts w:hAnsi="宋体"/>
                <w:color w:val="000000"/>
                <w:sz w:val="24"/>
                <w:szCs w:val="24"/>
              </w:rPr>
            </w:pPr>
            <w:r>
              <w:rPr>
                <w:rFonts w:hint="eastAsia" w:hAnsi="宋体"/>
                <w:color w:val="000000"/>
                <w:sz w:val="24"/>
                <w:szCs w:val="24"/>
              </w:rPr>
              <w:t>三</w:t>
            </w:r>
          </w:p>
        </w:tc>
        <w:tc>
          <w:tcPr>
            <w:tcW w:w="7610" w:type="dxa"/>
            <w:vAlign w:val="center"/>
          </w:tcPr>
          <w:p w14:paraId="4D0D0DA3">
            <w:pPr>
              <w:pStyle w:val="19"/>
              <w:spacing w:line="400" w:lineRule="exact"/>
              <w:rPr>
                <w:rFonts w:hAnsi="宋体"/>
                <w:sz w:val="24"/>
                <w:szCs w:val="24"/>
              </w:rPr>
            </w:pPr>
            <w:r>
              <w:rPr>
                <w:rFonts w:hint="eastAsia" w:ascii="Times New Roman" w:hAnsi="宋体" w:cs="Times New Roman"/>
                <w:sz w:val="24"/>
                <w:szCs w:val="24"/>
              </w:rPr>
              <w:t>监理管理文件（监理大纲）</w:t>
            </w:r>
            <w:r>
              <w:rPr>
                <w:rFonts w:hint="eastAsia" w:ascii="Times New Roman" w:hAnsi="宋体" w:cs="Times New Roman"/>
                <w:b/>
                <w:bCs/>
                <w:color w:val="FF0000"/>
                <w:sz w:val="24"/>
                <w:szCs w:val="24"/>
              </w:rPr>
              <w:t>（本</w:t>
            </w:r>
            <w:r>
              <w:rPr>
                <w:rFonts w:hint="eastAsia" w:ascii="Times New Roman" w:hAnsi="宋体" w:cs="Times New Roman"/>
                <w:b/>
                <w:color w:val="FF0000"/>
                <w:sz w:val="24"/>
                <w:szCs w:val="24"/>
              </w:rPr>
              <w:t>部分采用</w:t>
            </w:r>
            <w:r>
              <w:rPr>
                <w:rFonts w:hint="eastAsia" w:ascii="Times New Roman" w:hAnsi="宋体" w:cs="Times New Roman"/>
                <w:b/>
                <w:bCs/>
                <w:color w:val="FF0000"/>
                <w:sz w:val="24"/>
                <w:szCs w:val="24"/>
              </w:rPr>
              <w:t>暗标）</w:t>
            </w:r>
          </w:p>
        </w:tc>
      </w:tr>
      <w:tr w14:paraId="4B55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15" w:type="dxa"/>
            <w:vAlign w:val="center"/>
          </w:tcPr>
          <w:p w14:paraId="561749E3">
            <w:pPr>
              <w:pStyle w:val="19"/>
              <w:spacing w:line="400" w:lineRule="exact"/>
              <w:jc w:val="center"/>
              <w:rPr>
                <w:rFonts w:hAnsi="宋体"/>
                <w:color w:val="000000"/>
                <w:sz w:val="24"/>
                <w:szCs w:val="24"/>
              </w:rPr>
            </w:pPr>
            <w:r>
              <w:rPr>
                <w:rFonts w:hint="eastAsia" w:hAnsi="宋体"/>
                <w:color w:val="000000"/>
                <w:sz w:val="24"/>
                <w:szCs w:val="24"/>
              </w:rPr>
              <w:t>四</w:t>
            </w:r>
          </w:p>
        </w:tc>
        <w:tc>
          <w:tcPr>
            <w:tcW w:w="7610" w:type="dxa"/>
          </w:tcPr>
          <w:p w14:paraId="4031303E">
            <w:pPr>
              <w:pStyle w:val="19"/>
              <w:spacing w:line="400" w:lineRule="exact"/>
              <w:rPr>
                <w:rFonts w:hAnsi="宋体"/>
                <w:color w:val="000000"/>
                <w:sz w:val="24"/>
                <w:szCs w:val="24"/>
              </w:rPr>
            </w:pPr>
            <w:r>
              <w:rPr>
                <w:rFonts w:hint="eastAsia" w:hAnsi="宋体"/>
                <w:color w:val="000000"/>
                <w:sz w:val="24"/>
                <w:szCs w:val="24"/>
              </w:rPr>
              <w:t>1、资格证明及辅助资料表，表1组织机构</w:t>
            </w:r>
          </w:p>
          <w:p w14:paraId="12EF2D40">
            <w:pPr>
              <w:pStyle w:val="19"/>
              <w:spacing w:line="400" w:lineRule="exact"/>
              <w:rPr>
                <w:rFonts w:hAnsi="宋体"/>
                <w:sz w:val="24"/>
                <w:szCs w:val="24"/>
              </w:rPr>
            </w:pPr>
            <w:r>
              <w:rPr>
                <w:rFonts w:hint="eastAsia" w:hAnsi="宋体"/>
                <w:color w:val="000000"/>
                <w:sz w:val="24"/>
                <w:szCs w:val="24"/>
              </w:rPr>
              <w:t xml:space="preserve">  附企业简介、企业资质证书</w:t>
            </w:r>
            <w:r>
              <w:rPr>
                <w:rFonts w:hint="eastAsia" w:hAnsi="宋体"/>
                <w:sz w:val="24"/>
                <w:szCs w:val="24"/>
              </w:rPr>
              <w:t>扫描件、企业营业执照复印件(或影印件)、</w:t>
            </w:r>
            <w:r>
              <w:rPr>
                <w:rFonts w:hint="eastAsia" w:hAnsi="宋体"/>
                <w:color w:val="FF0000"/>
                <w:sz w:val="24"/>
              </w:rPr>
              <w:t>投标保证金材料</w:t>
            </w:r>
            <w:r>
              <w:rPr>
                <w:rFonts w:hint="eastAsia"/>
                <w:color w:val="FF0000"/>
                <w:sz w:val="24"/>
              </w:rPr>
              <w:t>（见招标文件相关内容要求）</w:t>
            </w:r>
            <w:r>
              <w:rPr>
                <w:rFonts w:hint="eastAsia" w:hAnsi="宋体"/>
                <w:sz w:val="24"/>
              </w:rPr>
              <w:t>、</w:t>
            </w:r>
            <w:r>
              <w:rPr>
                <w:rFonts w:hint="eastAsia" w:hAnsi="宋体"/>
                <w:sz w:val="24"/>
                <w:szCs w:val="24"/>
              </w:rPr>
              <w:t>总监理工程师注册执业证书（全国注册监理工程师注册执业证书）的复印件(或影印件)，格式见表1</w:t>
            </w:r>
          </w:p>
          <w:p w14:paraId="3D6A0275">
            <w:pPr>
              <w:pStyle w:val="19"/>
              <w:spacing w:line="400" w:lineRule="exact"/>
              <w:rPr>
                <w:rFonts w:hAnsi="宋体"/>
                <w:color w:val="000000"/>
                <w:sz w:val="24"/>
                <w:szCs w:val="24"/>
              </w:rPr>
            </w:pPr>
            <w:r>
              <w:rPr>
                <w:rFonts w:hint="eastAsia" w:hAnsi="宋体"/>
                <w:color w:val="000000"/>
                <w:sz w:val="24"/>
                <w:szCs w:val="24"/>
              </w:rPr>
              <w:t>2、资格证明及辅助资料表，表2～10</w:t>
            </w:r>
          </w:p>
          <w:p w14:paraId="2C62E4A9">
            <w:pPr>
              <w:pStyle w:val="19"/>
              <w:spacing w:line="400" w:lineRule="exact"/>
              <w:rPr>
                <w:rFonts w:hAnsi="宋体"/>
                <w:color w:val="000000"/>
                <w:sz w:val="24"/>
                <w:szCs w:val="24"/>
              </w:rPr>
            </w:pPr>
            <w:r>
              <w:rPr>
                <w:rFonts w:hint="eastAsia" w:hAnsi="宋体"/>
                <w:color w:val="000000"/>
                <w:sz w:val="24"/>
                <w:szCs w:val="24"/>
              </w:rPr>
              <w:t xml:space="preserve">   （1）投标人满足本工程监理业绩的类似工程施工监理项目的情况详细说明，格式见表2～5；</w:t>
            </w:r>
          </w:p>
          <w:p w14:paraId="76298A83">
            <w:pPr>
              <w:pStyle w:val="19"/>
              <w:spacing w:line="400" w:lineRule="exact"/>
              <w:rPr>
                <w:rFonts w:hAnsi="宋体"/>
                <w:color w:val="000000"/>
                <w:sz w:val="24"/>
                <w:szCs w:val="24"/>
              </w:rPr>
            </w:pPr>
            <w:r>
              <w:rPr>
                <w:rFonts w:hint="eastAsia" w:hAnsi="宋体"/>
                <w:color w:val="000000"/>
                <w:sz w:val="24"/>
                <w:szCs w:val="24"/>
              </w:rPr>
              <w:t xml:space="preserve">   （2）投标人执行本合同的人员配备及人员资质、资历、能力的详细说明，格式见表6～8；</w:t>
            </w:r>
          </w:p>
          <w:p w14:paraId="1C093BDA">
            <w:pPr>
              <w:pStyle w:val="19"/>
              <w:spacing w:line="400" w:lineRule="exact"/>
              <w:rPr>
                <w:rFonts w:hAnsi="宋体"/>
                <w:color w:val="000000"/>
                <w:sz w:val="24"/>
                <w:szCs w:val="24"/>
              </w:rPr>
            </w:pPr>
            <w:r>
              <w:rPr>
                <w:rFonts w:hint="eastAsia" w:hAnsi="宋体"/>
                <w:color w:val="000000"/>
                <w:sz w:val="24"/>
                <w:szCs w:val="24"/>
              </w:rPr>
              <w:t xml:space="preserve">   （3）投标人执行本合同所配备的主要仪器设备，格式见表9；</w:t>
            </w:r>
          </w:p>
          <w:p w14:paraId="085A2EAE">
            <w:pPr>
              <w:pStyle w:val="19"/>
              <w:spacing w:line="400" w:lineRule="exact"/>
              <w:ind w:firstLine="360" w:firstLineChars="150"/>
              <w:rPr>
                <w:rFonts w:hAnsi="宋体"/>
                <w:color w:val="000000"/>
                <w:sz w:val="24"/>
                <w:szCs w:val="24"/>
              </w:rPr>
            </w:pPr>
            <w:r>
              <w:rPr>
                <w:rFonts w:hint="eastAsia" w:hAnsi="宋体"/>
                <w:color w:val="000000"/>
                <w:sz w:val="24"/>
                <w:szCs w:val="24"/>
              </w:rPr>
              <w:t>（4）投标人各种奖励和处罚的详细说明，格式见表10。</w:t>
            </w:r>
          </w:p>
        </w:tc>
      </w:tr>
    </w:tbl>
    <w:p w14:paraId="7641A142">
      <w:pPr>
        <w:pStyle w:val="19"/>
        <w:spacing w:line="380" w:lineRule="exact"/>
        <w:rPr>
          <w:rFonts w:hAnsi="宋体"/>
          <w:color w:val="000000"/>
          <w:sz w:val="24"/>
          <w:szCs w:val="24"/>
        </w:rPr>
      </w:pPr>
      <w:r>
        <w:rPr>
          <w:rFonts w:hint="eastAsia" w:hAnsi="宋体"/>
          <w:color w:val="000000"/>
          <w:sz w:val="24"/>
          <w:szCs w:val="24"/>
        </w:rPr>
        <w:t>3.2.2招标人鼓励投标人对本项目的施工图设计、施工管理、关键部位施工技术措施等方面提出合理化建议，以体现投标人的业务水平和实际能力，为本工程提供有益的参考。</w:t>
      </w:r>
    </w:p>
    <w:p w14:paraId="6CB92062">
      <w:pPr>
        <w:pStyle w:val="19"/>
        <w:spacing w:line="380" w:lineRule="exact"/>
        <w:rPr>
          <w:rFonts w:hAnsi="宋体"/>
          <w:color w:val="000000"/>
          <w:sz w:val="24"/>
          <w:szCs w:val="24"/>
        </w:rPr>
      </w:pPr>
      <w:r>
        <w:rPr>
          <w:rFonts w:hint="eastAsia" w:hAnsi="宋体"/>
          <w:color w:val="000000"/>
          <w:sz w:val="24"/>
          <w:szCs w:val="24"/>
        </w:rPr>
        <w:t>3.2.3投标人应通过马鞍山市公共资源交易系统递交且系统成功接收的电子投标文件一份。</w:t>
      </w:r>
    </w:p>
    <w:p w14:paraId="113CDA23">
      <w:pPr>
        <w:pStyle w:val="19"/>
        <w:spacing w:line="380" w:lineRule="exact"/>
        <w:rPr>
          <w:rFonts w:hAnsi="宋体"/>
          <w:color w:val="000000"/>
          <w:sz w:val="24"/>
          <w:szCs w:val="24"/>
        </w:rPr>
      </w:pPr>
      <w:r>
        <w:rPr>
          <w:rFonts w:hint="eastAsia" w:hAnsi="宋体"/>
          <w:color w:val="000000"/>
          <w:sz w:val="24"/>
          <w:szCs w:val="24"/>
        </w:rPr>
        <w:t>3.2.4电子投标文件的递交要求详见投标人须知前附表。</w:t>
      </w:r>
    </w:p>
    <w:p w14:paraId="06C04873">
      <w:pPr>
        <w:pStyle w:val="19"/>
        <w:spacing w:line="380" w:lineRule="exact"/>
        <w:rPr>
          <w:rFonts w:hAnsi="宋体"/>
          <w:color w:val="000000"/>
          <w:sz w:val="24"/>
          <w:szCs w:val="24"/>
        </w:rPr>
      </w:pPr>
      <w:r>
        <w:rPr>
          <w:rFonts w:hint="eastAsia" w:hAnsi="宋体"/>
          <w:color w:val="000000"/>
          <w:sz w:val="24"/>
          <w:szCs w:val="24"/>
        </w:rPr>
        <w:t>3.2.5通过马鞍山市公共资源交易系统递交的电子投标文件应按招标文件规定的格式由投标人的法定代表人和投标单位分别签章。</w:t>
      </w:r>
    </w:p>
    <w:p w14:paraId="2169EEBC">
      <w:pPr>
        <w:pStyle w:val="19"/>
        <w:spacing w:line="380" w:lineRule="exact"/>
        <w:rPr>
          <w:rFonts w:hAnsi="宋体"/>
          <w:color w:val="000000"/>
          <w:sz w:val="24"/>
          <w:szCs w:val="24"/>
        </w:rPr>
      </w:pPr>
      <w:r>
        <w:rPr>
          <w:rFonts w:hint="eastAsia" w:hAnsi="宋体"/>
          <w:color w:val="000000"/>
          <w:sz w:val="24"/>
          <w:szCs w:val="24"/>
        </w:rPr>
        <w:t>3.2.6构成投标文件的其他材料：</w:t>
      </w:r>
      <w:r>
        <w:rPr>
          <w:rFonts w:hint="eastAsia" w:hAnsi="宋体"/>
          <w:sz w:val="24"/>
          <w:szCs w:val="24"/>
        </w:rPr>
        <w:t>见投标人须知前附表。</w:t>
      </w:r>
    </w:p>
    <w:p w14:paraId="72AA3682">
      <w:pPr>
        <w:pStyle w:val="19"/>
        <w:spacing w:line="380" w:lineRule="exact"/>
        <w:rPr>
          <w:rFonts w:hAnsi="宋体"/>
          <w:color w:val="000000"/>
          <w:sz w:val="24"/>
          <w:szCs w:val="24"/>
        </w:rPr>
      </w:pPr>
      <w:r>
        <w:rPr>
          <w:rFonts w:hint="eastAsia" w:hAnsi="宋体"/>
          <w:color w:val="000000"/>
          <w:sz w:val="24"/>
          <w:szCs w:val="24"/>
        </w:rPr>
        <w:t>3.3监理费用投标报价</w:t>
      </w:r>
    </w:p>
    <w:p w14:paraId="518C5D5E">
      <w:pPr>
        <w:pStyle w:val="19"/>
        <w:spacing w:line="380" w:lineRule="exact"/>
        <w:rPr>
          <w:rFonts w:hAnsi="宋体"/>
          <w:color w:val="000000"/>
          <w:sz w:val="24"/>
          <w:szCs w:val="24"/>
        </w:rPr>
      </w:pPr>
      <w:r>
        <w:rPr>
          <w:rFonts w:hint="eastAsia" w:hAnsi="宋体"/>
          <w:color w:val="000000"/>
          <w:sz w:val="24"/>
          <w:szCs w:val="24"/>
        </w:rPr>
        <w:t>3.3.1投标人的监理费用投标报价应是在监理服务期内，监理单位按合同规定的范围所提供的全部服务所需的全部费用。</w:t>
      </w:r>
    </w:p>
    <w:p w14:paraId="11F5F430">
      <w:pPr>
        <w:pStyle w:val="19"/>
        <w:spacing w:line="380" w:lineRule="exact"/>
        <w:rPr>
          <w:rFonts w:hAnsi="宋体"/>
          <w:color w:val="000000"/>
          <w:sz w:val="24"/>
          <w:szCs w:val="24"/>
        </w:rPr>
      </w:pPr>
      <w:r>
        <w:rPr>
          <w:rFonts w:hint="eastAsia" w:hAnsi="宋体"/>
          <w:color w:val="000000"/>
          <w:sz w:val="24"/>
          <w:szCs w:val="24"/>
        </w:rPr>
        <w:t>3.3.2</w:t>
      </w:r>
      <w:r>
        <w:rPr>
          <w:rFonts w:hint="eastAsia" w:hAnsi="宋体"/>
          <w:color w:val="000000"/>
          <w:sz w:val="24"/>
        </w:rPr>
        <w:t>最高投标限价</w:t>
      </w:r>
      <w:r>
        <w:rPr>
          <w:rFonts w:hint="eastAsia" w:hAnsi="宋体"/>
          <w:color w:val="000000"/>
          <w:sz w:val="24"/>
          <w:szCs w:val="24"/>
        </w:rPr>
        <w:t>：</w:t>
      </w:r>
      <w:r>
        <w:rPr>
          <w:rFonts w:hint="eastAsia" w:hAnsi="宋体"/>
          <w:sz w:val="24"/>
          <w:szCs w:val="24"/>
        </w:rPr>
        <w:t>见投标人须知前附表。</w:t>
      </w:r>
    </w:p>
    <w:p w14:paraId="062900BD">
      <w:pPr>
        <w:pStyle w:val="19"/>
        <w:spacing w:line="380" w:lineRule="exact"/>
        <w:rPr>
          <w:rFonts w:hAnsi="宋体"/>
          <w:color w:val="000000"/>
          <w:sz w:val="24"/>
          <w:szCs w:val="24"/>
        </w:rPr>
      </w:pPr>
      <w:r>
        <w:rPr>
          <w:rFonts w:hint="eastAsia" w:hAnsi="宋体"/>
          <w:color w:val="000000"/>
          <w:sz w:val="24"/>
          <w:szCs w:val="24"/>
        </w:rPr>
        <w:t>3.3.3招标人不提供办公地点、不提供交通、通讯、办公等设施，不提供监理人员的食宿等条件，此项费用含在工程监理服务收费投标报价中，并满足招标人和工程施工的需要。此外中标人应在现场设置试验室（如有规定），并配置工程检测所需要的仪器和办公设备，现场试验室应取得主管部门颁发的工地临时试验室资质，此项费用也含在工程监理服务收费投标报价中。</w:t>
      </w:r>
    </w:p>
    <w:p w14:paraId="73531AC4">
      <w:pPr>
        <w:pStyle w:val="19"/>
        <w:spacing w:line="380" w:lineRule="exact"/>
        <w:rPr>
          <w:rFonts w:hAnsi="宋体"/>
          <w:color w:val="000000"/>
          <w:sz w:val="24"/>
          <w:szCs w:val="24"/>
        </w:rPr>
      </w:pPr>
      <w:r>
        <w:rPr>
          <w:rFonts w:hint="eastAsia" w:hAnsi="宋体"/>
          <w:color w:val="000000"/>
          <w:sz w:val="24"/>
          <w:szCs w:val="24"/>
        </w:rPr>
        <w:t>3.3</w:t>
      </w:r>
      <w:r>
        <w:rPr>
          <w:rFonts w:hAnsi="宋体"/>
          <w:color w:val="000000"/>
          <w:sz w:val="24"/>
          <w:szCs w:val="24"/>
        </w:rPr>
        <w:t>.</w:t>
      </w:r>
      <w:r>
        <w:rPr>
          <w:rFonts w:hint="eastAsia" w:hAnsi="宋体"/>
          <w:color w:val="000000"/>
          <w:sz w:val="24"/>
          <w:szCs w:val="24"/>
        </w:rPr>
        <w:t>4监理服务费投标报价中的单价和合价全部用人民币表示。</w:t>
      </w:r>
    </w:p>
    <w:p w14:paraId="66462BCB">
      <w:pPr>
        <w:pStyle w:val="19"/>
        <w:spacing w:line="380" w:lineRule="exact"/>
        <w:rPr>
          <w:rFonts w:hAnsi="宋体"/>
          <w:color w:val="000000"/>
          <w:sz w:val="24"/>
          <w:szCs w:val="24"/>
        </w:rPr>
      </w:pPr>
      <w:r>
        <w:rPr>
          <w:rFonts w:hint="eastAsia" w:hAnsi="宋体"/>
          <w:color w:val="000000"/>
          <w:sz w:val="24"/>
          <w:szCs w:val="24"/>
        </w:rPr>
        <w:t>3.3.5监理服务费投标报价中，另行考虑招标代理服务费。招标代理机构按“投标人须知前附表”10.1条规定向中标人（如为联合体投标的，则为联合体牵头人）收取招标代理服务费。</w:t>
      </w:r>
    </w:p>
    <w:p w14:paraId="782E6AC3">
      <w:pPr>
        <w:pStyle w:val="19"/>
        <w:spacing w:line="380" w:lineRule="exact"/>
        <w:rPr>
          <w:rFonts w:hAnsi="宋体"/>
          <w:color w:val="000000"/>
          <w:sz w:val="24"/>
          <w:szCs w:val="24"/>
        </w:rPr>
      </w:pPr>
      <w:r>
        <w:rPr>
          <w:rFonts w:hint="eastAsia" w:hAnsi="宋体"/>
          <w:color w:val="000000"/>
          <w:sz w:val="24"/>
          <w:szCs w:val="24"/>
        </w:rPr>
        <w:t>3.4投标有效期</w:t>
      </w:r>
    </w:p>
    <w:p w14:paraId="434B0D0F">
      <w:pPr>
        <w:pStyle w:val="19"/>
        <w:spacing w:line="380" w:lineRule="exact"/>
        <w:rPr>
          <w:rFonts w:hAnsi="宋体"/>
          <w:color w:val="000000"/>
          <w:sz w:val="24"/>
          <w:szCs w:val="24"/>
        </w:rPr>
      </w:pPr>
      <w:r>
        <w:rPr>
          <w:rFonts w:hint="eastAsia" w:hAnsi="宋体"/>
          <w:color w:val="000000"/>
          <w:sz w:val="24"/>
          <w:szCs w:val="24"/>
        </w:rPr>
        <w:t>3.4.1</w:t>
      </w:r>
      <w:r>
        <w:rPr>
          <w:rFonts w:hint="eastAsia" w:hAnsi="宋体"/>
          <w:color w:val="000000"/>
          <w:sz w:val="24"/>
        </w:rPr>
        <w:t>投标有效期见投标人须知前附表</w:t>
      </w:r>
      <w:r>
        <w:rPr>
          <w:rFonts w:hint="eastAsia" w:hAnsi="宋体"/>
          <w:color w:val="000000"/>
          <w:sz w:val="24"/>
          <w:szCs w:val="24"/>
        </w:rPr>
        <w:t>。</w:t>
      </w:r>
    </w:p>
    <w:p w14:paraId="74E8DC59">
      <w:pPr>
        <w:pStyle w:val="19"/>
        <w:spacing w:line="380" w:lineRule="exact"/>
        <w:rPr>
          <w:rFonts w:hAnsi="宋体"/>
          <w:color w:val="000000"/>
          <w:sz w:val="24"/>
          <w:szCs w:val="24"/>
        </w:rPr>
      </w:pPr>
      <w:r>
        <w:rPr>
          <w:rFonts w:hint="eastAsia" w:hAnsi="宋体"/>
          <w:color w:val="000000"/>
          <w:sz w:val="24"/>
          <w:szCs w:val="24"/>
        </w:rPr>
        <w:t>3.4.2在投标有效期满之前若出现特殊情况，招标人有权以补充通知的方式向投标人发出延长投标有效期的通知。</w:t>
      </w:r>
    </w:p>
    <w:p w14:paraId="5C089E0C">
      <w:pPr>
        <w:pStyle w:val="19"/>
        <w:spacing w:line="380" w:lineRule="exact"/>
        <w:rPr>
          <w:rFonts w:hAnsi="宋体"/>
          <w:color w:val="000000"/>
          <w:sz w:val="24"/>
          <w:szCs w:val="24"/>
        </w:rPr>
      </w:pPr>
      <w:r>
        <w:rPr>
          <w:rFonts w:hint="eastAsia" w:hAnsi="宋体"/>
          <w:color w:val="000000"/>
          <w:sz w:val="24"/>
          <w:szCs w:val="24"/>
        </w:rPr>
        <w:t>3.5投标保证金</w:t>
      </w:r>
    </w:p>
    <w:p w14:paraId="76B23B37">
      <w:pPr>
        <w:pStyle w:val="19"/>
        <w:spacing w:line="380" w:lineRule="exact"/>
        <w:rPr>
          <w:rFonts w:hAnsi="宋体"/>
          <w:color w:val="000000"/>
          <w:sz w:val="24"/>
          <w:szCs w:val="24"/>
        </w:rPr>
      </w:pPr>
      <w:r>
        <w:rPr>
          <w:rFonts w:hint="eastAsia" w:hAnsi="宋体"/>
          <w:color w:val="000000"/>
          <w:sz w:val="24"/>
          <w:szCs w:val="24"/>
        </w:rPr>
        <w:t>3.5.1</w:t>
      </w:r>
      <w:r>
        <w:rPr>
          <w:rFonts w:hint="eastAsia" w:hAnsi="宋体"/>
          <w:sz w:val="24"/>
        </w:rPr>
        <w:t>投标人应按投标人须知前附表的要求递交投标保证金。</w:t>
      </w:r>
    </w:p>
    <w:p w14:paraId="2E062789">
      <w:pPr>
        <w:pStyle w:val="19"/>
        <w:spacing w:line="380" w:lineRule="exact"/>
        <w:rPr>
          <w:rFonts w:hAnsi="宋体"/>
          <w:color w:val="000000"/>
          <w:sz w:val="24"/>
          <w:szCs w:val="24"/>
        </w:rPr>
      </w:pPr>
      <w:r>
        <w:rPr>
          <w:rFonts w:hint="eastAsia" w:hAnsi="宋体"/>
          <w:color w:val="000000"/>
          <w:sz w:val="24"/>
          <w:szCs w:val="24"/>
        </w:rPr>
        <w:t>3.5.2若投标人有下列情况之一者，投标保证金将不予退还：</w:t>
      </w:r>
    </w:p>
    <w:p w14:paraId="6E17E3DD">
      <w:pPr>
        <w:widowControl/>
        <w:spacing w:line="380" w:lineRule="exact"/>
        <w:jc w:val="left"/>
        <w:rPr>
          <w:rFonts w:ascii="宋体" w:hAnsi="宋体" w:cs="宋体"/>
          <w:kern w:val="0"/>
          <w:sz w:val="24"/>
        </w:rPr>
      </w:pPr>
      <w:r>
        <w:rPr>
          <w:rFonts w:hint="eastAsia" w:ascii="宋体" w:hAnsi="宋体" w:cs="宋体"/>
          <w:kern w:val="0"/>
          <w:sz w:val="24"/>
        </w:rPr>
        <w:t>（1）投标人在规定的投标有效期内撤销或修改其投标文件；</w:t>
      </w:r>
    </w:p>
    <w:p w14:paraId="6B52DC5F">
      <w:pPr>
        <w:widowControl/>
        <w:spacing w:line="380" w:lineRule="exact"/>
        <w:jc w:val="left"/>
        <w:rPr>
          <w:rFonts w:ascii="宋体" w:hAnsi="宋体" w:cs="宋体"/>
          <w:kern w:val="0"/>
          <w:sz w:val="24"/>
        </w:rPr>
      </w:pPr>
      <w:r>
        <w:rPr>
          <w:rFonts w:hint="eastAsia" w:ascii="宋体" w:hAnsi="宋体" w:cs="宋体"/>
          <w:kern w:val="0"/>
          <w:sz w:val="24"/>
        </w:rPr>
        <w:t>（2）中标人中标后，无正当理由不与招标人订立合同，在签订合同时向招标人提出附加条件，或者不按照招标文件要求提交履约保证金的。</w:t>
      </w:r>
    </w:p>
    <w:p w14:paraId="0D7A4682">
      <w:pPr>
        <w:spacing w:line="380" w:lineRule="exact"/>
        <w:rPr>
          <w:rFonts w:ascii="宋体" w:hAnsi="宋体"/>
          <w:sz w:val="24"/>
        </w:rPr>
      </w:pPr>
      <w:r>
        <w:rPr>
          <w:rFonts w:hint="eastAsia" w:ascii="宋体" w:hAnsi="宋体"/>
          <w:sz w:val="24"/>
        </w:rPr>
        <w:t>4.投标</w:t>
      </w:r>
    </w:p>
    <w:p w14:paraId="16AF9218">
      <w:pPr>
        <w:snapToGrid w:val="0"/>
        <w:spacing w:line="380" w:lineRule="exact"/>
        <w:rPr>
          <w:rFonts w:ascii="宋体" w:hAnsi="宋体"/>
          <w:bCs/>
          <w:color w:val="FF0000"/>
          <w:sz w:val="24"/>
        </w:rPr>
      </w:pPr>
      <w:r>
        <w:rPr>
          <w:rFonts w:hint="eastAsia" w:ascii="宋体" w:hAnsi="宋体"/>
          <w:sz w:val="24"/>
        </w:rPr>
        <w:t>4.1电子投标文件</w:t>
      </w:r>
    </w:p>
    <w:p w14:paraId="27D2F327">
      <w:pPr>
        <w:spacing w:line="380" w:lineRule="exact"/>
        <w:rPr>
          <w:rFonts w:ascii="宋体" w:hAnsi="宋体"/>
          <w:sz w:val="24"/>
        </w:rPr>
      </w:pPr>
      <w:r>
        <w:rPr>
          <w:rFonts w:hint="eastAsia" w:ascii="宋体" w:hAnsi="宋体"/>
          <w:sz w:val="24"/>
        </w:rPr>
        <w:t>4.1.1投标人应在投标截止时间前，通过马鞍山市公共资源交易系统递交加密的电子投标文件。</w:t>
      </w:r>
    </w:p>
    <w:p w14:paraId="1751FFB1">
      <w:pPr>
        <w:spacing w:line="380" w:lineRule="exact"/>
        <w:rPr>
          <w:rFonts w:hAnsi="宋体"/>
          <w:sz w:val="24"/>
        </w:rPr>
      </w:pPr>
      <w:r>
        <w:rPr>
          <w:rFonts w:hint="eastAsia" w:ascii="宋体" w:hAnsi="宋体"/>
          <w:sz w:val="24"/>
        </w:rPr>
        <w:t>4.1.2</w:t>
      </w:r>
      <w:r>
        <w:rPr>
          <w:rFonts w:hint="eastAsia" w:hAnsi="宋体"/>
          <w:sz w:val="24"/>
        </w:rPr>
        <w:t>通过马鞍山市公共资源交易系统递交的电子投标文件应按招标文件规定的格式由投标人的法定代表人和投标单位分别签章。</w:t>
      </w:r>
    </w:p>
    <w:p w14:paraId="31DBC57F">
      <w:pPr>
        <w:snapToGrid w:val="0"/>
        <w:spacing w:line="380" w:lineRule="exact"/>
        <w:rPr>
          <w:rFonts w:ascii="宋体" w:hAnsi="宋体"/>
          <w:sz w:val="24"/>
        </w:rPr>
      </w:pPr>
      <w:r>
        <w:rPr>
          <w:rFonts w:hint="eastAsia" w:ascii="宋体" w:hAnsi="宋体"/>
          <w:sz w:val="24"/>
        </w:rPr>
        <w:t>4.2 投标文件的递交</w:t>
      </w:r>
    </w:p>
    <w:p w14:paraId="7715B87E">
      <w:pPr>
        <w:snapToGrid w:val="0"/>
        <w:spacing w:line="380" w:lineRule="exact"/>
        <w:rPr>
          <w:rFonts w:ascii="宋体" w:hAnsi="宋体"/>
          <w:sz w:val="24"/>
        </w:rPr>
      </w:pPr>
      <w:r>
        <w:rPr>
          <w:rFonts w:ascii="宋体" w:hAnsi="宋体"/>
          <w:sz w:val="24"/>
        </w:rPr>
        <w:t xml:space="preserve">4.2.1 </w:t>
      </w:r>
      <w:r>
        <w:rPr>
          <w:rFonts w:hint="eastAsia" w:ascii="宋体" w:hAnsi="宋体"/>
          <w:sz w:val="24"/>
        </w:rPr>
        <w:t>投标人应在规定的投标截止时间前递交投标文件。</w:t>
      </w:r>
    </w:p>
    <w:p w14:paraId="6E3495E5">
      <w:pPr>
        <w:snapToGrid w:val="0"/>
        <w:spacing w:line="380" w:lineRule="exact"/>
        <w:rPr>
          <w:rFonts w:ascii="宋体" w:hAnsi="宋体"/>
          <w:sz w:val="24"/>
        </w:rPr>
      </w:pPr>
      <w:r>
        <w:rPr>
          <w:rFonts w:ascii="宋体" w:hAnsi="宋体"/>
          <w:sz w:val="24"/>
        </w:rPr>
        <w:t>4.2.2</w:t>
      </w:r>
      <w:r>
        <w:rPr>
          <w:rFonts w:hint="eastAsia" w:ascii="宋体" w:hAnsi="宋体"/>
          <w:sz w:val="24"/>
        </w:rPr>
        <w:t>投标文件递交地点：见投标人须知前附表。</w:t>
      </w:r>
    </w:p>
    <w:p w14:paraId="13A93EF7">
      <w:pPr>
        <w:snapToGrid w:val="0"/>
        <w:spacing w:line="380" w:lineRule="exact"/>
        <w:rPr>
          <w:rFonts w:ascii="宋体" w:hAnsi="宋体"/>
          <w:sz w:val="24"/>
        </w:rPr>
      </w:pPr>
      <w:r>
        <w:rPr>
          <w:rFonts w:ascii="宋体" w:hAnsi="宋体"/>
          <w:sz w:val="24"/>
        </w:rPr>
        <w:t xml:space="preserve">4.2.3 </w:t>
      </w:r>
      <w:r>
        <w:rPr>
          <w:rFonts w:hint="eastAsia" w:ascii="宋体" w:hAnsi="宋体"/>
          <w:sz w:val="24"/>
        </w:rPr>
        <w:t>投标人所递交的投标文件不予退还。</w:t>
      </w:r>
    </w:p>
    <w:p w14:paraId="4D38BA0C">
      <w:pPr>
        <w:snapToGrid w:val="0"/>
        <w:spacing w:line="380" w:lineRule="exact"/>
        <w:rPr>
          <w:rFonts w:ascii="宋体" w:hAnsi="宋体"/>
          <w:color w:val="FF0000"/>
          <w:sz w:val="24"/>
        </w:rPr>
      </w:pPr>
      <w:r>
        <w:rPr>
          <w:rFonts w:hint="eastAsia" w:ascii="宋体" w:hAnsi="宋体"/>
          <w:sz w:val="24"/>
        </w:rPr>
        <w:t>4.2.4出现以下情形之一的，招标人对投标人通过马鞍山市公共资源交易系统递交的电子投标文件不予受理，</w:t>
      </w:r>
      <w:r>
        <w:rPr>
          <w:rFonts w:hint="eastAsia" w:ascii="宋体" w:hAnsi="宋体"/>
          <w:color w:val="FF0000"/>
          <w:sz w:val="24"/>
        </w:rPr>
        <w:t>不允许其参加开标程序，</w:t>
      </w:r>
      <w:r>
        <w:rPr>
          <w:rFonts w:hint="eastAsia" w:ascii="宋体" w:hAnsi="宋体"/>
          <w:sz w:val="24"/>
        </w:rPr>
        <w:t>不送交评委会评审：</w:t>
      </w:r>
      <w:r>
        <w:rPr>
          <w:rFonts w:ascii="宋体" w:hAnsi="宋体"/>
          <w:color w:val="FF0000"/>
          <w:sz w:val="24"/>
        </w:rPr>
        <w:t xml:space="preserve"> </w:t>
      </w:r>
    </w:p>
    <w:p w14:paraId="1ABA2EAA">
      <w:pPr>
        <w:numPr>
          <w:ilvl w:val="0"/>
          <w:numId w:val="2"/>
        </w:numPr>
        <w:spacing w:line="380" w:lineRule="exact"/>
        <w:rPr>
          <w:rFonts w:ascii="宋体" w:hAnsi="宋体"/>
          <w:sz w:val="24"/>
        </w:rPr>
      </w:pPr>
      <w:r>
        <w:rPr>
          <w:rFonts w:hint="eastAsia" w:ascii="宋体" w:hAnsi="宋体"/>
          <w:sz w:val="24"/>
        </w:rPr>
        <w:t>逾期递交的或者未递交至指定地点的投标文件；</w:t>
      </w:r>
    </w:p>
    <w:p w14:paraId="0C6B8BF4">
      <w:pPr>
        <w:spacing w:line="380" w:lineRule="exact"/>
        <w:rPr>
          <w:rFonts w:ascii="宋体" w:hAnsi="宋体"/>
          <w:sz w:val="24"/>
        </w:rPr>
      </w:pPr>
      <w:r>
        <w:rPr>
          <w:rFonts w:hint="eastAsia" w:ascii="宋体" w:hAnsi="宋体"/>
          <w:sz w:val="24"/>
        </w:rPr>
        <w:t>（2）在投标截止时间前未能通过马鞍山市公共资源交易系统成功递交有效电子投标文件的；</w:t>
      </w:r>
    </w:p>
    <w:p w14:paraId="243CA701">
      <w:pPr>
        <w:spacing w:line="380" w:lineRule="exact"/>
        <w:rPr>
          <w:rFonts w:ascii="宋体" w:hAnsi="宋体"/>
          <w:sz w:val="24"/>
        </w:rPr>
      </w:pPr>
      <w:r>
        <w:rPr>
          <w:rFonts w:hint="eastAsia" w:ascii="宋体" w:hAnsi="宋体"/>
          <w:sz w:val="24"/>
        </w:rPr>
        <w:t>4.2.5所有投标人应使用本单位CA锁完成投标文件的解密工作。投标人使用本单位CA锁但未能成功解密的，不予开标，不送交评委会评审。</w:t>
      </w:r>
    </w:p>
    <w:p w14:paraId="3F2E2778">
      <w:pPr>
        <w:spacing w:line="380" w:lineRule="exact"/>
        <w:rPr>
          <w:rFonts w:ascii="宋体" w:hAnsi="宋体"/>
          <w:sz w:val="24"/>
        </w:rPr>
      </w:pPr>
      <w:r>
        <w:rPr>
          <w:rFonts w:hint="eastAsia" w:ascii="宋体" w:hAnsi="宋体"/>
          <w:sz w:val="24"/>
        </w:rPr>
        <w:t>4.2.6招标人应在所有投标人</w:t>
      </w:r>
      <w:r>
        <w:rPr>
          <w:rFonts w:hint="eastAsia" w:ascii="宋体" w:hAnsi="宋体"/>
          <w:color w:val="FF0000"/>
          <w:sz w:val="24"/>
        </w:rPr>
        <w:t>按规定</w:t>
      </w:r>
      <w:r>
        <w:rPr>
          <w:rFonts w:hint="eastAsia" w:ascii="宋体" w:hAnsi="宋体"/>
          <w:sz w:val="24"/>
        </w:rPr>
        <w:t>完成CA锁解密工作后，进行招标人CA锁解密工作。</w:t>
      </w:r>
    </w:p>
    <w:p w14:paraId="4B5B4C83">
      <w:pPr>
        <w:spacing w:line="380" w:lineRule="exact"/>
        <w:rPr>
          <w:rFonts w:hAnsi="宋体"/>
          <w:color w:val="000000"/>
          <w:sz w:val="24"/>
        </w:rPr>
      </w:pPr>
      <w:r>
        <w:rPr>
          <w:rFonts w:hint="eastAsia" w:ascii="宋体" w:hAnsi="宋体"/>
          <w:sz w:val="24"/>
        </w:rPr>
        <w:t>4.3</w:t>
      </w:r>
      <w:r>
        <w:rPr>
          <w:rFonts w:hint="eastAsia" w:hAnsi="宋体"/>
          <w:color w:val="000000"/>
          <w:sz w:val="24"/>
        </w:rPr>
        <w:t>投标文件的修改与撤销</w:t>
      </w:r>
    </w:p>
    <w:p w14:paraId="50406566">
      <w:pPr>
        <w:pStyle w:val="19"/>
        <w:spacing w:line="380" w:lineRule="exact"/>
        <w:rPr>
          <w:rFonts w:hAnsi="宋体"/>
          <w:sz w:val="24"/>
        </w:rPr>
      </w:pPr>
      <w:r>
        <w:rPr>
          <w:rFonts w:hint="eastAsia" w:hAnsi="宋体"/>
          <w:sz w:val="24"/>
        </w:rPr>
        <w:t>4.3.1在规定的投标截止时间前，投标人可以修改或撤回已递交的投标文件。</w:t>
      </w:r>
    </w:p>
    <w:p w14:paraId="05B48F25">
      <w:pPr>
        <w:pStyle w:val="19"/>
        <w:spacing w:line="380" w:lineRule="exact"/>
        <w:rPr>
          <w:rFonts w:hAnsi="宋体"/>
          <w:sz w:val="24"/>
          <w:szCs w:val="24"/>
        </w:rPr>
      </w:pPr>
      <w:r>
        <w:rPr>
          <w:rFonts w:hint="eastAsia" w:hAnsi="宋体"/>
          <w:sz w:val="24"/>
        </w:rPr>
        <w:t>4.3.2在规定的投标截止时间前，投标人可以自行撤回已递交的投标文件，并可修改后重新递交，开标时以投标截止时间前投标人最终递交且系统接收成功的投标文件为准。</w:t>
      </w:r>
    </w:p>
    <w:p w14:paraId="4321DC80">
      <w:pPr>
        <w:spacing w:line="380" w:lineRule="exact"/>
        <w:rPr>
          <w:rFonts w:ascii="宋体" w:hAnsi="宋体" w:cs="Courier New"/>
          <w:color w:val="000000"/>
          <w:sz w:val="24"/>
        </w:rPr>
      </w:pPr>
      <w:r>
        <w:rPr>
          <w:rFonts w:hint="eastAsia" w:ascii="宋体" w:hAnsi="宋体" w:cs="Courier New"/>
          <w:color w:val="000000"/>
          <w:sz w:val="24"/>
        </w:rPr>
        <w:t>5.开标</w:t>
      </w:r>
      <w:r>
        <w:rPr>
          <w:rFonts w:hint="eastAsia" w:ascii="宋体" w:hAnsi="宋体"/>
          <w:color w:val="FF0000"/>
          <w:sz w:val="24"/>
          <w:highlight w:val="green"/>
        </w:rPr>
        <w:t>（项目采用不见面开标的，按投标人须知前附表“不见面开标相关要求”执行）</w:t>
      </w:r>
    </w:p>
    <w:p w14:paraId="6688B4EF">
      <w:pPr>
        <w:snapToGrid w:val="0"/>
        <w:spacing w:line="380" w:lineRule="exact"/>
        <w:rPr>
          <w:rFonts w:ascii="宋体" w:hAnsi="宋体"/>
          <w:sz w:val="24"/>
        </w:rPr>
      </w:pPr>
      <w:r>
        <w:rPr>
          <w:rFonts w:hint="eastAsia" w:ascii="宋体" w:hAnsi="宋体"/>
          <w:sz w:val="24"/>
        </w:rPr>
        <w:t>5.1开标时间和地点</w:t>
      </w:r>
    </w:p>
    <w:p w14:paraId="6A04FB82">
      <w:pPr>
        <w:snapToGrid w:val="0"/>
        <w:spacing w:line="380" w:lineRule="exact"/>
        <w:rPr>
          <w:rFonts w:ascii="宋体" w:hAnsi="宋体"/>
          <w:color w:val="000000"/>
          <w:sz w:val="24"/>
        </w:rPr>
      </w:pPr>
      <w:r>
        <w:rPr>
          <w:rFonts w:hint="eastAsia" w:ascii="宋体" w:hAnsi="宋体"/>
          <w:color w:val="000000"/>
          <w:sz w:val="24"/>
        </w:rPr>
        <w:t>招标人在规定的投标截止时间（开标时间）和地点公开开标。</w:t>
      </w:r>
    </w:p>
    <w:p w14:paraId="04B08CCB">
      <w:pPr>
        <w:snapToGrid w:val="0"/>
        <w:spacing w:line="380" w:lineRule="exact"/>
        <w:rPr>
          <w:rFonts w:ascii="宋体" w:hAnsi="宋体"/>
          <w:color w:val="000000"/>
          <w:sz w:val="24"/>
        </w:rPr>
      </w:pPr>
      <w:r>
        <w:rPr>
          <w:rFonts w:hint="eastAsia" w:ascii="宋体" w:hAnsi="宋体"/>
          <w:color w:val="000000"/>
          <w:sz w:val="24"/>
        </w:rPr>
        <w:t>5.2开标程序</w:t>
      </w:r>
    </w:p>
    <w:p w14:paraId="2C1D7BB5">
      <w:pPr>
        <w:snapToGrid w:val="0"/>
        <w:spacing w:line="380" w:lineRule="exact"/>
        <w:rPr>
          <w:rFonts w:ascii="宋体" w:hAnsi="宋体"/>
          <w:color w:val="000000"/>
          <w:sz w:val="24"/>
        </w:rPr>
      </w:pPr>
      <w:r>
        <w:rPr>
          <w:rFonts w:hint="eastAsia" w:ascii="宋体" w:hAnsi="宋体"/>
          <w:color w:val="000000"/>
          <w:sz w:val="24"/>
        </w:rPr>
        <w:t>主持人按下列程序进行开标：</w:t>
      </w:r>
    </w:p>
    <w:p w14:paraId="683BA83F">
      <w:pPr>
        <w:snapToGrid w:val="0"/>
        <w:spacing w:line="380" w:lineRule="exact"/>
        <w:rPr>
          <w:rFonts w:ascii="宋体" w:hAnsi="宋体"/>
          <w:color w:val="000000"/>
          <w:sz w:val="24"/>
        </w:rPr>
      </w:pPr>
      <w:r>
        <w:rPr>
          <w:rFonts w:hint="eastAsia" w:ascii="宋体" w:hAnsi="宋体"/>
          <w:color w:val="000000"/>
          <w:sz w:val="24"/>
        </w:rPr>
        <w:t>（1）宣布开标纪律；</w:t>
      </w:r>
    </w:p>
    <w:p w14:paraId="531A3CF5">
      <w:pPr>
        <w:snapToGrid w:val="0"/>
        <w:spacing w:line="380" w:lineRule="exact"/>
        <w:rPr>
          <w:rFonts w:ascii="宋体" w:hAnsi="宋体"/>
          <w:sz w:val="24"/>
        </w:rPr>
      </w:pPr>
      <w:r>
        <w:rPr>
          <w:rFonts w:hint="eastAsia" w:ascii="宋体" w:hAnsi="宋体"/>
          <w:sz w:val="24"/>
        </w:rPr>
        <w:t>（2）公布在投标截止时间前递交且系统接收成功投标文件的投标人名称；</w:t>
      </w:r>
    </w:p>
    <w:p w14:paraId="01843C43">
      <w:pPr>
        <w:snapToGrid w:val="0"/>
        <w:spacing w:line="380" w:lineRule="exact"/>
        <w:rPr>
          <w:rFonts w:ascii="宋体" w:hAnsi="宋体"/>
          <w:sz w:val="24"/>
        </w:rPr>
      </w:pPr>
      <w:r>
        <w:rPr>
          <w:rFonts w:hint="eastAsia" w:ascii="宋体" w:hAnsi="宋体"/>
          <w:sz w:val="24"/>
        </w:rPr>
        <w:t>（3）宣布开标人、唱标人、记录人、监标人（如有）等有关人员姓名；</w:t>
      </w:r>
    </w:p>
    <w:p w14:paraId="265E7591">
      <w:pPr>
        <w:snapToGrid w:val="0"/>
        <w:spacing w:line="380" w:lineRule="exact"/>
        <w:rPr>
          <w:rFonts w:ascii="宋体" w:hAnsi="宋体"/>
          <w:sz w:val="24"/>
        </w:rPr>
      </w:pPr>
      <w:r>
        <w:rPr>
          <w:rFonts w:hint="eastAsia" w:ascii="宋体" w:hAnsi="宋体"/>
          <w:sz w:val="24"/>
        </w:rPr>
        <w:t>（4）按照投标人须知前附表的规定确定并宣布投标文件开标顺序；</w:t>
      </w:r>
    </w:p>
    <w:p w14:paraId="57C2DB05">
      <w:pPr>
        <w:snapToGrid w:val="0"/>
        <w:spacing w:line="380" w:lineRule="exact"/>
        <w:rPr>
          <w:rFonts w:ascii="宋体" w:hAnsi="宋体"/>
          <w:sz w:val="24"/>
        </w:rPr>
      </w:pPr>
      <w:r>
        <w:rPr>
          <w:rFonts w:hint="eastAsia" w:ascii="宋体" w:hAnsi="宋体"/>
          <w:sz w:val="24"/>
        </w:rPr>
        <w:t>（5）按照宣布的开标顺序当众开标，公布投标人名称、标段名称、投标报价、项目总监理工程师及其他内容，并记录在案；</w:t>
      </w:r>
    </w:p>
    <w:p w14:paraId="633CDBCA">
      <w:pPr>
        <w:snapToGrid w:val="0"/>
        <w:spacing w:line="380" w:lineRule="exact"/>
        <w:rPr>
          <w:rFonts w:ascii="宋体" w:hAnsi="宋体"/>
          <w:sz w:val="24"/>
        </w:rPr>
      </w:pPr>
      <w:r>
        <w:rPr>
          <w:rFonts w:hint="eastAsia" w:ascii="宋体" w:hAnsi="宋体"/>
          <w:sz w:val="24"/>
        </w:rPr>
        <w:t>（6）投标人代表（本项目不要求投标人代表到开标现场）、招标人代表（如有）、监标人（如有）、记录人等有关人员在开标记录上签字确认；</w:t>
      </w:r>
    </w:p>
    <w:p w14:paraId="4672BF9E">
      <w:pPr>
        <w:snapToGrid w:val="0"/>
        <w:spacing w:line="380" w:lineRule="exact"/>
        <w:rPr>
          <w:rFonts w:ascii="宋体" w:hAnsi="宋体"/>
          <w:sz w:val="24"/>
        </w:rPr>
      </w:pPr>
      <w:r>
        <w:rPr>
          <w:rFonts w:hint="eastAsia" w:ascii="宋体" w:hAnsi="宋体"/>
          <w:sz w:val="24"/>
        </w:rPr>
        <w:t>（7）开标结束。</w:t>
      </w:r>
    </w:p>
    <w:p w14:paraId="13D7C0F0">
      <w:pPr>
        <w:snapToGrid w:val="0"/>
        <w:spacing w:line="380" w:lineRule="exact"/>
        <w:rPr>
          <w:rFonts w:ascii="宋体" w:hAnsi="宋体"/>
          <w:color w:val="000000"/>
          <w:sz w:val="24"/>
        </w:rPr>
      </w:pPr>
      <w:r>
        <w:rPr>
          <w:rFonts w:hint="eastAsia" w:ascii="宋体" w:hAnsi="宋体"/>
          <w:color w:val="000000"/>
          <w:sz w:val="24"/>
        </w:rPr>
        <w:t>5.3开评标过程中出现不可预见的停电、网络中断等情况致使开评标活动不能正常进行时，经马鞍山市招标采购监督管理部门批准后，宣布该项目暂停，并将所有投标文件封存，待设备恢复后继续进行开评标活动。</w:t>
      </w:r>
    </w:p>
    <w:p w14:paraId="04164F98">
      <w:pPr>
        <w:snapToGrid w:val="0"/>
        <w:spacing w:line="380" w:lineRule="exact"/>
        <w:rPr>
          <w:rFonts w:ascii="宋体" w:hAnsi="宋体"/>
          <w:color w:val="FF0000"/>
          <w:sz w:val="24"/>
        </w:rPr>
      </w:pPr>
      <w:r>
        <w:rPr>
          <w:rFonts w:hint="eastAsia" w:ascii="宋体" w:hAnsi="宋体"/>
          <w:color w:val="FF0000"/>
          <w:sz w:val="24"/>
        </w:rPr>
        <w:t>5.4评标过程中出现不可预见的系统显示错误等情况，致使本项目“暗标”部分不能正常评审时，评委会在评审时不执行招标文件规定的“暗标”相关条款。</w:t>
      </w:r>
    </w:p>
    <w:p w14:paraId="34FCF33F">
      <w:pPr>
        <w:spacing w:line="380" w:lineRule="exact"/>
        <w:rPr>
          <w:rFonts w:ascii="宋体" w:hAnsi="宋体" w:cs="Courier New"/>
          <w:color w:val="000000"/>
          <w:sz w:val="24"/>
        </w:rPr>
      </w:pPr>
      <w:r>
        <w:rPr>
          <w:rFonts w:hint="eastAsia" w:ascii="宋体" w:hAnsi="宋体" w:cs="Courier New"/>
          <w:color w:val="000000"/>
          <w:sz w:val="24"/>
        </w:rPr>
        <w:t>6.评标</w:t>
      </w:r>
    </w:p>
    <w:p w14:paraId="6C87EAA3">
      <w:pPr>
        <w:snapToGrid w:val="0"/>
        <w:spacing w:line="380" w:lineRule="exact"/>
        <w:rPr>
          <w:rFonts w:ascii="宋体" w:hAnsi="宋体"/>
          <w:sz w:val="24"/>
        </w:rPr>
      </w:pPr>
      <w:r>
        <w:rPr>
          <w:rFonts w:hint="eastAsia" w:ascii="宋体" w:hAnsi="宋体"/>
          <w:sz w:val="24"/>
        </w:rPr>
        <w:t>6.1评标委员会</w:t>
      </w:r>
    </w:p>
    <w:p w14:paraId="6446F196">
      <w:pPr>
        <w:snapToGrid w:val="0"/>
        <w:spacing w:line="380" w:lineRule="exact"/>
        <w:rPr>
          <w:rFonts w:ascii="宋体" w:hAnsi="宋体"/>
          <w:sz w:val="24"/>
        </w:rPr>
      </w:pPr>
      <w:r>
        <w:rPr>
          <w:rFonts w:hint="eastAsia" w:ascii="宋体" w:hAnsi="宋体"/>
          <w:sz w:val="24"/>
        </w:rPr>
        <w:t>6.1.1评标由招标人依法组建的评标委员会负责。评标委员会由招标人或其委托的招标机构熟悉相关业务的代表，以及有关技术、经济等方面的专家组成。评标委员会成员人数以及技术、经济等方面专家的确定方式见投标人须知前附表。</w:t>
      </w:r>
    </w:p>
    <w:p w14:paraId="74DAF4DC">
      <w:pPr>
        <w:snapToGrid w:val="0"/>
        <w:spacing w:line="380" w:lineRule="exact"/>
        <w:rPr>
          <w:rFonts w:ascii="宋体" w:hAnsi="宋体"/>
          <w:sz w:val="24"/>
        </w:rPr>
      </w:pPr>
      <w:r>
        <w:rPr>
          <w:rFonts w:hint="eastAsia" w:ascii="宋体" w:hAnsi="宋体"/>
          <w:sz w:val="24"/>
        </w:rPr>
        <w:t>6.1.2评标委员会成员有下列情形之一的，应当回避：</w:t>
      </w:r>
    </w:p>
    <w:p w14:paraId="6A9DAEDD">
      <w:pPr>
        <w:snapToGrid w:val="0"/>
        <w:spacing w:line="380" w:lineRule="exact"/>
        <w:rPr>
          <w:rFonts w:ascii="宋体" w:hAnsi="宋体"/>
          <w:sz w:val="24"/>
        </w:rPr>
      </w:pPr>
      <w:r>
        <w:rPr>
          <w:rFonts w:hint="eastAsia" w:ascii="宋体" w:hAnsi="宋体"/>
          <w:sz w:val="24"/>
        </w:rPr>
        <w:t>（1）投标人或投标人的主要负责人的近亲属；</w:t>
      </w:r>
    </w:p>
    <w:p w14:paraId="1EF18133">
      <w:pPr>
        <w:snapToGrid w:val="0"/>
        <w:spacing w:line="380" w:lineRule="exact"/>
        <w:rPr>
          <w:rFonts w:ascii="宋体" w:hAnsi="宋体"/>
          <w:sz w:val="24"/>
        </w:rPr>
      </w:pPr>
      <w:r>
        <w:rPr>
          <w:rFonts w:hint="eastAsia" w:ascii="宋体" w:hAnsi="宋体"/>
          <w:sz w:val="24"/>
        </w:rPr>
        <w:t>（2）项目主管部门或者行政监督部门的人员；</w:t>
      </w:r>
    </w:p>
    <w:p w14:paraId="20285B5C">
      <w:pPr>
        <w:snapToGrid w:val="0"/>
        <w:spacing w:line="380" w:lineRule="exact"/>
        <w:rPr>
          <w:rFonts w:ascii="宋体" w:hAnsi="宋体"/>
          <w:sz w:val="24"/>
        </w:rPr>
      </w:pPr>
      <w:r>
        <w:rPr>
          <w:rFonts w:hint="eastAsia" w:ascii="宋体" w:hAnsi="宋体"/>
          <w:sz w:val="24"/>
        </w:rPr>
        <w:t>（3）与投标人有经济利益关系，可能影响对投标公正评审的；</w:t>
      </w:r>
    </w:p>
    <w:p w14:paraId="7E3646C2">
      <w:pPr>
        <w:snapToGrid w:val="0"/>
        <w:spacing w:line="38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14:paraId="6DF2FD19">
      <w:pPr>
        <w:snapToGrid w:val="0"/>
        <w:spacing w:line="380" w:lineRule="exact"/>
        <w:rPr>
          <w:rFonts w:ascii="宋体" w:hAnsi="宋体"/>
          <w:sz w:val="24"/>
        </w:rPr>
      </w:pPr>
      <w:r>
        <w:rPr>
          <w:rFonts w:hint="eastAsia" w:ascii="宋体" w:hAnsi="宋体"/>
          <w:sz w:val="24"/>
        </w:rPr>
        <w:t>（5）与投标人有其他利害关系。</w:t>
      </w:r>
    </w:p>
    <w:p w14:paraId="13862BBB">
      <w:pPr>
        <w:snapToGrid w:val="0"/>
        <w:spacing w:line="380" w:lineRule="exact"/>
        <w:rPr>
          <w:rFonts w:ascii="宋体" w:hAnsi="宋体"/>
          <w:sz w:val="24"/>
        </w:rPr>
      </w:pPr>
      <w:r>
        <w:rPr>
          <w:rFonts w:hint="eastAsia" w:ascii="宋体" w:hAnsi="宋体"/>
          <w:sz w:val="24"/>
        </w:rPr>
        <w:t>6.2评标原则</w:t>
      </w:r>
    </w:p>
    <w:p w14:paraId="2DFA7FA5">
      <w:pPr>
        <w:snapToGrid w:val="0"/>
        <w:spacing w:line="380" w:lineRule="exact"/>
        <w:rPr>
          <w:rFonts w:ascii="宋体" w:hAnsi="宋体"/>
          <w:sz w:val="24"/>
        </w:rPr>
      </w:pPr>
      <w:r>
        <w:rPr>
          <w:rFonts w:hint="eastAsia" w:ascii="宋体" w:hAnsi="宋体"/>
          <w:sz w:val="24"/>
        </w:rPr>
        <w:t>评标活动遵循公平、公正、科学和择优的原则。</w:t>
      </w:r>
    </w:p>
    <w:p w14:paraId="4759CD07">
      <w:pPr>
        <w:snapToGrid w:val="0"/>
        <w:spacing w:line="380" w:lineRule="exact"/>
        <w:rPr>
          <w:rFonts w:ascii="宋体" w:hAnsi="宋体"/>
          <w:sz w:val="24"/>
        </w:rPr>
      </w:pPr>
      <w:r>
        <w:rPr>
          <w:rFonts w:hint="eastAsia" w:ascii="宋体" w:hAnsi="宋体"/>
          <w:sz w:val="24"/>
        </w:rPr>
        <w:t>6.3评标</w:t>
      </w:r>
    </w:p>
    <w:p w14:paraId="22F2D067">
      <w:pPr>
        <w:snapToGrid w:val="0"/>
        <w:spacing w:line="380" w:lineRule="exact"/>
        <w:rPr>
          <w:rFonts w:ascii="宋体" w:hAnsi="宋体"/>
          <w:sz w:val="24"/>
        </w:rPr>
      </w:pPr>
      <w:r>
        <w:rPr>
          <w:rFonts w:hint="eastAsia" w:ascii="宋体" w:hAnsi="宋体"/>
          <w:sz w:val="24"/>
        </w:rPr>
        <w:t>评标委员会按照</w:t>
      </w:r>
      <w:r>
        <w:rPr>
          <w:rFonts w:hint="eastAsia" w:ascii="宋体" w:hAnsi="宋体"/>
          <w:sz w:val="24"/>
          <w:highlight w:val="yellow"/>
        </w:rPr>
        <w:t>第七章“评标及定标办法”</w:t>
      </w:r>
      <w:r>
        <w:rPr>
          <w:rFonts w:hint="eastAsia" w:ascii="宋体" w:hAnsi="宋体"/>
          <w:sz w:val="24"/>
        </w:rPr>
        <w:t>规定的方法、评审因素、标准和程序对投标文件进行评审。</w:t>
      </w:r>
      <w:r>
        <w:rPr>
          <w:rFonts w:hint="eastAsia" w:ascii="宋体" w:hAnsi="宋体"/>
          <w:sz w:val="24"/>
          <w:highlight w:val="yellow"/>
        </w:rPr>
        <w:t>第七章“评标及定标办法”</w:t>
      </w:r>
      <w:r>
        <w:rPr>
          <w:rFonts w:hint="eastAsia" w:ascii="宋体" w:hAnsi="宋体"/>
          <w:sz w:val="24"/>
        </w:rPr>
        <w:t>没有规定的方法、评审因素和标准，不作为评标依据。</w:t>
      </w:r>
    </w:p>
    <w:p w14:paraId="1ECC42A4">
      <w:pPr>
        <w:snapToGrid w:val="0"/>
        <w:spacing w:line="380" w:lineRule="exact"/>
        <w:rPr>
          <w:rFonts w:ascii="宋体" w:hAnsi="宋体"/>
          <w:sz w:val="24"/>
        </w:rPr>
      </w:pPr>
      <w:r>
        <w:rPr>
          <w:rFonts w:hint="eastAsia" w:ascii="宋体" w:hAnsi="宋体"/>
          <w:sz w:val="24"/>
        </w:rPr>
        <w:t>7.合同授予</w:t>
      </w:r>
    </w:p>
    <w:p w14:paraId="488497DD">
      <w:pPr>
        <w:snapToGrid w:val="0"/>
        <w:spacing w:line="400" w:lineRule="exact"/>
        <w:rPr>
          <w:rFonts w:ascii="宋体" w:hAnsi="宋体" w:cs="宋体"/>
          <w:color w:val="FF0000"/>
          <w:kern w:val="0"/>
          <w:sz w:val="24"/>
          <w:szCs w:val="22"/>
          <w:highlight w:val="yellow"/>
        </w:rPr>
      </w:pPr>
      <w:r>
        <w:rPr>
          <w:rFonts w:ascii="宋体" w:hAnsi="宋体"/>
          <w:color w:val="FF0000"/>
          <w:sz w:val="24"/>
          <w:highlight w:val="yellow"/>
        </w:rPr>
        <w:t>7.1</w:t>
      </w:r>
      <w:r>
        <w:rPr>
          <w:rFonts w:hint="eastAsia" w:ascii="宋体" w:hAnsi="宋体" w:cs="宋体"/>
          <w:color w:val="FF0000"/>
          <w:kern w:val="0"/>
          <w:sz w:val="24"/>
          <w:szCs w:val="22"/>
          <w:highlight w:val="yellow"/>
        </w:rPr>
        <w:t>本项目评标、定标采用“评定分离”办法。按评标（推荐定标候选人）→定标（确定中标候选人及中标人）的顺序进行。</w:t>
      </w:r>
    </w:p>
    <w:p w14:paraId="47E0C6C5">
      <w:pPr>
        <w:snapToGrid w:val="0"/>
        <w:spacing w:line="400" w:lineRule="exact"/>
        <w:rPr>
          <w:rFonts w:ascii="宋体" w:hAnsi="宋体" w:cs="宋体"/>
          <w:color w:val="FF0000"/>
          <w:kern w:val="0"/>
          <w:sz w:val="24"/>
          <w:highlight w:val="yellow"/>
        </w:rPr>
      </w:pPr>
      <w:r>
        <w:rPr>
          <w:rFonts w:hint="eastAsia" w:ascii="宋体" w:hAnsi="宋体" w:cs="宋体"/>
          <w:color w:val="FF0000"/>
          <w:kern w:val="0"/>
          <w:sz w:val="24"/>
          <w:szCs w:val="22"/>
          <w:highlight w:val="yellow"/>
        </w:rPr>
        <w:t>7.1.1</w:t>
      </w:r>
      <w:r>
        <w:rPr>
          <w:rFonts w:hint="eastAsia" w:ascii="宋体" w:hAnsi="宋体" w:cs="宋体"/>
          <w:color w:val="FF0000"/>
          <w:kern w:val="0"/>
          <w:sz w:val="24"/>
          <w:highlight w:val="yellow"/>
        </w:rPr>
        <w:t>评标完成后，评标委员会应向招标人提交书面评标报告和定标候选人名单。评标委员会推荐的定标候选人的数量见投标人须知前附表。</w:t>
      </w:r>
    </w:p>
    <w:p w14:paraId="5F9742D2">
      <w:pPr>
        <w:snapToGrid w:val="0"/>
        <w:spacing w:line="400" w:lineRule="exact"/>
        <w:rPr>
          <w:rFonts w:ascii="宋体" w:hAnsi="宋体" w:cs="宋体"/>
          <w:kern w:val="0"/>
          <w:sz w:val="24"/>
          <w:szCs w:val="22"/>
          <w:highlight w:val="yellow"/>
        </w:rPr>
      </w:pPr>
      <w:r>
        <w:rPr>
          <w:rFonts w:hint="eastAsia" w:ascii="宋体" w:hAnsi="宋体"/>
          <w:sz w:val="24"/>
          <w:highlight w:val="yellow"/>
        </w:rPr>
        <w:t>7.1.2</w:t>
      </w:r>
      <w:r>
        <w:rPr>
          <w:rFonts w:hint="eastAsia" w:ascii="宋体" w:hAnsi="宋体" w:cs="宋体"/>
          <w:kern w:val="0"/>
          <w:sz w:val="24"/>
          <w:szCs w:val="22"/>
          <w:highlight w:val="yellow"/>
        </w:rPr>
        <w:t>招标人在收到评标报告之日起 3 日内，在</w:t>
      </w:r>
      <w:r>
        <w:rPr>
          <w:rFonts w:ascii="宋体" w:hAnsi="宋体" w:cs="宋体"/>
          <w:kern w:val="0"/>
          <w:sz w:val="24"/>
          <w:szCs w:val="22"/>
          <w:highlight w:val="yellow"/>
        </w:rPr>
        <w:t>同招标公告发布媒介上</w:t>
      </w:r>
      <w:r>
        <w:rPr>
          <w:rFonts w:hint="eastAsia" w:ascii="宋体" w:hAnsi="宋体" w:cs="宋体"/>
          <w:kern w:val="0"/>
          <w:sz w:val="24"/>
          <w:szCs w:val="22"/>
          <w:highlight w:val="yellow"/>
        </w:rPr>
        <w:t>公示</w:t>
      </w:r>
      <w:r>
        <w:rPr>
          <w:rFonts w:hint="eastAsia" w:ascii="宋体" w:hAnsi="宋体" w:cs="宋体"/>
          <w:color w:val="FF0000"/>
          <w:kern w:val="0"/>
          <w:sz w:val="24"/>
          <w:szCs w:val="22"/>
          <w:highlight w:val="yellow"/>
        </w:rPr>
        <w:t>定标候选人</w:t>
      </w:r>
      <w:r>
        <w:rPr>
          <w:rFonts w:hint="eastAsia" w:ascii="宋体" w:hAnsi="宋体" w:cs="宋体"/>
          <w:kern w:val="0"/>
          <w:sz w:val="24"/>
          <w:szCs w:val="22"/>
          <w:highlight w:val="yellow"/>
        </w:rPr>
        <w:t>，公示期不少于3日。其他要求见投标人须知前附表。</w:t>
      </w:r>
    </w:p>
    <w:p w14:paraId="001390D7">
      <w:pPr>
        <w:snapToGrid w:val="0"/>
        <w:spacing w:line="380" w:lineRule="exact"/>
        <w:rPr>
          <w:rFonts w:hint="eastAsia" w:ascii="宋体" w:hAnsi="宋体" w:cs="宋体"/>
          <w:kern w:val="0"/>
          <w:sz w:val="24"/>
          <w:szCs w:val="22"/>
          <w:highlight w:val="yellow"/>
        </w:rPr>
      </w:pPr>
      <w:r>
        <w:rPr>
          <w:rFonts w:hint="eastAsia" w:ascii="宋体" w:hAnsi="宋体" w:cs="宋体"/>
          <w:kern w:val="0"/>
          <w:sz w:val="24"/>
          <w:szCs w:val="22"/>
          <w:highlight w:val="yellow"/>
        </w:rPr>
        <w:t>7.1.3投标人或者其他利害关系人对评标结果有异议的，应在</w:t>
      </w:r>
      <w:r>
        <w:rPr>
          <w:rFonts w:hint="eastAsia" w:ascii="宋体" w:hAnsi="宋体" w:cs="宋体"/>
          <w:color w:val="FF0000"/>
          <w:kern w:val="0"/>
          <w:sz w:val="24"/>
          <w:szCs w:val="22"/>
          <w:highlight w:val="yellow"/>
        </w:rPr>
        <w:t>定标候选人</w:t>
      </w:r>
      <w:r>
        <w:rPr>
          <w:rFonts w:hint="eastAsia" w:ascii="宋体" w:hAnsi="宋体" w:cs="宋体"/>
          <w:kern w:val="0"/>
          <w:sz w:val="24"/>
          <w:szCs w:val="22"/>
          <w:highlight w:val="yellow"/>
        </w:rPr>
        <w:t>公示期间（公示期为公示发布次日起3日，如公示第三日为双休日或节假日，则顺延至双休日或节假日后第一个工作日）提出（提出方式见投标人须知前附表）。如以书面形式提出的，应在工作时间（上午8:00-12:00,下午2:30-5:30，双休日、节假日休息）向招标人或招标代理机构提出。</w:t>
      </w:r>
    </w:p>
    <w:p w14:paraId="4F8002FD">
      <w:pPr>
        <w:snapToGrid w:val="0"/>
        <w:spacing w:line="380" w:lineRule="exact"/>
        <w:rPr>
          <w:rFonts w:ascii="宋体" w:hAnsi="宋体"/>
          <w:sz w:val="24"/>
        </w:rPr>
      </w:pPr>
      <w:r>
        <w:rPr>
          <w:rFonts w:hint="eastAsia" w:ascii="宋体" w:hAnsi="宋体"/>
          <w:sz w:val="24"/>
          <w:lang w:val="en-US" w:eastAsia="zh-CN"/>
        </w:rPr>
        <w:t>7.1.4</w:t>
      </w:r>
      <w:r>
        <w:rPr>
          <w:rFonts w:hint="eastAsia" w:ascii="宋体" w:hAnsi="宋体"/>
          <w:sz w:val="24"/>
        </w:rPr>
        <w:t>异议提起的条件及不予受理的情形</w:t>
      </w:r>
    </w:p>
    <w:p w14:paraId="2FDCD68B">
      <w:pPr>
        <w:snapToGrid w:val="0"/>
        <w:spacing w:line="380" w:lineRule="exact"/>
        <w:rPr>
          <w:rFonts w:ascii="宋体" w:hAnsi="宋体"/>
          <w:sz w:val="24"/>
        </w:rPr>
      </w:pPr>
      <w:r>
        <w:rPr>
          <w:rFonts w:hint="eastAsia" w:ascii="宋体" w:hAnsi="宋体"/>
          <w:sz w:val="24"/>
        </w:rPr>
        <w:t>根据《中华人民共和国招标投标法》、《中华人民共和国招标投标法实施条例》等法律法规，现将异议提起的条件及不予受理的情形告知如下：</w:t>
      </w:r>
    </w:p>
    <w:p w14:paraId="5774CA51">
      <w:pPr>
        <w:snapToGrid w:val="0"/>
        <w:spacing w:line="380" w:lineRule="exact"/>
        <w:rPr>
          <w:rFonts w:ascii="宋体" w:hAnsi="宋体"/>
          <w:sz w:val="24"/>
        </w:rPr>
      </w:pPr>
      <w:r>
        <w:rPr>
          <w:rFonts w:hint="eastAsia" w:ascii="宋体" w:hAnsi="宋体"/>
          <w:sz w:val="24"/>
        </w:rPr>
        <w:t>（一）异议应以书面形式实名提出，书面异议材料应当包括以下内容：</w:t>
      </w:r>
    </w:p>
    <w:p w14:paraId="1441BD44">
      <w:pPr>
        <w:snapToGrid w:val="0"/>
        <w:spacing w:line="380" w:lineRule="exact"/>
        <w:rPr>
          <w:rFonts w:ascii="宋体" w:hAnsi="宋体"/>
          <w:sz w:val="24"/>
        </w:rPr>
      </w:pPr>
      <w:r>
        <w:rPr>
          <w:rFonts w:hint="eastAsia" w:ascii="宋体" w:hAnsi="宋体"/>
          <w:sz w:val="24"/>
        </w:rPr>
        <w:t>（1）异议人的名称、地址、有效联系方式；</w:t>
      </w:r>
    </w:p>
    <w:p w14:paraId="38FC17F9">
      <w:pPr>
        <w:snapToGrid w:val="0"/>
        <w:spacing w:line="380" w:lineRule="exact"/>
        <w:rPr>
          <w:rFonts w:ascii="宋体" w:hAnsi="宋体"/>
          <w:sz w:val="24"/>
        </w:rPr>
      </w:pPr>
      <w:r>
        <w:rPr>
          <w:rFonts w:hint="eastAsia" w:ascii="宋体" w:hAnsi="宋体"/>
          <w:sz w:val="24"/>
        </w:rPr>
        <w:t>（2）项目名称、项目编号、标段号（如有）；</w:t>
      </w:r>
    </w:p>
    <w:p w14:paraId="7F2E6C6C">
      <w:pPr>
        <w:snapToGrid w:val="0"/>
        <w:spacing w:line="380" w:lineRule="exact"/>
        <w:rPr>
          <w:rFonts w:ascii="宋体" w:hAnsi="宋体"/>
          <w:sz w:val="24"/>
        </w:rPr>
      </w:pPr>
      <w:r>
        <w:rPr>
          <w:rFonts w:hint="eastAsia" w:ascii="宋体" w:hAnsi="宋体"/>
          <w:sz w:val="24"/>
        </w:rPr>
        <w:t>（3）被异议人名称；</w:t>
      </w:r>
    </w:p>
    <w:p w14:paraId="6ADEF9B7">
      <w:pPr>
        <w:snapToGrid w:val="0"/>
        <w:spacing w:line="380" w:lineRule="exact"/>
        <w:rPr>
          <w:rFonts w:ascii="宋体" w:hAnsi="宋体"/>
          <w:sz w:val="24"/>
        </w:rPr>
      </w:pPr>
      <w:r>
        <w:rPr>
          <w:rFonts w:hint="eastAsia" w:ascii="宋体" w:hAnsi="宋体"/>
          <w:sz w:val="24"/>
        </w:rPr>
        <w:t>（4）具体的异议事项、基本事实及必要的证明材料；</w:t>
      </w:r>
    </w:p>
    <w:p w14:paraId="1E6B176D">
      <w:pPr>
        <w:snapToGrid w:val="0"/>
        <w:spacing w:line="380" w:lineRule="exact"/>
        <w:rPr>
          <w:rFonts w:ascii="宋体" w:hAnsi="宋体"/>
          <w:sz w:val="24"/>
        </w:rPr>
      </w:pPr>
      <w:r>
        <w:rPr>
          <w:rFonts w:hint="eastAsia" w:ascii="宋体" w:hAnsi="宋体"/>
          <w:sz w:val="24"/>
        </w:rPr>
        <w:t>（5）明确的请求及主张；</w:t>
      </w:r>
    </w:p>
    <w:p w14:paraId="4A05C175">
      <w:pPr>
        <w:snapToGrid w:val="0"/>
        <w:spacing w:line="380" w:lineRule="exact"/>
        <w:rPr>
          <w:rFonts w:ascii="宋体" w:hAnsi="宋体"/>
          <w:sz w:val="24"/>
        </w:rPr>
      </w:pPr>
      <w:r>
        <w:rPr>
          <w:rFonts w:hint="eastAsia" w:ascii="宋体" w:hAnsi="宋体"/>
          <w:sz w:val="24"/>
        </w:rPr>
        <w:t>（6）提起异议的日期。</w:t>
      </w:r>
    </w:p>
    <w:p w14:paraId="6873B0F3">
      <w:pPr>
        <w:snapToGrid w:val="0"/>
        <w:spacing w:line="380" w:lineRule="exact"/>
        <w:rPr>
          <w:rFonts w:ascii="宋体" w:hAnsi="宋体"/>
          <w:sz w:val="24"/>
        </w:rPr>
      </w:pPr>
      <w:r>
        <w:rPr>
          <w:rFonts w:hint="eastAsia" w:ascii="宋体" w:hAnsi="宋体"/>
          <w:sz w:val="24"/>
        </w:rPr>
        <w:t>异议人为法人或者其他组织的，应当由法定代表人或其委托代理人（需有授权委托书原件）签字并加盖公章。</w:t>
      </w:r>
    </w:p>
    <w:p w14:paraId="4B02017A">
      <w:pPr>
        <w:snapToGrid w:val="0"/>
        <w:spacing w:line="380" w:lineRule="exact"/>
        <w:rPr>
          <w:rFonts w:ascii="宋体" w:hAnsi="宋体"/>
          <w:sz w:val="24"/>
        </w:rPr>
      </w:pPr>
      <w:r>
        <w:rPr>
          <w:rFonts w:hint="eastAsia" w:ascii="宋体" w:hAnsi="宋体"/>
          <w:sz w:val="24"/>
        </w:rPr>
        <w:t>异议人需要修改、补充异议材料的，应当在异议期内提交修改或补充材料。</w:t>
      </w:r>
    </w:p>
    <w:p w14:paraId="07F995BA">
      <w:pPr>
        <w:snapToGrid w:val="0"/>
        <w:spacing w:line="380" w:lineRule="exact"/>
        <w:rPr>
          <w:rFonts w:ascii="宋体" w:hAnsi="宋体"/>
          <w:sz w:val="24"/>
        </w:rPr>
      </w:pPr>
      <w:r>
        <w:rPr>
          <w:rFonts w:hint="eastAsia" w:ascii="宋体" w:hAnsi="宋体"/>
          <w:sz w:val="24"/>
        </w:rPr>
        <w:t>(二)有下列情形之一的，招标人或招标代理机构不予受理：</w:t>
      </w:r>
    </w:p>
    <w:p w14:paraId="34F62773">
      <w:pPr>
        <w:snapToGrid w:val="0"/>
        <w:spacing w:line="380" w:lineRule="exact"/>
        <w:rPr>
          <w:rFonts w:ascii="宋体" w:hAnsi="宋体"/>
          <w:sz w:val="24"/>
        </w:rPr>
      </w:pPr>
      <w:r>
        <w:rPr>
          <w:rFonts w:hint="eastAsia" w:ascii="宋体" w:hAnsi="宋体"/>
          <w:sz w:val="24"/>
        </w:rPr>
        <w:t>（1）提起异议的主体不符合法律法规规定的；</w:t>
      </w:r>
    </w:p>
    <w:p w14:paraId="142F439D">
      <w:pPr>
        <w:snapToGrid w:val="0"/>
        <w:spacing w:line="380" w:lineRule="exact"/>
        <w:rPr>
          <w:rFonts w:ascii="宋体" w:hAnsi="宋体"/>
          <w:sz w:val="24"/>
        </w:rPr>
      </w:pPr>
      <w:r>
        <w:rPr>
          <w:rFonts w:hint="eastAsia" w:ascii="宋体" w:hAnsi="宋体"/>
          <w:sz w:val="24"/>
        </w:rPr>
        <w:t>（2）提起异议的时间超过规定时限的；</w:t>
      </w:r>
    </w:p>
    <w:p w14:paraId="2CA74EE3">
      <w:pPr>
        <w:snapToGrid w:val="0"/>
        <w:spacing w:line="380" w:lineRule="exact"/>
        <w:rPr>
          <w:rFonts w:ascii="宋体" w:hAnsi="宋体"/>
          <w:sz w:val="24"/>
        </w:rPr>
      </w:pPr>
      <w:r>
        <w:rPr>
          <w:rFonts w:hint="eastAsia" w:ascii="宋体" w:hAnsi="宋体"/>
          <w:sz w:val="24"/>
        </w:rPr>
        <w:t>（3）异议材料不完整的；</w:t>
      </w:r>
    </w:p>
    <w:p w14:paraId="337E569B">
      <w:pPr>
        <w:snapToGrid w:val="0"/>
        <w:spacing w:line="380" w:lineRule="exact"/>
        <w:rPr>
          <w:rFonts w:ascii="宋体" w:hAnsi="宋体"/>
          <w:sz w:val="24"/>
        </w:rPr>
      </w:pPr>
      <w:r>
        <w:rPr>
          <w:rFonts w:hint="eastAsia" w:ascii="宋体" w:hAnsi="宋体"/>
          <w:sz w:val="24"/>
        </w:rPr>
        <w:t>（4）异议事项含有主观猜测等内容且未提供有效线索、难以查证的；</w:t>
      </w:r>
    </w:p>
    <w:p w14:paraId="079529EF">
      <w:pPr>
        <w:snapToGrid w:val="0"/>
        <w:spacing w:line="380" w:lineRule="exact"/>
        <w:rPr>
          <w:rFonts w:ascii="宋体" w:hAnsi="宋体"/>
          <w:sz w:val="24"/>
        </w:rPr>
      </w:pPr>
      <w:r>
        <w:rPr>
          <w:rFonts w:hint="eastAsia" w:ascii="宋体" w:hAnsi="宋体"/>
          <w:sz w:val="24"/>
        </w:rPr>
        <w:t>（5）对其他投标人的投标文件详细内容异议，无法提供合法来源渠道的；</w:t>
      </w:r>
    </w:p>
    <w:p w14:paraId="4747FEF6">
      <w:pPr>
        <w:snapToGrid w:val="0"/>
        <w:spacing w:line="380" w:lineRule="exact"/>
        <w:rPr>
          <w:rFonts w:hint="eastAsia" w:ascii="宋体" w:hAnsi="宋体"/>
          <w:sz w:val="24"/>
        </w:rPr>
      </w:pPr>
      <w:r>
        <w:rPr>
          <w:rFonts w:hint="eastAsia" w:ascii="宋体" w:hAnsi="宋体"/>
          <w:sz w:val="24"/>
        </w:rPr>
        <w:t>（6）异议事项已进入投诉处理、行政复议或行政诉讼程序的。</w:t>
      </w:r>
    </w:p>
    <w:p w14:paraId="631E684A">
      <w:pPr>
        <w:snapToGrid w:val="0"/>
        <w:spacing w:line="400" w:lineRule="exact"/>
        <w:rPr>
          <w:rFonts w:ascii="宋体" w:hAnsi="宋体"/>
          <w:color w:val="FF0000"/>
          <w:sz w:val="24"/>
          <w:szCs w:val="22"/>
          <w:highlight w:val="yellow"/>
        </w:rPr>
      </w:pPr>
      <w:r>
        <w:rPr>
          <w:rFonts w:hint="eastAsia" w:ascii="宋体" w:hAnsi="宋体"/>
          <w:color w:val="FF0000"/>
          <w:sz w:val="24"/>
          <w:szCs w:val="22"/>
          <w:highlight w:val="yellow"/>
        </w:rPr>
        <w:t>7.2定标</w:t>
      </w:r>
    </w:p>
    <w:p w14:paraId="75C79647">
      <w:pPr>
        <w:snapToGrid w:val="0"/>
        <w:spacing w:line="400" w:lineRule="exact"/>
        <w:rPr>
          <w:rFonts w:ascii="宋体" w:hAnsi="宋体"/>
          <w:color w:val="FF0000"/>
          <w:sz w:val="24"/>
          <w:szCs w:val="22"/>
          <w:highlight w:val="yellow"/>
        </w:rPr>
      </w:pPr>
      <w:r>
        <w:rPr>
          <w:rFonts w:hint="eastAsia" w:ascii="宋体" w:hAnsi="宋体"/>
          <w:color w:val="FF0000"/>
          <w:sz w:val="24"/>
          <w:szCs w:val="22"/>
          <w:highlight w:val="yellow"/>
        </w:rPr>
        <w:t>7.2.1定标委员会按规定组建。定标工作由组建的定标委员会负责，定标委员会成员为 5 人及以上的单数。定标委员会主任负责组织定标等工作，定标委员会成员对所提出的意见承担责任。</w:t>
      </w:r>
    </w:p>
    <w:p w14:paraId="3D24B1F9">
      <w:pPr>
        <w:snapToGrid w:val="0"/>
        <w:spacing w:line="400" w:lineRule="exact"/>
        <w:rPr>
          <w:rFonts w:ascii="宋体" w:hAnsi="宋体"/>
          <w:color w:val="FF0000"/>
          <w:sz w:val="24"/>
          <w:szCs w:val="22"/>
          <w:highlight w:val="yellow"/>
        </w:rPr>
      </w:pPr>
      <w:r>
        <w:rPr>
          <w:rFonts w:hint="eastAsia" w:ascii="宋体" w:hAnsi="宋体"/>
          <w:color w:val="FF0000"/>
          <w:sz w:val="24"/>
          <w:szCs w:val="22"/>
          <w:highlight w:val="yellow"/>
        </w:rPr>
        <w:t>7.2.2招标人自定标候选人公示结束后5个工作日内组织定标会议。如因招标文件约定或其他特殊原因，定标会议时间可以适当延期，但不得超过投标有效期。</w:t>
      </w:r>
    </w:p>
    <w:p w14:paraId="2D9174E3">
      <w:pPr>
        <w:snapToGrid w:val="0"/>
        <w:spacing w:line="400" w:lineRule="exact"/>
        <w:rPr>
          <w:rFonts w:ascii="宋体" w:hAnsi="宋体"/>
          <w:color w:val="FF0000"/>
          <w:sz w:val="24"/>
          <w:szCs w:val="22"/>
          <w:highlight w:val="yellow"/>
        </w:rPr>
      </w:pPr>
      <w:r>
        <w:rPr>
          <w:rFonts w:hint="eastAsia" w:ascii="宋体" w:hAnsi="宋体"/>
          <w:color w:val="FF0000"/>
          <w:sz w:val="24"/>
          <w:szCs w:val="22"/>
          <w:highlight w:val="yellow"/>
        </w:rPr>
        <w:t>7.2.3按照投标人须知前附表的规定，招标人或招标人授权的评标委员会依法确定中标人。中标人出现放弃中标、不按照招标文件要求提交履约保证金，或者被查实存在影响中标结果的违法行为等情形，市公管局应当依法予以处理，招标人可以从余下的定标候选人中重新组织定标活动，也可以重新组织招标。</w:t>
      </w:r>
    </w:p>
    <w:p w14:paraId="5F9BEF65">
      <w:pPr>
        <w:snapToGrid w:val="0"/>
        <w:spacing w:line="400" w:lineRule="exact"/>
        <w:rPr>
          <w:rFonts w:ascii="宋体" w:hAnsi="宋体"/>
          <w:color w:val="FF0000"/>
          <w:sz w:val="24"/>
          <w:szCs w:val="22"/>
          <w:highlight w:val="yellow"/>
        </w:rPr>
      </w:pPr>
      <w:r>
        <w:rPr>
          <w:rFonts w:hint="eastAsia" w:ascii="宋体" w:hAnsi="宋体"/>
          <w:color w:val="FF0000"/>
          <w:sz w:val="24"/>
          <w:szCs w:val="22"/>
          <w:highlight w:val="yellow"/>
        </w:rPr>
        <w:t>7.2.4</w:t>
      </w:r>
      <w:r>
        <w:rPr>
          <w:rFonts w:hint="eastAsia" w:ascii="宋体" w:hAnsi="宋体" w:cs="宋体"/>
          <w:color w:val="FF0000"/>
          <w:kern w:val="0"/>
          <w:sz w:val="24"/>
          <w:highlight w:val="yellow"/>
        </w:rPr>
        <w:t>定标候选人</w:t>
      </w:r>
      <w:r>
        <w:rPr>
          <w:rFonts w:hint="eastAsia" w:ascii="宋体" w:hAnsi="宋体"/>
          <w:color w:val="FF0000"/>
          <w:sz w:val="24"/>
          <w:highlight w:val="yellow"/>
        </w:rPr>
        <w:t>公示期间，因异议或投诉等原因导致</w:t>
      </w:r>
      <w:r>
        <w:rPr>
          <w:rFonts w:hint="eastAsia" w:ascii="宋体" w:hAnsi="宋体" w:cs="宋体"/>
          <w:color w:val="FF0000"/>
          <w:kern w:val="0"/>
          <w:sz w:val="24"/>
          <w:highlight w:val="yellow"/>
        </w:rPr>
        <w:t>定标候选人</w:t>
      </w:r>
      <w:r>
        <w:rPr>
          <w:rFonts w:hint="eastAsia" w:ascii="宋体" w:hAnsi="宋体"/>
          <w:color w:val="FF0000"/>
          <w:sz w:val="24"/>
          <w:highlight w:val="yellow"/>
        </w:rPr>
        <w:t>少于3名时，招标人应当从以下后续处理方式中选择一种，具体为：</w:t>
      </w:r>
    </w:p>
    <w:p w14:paraId="60C1DFA3">
      <w:pPr>
        <w:snapToGrid w:val="0"/>
        <w:spacing w:line="400" w:lineRule="exact"/>
        <w:rPr>
          <w:rFonts w:ascii="宋体" w:hAnsi="宋体"/>
          <w:color w:val="FF0000"/>
          <w:sz w:val="24"/>
          <w:szCs w:val="22"/>
          <w:highlight w:val="yellow"/>
        </w:rPr>
      </w:pPr>
      <w:r>
        <w:rPr>
          <w:rFonts w:hint="eastAsia" w:ascii="宋体" w:hAnsi="宋体"/>
          <w:color w:val="FF0000"/>
          <w:sz w:val="24"/>
          <w:szCs w:val="22"/>
          <w:highlight w:val="yellow"/>
        </w:rPr>
        <w:t>（1） 继续定标</w:t>
      </w:r>
      <w:r>
        <w:rPr>
          <w:rFonts w:hint="eastAsia" w:ascii="宋体" w:hAnsi="宋体"/>
          <w:color w:val="FF0000"/>
          <w:sz w:val="24"/>
          <w:highlight w:val="yellow"/>
        </w:rPr>
        <w:t>（仅剩1名情形除外）</w:t>
      </w:r>
      <w:r>
        <w:rPr>
          <w:rFonts w:hint="eastAsia" w:ascii="宋体" w:hAnsi="宋体"/>
          <w:color w:val="FF0000"/>
          <w:sz w:val="24"/>
          <w:szCs w:val="22"/>
          <w:highlight w:val="yellow"/>
        </w:rPr>
        <w:t>；</w:t>
      </w:r>
    </w:p>
    <w:p w14:paraId="0A054B91">
      <w:pPr>
        <w:snapToGrid w:val="0"/>
        <w:spacing w:line="400" w:lineRule="exact"/>
      </w:pPr>
      <w:r>
        <w:rPr>
          <w:rFonts w:hint="eastAsia" w:ascii="宋体" w:hAnsi="宋体"/>
          <w:color w:val="FF0000"/>
          <w:sz w:val="24"/>
          <w:szCs w:val="22"/>
          <w:highlight w:val="yellow"/>
        </w:rPr>
        <w:t>（2） 重新招标。</w:t>
      </w:r>
    </w:p>
    <w:p w14:paraId="331C772B">
      <w:pPr>
        <w:snapToGrid w:val="0"/>
        <w:spacing w:line="380" w:lineRule="exact"/>
        <w:rPr>
          <w:rFonts w:ascii="宋体" w:hAnsi="宋体"/>
          <w:sz w:val="24"/>
        </w:rPr>
      </w:pPr>
      <w:r>
        <w:rPr>
          <w:rFonts w:hint="eastAsia" w:ascii="宋体" w:hAnsi="宋体"/>
          <w:sz w:val="24"/>
        </w:rPr>
        <w:t>7.3中标通知</w:t>
      </w:r>
    </w:p>
    <w:p w14:paraId="0B4C673D">
      <w:pPr>
        <w:snapToGrid w:val="0"/>
        <w:spacing w:line="380" w:lineRule="exact"/>
        <w:rPr>
          <w:rFonts w:ascii="宋体" w:hAnsi="宋体"/>
          <w:sz w:val="24"/>
        </w:rPr>
      </w:pPr>
      <w:r>
        <w:rPr>
          <w:rFonts w:hint="eastAsia" w:ascii="宋体" w:hAnsi="宋体"/>
          <w:sz w:val="24"/>
        </w:rPr>
        <w:t>7.3.1</w:t>
      </w:r>
      <w:r>
        <w:rPr>
          <w:rFonts w:ascii="宋体" w:hAnsi="宋体" w:cs="宋体"/>
          <w:kern w:val="0"/>
          <w:sz w:val="24"/>
        </w:rPr>
        <w:t>招标人</w:t>
      </w:r>
      <w:r>
        <w:rPr>
          <w:rFonts w:hint="eastAsia" w:ascii="宋体" w:hAnsi="宋体" w:cs="宋体"/>
          <w:kern w:val="0"/>
          <w:sz w:val="24"/>
        </w:rPr>
        <w:t>收到评标报告之日起3日内，</w:t>
      </w:r>
      <w:r>
        <w:rPr>
          <w:rFonts w:hint="eastAsia" w:ascii="宋体" w:hAnsi="宋体"/>
          <w:sz w:val="24"/>
        </w:rPr>
        <w:t>应将</w:t>
      </w:r>
      <w:r>
        <w:rPr>
          <w:rFonts w:hint="eastAsia" w:ascii="宋体" w:hAnsi="宋体"/>
          <w:sz w:val="24"/>
          <w:highlight w:val="yellow"/>
          <w:lang w:val="en-US" w:eastAsia="zh-CN"/>
        </w:rPr>
        <w:t>定</w:t>
      </w:r>
      <w:r>
        <w:rPr>
          <w:rFonts w:hint="eastAsia" w:ascii="宋体" w:hAnsi="宋体"/>
          <w:sz w:val="24"/>
        </w:rPr>
        <w:t>标候选人的情况在该工程监理项目招标公告发布的同一信息网络予以公示，</w:t>
      </w:r>
      <w:r>
        <w:rPr>
          <w:rFonts w:ascii="宋体" w:hAnsi="宋体" w:cs="宋体"/>
          <w:kern w:val="0"/>
          <w:sz w:val="24"/>
        </w:rPr>
        <w:t>公示期为公示发布次日起3日（如公示第三日为双休日或节假日，则顺延至双休日或节假日后第一个工作日）</w:t>
      </w:r>
      <w:r>
        <w:rPr>
          <w:rFonts w:hint="eastAsia" w:ascii="宋体" w:hAnsi="宋体"/>
          <w:sz w:val="24"/>
        </w:rPr>
        <w:t>。</w:t>
      </w:r>
    </w:p>
    <w:p w14:paraId="1480EF18">
      <w:pPr>
        <w:snapToGrid w:val="0"/>
        <w:spacing w:line="400" w:lineRule="exact"/>
        <w:rPr>
          <w:rFonts w:ascii="宋体" w:hAnsi="宋体"/>
          <w:color w:val="FF0000"/>
          <w:sz w:val="24"/>
          <w:szCs w:val="22"/>
        </w:rPr>
      </w:pPr>
      <w:r>
        <w:rPr>
          <w:rFonts w:hint="eastAsia" w:ascii="宋体" w:hAnsi="宋体"/>
          <w:sz w:val="24"/>
          <w:highlight w:val="yellow"/>
        </w:rPr>
        <w:t>7.3.2</w:t>
      </w:r>
      <w:r>
        <w:rPr>
          <w:rFonts w:hint="eastAsia" w:ascii="宋体" w:hAnsi="宋体"/>
          <w:color w:val="FF0000"/>
          <w:sz w:val="24"/>
          <w:szCs w:val="22"/>
          <w:highlight w:val="yellow"/>
        </w:rPr>
        <w:t>中标人公告发布后，中标人须将“投标人须知前附表”中规定的相关材料原件提交至招标人核验，招标人核验后向中标人发放中标通知书。</w:t>
      </w:r>
    </w:p>
    <w:p w14:paraId="5DB1783E">
      <w:pPr>
        <w:snapToGrid w:val="0"/>
        <w:spacing w:line="380" w:lineRule="exact"/>
        <w:rPr>
          <w:rFonts w:ascii="宋体" w:hAnsi="宋体"/>
          <w:sz w:val="24"/>
        </w:rPr>
      </w:pPr>
      <w:r>
        <w:rPr>
          <w:rFonts w:hint="eastAsia" w:ascii="宋体" w:hAnsi="宋体"/>
          <w:sz w:val="24"/>
        </w:rPr>
        <w:t>7.4履约担保与约谈</w:t>
      </w:r>
    </w:p>
    <w:p w14:paraId="4C7AAA57">
      <w:pPr>
        <w:snapToGrid w:val="0"/>
        <w:spacing w:line="380" w:lineRule="exact"/>
        <w:rPr>
          <w:rFonts w:ascii="宋体" w:hAnsi="宋体"/>
          <w:sz w:val="24"/>
        </w:rPr>
      </w:pPr>
      <w:r>
        <w:rPr>
          <w:rFonts w:hint="eastAsia" w:ascii="宋体" w:hAnsi="宋体"/>
          <w:sz w:val="24"/>
        </w:rPr>
        <w:t>7.4.1</w:t>
      </w:r>
      <w:r>
        <w:rPr>
          <w:rFonts w:hint="eastAsia" w:ascii="宋体" w:hAnsi="宋体"/>
          <w:color w:val="000000"/>
          <w:sz w:val="24"/>
        </w:rPr>
        <w:t>中标公示后如无争议，中标人须在签订合同前将履约保证金汇入招标人指定的银行账户或提供等值的符合国家法律法规的保函，否则视为放弃中标。</w:t>
      </w:r>
    </w:p>
    <w:p w14:paraId="219B8E20">
      <w:pPr>
        <w:snapToGrid w:val="0"/>
        <w:spacing w:line="380" w:lineRule="exact"/>
        <w:rPr>
          <w:rFonts w:ascii="宋体" w:hAnsi="宋体"/>
          <w:sz w:val="24"/>
        </w:rPr>
      </w:pPr>
      <w:r>
        <w:rPr>
          <w:rFonts w:hint="eastAsia" w:ascii="宋体" w:hAnsi="宋体"/>
          <w:sz w:val="24"/>
        </w:rPr>
        <w:t>7.4.2中标人不能按要求提交履约担保的，视为放弃中标，其投标保证金不予退还，给招标人造成的损失超过投标保证金数额的，中标人还应当对超过部分予以赔偿。</w:t>
      </w:r>
    </w:p>
    <w:p w14:paraId="3762CEE1">
      <w:pPr>
        <w:snapToGrid w:val="0"/>
        <w:spacing w:line="380" w:lineRule="exact"/>
        <w:rPr>
          <w:rFonts w:ascii="宋体" w:hAnsi="宋体"/>
          <w:sz w:val="24"/>
        </w:rPr>
      </w:pPr>
      <w:r>
        <w:rPr>
          <w:rFonts w:hint="eastAsia" w:ascii="宋体" w:hAnsi="宋体"/>
          <w:sz w:val="24"/>
        </w:rPr>
        <w:t>7.4.3</w:t>
      </w:r>
      <w:r>
        <w:rPr>
          <w:rFonts w:hint="eastAsia" w:ascii="宋体" w:hAnsi="宋体"/>
          <w:color w:val="000000"/>
          <w:sz w:val="24"/>
        </w:rPr>
        <w:t>按规定属约谈的工程，中标后须进行约谈。参加约谈的人员须是中标单位副总经理以上（含副总经理）领导及中标项目总监理工程师。</w:t>
      </w:r>
    </w:p>
    <w:p w14:paraId="13627CEF">
      <w:pPr>
        <w:snapToGrid w:val="0"/>
        <w:spacing w:line="380" w:lineRule="exact"/>
        <w:rPr>
          <w:rFonts w:ascii="宋体" w:hAnsi="宋体"/>
          <w:sz w:val="24"/>
        </w:rPr>
      </w:pPr>
      <w:r>
        <w:rPr>
          <w:rFonts w:hint="eastAsia" w:ascii="宋体" w:hAnsi="宋体"/>
          <w:sz w:val="24"/>
        </w:rPr>
        <w:t>7.5签订合同</w:t>
      </w:r>
    </w:p>
    <w:p w14:paraId="7AA9847A">
      <w:pPr>
        <w:snapToGrid w:val="0"/>
        <w:spacing w:line="380" w:lineRule="exact"/>
        <w:rPr>
          <w:rFonts w:ascii="宋体" w:hAnsi="宋体"/>
          <w:sz w:val="24"/>
        </w:rPr>
      </w:pPr>
      <w:r>
        <w:rPr>
          <w:rFonts w:hint="eastAsia" w:ascii="宋体" w:hAnsi="宋体"/>
          <w:sz w:val="24"/>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A5FDE53">
      <w:pPr>
        <w:snapToGrid w:val="0"/>
        <w:spacing w:line="380" w:lineRule="exact"/>
        <w:rPr>
          <w:rFonts w:ascii="宋体" w:hAnsi="宋体"/>
          <w:sz w:val="24"/>
        </w:rPr>
      </w:pPr>
      <w:r>
        <w:rPr>
          <w:rFonts w:hint="eastAsia" w:ascii="宋体" w:hAnsi="宋体"/>
          <w:sz w:val="24"/>
        </w:rPr>
        <w:t>7.5.2发出中标通知书后，招标人无正当理由拒签合同的，招标人向中标人退还投标保证金；给中标人造成损失，还应当赔偿损失。</w:t>
      </w:r>
    </w:p>
    <w:p w14:paraId="586467BA">
      <w:pPr>
        <w:snapToGrid w:val="0"/>
        <w:spacing w:line="380" w:lineRule="exact"/>
        <w:rPr>
          <w:rFonts w:ascii="宋体" w:hAnsi="宋体"/>
          <w:sz w:val="24"/>
        </w:rPr>
      </w:pPr>
      <w:r>
        <w:rPr>
          <w:rFonts w:hint="eastAsia" w:ascii="宋体" w:hAnsi="宋体"/>
          <w:sz w:val="24"/>
        </w:rPr>
        <w:t>8.重新招标和不再招标</w:t>
      </w:r>
    </w:p>
    <w:p w14:paraId="31234449">
      <w:pPr>
        <w:snapToGrid w:val="0"/>
        <w:spacing w:line="380" w:lineRule="exact"/>
        <w:rPr>
          <w:rFonts w:ascii="宋体" w:hAnsi="宋体"/>
          <w:sz w:val="24"/>
        </w:rPr>
      </w:pPr>
      <w:r>
        <w:rPr>
          <w:rFonts w:hint="eastAsia" w:ascii="宋体" w:hAnsi="宋体"/>
          <w:sz w:val="24"/>
        </w:rPr>
        <w:t>8.1重新招标</w:t>
      </w:r>
    </w:p>
    <w:p w14:paraId="298D7E95">
      <w:pPr>
        <w:snapToGrid w:val="0"/>
        <w:spacing w:line="380" w:lineRule="exact"/>
        <w:rPr>
          <w:rFonts w:ascii="宋体" w:hAnsi="宋体"/>
          <w:sz w:val="24"/>
        </w:rPr>
      </w:pPr>
      <w:r>
        <w:rPr>
          <w:rFonts w:hint="eastAsia" w:ascii="宋体" w:hAnsi="宋体"/>
          <w:sz w:val="24"/>
        </w:rPr>
        <w:t>有下列情形之一的，招标人将重新招标：</w:t>
      </w:r>
    </w:p>
    <w:p w14:paraId="3AB99155">
      <w:pPr>
        <w:snapToGrid w:val="0"/>
        <w:spacing w:line="380" w:lineRule="exact"/>
        <w:rPr>
          <w:rFonts w:ascii="宋体" w:hAnsi="宋体"/>
          <w:sz w:val="24"/>
        </w:rPr>
      </w:pPr>
      <w:r>
        <w:rPr>
          <w:rFonts w:hint="eastAsia" w:ascii="宋体" w:hAnsi="宋体"/>
          <w:sz w:val="24"/>
        </w:rPr>
        <w:t>（1）投标截止时间止，投标人少于3</w:t>
      </w:r>
      <w:r>
        <w:rPr>
          <w:rFonts w:hint="eastAsia" w:ascii="宋体" w:hAnsi="宋体"/>
          <w:color w:val="000000"/>
          <w:sz w:val="24"/>
        </w:rPr>
        <w:t>个的；</w:t>
      </w:r>
    </w:p>
    <w:p w14:paraId="627703EF">
      <w:pPr>
        <w:snapToGrid w:val="0"/>
        <w:spacing w:line="380" w:lineRule="exact"/>
        <w:rPr>
          <w:rFonts w:ascii="宋体" w:hAnsi="宋体"/>
          <w:sz w:val="24"/>
        </w:rPr>
      </w:pPr>
      <w:r>
        <w:rPr>
          <w:rFonts w:hint="eastAsia" w:ascii="宋体" w:hAnsi="宋体"/>
          <w:sz w:val="24"/>
        </w:rPr>
        <w:t>（2）经评标委员会评审后否决所有投标的。</w:t>
      </w:r>
    </w:p>
    <w:p w14:paraId="06F63DE6">
      <w:pPr>
        <w:snapToGrid w:val="0"/>
        <w:spacing w:line="380" w:lineRule="exact"/>
        <w:rPr>
          <w:rFonts w:ascii="宋体" w:hAnsi="宋体"/>
          <w:sz w:val="24"/>
        </w:rPr>
      </w:pPr>
      <w:r>
        <w:rPr>
          <w:rFonts w:hint="eastAsia" w:ascii="宋体" w:hAnsi="宋体"/>
          <w:sz w:val="24"/>
        </w:rPr>
        <w:t>8.2不再招标</w:t>
      </w:r>
    </w:p>
    <w:p w14:paraId="5AB48180">
      <w:pPr>
        <w:snapToGrid w:val="0"/>
        <w:spacing w:line="380" w:lineRule="exact"/>
        <w:rPr>
          <w:rFonts w:ascii="宋体" w:hAnsi="宋体"/>
          <w:sz w:val="24"/>
        </w:rPr>
      </w:pPr>
      <w:r>
        <w:rPr>
          <w:rFonts w:hint="eastAsia" w:ascii="宋体" w:hAnsi="宋体"/>
          <w:sz w:val="24"/>
        </w:rPr>
        <w:t>重新招标后投标人仍少于3个，属于必须审批或核准的工程建设项目，经原审批或核准部门批准后不再进行招标。</w:t>
      </w:r>
    </w:p>
    <w:p w14:paraId="25056621">
      <w:pPr>
        <w:snapToGrid w:val="0"/>
        <w:spacing w:line="380" w:lineRule="exact"/>
        <w:rPr>
          <w:rFonts w:ascii="宋体" w:hAnsi="宋体"/>
          <w:sz w:val="24"/>
        </w:rPr>
      </w:pPr>
      <w:r>
        <w:rPr>
          <w:rFonts w:hint="eastAsia" w:ascii="宋体" w:hAnsi="宋体"/>
          <w:sz w:val="24"/>
        </w:rPr>
        <w:t>9.纪律和监督</w:t>
      </w:r>
    </w:p>
    <w:p w14:paraId="7CDD7A49">
      <w:pPr>
        <w:snapToGrid w:val="0"/>
        <w:spacing w:line="380" w:lineRule="exact"/>
        <w:rPr>
          <w:rFonts w:ascii="宋体" w:hAnsi="宋体"/>
          <w:sz w:val="24"/>
        </w:rPr>
      </w:pPr>
      <w:r>
        <w:rPr>
          <w:rFonts w:hint="eastAsia" w:ascii="宋体" w:hAnsi="宋体"/>
          <w:sz w:val="24"/>
        </w:rPr>
        <w:t>9.1对招标人的纪律要求</w:t>
      </w:r>
    </w:p>
    <w:p w14:paraId="5943669A">
      <w:pPr>
        <w:snapToGrid w:val="0"/>
        <w:spacing w:line="380" w:lineRule="exact"/>
        <w:rPr>
          <w:rFonts w:ascii="宋体" w:hAnsi="宋体"/>
          <w:sz w:val="24"/>
        </w:rPr>
      </w:pPr>
      <w:r>
        <w:rPr>
          <w:rFonts w:hint="eastAsia" w:ascii="宋体" w:hAnsi="宋体"/>
          <w:sz w:val="24"/>
        </w:rPr>
        <w:t>招标人不得泄露招标投标活动中应当保密的情况和资料，不得与投标人串通损害国家利益、社会公共利益或者他人合法权益。</w:t>
      </w:r>
    </w:p>
    <w:p w14:paraId="24BB2E80">
      <w:pPr>
        <w:snapToGrid w:val="0"/>
        <w:spacing w:line="380" w:lineRule="exact"/>
        <w:rPr>
          <w:rFonts w:ascii="宋体" w:hAnsi="宋体"/>
          <w:sz w:val="24"/>
        </w:rPr>
      </w:pPr>
      <w:r>
        <w:rPr>
          <w:rFonts w:hint="eastAsia" w:ascii="宋体" w:hAnsi="宋体"/>
          <w:sz w:val="24"/>
        </w:rPr>
        <w:t>9.2对投标人的纪律要求</w:t>
      </w:r>
    </w:p>
    <w:p w14:paraId="6550A381">
      <w:pPr>
        <w:snapToGrid w:val="0"/>
        <w:spacing w:line="380" w:lineRule="exact"/>
        <w:rPr>
          <w:rFonts w:ascii="宋体" w:hAnsi="宋体"/>
          <w:sz w:val="24"/>
        </w:rPr>
      </w:pPr>
      <w:r>
        <w:rPr>
          <w:rFonts w:hint="eastAsia" w:ascii="宋体" w:hAnsi="宋体"/>
          <w:sz w:val="24"/>
        </w:rPr>
        <w:t>投标人不得相互串通投标或与招标人串通投标，不得向招标人或者评标委员会成员行贿谋取中标，不得以他人名义投标或以其他方式弄虚作假骗取中标；投标人不得以任何方式干扰、影响评标工作。</w:t>
      </w:r>
    </w:p>
    <w:p w14:paraId="60A64C5E">
      <w:pPr>
        <w:snapToGrid w:val="0"/>
        <w:spacing w:line="360" w:lineRule="exact"/>
        <w:rPr>
          <w:rFonts w:ascii="宋体" w:hAnsi="宋体"/>
          <w:sz w:val="24"/>
        </w:rPr>
      </w:pPr>
      <w:r>
        <w:rPr>
          <w:rFonts w:hint="eastAsia" w:ascii="宋体" w:hAnsi="宋体"/>
          <w:sz w:val="24"/>
        </w:rPr>
        <w:t>9.3对评</w:t>
      </w:r>
      <w:r>
        <w:rPr>
          <w:rFonts w:hint="eastAsia" w:ascii="宋体" w:hAnsi="宋体"/>
          <w:sz w:val="24"/>
          <w:highlight w:val="yellow"/>
        </w:rPr>
        <w:t>（定）</w:t>
      </w:r>
      <w:r>
        <w:rPr>
          <w:rFonts w:hint="eastAsia" w:ascii="宋体" w:hAnsi="宋体"/>
          <w:sz w:val="24"/>
        </w:rPr>
        <w:t>标委员会成员的纪律要求</w:t>
      </w:r>
    </w:p>
    <w:p w14:paraId="7BF52E66">
      <w:pPr>
        <w:snapToGrid w:val="0"/>
        <w:spacing w:line="360" w:lineRule="exact"/>
        <w:rPr>
          <w:rFonts w:ascii="宋体" w:hAnsi="宋体"/>
          <w:sz w:val="24"/>
        </w:rPr>
      </w:pPr>
      <w:r>
        <w:rPr>
          <w:rFonts w:hint="eastAsia" w:ascii="宋体" w:hAnsi="宋体"/>
          <w:sz w:val="24"/>
        </w:rPr>
        <w:t>评</w:t>
      </w:r>
      <w:r>
        <w:rPr>
          <w:rFonts w:hint="eastAsia" w:ascii="宋体" w:hAnsi="宋体"/>
          <w:sz w:val="24"/>
          <w:highlight w:val="yellow"/>
        </w:rPr>
        <w:t>（定）</w:t>
      </w:r>
      <w:r>
        <w:rPr>
          <w:rFonts w:hint="eastAsia" w:ascii="宋体" w:hAnsi="宋体"/>
          <w:sz w:val="24"/>
        </w:rPr>
        <w:t>标委员会成员不得收受他人的财物或者其他好处，不得向他人透漏对投标文件的评审和比较、</w:t>
      </w:r>
      <w:r>
        <w:rPr>
          <w:rFonts w:hint="eastAsia" w:ascii="宋体" w:hAnsi="宋体"/>
          <w:color w:val="FF0000"/>
          <w:sz w:val="24"/>
          <w:highlight w:val="yellow"/>
        </w:rPr>
        <w:t>定（中）标候选人</w:t>
      </w:r>
      <w:r>
        <w:rPr>
          <w:rFonts w:hint="eastAsia" w:ascii="宋体" w:hAnsi="宋体"/>
          <w:sz w:val="24"/>
          <w:highlight w:val="yellow"/>
        </w:rPr>
        <w:t>的</w:t>
      </w:r>
      <w:r>
        <w:rPr>
          <w:rFonts w:hint="eastAsia" w:ascii="宋体" w:hAnsi="宋体"/>
          <w:sz w:val="24"/>
        </w:rPr>
        <w:t>推荐情况以及评（定）标有关的其他情况。在评（定）标活动中，评（定）标委员会成员不得擅离职守，影响评（定）标程序正常进行，不得使用第七章“评标及定标办法”没有规定的评审因素和标准进行评（定）标。</w:t>
      </w:r>
    </w:p>
    <w:p w14:paraId="32ADEB74">
      <w:pPr>
        <w:snapToGrid w:val="0"/>
        <w:spacing w:line="360" w:lineRule="exact"/>
        <w:rPr>
          <w:rFonts w:ascii="宋体" w:hAnsi="宋体"/>
          <w:sz w:val="24"/>
        </w:rPr>
      </w:pPr>
      <w:r>
        <w:rPr>
          <w:rFonts w:hint="eastAsia" w:ascii="宋体" w:hAnsi="宋体"/>
          <w:sz w:val="24"/>
        </w:rPr>
        <w:t>9.4对与</w:t>
      </w:r>
      <w:r>
        <w:rPr>
          <w:rFonts w:hint="eastAsia" w:ascii="宋体" w:hAnsi="宋体"/>
          <w:sz w:val="24"/>
          <w:highlight w:val="yellow"/>
        </w:rPr>
        <w:t>评（定）标</w:t>
      </w:r>
      <w:r>
        <w:rPr>
          <w:rFonts w:hint="eastAsia" w:ascii="宋体" w:hAnsi="宋体"/>
          <w:sz w:val="24"/>
        </w:rPr>
        <w:t>活动有关的工作人员的纪律要求</w:t>
      </w:r>
    </w:p>
    <w:p w14:paraId="57FB0B99">
      <w:pPr>
        <w:snapToGrid w:val="0"/>
        <w:spacing w:line="360" w:lineRule="exact"/>
        <w:rPr>
          <w:rFonts w:ascii="宋体" w:hAnsi="宋体"/>
          <w:sz w:val="24"/>
        </w:rPr>
      </w:pPr>
      <w:r>
        <w:rPr>
          <w:rFonts w:hint="eastAsia" w:ascii="宋体" w:hAnsi="宋体"/>
          <w:sz w:val="24"/>
        </w:rPr>
        <w:t>与评（定）标活动有关的工作人员不得收受他人的财物或者其他好处，不得向他人透漏对投标文件的评审和比较、定标（中标）候选人的推荐情况以及评（定）标有关的其他情况。在评（定）标活动中，与评（定）标活动有关的工作人员不得擅离职守，影响</w:t>
      </w:r>
      <w:r>
        <w:rPr>
          <w:rFonts w:hint="eastAsia" w:ascii="宋体" w:hAnsi="宋体"/>
          <w:sz w:val="24"/>
          <w:highlight w:val="yellow"/>
        </w:rPr>
        <w:t>评（定）</w:t>
      </w:r>
      <w:r>
        <w:rPr>
          <w:rFonts w:hint="eastAsia" w:ascii="宋体" w:hAnsi="宋体"/>
          <w:sz w:val="24"/>
        </w:rPr>
        <w:t>标程序正常进行。</w:t>
      </w:r>
    </w:p>
    <w:p w14:paraId="5610A9C9">
      <w:pPr>
        <w:snapToGrid w:val="0"/>
        <w:spacing w:line="380" w:lineRule="exact"/>
        <w:rPr>
          <w:rFonts w:ascii="宋体" w:hAnsi="宋体"/>
          <w:sz w:val="24"/>
        </w:rPr>
      </w:pPr>
      <w:r>
        <w:rPr>
          <w:rFonts w:hint="eastAsia" w:ascii="宋体" w:hAnsi="宋体"/>
          <w:sz w:val="24"/>
        </w:rPr>
        <w:t>9.5投诉</w:t>
      </w:r>
    </w:p>
    <w:p w14:paraId="7906BDA9">
      <w:pPr>
        <w:snapToGrid w:val="0"/>
        <w:spacing w:line="380" w:lineRule="exact"/>
        <w:rPr>
          <w:rFonts w:ascii="宋体" w:hAnsi="宋体"/>
          <w:sz w:val="24"/>
        </w:rPr>
      </w:pPr>
      <w:r>
        <w:rPr>
          <w:rFonts w:hint="eastAsia" w:ascii="宋体" w:hAnsi="宋体"/>
          <w:sz w:val="24"/>
        </w:rPr>
        <w:t>投标人和其他利害关系人认为本次招标活动违反法律、法规和规章规定的，有权按规定程序向有关行政监督部门投诉。</w:t>
      </w:r>
    </w:p>
    <w:p w14:paraId="56FFDB44">
      <w:pPr>
        <w:snapToGrid w:val="0"/>
        <w:spacing w:line="380" w:lineRule="exact"/>
        <w:rPr>
          <w:rFonts w:ascii="宋体" w:hAnsi="宋体"/>
          <w:sz w:val="24"/>
        </w:rPr>
      </w:pPr>
      <w:r>
        <w:rPr>
          <w:rFonts w:hint="eastAsia" w:ascii="宋体" w:hAnsi="宋体"/>
          <w:sz w:val="24"/>
        </w:rPr>
        <w:t>10.需要补充的其他内容</w:t>
      </w:r>
    </w:p>
    <w:p w14:paraId="265928C2">
      <w:pPr>
        <w:snapToGrid w:val="0"/>
        <w:spacing w:line="380" w:lineRule="exact"/>
        <w:rPr>
          <w:rFonts w:ascii="宋体" w:hAnsi="宋体"/>
          <w:sz w:val="24"/>
        </w:rPr>
      </w:pPr>
      <w:r>
        <w:rPr>
          <w:rFonts w:hint="eastAsia" w:ascii="宋体" w:hAnsi="宋体"/>
          <w:sz w:val="24"/>
        </w:rPr>
        <w:t>需要补充的其他内容：见投标人须知前附表。</w:t>
      </w:r>
    </w:p>
    <w:p w14:paraId="00E672E6">
      <w:pPr>
        <w:pStyle w:val="19"/>
        <w:tabs>
          <w:tab w:val="left" w:pos="312"/>
        </w:tabs>
        <w:spacing w:line="380" w:lineRule="exact"/>
        <w:rPr>
          <w:rFonts w:hAnsi="宋体"/>
          <w:color w:val="000000"/>
          <w:sz w:val="24"/>
          <w:szCs w:val="24"/>
        </w:rPr>
      </w:pPr>
      <w:r>
        <w:rPr>
          <w:rFonts w:hint="eastAsia" w:hAnsi="宋体"/>
          <w:color w:val="000000"/>
          <w:sz w:val="24"/>
          <w:szCs w:val="24"/>
        </w:rPr>
        <w:t>11.本招标文件最终解释权属于招标人。</w:t>
      </w:r>
    </w:p>
    <w:p w14:paraId="3FC55A13">
      <w:pPr>
        <w:pStyle w:val="19"/>
        <w:spacing w:line="400" w:lineRule="exact"/>
        <w:rPr>
          <w:rFonts w:hAnsi="宋体"/>
          <w:color w:val="000000"/>
          <w:sz w:val="24"/>
          <w:szCs w:val="24"/>
        </w:rPr>
      </w:pPr>
    </w:p>
    <w:p w14:paraId="48880C81">
      <w:pPr>
        <w:pStyle w:val="3"/>
        <w:numPr>
          <w:ilvl w:val="0"/>
          <w:numId w:val="0"/>
        </w:numPr>
      </w:pPr>
      <w:bookmarkStart w:id="20" w:name="_Toc296868042"/>
      <w:bookmarkStart w:id="21" w:name="_Toc303330305"/>
      <w:bookmarkStart w:id="22" w:name="_Toc84868039"/>
      <w:bookmarkStart w:id="23" w:name="_Toc303220560"/>
      <w:r>
        <w:br w:type="page"/>
      </w:r>
      <w:bookmarkEnd w:id="20"/>
      <w:bookmarkEnd w:id="21"/>
      <w:bookmarkEnd w:id="22"/>
      <w:bookmarkEnd w:id="23"/>
      <w:r>
        <w:rPr>
          <w:rFonts w:hint="eastAsia"/>
        </w:rPr>
        <w:t xml:space="preserve">第三章  </w:t>
      </w:r>
      <w:bookmarkStart w:id="24" w:name="建设工程委托监理合同"/>
      <w:r>
        <w:rPr>
          <w:rFonts w:hint="eastAsia"/>
        </w:rPr>
        <w:t>委托监理合同</w:t>
      </w:r>
      <w:bookmarkEnd w:id="24"/>
    </w:p>
    <w:p w14:paraId="70831194">
      <w:pPr>
        <w:tabs>
          <w:tab w:val="left" w:pos="3120"/>
        </w:tabs>
        <w:spacing w:line="360" w:lineRule="auto"/>
        <w:jc w:val="center"/>
        <w:rPr>
          <w:rFonts w:ascii="宋体" w:hAnsi="宋体"/>
          <w:bCs/>
          <w:color w:val="000000"/>
          <w:sz w:val="36"/>
          <w:szCs w:val="36"/>
        </w:rPr>
      </w:pPr>
    </w:p>
    <w:p w14:paraId="48C504CF">
      <w:pPr>
        <w:tabs>
          <w:tab w:val="left" w:pos="3120"/>
        </w:tabs>
        <w:spacing w:line="360" w:lineRule="auto"/>
        <w:jc w:val="center"/>
        <w:rPr>
          <w:rFonts w:ascii="宋体" w:hAnsi="宋体"/>
          <w:bCs/>
          <w:color w:val="000000"/>
          <w:sz w:val="36"/>
          <w:szCs w:val="36"/>
        </w:rPr>
      </w:pPr>
      <w:bookmarkStart w:id="25" w:name="_Toc84868040"/>
      <w:r>
        <w:rPr>
          <w:rFonts w:hint="eastAsia" w:ascii="宋体" w:hAnsi="宋体"/>
          <w:bCs/>
          <w:color w:val="000000"/>
          <w:sz w:val="36"/>
          <w:szCs w:val="36"/>
        </w:rPr>
        <w:t>第一部分  协议书</w:t>
      </w:r>
    </w:p>
    <w:p w14:paraId="49F67C5F">
      <w:pPr>
        <w:adjustRightInd w:val="0"/>
        <w:snapToGrid w:val="0"/>
        <w:spacing w:line="360" w:lineRule="auto"/>
        <w:ind w:firstLine="480" w:firstLineChars="200"/>
        <w:rPr>
          <w:rFonts w:ascii="宋体" w:hAnsi="宋体"/>
          <w:color w:val="000000"/>
          <w:sz w:val="24"/>
          <w:u w:val="single"/>
        </w:rPr>
      </w:pPr>
      <w:r>
        <w:rPr>
          <w:rFonts w:hint="eastAsia" w:ascii="宋体" w:hAnsi="宋体"/>
          <w:color w:val="000000"/>
          <w:sz w:val="24"/>
        </w:rPr>
        <w:t>委托人（全称）：</w:t>
      </w:r>
      <w:r>
        <w:rPr>
          <w:rFonts w:hint="eastAsia" w:ascii="宋体" w:hAnsi="宋体"/>
          <w:color w:val="000000"/>
          <w:sz w:val="24"/>
          <w:u w:val="single"/>
        </w:rPr>
        <w:t xml:space="preserve">               </w:t>
      </w:r>
    </w:p>
    <w:p w14:paraId="5926DF4D">
      <w:pPr>
        <w:adjustRightInd w:val="0"/>
        <w:snapToGrid w:val="0"/>
        <w:spacing w:line="360" w:lineRule="auto"/>
        <w:ind w:firstLine="480" w:firstLineChars="200"/>
        <w:rPr>
          <w:rFonts w:ascii="宋体" w:hAnsi="宋体"/>
          <w:color w:val="000000"/>
          <w:sz w:val="24"/>
          <w:u w:val="single"/>
        </w:rPr>
      </w:pPr>
      <w:r>
        <w:rPr>
          <w:rFonts w:hint="eastAsia" w:ascii="宋体" w:hAnsi="宋体"/>
          <w:color w:val="000000"/>
          <w:sz w:val="24"/>
        </w:rPr>
        <w:t>监理人（全称）：</w:t>
      </w:r>
      <w:r>
        <w:rPr>
          <w:rFonts w:hint="eastAsia" w:ascii="宋体" w:hAnsi="宋体"/>
          <w:color w:val="000000"/>
          <w:sz w:val="24"/>
          <w:u w:val="single"/>
        </w:rPr>
        <w:t xml:space="preserve">               </w:t>
      </w:r>
    </w:p>
    <w:p w14:paraId="2D245A8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根据《中华人民共和国民法典》、《中华人民共和国建筑法》及其他有关法律、法规，遵循平等、自愿、公平和诚信的原则，双方就下述工程委托监理与相关服务事项协商一致，订立本合同。</w:t>
      </w:r>
    </w:p>
    <w:p w14:paraId="76E4851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一、工程概况</w:t>
      </w:r>
    </w:p>
    <w:p w14:paraId="44AF6AAD">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1. 工程名称：</w:t>
      </w:r>
      <w:r>
        <w:rPr>
          <w:rFonts w:hint="eastAsia" w:ascii="宋体" w:hAnsi="宋体"/>
          <w:color w:val="000000"/>
          <w:sz w:val="24"/>
          <w:u w:val="single"/>
        </w:rPr>
        <w:t xml:space="preserve">         </w:t>
      </w:r>
      <w:r>
        <w:rPr>
          <w:rFonts w:hint="eastAsia" w:ascii="宋体" w:hAnsi="宋体"/>
          <w:color w:val="000000"/>
          <w:sz w:val="24"/>
        </w:rPr>
        <w:t>；</w:t>
      </w:r>
    </w:p>
    <w:p w14:paraId="32468706">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2. 工程地点：</w:t>
      </w:r>
      <w:r>
        <w:rPr>
          <w:rFonts w:hint="eastAsia" w:ascii="宋体" w:hAnsi="宋体"/>
          <w:color w:val="000000"/>
          <w:sz w:val="24"/>
          <w:u w:val="single"/>
        </w:rPr>
        <w:t xml:space="preserve">         </w:t>
      </w:r>
      <w:r>
        <w:rPr>
          <w:rFonts w:hint="eastAsia" w:ascii="宋体" w:hAnsi="宋体"/>
          <w:color w:val="000000"/>
          <w:sz w:val="24"/>
        </w:rPr>
        <w:t>；</w:t>
      </w:r>
    </w:p>
    <w:p w14:paraId="17A3641F">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3. 工程规模：</w:t>
      </w:r>
      <w:r>
        <w:rPr>
          <w:rFonts w:hint="eastAsia" w:ascii="宋体" w:hAnsi="宋体"/>
          <w:color w:val="000000"/>
          <w:sz w:val="24"/>
          <w:u w:val="single"/>
        </w:rPr>
        <w:t xml:space="preserve">         </w:t>
      </w:r>
      <w:r>
        <w:rPr>
          <w:rFonts w:hint="eastAsia" w:ascii="宋体" w:hAnsi="宋体"/>
          <w:color w:val="000000"/>
          <w:sz w:val="24"/>
        </w:rPr>
        <w:t>；</w:t>
      </w:r>
    </w:p>
    <w:p w14:paraId="5985CABD">
      <w:pPr>
        <w:adjustRightInd w:val="0"/>
        <w:snapToGrid w:val="0"/>
        <w:spacing w:line="360" w:lineRule="auto"/>
        <w:ind w:firstLine="475" w:firstLineChars="198"/>
        <w:jc w:val="left"/>
        <w:rPr>
          <w:rFonts w:ascii="宋体" w:hAnsi="宋体"/>
          <w:color w:val="000000"/>
          <w:sz w:val="24"/>
        </w:rPr>
      </w:pPr>
      <w:r>
        <w:rPr>
          <w:rFonts w:hint="eastAsia" w:ascii="宋体" w:hAnsi="宋体"/>
          <w:color w:val="000000"/>
          <w:sz w:val="24"/>
        </w:rPr>
        <w:t>4. 工程投资规模</w:t>
      </w:r>
      <w:r>
        <w:rPr>
          <w:rFonts w:hint="eastAsia" w:ascii="宋体" w:hAnsi="宋体" w:cs="宋体"/>
          <w:color w:val="000000"/>
          <w:kern w:val="0"/>
          <w:sz w:val="24"/>
        </w:rPr>
        <w:t>或</w:t>
      </w:r>
      <w:r>
        <w:rPr>
          <w:rFonts w:hint="eastAsia" w:ascii="宋体" w:hAnsi="宋体"/>
          <w:color w:val="000000"/>
          <w:sz w:val="24"/>
        </w:rPr>
        <w:t>工程</w:t>
      </w:r>
      <w:r>
        <w:rPr>
          <w:rFonts w:hint="eastAsia" w:ascii="宋体" w:hAnsi="宋体"/>
          <w:color w:val="000000"/>
          <w:kern w:val="0"/>
          <w:sz w:val="24"/>
        </w:rPr>
        <w:t>概算投资</w:t>
      </w:r>
      <w:r>
        <w:rPr>
          <w:rFonts w:hint="eastAsia" w:ascii="宋体" w:hAnsi="宋体" w:cs="宋体"/>
          <w:color w:val="000000"/>
          <w:kern w:val="0"/>
          <w:sz w:val="24"/>
        </w:rPr>
        <w:t>额或</w:t>
      </w:r>
      <w:r>
        <w:rPr>
          <w:rFonts w:hint="eastAsia" w:ascii="宋体" w:hAnsi="宋体"/>
          <w:color w:val="000000"/>
          <w:sz w:val="24"/>
        </w:rPr>
        <w:t>工程概算额</w:t>
      </w:r>
      <w:r>
        <w:rPr>
          <w:rFonts w:hint="eastAsia" w:ascii="宋体" w:hAnsi="宋体" w:cs="宋体"/>
          <w:color w:val="000000"/>
          <w:kern w:val="0"/>
          <w:sz w:val="24"/>
        </w:rPr>
        <w:t>或工程建设费用或建筑安装工程费</w:t>
      </w:r>
      <w:r>
        <w:rPr>
          <w:rFonts w:hint="eastAsia" w:ascii="宋体" w:hAnsi="宋体"/>
          <w:color w:val="000000"/>
          <w:sz w:val="24"/>
        </w:rPr>
        <w:t>：</w:t>
      </w:r>
      <w:r>
        <w:rPr>
          <w:rFonts w:hint="eastAsia" w:ascii="宋体" w:hAnsi="宋体"/>
          <w:color w:val="000000"/>
          <w:sz w:val="24"/>
          <w:u w:val="single"/>
        </w:rPr>
        <w:t xml:space="preserve">  </w:t>
      </w:r>
      <w:r>
        <w:rPr>
          <w:rFonts w:hint="eastAsia" w:ascii="新宋体" w:hAnsi="新宋体" w:eastAsia="新宋体"/>
          <w:sz w:val="24"/>
          <w:u w:val="single"/>
        </w:rPr>
        <w:t xml:space="preserve">     </w:t>
      </w:r>
      <w:r>
        <w:rPr>
          <w:rFonts w:hint="eastAsia" w:ascii="新宋体" w:hAnsi="新宋体" w:eastAsia="新宋体"/>
          <w:sz w:val="24"/>
        </w:rPr>
        <w:t>万元</w:t>
      </w:r>
      <w:r>
        <w:rPr>
          <w:rFonts w:hint="eastAsia" w:ascii="宋体" w:hAnsi="宋体"/>
          <w:color w:val="000000"/>
          <w:sz w:val="24"/>
        </w:rPr>
        <w:t>。</w:t>
      </w:r>
    </w:p>
    <w:p w14:paraId="5DAA2CBB">
      <w:pPr>
        <w:spacing w:line="360" w:lineRule="auto"/>
        <w:ind w:firstLine="475" w:firstLineChars="198"/>
        <w:rPr>
          <w:rFonts w:ascii="宋体" w:hAnsi="宋体"/>
          <w:color w:val="000000"/>
          <w:sz w:val="24"/>
        </w:rPr>
      </w:pPr>
      <w:r>
        <w:rPr>
          <w:rFonts w:hint="eastAsia" w:ascii="宋体" w:hAnsi="宋体"/>
          <w:color w:val="000000"/>
          <w:sz w:val="24"/>
        </w:rPr>
        <w:t>二、词语限定</w:t>
      </w:r>
    </w:p>
    <w:p w14:paraId="1AA8CCD8">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协议书中相关词语的含义与通用条件中的定义与解释相同。</w:t>
      </w:r>
    </w:p>
    <w:p w14:paraId="37685BC3">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三、组成本合同的文件</w:t>
      </w:r>
    </w:p>
    <w:p w14:paraId="1D401301">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1.协议书；</w:t>
      </w:r>
    </w:p>
    <w:p w14:paraId="70925177">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2.中标通知书；</w:t>
      </w:r>
    </w:p>
    <w:p w14:paraId="645BC2DB">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3.投标文件；</w:t>
      </w:r>
    </w:p>
    <w:p w14:paraId="27F8CFB7">
      <w:pPr>
        <w:adjustRightInd w:val="0"/>
        <w:snapToGrid w:val="0"/>
        <w:spacing w:line="360" w:lineRule="auto"/>
        <w:rPr>
          <w:rFonts w:ascii="宋体" w:hAnsi="宋体"/>
          <w:color w:val="000000"/>
          <w:sz w:val="24"/>
        </w:rPr>
      </w:pPr>
      <w:r>
        <w:rPr>
          <w:rFonts w:hint="eastAsia" w:ascii="宋体" w:hAnsi="宋体"/>
          <w:color w:val="000000"/>
          <w:sz w:val="24"/>
        </w:rPr>
        <w:t xml:space="preserve">    4.专用条件；</w:t>
      </w:r>
    </w:p>
    <w:p w14:paraId="7EABAB28">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5.通用条件；</w:t>
      </w:r>
    </w:p>
    <w:p w14:paraId="0797974F">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6.附录</w:t>
      </w:r>
    </w:p>
    <w:p w14:paraId="63F23B3E">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附录A  相关服务的范围和内容</w:t>
      </w:r>
    </w:p>
    <w:p w14:paraId="63CE6263">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附录B  委托人派遣的人员和提供的房屋、资料、设备</w:t>
      </w:r>
    </w:p>
    <w:p w14:paraId="7F7E6051">
      <w:pPr>
        <w:spacing w:line="360" w:lineRule="auto"/>
        <w:ind w:firstLine="480" w:firstLineChars="200"/>
        <w:rPr>
          <w:sz w:val="24"/>
        </w:rPr>
      </w:pPr>
      <w:r>
        <w:rPr>
          <w:rFonts w:hint="eastAsia"/>
          <w:sz w:val="24"/>
        </w:rPr>
        <w:t>本合同签订后，双方依法签订的补充协议也是本合同文件的组成部分。</w:t>
      </w:r>
    </w:p>
    <w:p w14:paraId="64B3EFFF">
      <w:pPr>
        <w:spacing w:line="360" w:lineRule="auto"/>
        <w:ind w:firstLine="480" w:firstLineChars="200"/>
        <w:rPr>
          <w:sz w:val="24"/>
        </w:rPr>
      </w:pPr>
      <w:r>
        <w:rPr>
          <w:rFonts w:hint="eastAsia"/>
          <w:sz w:val="24"/>
        </w:rPr>
        <w:t>四、总监理工程师</w:t>
      </w:r>
    </w:p>
    <w:p w14:paraId="799FD809">
      <w:pPr>
        <w:adjustRightInd w:val="0"/>
        <w:snapToGrid w:val="0"/>
        <w:spacing w:line="360" w:lineRule="auto"/>
        <w:ind w:firstLine="475" w:firstLineChars="198"/>
        <w:rPr>
          <w:rFonts w:ascii="宋体" w:hAnsi="宋体"/>
          <w:color w:val="000000"/>
          <w:kern w:val="0"/>
          <w:sz w:val="24"/>
        </w:rPr>
      </w:pPr>
      <w:r>
        <w:rPr>
          <w:rFonts w:hint="eastAsia" w:ascii="宋体" w:hAnsi="宋体"/>
          <w:color w:val="000000"/>
          <w:kern w:val="0"/>
          <w:sz w:val="24"/>
        </w:rPr>
        <w:t>总监理工程师姓名：</w:t>
      </w:r>
      <w:r>
        <w:rPr>
          <w:rFonts w:hint="eastAsia" w:ascii="宋体" w:hAnsi="宋体"/>
          <w:color w:val="000000"/>
          <w:sz w:val="24"/>
          <w:u w:val="single"/>
        </w:rPr>
        <w:t xml:space="preserve">         </w:t>
      </w:r>
      <w:r>
        <w:rPr>
          <w:rFonts w:hint="eastAsia" w:ascii="宋体" w:hAnsi="宋体"/>
          <w:color w:val="000000"/>
          <w:kern w:val="0"/>
          <w:sz w:val="24"/>
        </w:rPr>
        <w:t>，居民身份证号码：</w:t>
      </w:r>
      <w:r>
        <w:rPr>
          <w:rFonts w:hint="eastAsia" w:ascii="宋体" w:hAnsi="宋体"/>
          <w:color w:val="000000"/>
          <w:sz w:val="24"/>
          <w:u w:val="single"/>
        </w:rPr>
        <w:t xml:space="preserve">         </w:t>
      </w:r>
      <w:r>
        <w:rPr>
          <w:rFonts w:hint="eastAsia" w:ascii="宋体" w:hAnsi="宋体"/>
          <w:color w:val="000000"/>
          <w:kern w:val="0"/>
          <w:sz w:val="24"/>
        </w:rPr>
        <w:t>，注册号：</w:t>
      </w:r>
      <w:r>
        <w:rPr>
          <w:rFonts w:hint="eastAsia" w:ascii="宋体" w:hAnsi="宋体"/>
          <w:color w:val="000000"/>
          <w:sz w:val="24"/>
          <w:u w:val="single"/>
        </w:rPr>
        <w:t xml:space="preserve">         </w:t>
      </w:r>
      <w:r>
        <w:rPr>
          <w:rFonts w:hint="eastAsia" w:ascii="宋体" w:hAnsi="宋体"/>
          <w:color w:val="000000"/>
          <w:kern w:val="0"/>
          <w:sz w:val="24"/>
        </w:rPr>
        <w:t>。</w:t>
      </w:r>
    </w:p>
    <w:p w14:paraId="3D70BCA5">
      <w:pPr>
        <w:adjustRightInd w:val="0"/>
        <w:snapToGrid w:val="0"/>
        <w:spacing w:line="360" w:lineRule="auto"/>
        <w:ind w:firstLine="475" w:firstLineChars="198"/>
        <w:rPr>
          <w:rFonts w:ascii="宋体" w:hAnsi="宋体"/>
          <w:color w:val="000000"/>
          <w:kern w:val="0"/>
          <w:sz w:val="24"/>
        </w:rPr>
      </w:pPr>
      <w:r>
        <w:rPr>
          <w:rFonts w:hint="eastAsia" w:ascii="宋体" w:hAnsi="宋体"/>
          <w:color w:val="000000"/>
          <w:kern w:val="0"/>
          <w:sz w:val="24"/>
        </w:rPr>
        <w:t>五、签约酬金</w:t>
      </w:r>
    </w:p>
    <w:p w14:paraId="7A0CC42B">
      <w:pPr>
        <w:adjustRightInd w:val="0"/>
        <w:snapToGrid w:val="0"/>
        <w:spacing w:line="360" w:lineRule="auto"/>
        <w:ind w:firstLine="475" w:firstLineChars="198"/>
        <w:rPr>
          <w:rFonts w:ascii="宋体" w:hAnsi="宋体"/>
          <w:color w:val="000000"/>
          <w:sz w:val="24"/>
          <w:u w:val="single"/>
        </w:rPr>
      </w:pPr>
      <w:r>
        <w:rPr>
          <w:rFonts w:hint="eastAsia" w:ascii="宋体" w:hAnsi="宋体"/>
          <w:color w:val="000000"/>
          <w:sz w:val="24"/>
        </w:rPr>
        <w:t>签约酬金：</w:t>
      </w:r>
      <w:r>
        <w:rPr>
          <w:rFonts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元</w:t>
      </w:r>
    </w:p>
    <w:p w14:paraId="68F14983">
      <w:pPr>
        <w:adjustRightInd w:val="0"/>
        <w:snapToGrid w:val="0"/>
        <w:spacing w:line="360" w:lineRule="auto"/>
        <w:ind w:firstLine="475" w:firstLineChars="198"/>
        <w:rPr>
          <w:rFonts w:ascii="宋体" w:hAnsi="宋体" w:cs="宋体"/>
          <w:kern w:val="0"/>
          <w:sz w:val="24"/>
          <w:highlight w:val="green"/>
        </w:rPr>
      </w:pPr>
      <w:r>
        <w:rPr>
          <w:rFonts w:hint="eastAsia" w:ascii="宋体" w:hAnsi="宋体" w:cs="宋体"/>
          <w:kern w:val="0"/>
          <w:sz w:val="24"/>
        </w:rPr>
        <w:t>实际</w:t>
      </w:r>
      <w:r>
        <w:rPr>
          <w:rFonts w:ascii="宋体" w:hAnsi="宋体" w:cs="宋体"/>
          <w:kern w:val="0"/>
          <w:sz w:val="24"/>
        </w:rPr>
        <w:t>监理费用＝</w:t>
      </w:r>
      <w:r>
        <w:rPr>
          <w:rFonts w:hint="eastAsia" w:ascii="宋体" w:hAnsi="宋体" w:cs="宋体"/>
          <w:kern w:val="0"/>
          <w:sz w:val="24"/>
        </w:rPr>
        <w:t>本标段所有</w:t>
      </w:r>
      <w:r>
        <w:rPr>
          <w:rFonts w:ascii="宋体" w:hAnsi="宋体" w:cs="宋体"/>
          <w:kern w:val="0"/>
          <w:sz w:val="24"/>
        </w:rPr>
        <w:t>工程</w:t>
      </w:r>
      <w:r>
        <w:rPr>
          <w:rFonts w:hint="eastAsia" w:ascii="宋体" w:hAnsi="宋体" w:cs="宋体"/>
          <w:kern w:val="0"/>
          <w:sz w:val="24"/>
        </w:rPr>
        <w:t>结</w:t>
      </w:r>
      <w:r>
        <w:rPr>
          <w:rFonts w:ascii="宋体" w:hAnsi="宋体" w:cs="宋体"/>
          <w:kern w:val="0"/>
          <w:sz w:val="24"/>
        </w:rPr>
        <w:t>算款额</w:t>
      </w:r>
      <w:r>
        <w:rPr>
          <w:rFonts w:hint="eastAsia" w:ascii="宋体" w:hAnsi="宋体" w:cs="宋体"/>
          <w:kern w:val="0"/>
          <w:sz w:val="24"/>
        </w:rPr>
        <w:t>（监理服务期满后）</w:t>
      </w:r>
      <w:r>
        <w:rPr>
          <w:rFonts w:ascii="宋体" w:hAnsi="宋体" w:cs="宋体"/>
          <w:kern w:val="0"/>
          <w:sz w:val="24"/>
        </w:rPr>
        <w:t>×投标报价</w:t>
      </w:r>
      <w:r>
        <w:rPr>
          <w:rFonts w:hint="eastAsia" w:ascii="宋体" w:hAnsi="宋体" w:cs="宋体"/>
          <w:kern w:val="0"/>
          <w:sz w:val="24"/>
        </w:rPr>
        <w:t>折算</w:t>
      </w:r>
      <w:r>
        <w:rPr>
          <w:rFonts w:ascii="宋体" w:hAnsi="宋体" w:cs="宋体"/>
          <w:kern w:val="0"/>
          <w:sz w:val="24"/>
        </w:rPr>
        <w:t>监理费率（    ）</w:t>
      </w:r>
      <w:r>
        <w:rPr>
          <w:rFonts w:hint="eastAsia" w:ascii="宋体" w:hAnsi="宋体" w:cs="宋体"/>
          <w:kern w:val="0"/>
          <w:sz w:val="24"/>
        </w:rPr>
        <w:t>。</w:t>
      </w:r>
    </w:p>
    <w:p w14:paraId="252D8846">
      <w:pPr>
        <w:adjustRightInd w:val="0"/>
        <w:snapToGrid w:val="0"/>
        <w:spacing w:line="360" w:lineRule="auto"/>
        <w:ind w:firstLine="475" w:firstLineChars="198"/>
        <w:rPr>
          <w:rFonts w:ascii="宋体" w:hAnsi="宋体"/>
          <w:sz w:val="24"/>
        </w:rPr>
      </w:pPr>
      <w:r>
        <w:rPr>
          <w:rFonts w:hint="eastAsia" w:ascii="宋体" w:hAnsi="宋体"/>
          <w:sz w:val="24"/>
          <w:u w:val="single"/>
        </w:rPr>
        <w:t>本项目</w:t>
      </w:r>
      <w:r>
        <w:rPr>
          <w:rFonts w:ascii="宋体" w:hAnsi="宋体"/>
          <w:sz w:val="24"/>
          <w:u w:val="single"/>
        </w:rPr>
        <w:t>采用投标报价</w:t>
      </w:r>
      <w:r>
        <w:rPr>
          <w:rFonts w:hint="eastAsia" w:ascii="宋体" w:hAnsi="宋体"/>
          <w:sz w:val="24"/>
          <w:u w:val="single"/>
        </w:rPr>
        <w:t>折算成</w:t>
      </w:r>
      <w:r>
        <w:rPr>
          <w:rFonts w:ascii="宋体" w:hAnsi="宋体"/>
          <w:sz w:val="24"/>
          <w:u w:val="single"/>
        </w:rPr>
        <w:t>监理费率</w:t>
      </w:r>
      <w:r>
        <w:rPr>
          <w:rFonts w:hint="eastAsia" w:ascii="宋体" w:hAnsi="宋体"/>
          <w:sz w:val="24"/>
          <w:u w:val="single"/>
        </w:rPr>
        <w:t>的</w:t>
      </w:r>
      <w:r>
        <w:rPr>
          <w:rFonts w:ascii="宋体" w:hAnsi="宋体"/>
          <w:sz w:val="24"/>
          <w:u w:val="single"/>
        </w:rPr>
        <w:t>方式结算监理费用</w:t>
      </w:r>
      <w:r>
        <w:rPr>
          <w:rFonts w:hint="eastAsia" w:ascii="宋体" w:hAnsi="宋体"/>
          <w:sz w:val="24"/>
        </w:rPr>
        <w:t>。（</w:t>
      </w:r>
      <w:r>
        <w:rPr>
          <w:rFonts w:ascii="宋体" w:hAnsi="宋体" w:cs="宋体"/>
          <w:kern w:val="0"/>
          <w:sz w:val="24"/>
        </w:rPr>
        <w:t>投标报价</w:t>
      </w:r>
      <w:r>
        <w:rPr>
          <w:rFonts w:hint="eastAsia" w:ascii="宋体" w:hAnsi="宋体" w:cs="宋体"/>
          <w:kern w:val="0"/>
          <w:sz w:val="24"/>
        </w:rPr>
        <w:t>折算</w:t>
      </w:r>
      <w:r>
        <w:rPr>
          <w:rFonts w:ascii="宋体" w:hAnsi="宋体" w:cs="宋体"/>
          <w:kern w:val="0"/>
          <w:sz w:val="24"/>
        </w:rPr>
        <w:t>监理费率</w:t>
      </w:r>
      <w:r>
        <w:rPr>
          <w:rFonts w:hint="eastAsia" w:ascii="宋体" w:hAnsi="宋体"/>
          <w:sz w:val="24"/>
        </w:rPr>
        <w:t>=本标段中标人的投标报价/招标公告中列明的本标段的“</w:t>
      </w:r>
      <w:r>
        <w:rPr>
          <w:rFonts w:hint="eastAsia" w:ascii="新宋体" w:hAnsi="新宋体" w:eastAsia="新宋体"/>
          <w:sz w:val="24"/>
        </w:rPr>
        <w:t>工程建设费用</w:t>
      </w:r>
      <w:r>
        <w:rPr>
          <w:rFonts w:hint="eastAsia" w:ascii="宋体" w:hAnsi="宋体"/>
          <w:sz w:val="24"/>
        </w:rPr>
        <w:t>”*100%。注：费率保留两位小数，小数点两位后数据直接去除，不四舍五入）</w:t>
      </w:r>
    </w:p>
    <w:p w14:paraId="776AB568">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包括：</w:t>
      </w:r>
    </w:p>
    <w:p w14:paraId="42B03426">
      <w:pPr>
        <w:adjustRightInd w:val="0"/>
        <w:snapToGrid w:val="0"/>
        <w:spacing w:line="360" w:lineRule="auto"/>
        <w:ind w:firstLine="600" w:firstLineChars="250"/>
        <w:rPr>
          <w:rFonts w:ascii="宋体" w:hAnsi="宋体"/>
          <w:color w:val="FF0000"/>
          <w:sz w:val="24"/>
        </w:rPr>
      </w:pPr>
      <w:r>
        <w:rPr>
          <w:rFonts w:hint="eastAsia" w:ascii="宋体" w:hAnsi="宋体"/>
          <w:color w:val="000000"/>
          <w:sz w:val="24"/>
        </w:rPr>
        <w:t>1.监理酬金：</w:t>
      </w:r>
      <w:r>
        <w:rPr>
          <w:rFonts w:hint="eastAsia" w:ascii="宋体" w:hAnsi="宋体"/>
          <w:color w:val="FF0000"/>
          <w:sz w:val="24"/>
          <w:u w:val="single"/>
        </w:rPr>
        <w:t>本项目</w:t>
      </w:r>
      <w:r>
        <w:rPr>
          <w:rFonts w:ascii="宋体" w:hAnsi="宋体"/>
          <w:color w:val="FF0000"/>
          <w:sz w:val="24"/>
          <w:u w:val="single"/>
        </w:rPr>
        <w:t>采用投标报价</w:t>
      </w:r>
      <w:r>
        <w:rPr>
          <w:rFonts w:hint="eastAsia" w:ascii="宋体" w:hAnsi="宋体"/>
          <w:color w:val="FF0000"/>
          <w:sz w:val="24"/>
          <w:u w:val="single"/>
        </w:rPr>
        <w:t>折算成</w:t>
      </w:r>
      <w:r>
        <w:rPr>
          <w:rFonts w:ascii="宋体" w:hAnsi="宋体"/>
          <w:color w:val="FF0000"/>
          <w:sz w:val="24"/>
          <w:u w:val="single"/>
        </w:rPr>
        <w:t>监理费率</w:t>
      </w:r>
      <w:r>
        <w:rPr>
          <w:rFonts w:hint="eastAsia" w:ascii="宋体" w:hAnsi="宋体"/>
          <w:color w:val="FF0000"/>
          <w:sz w:val="24"/>
          <w:u w:val="single"/>
        </w:rPr>
        <w:t>的方式</w:t>
      </w:r>
      <w:r>
        <w:rPr>
          <w:rFonts w:ascii="宋体" w:hAnsi="宋体"/>
          <w:color w:val="FF0000"/>
          <w:sz w:val="24"/>
          <w:u w:val="single"/>
        </w:rPr>
        <w:t>结算监理费用</w:t>
      </w:r>
      <w:r>
        <w:rPr>
          <w:rFonts w:hint="eastAsia" w:ascii="宋体" w:hAnsi="宋体"/>
          <w:color w:val="FF0000"/>
          <w:sz w:val="24"/>
        </w:rPr>
        <w:t>。</w:t>
      </w:r>
    </w:p>
    <w:p w14:paraId="7C7452C4">
      <w:pPr>
        <w:adjustRightInd w:val="0"/>
        <w:snapToGrid w:val="0"/>
        <w:spacing w:line="360" w:lineRule="auto"/>
        <w:ind w:firstLine="600" w:firstLineChars="250"/>
        <w:rPr>
          <w:rFonts w:ascii="宋体" w:hAnsi="宋体"/>
          <w:color w:val="000000"/>
          <w:sz w:val="24"/>
        </w:rPr>
      </w:pPr>
      <w:r>
        <w:rPr>
          <w:rFonts w:hint="eastAsia" w:ascii="宋体" w:hAnsi="宋体"/>
          <w:color w:val="000000"/>
          <w:sz w:val="24"/>
        </w:rPr>
        <w:t>2.相关服务酬金：</w:t>
      </w:r>
      <w:r>
        <w:rPr>
          <w:rFonts w:hint="eastAsia" w:ascii="宋体" w:hAnsi="宋体"/>
          <w:color w:val="000000"/>
          <w:sz w:val="24"/>
          <w:u w:val="single"/>
        </w:rPr>
        <w:t xml:space="preserve"> 已包含在</w:t>
      </w:r>
      <w:r>
        <w:rPr>
          <w:rFonts w:ascii="宋体" w:hAnsi="宋体"/>
          <w:color w:val="FF0000"/>
          <w:sz w:val="24"/>
          <w:u w:val="single"/>
        </w:rPr>
        <w:t>投标报价</w:t>
      </w:r>
      <w:r>
        <w:rPr>
          <w:rFonts w:hint="eastAsia" w:ascii="宋体" w:hAnsi="宋体"/>
          <w:color w:val="FF0000"/>
          <w:sz w:val="24"/>
          <w:u w:val="single"/>
        </w:rPr>
        <w:t>折算成</w:t>
      </w:r>
      <w:r>
        <w:rPr>
          <w:rFonts w:ascii="宋体" w:hAnsi="宋体"/>
          <w:color w:val="FF0000"/>
          <w:sz w:val="24"/>
          <w:u w:val="single"/>
        </w:rPr>
        <w:t>监理费率</w:t>
      </w:r>
      <w:r>
        <w:rPr>
          <w:rFonts w:hint="eastAsia" w:ascii="宋体" w:hAnsi="宋体"/>
          <w:color w:val="000000"/>
          <w:sz w:val="24"/>
          <w:u w:val="single"/>
        </w:rPr>
        <w:t>所计算的监理费用之内</w:t>
      </w:r>
      <w:r>
        <w:rPr>
          <w:rFonts w:hint="eastAsia" w:ascii="宋体" w:hAnsi="宋体"/>
          <w:color w:val="000000"/>
          <w:sz w:val="24"/>
        </w:rPr>
        <w:t>。</w:t>
      </w:r>
    </w:p>
    <w:p w14:paraId="49882FBD">
      <w:pPr>
        <w:adjustRightInd w:val="0"/>
        <w:snapToGrid w:val="0"/>
        <w:spacing w:line="360" w:lineRule="auto"/>
        <w:ind w:firstLine="600" w:firstLineChars="250"/>
        <w:rPr>
          <w:rFonts w:ascii="宋体" w:hAnsi="宋体"/>
          <w:color w:val="000000"/>
          <w:sz w:val="24"/>
        </w:rPr>
      </w:pPr>
      <w:r>
        <w:rPr>
          <w:rFonts w:hint="eastAsia" w:ascii="宋体" w:hAnsi="宋体"/>
          <w:color w:val="000000"/>
          <w:sz w:val="24"/>
        </w:rPr>
        <w:t>其中：</w:t>
      </w:r>
    </w:p>
    <w:p w14:paraId="5AD2238E">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（1）勘察阶段服务</w:t>
      </w:r>
      <w:r>
        <w:rPr>
          <w:rFonts w:hint="eastAsia" w:ascii="宋体" w:hAnsi="宋体"/>
          <w:color w:val="000000"/>
          <w:sz w:val="24"/>
        </w:rPr>
        <w:t>酬金：</w:t>
      </w:r>
      <w:r>
        <w:rPr>
          <w:rFonts w:hint="eastAsia" w:ascii="宋体" w:hAnsi="宋体"/>
          <w:color w:val="000000"/>
          <w:sz w:val="24"/>
          <w:u w:val="single"/>
        </w:rPr>
        <w:t xml:space="preserve">       /                    </w:t>
      </w:r>
      <w:r>
        <w:rPr>
          <w:rFonts w:hint="eastAsia" w:ascii="宋体" w:hAnsi="宋体"/>
          <w:color w:val="000000"/>
          <w:sz w:val="24"/>
        </w:rPr>
        <w:t>。</w:t>
      </w:r>
    </w:p>
    <w:p w14:paraId="0FC37EBE">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（2）设计阶段服务</w:t>
      </w:r>
      <w:r>
        <w:rPr>
          <w:rFonts w:hint="eastAsia" w:ascii="宋体" w:hAnsi="宋体"/>
          <w:color w:val="000000"/>
          <w:sz w:val="24"/>
        </w:rPr>
        <w:t>酬金：</w:t>
      </w:r>
      <w:r>
        <w:rPr>
          <w:rFonts w:hint="eastAsia" w:ascii="宋体" w:hAnsi="宋体"/>
          <w:color w:val="000000"/>
          <w:sz w:val="24"/>
          <w:u w:val="single"/>
        </w:rPr>
        <w:t xml:space="preserve">       /                    </w:t>
      </w:r>
      <w:r>
        <w:rPr>
          <w:rFonts w:hint="eastAsia" w:ascii="宋体" w:hAnsi="宋体"/>
          <w:color w:val="000000"/>
          <w:sz w:val="24"/>
        </w:rPr>
        <w:t>。</w:t>
      </w:r>
    </w:p>
    <w:p w14:paraId="43F70FF8">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（3）保修阶段服务</w:t>
      </w:r>
      <w:r>
        <w:rPr>
          <w:rFonts w:hint="eastAsia" w:ascii="宋体" w:hAnsi="宋体"/>
          <w:color w:val="000000"/>
          <w:sz w:val="24"/>
        </w:rPr>
        <w:t>酬金：</w:t>
      </w:r>
      <w:r>
        <w:rPr>
          <w:rFonts w:hint="eastAsia" w:ascii="宋体" w:hAnsi="宋体"/>
          <w:color w:val="000000"/>
          <w:sz w:val="24"/>
          <w:u w:val="single"/>
        </w:rPr>
        <w:t>已包含在</w:t>
      </w:r>
      <w:r>
        <w:rPr>
          <w:rFonts w:ascii="宋体" w:hAnsi="宋体"/>
          <w:color w:val="FF0000"/>
          <w:sz w:val="24"/>
          <w:u w:val="single"/>
        </w:rPr>
        <w:t>投标报价</w:t>
      </w:r>
      <w:r>
        <w:rPr>
          <w:rFonts w:hint="eastAsia" w:ascii="宋体" w:hAnsi="宋体"/>
          <w:color w:val="FF0000"/>
          <w:sz w:val="24"/>
          <w:u w:val="single"/>
        </w:rPr>
        <w:t>折算成</w:t>
      </w:r>
      <w:r>
        <w:rPr>
          <w:rFonts w:ascii="宋体" w:hAnsi="宋体"/>
          <w:color w:val="FF0000"/>
          <w:sz w:val="24"/>
          <w:u w:val="single"/>
        </w:rPr>
        <w:t>监理费率</w:t>
      </w:r>
      <w:r>
        <w:rPr>
          <w:rFonts w:hint="eastAsia" w:ascii="宋体" w:hAnsi="宋体"/>
          <w:color w:val="000000"/>
          <w:sz w:val="24"/>
          <w:u w:val="single"/>
        </w:rPr>
        <w:t>所计算的监理费用之内</w:t>
      </w:r>
      <w:r>
        <w:rPr>
          <w:rFonts w:hint="eastAsia" w:ascii="宋体" w:hAnsi="宋体"/>
          <w:color w:val="000000"/>
          <w:sz w:val="24"/>
        </w:rPr>
        <w:t>。</w:t>
      </w:r>
    </w:p>
    <w:p w14:paraId="0BD6D897">
      <w:pPr>
        <w:adjustRightInd w:val="0"/>
        <w:snapToGrid w:val="0"/>
        <w:spacing w:line="360" w:lineRule="auto"/>
        <w:ind w:firstLine="960" w:firstLineChars="400"/>
        <w:rPr>
          <w:rFonts w:ascii="宋体" w:hAnsi="宋体"/>
          <w:color w:val="000000"/>
          <w:sz w:val="24"/>
        </w:rPr>
      </w:pPr>
      <w:r>
        <w:rPr>
          <w:rFonts w:hint="eastAsia" w:ascii="宋体" w:hAnsi="宋体"/>
          <w:color w:val="000000"/>
          <w:kern w:val="0"/>
          <w:sz w:val="24"/>
        </w:rPr>
        <w:t>（4）</w:t>
      </w:r>
      <w:r>
        <w:rPr>
          <w:rFonts w:hint="eastAsia" w:ascii="宋体" w:hAnsi="宋体"/>
          <w:color w:val="000000"/>
          <w:sz w:val="24"/>
        </w:rPr>
        <w:t>其他相关服务酬金：</w:t>
      </w:r>
      <w:r>
        <w:rPr>
          <w:rFonts w:hint="eastAsia" w:ascii="宋体" w:hAnsi="宋体"/>
          <w:color w:val="000000"/>
          <w:sz w:val="24"/>
          <w:u w:val="single"/>
        </w:rPr>
        <w:t>已包含在</w:t>
      </w:r>
      <w:r>
        <w:rPr>
          <w:rFonts w:ascii="宋体" w:hAnsi="宋体"/>
          <w:color w:val="FF0000"/>
          <w:sz w:val="24"/>
          <w:u w:val="single"/>
        </w:rPr>
        <w:t>投标报价</w:t>
      </w:r>
      <w:r>
        <w:rPr>
          <w:rFonts w:hint="eastAsia" w:ascii="宋体" w:hAnsi="宋体"/>
          <w:color w:val="FF0000"/>
          <w:sz w:val="24"/>
          <w:u w:val="single"/>
        </w:rPr>
        <w:t>折算成</w:t>
      </w:r>
      <w:r>
        <w:rPr>
          <w:rFonts w:ascii="宋体" w:hAnsi="宋体"/>
          <w:color w:val="FF0000"/>
          <w:sz w:val="24"/>
          <w:u w:val="single"/>
        </w:rPr>
        <w:t>监理费率</w:t>
      </w:r>
      <w:r>
        <w:rPr>
          <w:rFonts w:hint="eastAsia" w:ascii="宋体" w:hAnsi="宋体"/>
          <w:color w:val="000000"/>
          <w:sz w:val="24"/>
          <w:u w:val="single"/>
        </w:rPr>
        <w:t>所计算的监理费用之内</w:t>
      </w:r>
      <w:r>
        <w:rPr>
          <w:rFonts w:hint="eastAsia" w:ascii="宋体" w:hAnsi="宋体"/>
          <w:color w:val="000000"/>
          <w:sz w:val="24"/>
        </w:rPr>
        <w:t>。</w:t>
      </w:r>
    </w:p>
    <w:p w14:paraId="6F770DC3">
      <w:pPr>
        <w:adjustRightInd w:val="0"/>
        <w:snapToGrid w:val="0"/>
        <w:spacing w:line="360" w:lineRule="auto"/>
        <w:ind w:firstLine="600" w:firstLineChars="250"/>
        <w:rPr>
          <w:rFonts w:ascii="宋体" w:hAnsi="宋体"/>
          <w:color w:val="000000"/>
          <w:sz w:val="24"/>
        </w:rPr>
      </w:pPr>
      <w:r>
        <w:rPr>
          <w:rFonts w:hint="eastAsia" w:ascii="宋体" w:hAnsi="宋体"/>
          <w:color w:val="000000"/>
          <w:sz w:val="24"/>
        </w:rPr>
        <w:t>六、期限</w:t>
      </w:r>
    </w:p>
    <w:p w14:paraId="345A886D">
      <w:pPr>
        <w:adjustRightInd w:val="0"/>
        <w:snapToGrid w:val="0"/>
        <w:spacing w:line="360" w:lineRule="auto"/>
        <w:ind w:firstLine="600" w:firstLineChars="250"/>
        <w:rPr>
          <w:rFonts w:hint="eastAsia" w:ascii="宋体" w:hAnsi="宋体" w:eastAsia="宋体"/>
          <w:color w:val="000000"/>
          <w:sz w:val="24"/>
          <w:lang w:eastAsia="zh-CN"/>
        </w:rPr>
      </w:pPr>
      <w:r>
        <w:rPr>
          <w:rFonts w:hint="eastAsia" w:ascii="宋体" w:hAnsi="宋体"/>
          <w:color w:val="000000"/>
          <w:sz w:val="24"/>
        </w:rPr>
        <w:t>1. 监理期限：</w:t>
      </w:r>
      <w:r>
        <w:rPr>
          <w:rFonts w:hint="eastAsia" w:ascii="新宋体" w:hAnsi="新宋体" w:eastAsia="新宋体"/>
          <w:color w:val="000000"/>
          <w:sz w:val="24"/>
          <w:lang w:eastAsia="zh-CN"/>
        </w:rPr>
        <w:t>自监理合同签订之日起至项目缺陷责任期结束止。</w:t>
      </w:r>
    </w:p>
    <w:p w14:paraId="498CA234">
      <w:pPr>
        <w:adjustRightInd w:val="0"/>
        <w:snapToGrid w:val="0"/>
        <w:spacing w:line="360" w:lineRule="auto"/>
        <w:ind w:firstLine="600" w:firstLineChars="250"/>
        <w:rPr>
          <w:rFonts w:ascii="宋体" w:hAnsi="宋体"/>
          <w:color w:val="000000"/>
          <w:sz w:val="24"/>
        </w:rPr>
      </w:pPr>
      <w:bookmarkStart w:id="26" w:name="_Toc410207747"/>
      <w:bookmarkStart w:id="27" w:name="_Toc387911372"/>
      <w:bookmarkStart w:id="28" w:name="_Toc387911105"/>
      <w:bookmarkStart w:id="29" w:name="_Toc418170723"/>
      <w:bookmarkStart w:id="30" w:name="_Toc418173592"/>
      <w:r>
        <w:rPr>
          <w:rFonts w:hint="eastAsia" w:ascii="宋体" w:hAnsi="宋体"/>
          <w:color w:val="000000"/>
          <w:sz w:val="24"/>
        </w:rPr>
        <w:t>2. 相关服务期限：</w:t>
      </w:r>
    </w:p>
    <w:p w14:paraId="1A7758CD">
      <w:pPr>
        <w:adjustRightInd w:val="0"/>
        <w:snapToGrid w:val="0"/>
        <w:spacing w:line="360" w:lineRule="auto"/>
        <w:ind w:firstLine="600" w:firstLineChars="250"/>
        <w:rPr>
          <w:rFonts w:ascii="宋体" w:hAnsi="宋体"/>
          <w:color w:val="000000"/>
          <w:sz w:val="24"/>
        </w:rPr>
      </w:pPr>
      <w:r>
        <w:rPr>
          <w:rFonts w:hint="eastAsia" w:ascii="宋体" w:hAnsi="宋体"/>
          <w:color w:val="000000"/>
          <w:kern w:val="0"/>
          <w:sz w:val="24"/>
        </w:rPr>
        <w:t>（1）勘察阶段</w:t>
      </w:r>
      <w:r>
        <w:rPr>
          <w:rFonts w:hint="eastAsia" w:ascii="宋体" w:hAnsi="宋体"/>
          <w:color w:val="000000"/>
          <w:sz w:val="24"/>
        </w:rPr>
        <w:t>服务期限自</w:t>
      </w:r>
      <w:r>
        <w:rPr>
          <w:rFonts w:hint="eastAsia" w:ascii="宋体" w:hAnsi="宋体"/>
          <w:color w:val="000000"/>
          <w:sz w:val="24"/>
          <w:u w:val="single"/>
        </w:rPr>
        <w:t xml:space="preserve">     /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日始，至</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日止。</w:t>
      </w:r>
    </w:p>
    <w:p w14:paraId="417DB5F2">
      <w:pPr>
        <w:adjustRightInd w:val="0"/>
        <w:snapToGrid w:val="0"/>
        <w:spacing w:line="360" w:lineRule="auto"/>
        <w:ind w:firstLine="600" w:firstLineChars="250"/>
        <w:rPr>
          <w:rFonts w:ascii="宋体" w:hAnsi="宋体"/>
          <w:color w:val="000000"/>
          <w:sz w:val="24"/>
        </w:rPr>
      </w:pPr>
      <w:r>
        <w:rPr>
          <w:rFonts w:hint="eastAsia" w:ascii="宋体" w:hAnsi="宋体"/>
          <w:color w:val="000000"/>
          <w:kern w:val="0"/>
          <w:sz w:val="24"/>
        </w:rPr>
        <w:t>（2）设计阶段</w:t>
      </w:r>
      <w:r>
        <w:rPr>
          <w:rFonts w:hint="eastAsia" w:ascii="宋体" w:hAnsi="宋体"/>
          <w:color w:val="000000"/>
          <w:sz w:val="24"/>
        </w:rPr>
        <w:t>服务期限自</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日始，至</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日止。</w:t>
      </w:r>
    </w:p>
    <w:p w14:paraId="52676E18">
      <w:pPr>
        <w:adjustRightInd w:val="0"/>
        <w:snapToGrid w:val="0"/>
        <w:spacing w:line="360" w:lineRule="auto"/>
        <w:ind w:firstLine="600" w:firstLineChars="250"/>
        <w:rPr>
          <w:rFonts w:ascii="宋体" w:hAnsi="宋体"/>
          <w:color w:val="000000"/>
          <w:sz w:val="24"/>
        </w:rPr>
      </w:pPr>
      <w:r>
        <w:rPr>
          <w:rFonts w:hint="eastAsia" w:ascii="宋体" w:hAnsi="宋体"/>
          <w:color w:val="000000"/>
          <w:kern w:val="0"/>
          <w:sz w:val="24"/>
        </w:rPr>
        <w:t>（3）保修阶段</w:t>
      </w:r>
      <w:r>
        <w:rPr>
          <w:rFonts w:hint="eastAsia" w:ascii="宋体" w:hAnsi="宋体"/>
          <w:color w:val="000000"/>
          <w:sz w:val="24"/>
        </w:rPr>
        <w:t>服务期限自</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日始，至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日止。</w:t>
      </w:r>
    </w:p>
    <w:p w14:paraId="5B4E593A">
      <w:pPr>
        <w:adjustRightInd w:val="0"/>
        <w:snapToGrid w:val="0"/>
        <w:spacing w:line="360" w:lineRule="auto"/>
        <w:ind w:firstLine="600" w:firstLineChars="250"/>
        <w:rPr>
          <w:rFonts w:ascii="宋体" w:hAnsi="宋体"/>
          <w:color w:val="000000"/>
          <w:sz w:val="24"/>
        </w:rPr>
      </w:pPr>
      <w:r>
        <w:rPr>
          <w:rFonts w:hint="eastAsia" w:ascii="宋体" w:hAnsi="宋体"/>
          <w:color w:val="000000"/>
          <w:kern w:val="0"/>
          <w:sz w:val="24"/>
        </w:rPr>
        <w:t>（4）</w:t>
      </w:r>
      <w:r>
        <w:rPr>
          <w:rFonts w:hint="eastAsia" w:ascii="宋体" w:hAnsi="宋体"/>
          <w:color w:val="000000"/>
          <w:sz w:val="24"/>
        </w:rPr>
        <w:t>其他相关服务期限自</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日始，至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日止。</w:t>
      </w:r>
    </w:p>
    <w:p w14:paraId="5D69AC75">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七、双方承诺</w:t>
      </w:r>
    </w:p>
    <w:p w14:paraId="67AE1620">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1. 监理人向委托人承诺，按照本合同约定提供监理与相关服务。</w:t>
      </w:r>
    </w:p>
    <w:p w14:paraId="242EB20C">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2. 委托人向监理人承诺，按照本合同约定派遣相应的人员，并按本合同约定支付酬金。</w:t>
      </w:r>
    </w:p>
    <w:bookmarkEnd w:id="26"/>
    <w:bookmarkEnd w:id="27"/>
    <w:bookmarkEnd w:id="28"/>
    <w:bookmarkEnd w:id="29"/>
    <w:bookmarkEnd w:id="30"/>
    <w:p w14:paraId="3DBD1E3E">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八、合同订立</w:t>
      </w:r>
    </w:p>
    <w:p w14:paraId="73A8FA1A">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1. 订立时间：至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10CEFF5F">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2. 订立地点：</w:t>
      </w:r>
      <w:r>
        <w:rPr>
          <w:rFonts w:hint="eastAsia" w:ascii="宋体" w:hAnsi="宋体"/>
          <w:color w:val="000000"/>
          <w:sz w:val="24"/>
          <w:u w:val="single"/>
        </w:rPr>
        <w:t xml:space="preserve">         </w:t>
      </w:r>
      <w:r>
        <w:rPr>
          <w:rFonts w:hint="eastAsia" w:ascii="宋体" w:hAnsi="宋体"/>
          <w:color w:val="000000"/>
          <w:sz w:val="24"/>
        </w:rPr>
        <w:t>。</w:t>
      </w:r>
    </w:p>
    <w:p w14:paraId="499D094E">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3. 本合同一式6份，具有同等法律效力，</w:t>
      </w:r>
      <w:bookmarkStart w:id="31" w:name="_Hlk86651982"/>
      <w:r>
        <w:rPr>
          <w:rFonts w:hint="eastAsia" w:ascii="宋体" w:hAnsi="宋体"/>
          <w:color w:val="000000"/>
          <w:sz w:val="24"/>
        </w:rPr>
        <w:t>甲方执</w:t>
      </w:r>
      <w:r>
        <w:rPr>
          <w:rFonts w:hint="eastAsia" w:ascii="宋体" w:hAnsi="宋体"/>
          <w:color w:val="000000"/>
          <w:sz w:val="24"/>
          <w:u w:val="single"/>
        </w:rPr>
        <w:t xml:space="preserve"> </w:t>
      </w:r>
      <w:r>
        <w:rPr>
          <w:rFonts w:ascii="宋体" w:hAnsi="宋体"/>
          <w:color w:val="000000"/>
          <w:sz w:val="24"/>
          <w:u w:val="single"/>
        </w:rPr>
        <w:t>4</w:t>
      </w:r>
      <w:r>
        <w:rPr>
          <w:rFonts w:hint="eastAsia" w:ascii="宋体" w:hAnsi="宋体"/>
          <w:color w:val="000000"/>
          <w:sz w:val="24"/>
          <w:u w:val="single"/>
        </w:rPr>
        <w:t xml:space="preserve">   </w:t>
      </w:r>
      <w:r>
        <w:rPr>
          <w:rFonts w:hint="eastAsia" w:ascii="宋体" w:hAnsi="宋体"/>
          <w:color w:val="000000"/>
          <w:sz w:val="24"/>
        </w:rPr>
        <w:t>份</w:t>
      </w:r>
      <w:bookmarkEnd w:id="31"/>
      <w:r>
        <w:rPr>
          <w:rFonts w:hint="eastAsia" w:ascii="宋体" w:hAnsi="宋体"/>
          <w:color w:val="000000"/>
          <w:sz w:val="24"/>
        </w:rPr>
        <w:t>，乙方执</w:t>
      </w:r>
      <w:r>
        <w:rPr>
          <w:rFonts w:hint="eastAsia" w:ascii="宋体" w:hAnsi="宋体"/>
          <w:color w:val="000000"/>
          <w:sz w:val="24"/>
          <w:u w:val="single"/>
        </w:rPr>
        <w:t xml:space="preserve"> </w:t>
      </w:r>
      <w:r>
        <w:rPr>
          <w:rFonts w:ascii="宋体" w:hAnsi="宋体"/>
          <w:color w:val="000000"/>
          <w:sz w:val="24"/>
          <w:u w:val="single"/>
        </w:rPr>
        <w:t>2</w:t>
      </w:r>
      <w:r>
        <w:rPr>
          <w:rFonts w:hint="eastAsia" w:ascii="宋体" w:hAnsi="宋体"/>
          <w:color w:val="000000"/>
          <w:sz w:val="24"/>
          <w:u w:val="single"/>
        </w:rPr>
        <w:t xml:space="preserve">  </w:t>
      </w:r>
      <w:r>
        <w:rPr>
          <w:rFonts w:hint="eastAsia" w:ascii="宋体" w:hAnsi="宋体"/>
          <w:color w:val="000000"/>
          <w:sz w:val="24"/>
        </w:rPr>
        <w:t>份。</w:t>
      </w:r>
    </w:p>
    <w:p w14:paraId="5AF0E906">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委托人：</w:t>
      </w:r>
      <w:r>
        <w:rPr>
          <w:rFonts w:hint="eastAsia" w:ascii="宋体" w:hAnsi="宋体"/>
          <w:color w:val="000000"/>
          <w:sz w:val="24"/>
          <w:u w:val="single"/>
        </w:rPr>
        <w:t xml:space="preserve">   （盖章）   </w:t>
      </w:r>
      <w:r>
        <w:rPr>
          <w:rFonts w:hint="eastAsia" w:ascii="宋体" w:hAnsi="宋体"/>
          <w:color w:val="000000"/>
          <w:sz w:val="24"/>
        </w:rPr>
        <w:t xml:space="preserve">         监理人：</w:t>
      </w:r>
      <w:r>
        <w:rPr>
          <w:rFonts w:hint="eastAsia" w:ascii="宋体" w:hAnsi="宋体"/>
          <w:color w:val="000000"/>
          <w:sz w:val="24"/>
          <w:u w:val="single"/>
        </w:rPr>
        <w:t xml:space="preserve">   （盖章）    </w:t>
      </w:r>
    </w:p>
    <w:p w14:paraId="5AA3B9F0">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住所：</w:t>
      </w:r>
      <w:r>
        <w:rPr>
          <w:rFonts w:hint="eastAsia" w:ascii="宋体" w:hAnsi="宋体"/>
          <w:color w:val="000000"/>
          <w:sz w:val="24"/>
          <w:u w:val="single"/>
        </w:rPr>
        <w:t xml:space="preserve">                 </w:t>
      </w:r>
      <w:r>
        <w:rPr>
          <w:rFonts w:hint="eastAsia" w:ascii="宋体" w:hAnsi="宋体"/>
          <w:color w:val="000000"/>
          <w:sz w:val="24"/>
        </w:rPr>
        <w:t xml:space="preserve">        住所：</w:t>
      </w:r>
      <w:r>
        <w:rPr>
          <w:rFonts w:hint="eastAsia" w:ascii="宋体" w:hAnsi="宋体"/>
          <w:color w:val="000000"/>
          <w:sz w:val="24"/>
          <w:u w:val="single"/>
        </w:rPr>
        <w:t xml:space="preserve">         </w:t>
      </w:r>
      <w:r>
        <w:rPr>
          <w:rFonts w:hint="eastAsia" w:ascii="宋体" w:hAnsi="宋体"/>
          <w:color w:val="000000"/>
          <w:sz w:val="24"/>
        </w:rPr>
        <w:t xml:space="preserve"> </w:t>
      </w:r>
    </w:p>
    <w:p w14:paraId="6A2DFDB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邮政编码：</w:t>
      </w:r>
      <w:r>
        <w:rPr>
          <w:rFonts w:hint="eastAsia" w:ascii="宋体" w:hAnsi="宋体"/>
          <w:color w:val="000000"/>
          <w:sz w:val="24"/>
          <w:u w:val="single"/>
        </w:rPr>
        <w:t xml:space="preserve">         </w:t>
      </w:r>
    </w:p>
    <w:p w14:paraId="4A2698D1">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法定代表人或其授权             法定代表人或其授权</w:t>
      </w:r>
    </w:p>
    <w:p w14:paraId="368863BD">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的代理人：</w:t>
      </w:r>
      <w:r>
        <w:rPr>
          <w:rFonts w:hint="eastAsia" w:ascii="宋体" w:hAnsi="宋体"/>
          <w:color w:val="000000"/>
          <w:sz w:val="24"/>
          <w:u w:val="single"/>
        </w:rPr>
        <w:t xml:space="preserve">（签字）      </w:t>
      </w:r>
      <w:r>
        <w:rPr>
          <w:rFonts w:hint="eastAsia" w:ascii="宋体" w:hAnsi="宋体"/>
          <w:color w:val="000000"/>
          <w:sz w:val="24"/>
        </w:rPr>
        <w:t xml:space="preserve">        的代理人：</w:t>
      </w:r>
      <w:r>
        <w:rPr>
          <w:rFonts w:hint="eastAsia" w:ascii="宋体" w:hAnsi="宋体"/>
          <w:color w:val="000000"/>
          <w:sz w:val="24"/>
          <w:u w:val="single"/>
        </w:rPr>
        <w:t xml:space="preserve">（签字）      </w:t>
      </w:r>
    </w:p>
    <w:p w14:paraId="5B528358">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开户银行：</w:t>
      </w:r>
      <w:r>
        <w:rPr>
          <w:rFonts w:hint="eastAsia" w:ascii="宋体" w:hAnsi="宋体"/>
          <w:color w:val="000000"/>
          <w:sz w:val="24"/>
          <w:u w:val="single"/>
        </w:rPr>
        <w:t xml:space="preserve">         </w:t>
      </w:r>
    </w:p>
    <w:p w14:paraId="4C2F4DDF">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账号：</w:t>
      </w:r>
      <w:r>
        <w:rPr>
          <w:rFonts w:hint="eastAsia" w:ascii="宋体" w:hAnsi="宋体"/>
          <w:color w:val="000000"/>
          <w:sz w:val="24"/>
          <w:u w:val="single"/>
        </w:rPr>
        <w:t xml:space="preserve">          </w:t>
      </w:r>
      <w:r>
        <w:rPr>
          <w:rFonts w:hint="eastAsia" w:ascii="宋体" w:hAnsi="宋体"/>
          <w:color w:val="000000"/>
          <w:sz w:val="24"/>
        </w:rPr>
        <w:t xml:space="preserve">               账号：</w:t>
      </w:r>
      <w:r>
        <w:rPr>
          <w:rFonts w:hint="eastAsia" w:ascii="宋体" w:hAnsi="宋体"/>
          <w:color w:val="000000"/>
          <w:sz w:val="24"/>
          <w:u w:val="single"/>
        </w:rPr>
        <w:t xml:space="preserve">         </w:t>
      </w:r>
    </w:p>
    <w:p w14:paraId="0CA80752">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电话：</w:t>
      </w:r>
      <w:r>
        <w:rPr>
          <w:rFonts w:hint="eastAsia" w:ascii="宋体" w:hAnsi="宋体"/>
          <w:color w:val="000000"/>
          <w:sz w:val="24"/>
          <w:u w:val="single"/>
        </w:rPr>
        <w:t xml:space="preserve">         </w:t>
      </w:r>
    </w:p>
    <w:p w14:paraId="27910A27">
      <w:pPr>
        <w:adjustRightInd w:val="0"/>
        <w:snapToGrid w:val="0"/>
        <w:spacing w:line="360" w:lineRule="auto"/>
        <w:ind w:firstLine="475" w:firstLineChars="198"/>
        <w:rPr>
          <w:rFonts w:ascii="宋体" w:hAnsi="宋体"/>
          <w:color w:val="000000"/>
          <w:sz w:val="24"/>
        </w:rPr>
      </w:pPr>
      <w:r>
        <w:rPr>
          <w:rFonts w:hint="eastAsia" w:ascii="宋体" w:hAnsi="宋体"/>
          <w:color w:val="000000"/>
          <w:sz w:val="24"/>
        </w:rPr>
        <w:t>传真：</w:t>
      </w:r>
      <w:r>
        <w:rPr>
          <w:rFonts w:hint="eastAsia" w:ascii="宋体" w:hAnsi="宋体"/>
          <w:color w:val="000000"/>
          <w:sz w:val="24"/>
          <w:u w:val="single"/>
        </w:rPr>
        <w:t xml:space="preserve">          </w:t>
      </w:r>
      <w:r>
        <w:rPr>
          <w:rFonts w:hint="eastAsia" w:ascii="宋体" w:hAnsi="宋体"/>
          <w:color w:val="000000"/>
          <w:sz w:val="24"/>
        </w:rPr>
        <w:t xml:space="preserve">               传真：</w:t>
      </w:r>
      <w:r>
        <w:rPr>
          <w:rFonts w:hint="eastAsia" w:ascii="宋体" w:hAnsi="宋体"/>
          <w:color w:val="000000"/>
          <w:sz w:val="24"/>
          <w:u w:val="single"/>
        </w:rPr>
        <w:t xml:space="preserve">         </w:t>
      </w:r>
    </w:p>
    <w:p w14:paraId="0A0F250C">
      <w:pPr>
        <w:adjustRightInd w:val="0"/>
        <w:snapToGrid w:val="0"/>
        <w:spacing w:line="360" w:lineRule="auto"/>
        <w:ind w:firstLine="475" w:firstLineChars="198"/>
        <w:rPr>
          <w:rFonts w:ascii="宋体" w:hAnsi="宋体"/>
          <w:color w:val="000000"/>
          <w:sz w:val="24"/>
          <w:u w:val="single"/>
        </w:rPr>
      </w:pPr>
      <w:r>
        <w:rPr>
          <w:rFonts w:hint="eastAsia" w:ascii="宋体" w:hAnsi="宋体"/>
          <w:color w:val="000000"/>
          <w:sz w:val="24"/>
        </w:rPr>
        <w:t>电子邮箱：</w:t>
      </w:r>
      <w:r>
        <w:rPr>
          <w:rFonts w:hint="eastAsia" w:ascii="宋体" w:hAnsi="宋体"/>
          <w:color w:val="000000"/>
          <w:sz w:val="24"/>
          <w:u w:val="single"/>
        </w:rPr>
        <w:t xml:space="preserve">          </w:t>
      </w:r>
      <w:r>
        <w:rPr>
          <w:rFonts w:hint="eastAsia" w:ascii="宋体" w:hAnsi="宋体"/>
          <w:color w:val="000000"/>
          <w:sz w:val="24"/>
        </w:rPr>
        <w:t xml:space="preserve">           电子邮箱：</w:t>
      </w:r>
      <w:r>
        <w:rPr>
          <w:rFonts w:hint="eastAsia" w:ascii="宋体" w:hAnsi="宋体"/>
          <w:color w:val="000000"/>
          <w:sz w:val="24"/>
          <w:u w:val="single"/>
        </w:rPr>
        <w:t xml:space="preserve">         </w:t>
      </w:r>
    </w:p>
    <w:p w14:paraId="5AF4D608">
      <w:pPr>
        <w:adjustRightInd w:val="0"/>
        <w:snapToGrid w:val="0"/>
        <w:spacing w:line="360" w:lineRule="auto"/>
        <w:ind w:firstLine="475" w:firstLineChars="198"/>
        <w:rPr>
          <w:rFonts w:ascii="宋体" w:hAnsi="宋体"/>
          <w:color w:val="000000"/>
          <w:sz w:val="24"/>
          <w:u w:val="single"/>
        </w:rPr>
      </w:pPr>
    </w:p>
    <w:p w14:paraId="2471F2BE">
      <w:pPr>
        <w:tabs>
          <w:tab w:val="left" w:pos="3120"/>
        </w:tabs>
        <w:spacing w:line="360" w:lineRule="auto"/>
        <w:jc w:val="center"/>
        <w:rPr>
          <w:rFonts w:ascii="宋体" w:hAnsi="宋体"/>
          <w:bCs/>
          <w:color w:val="000000"/>
          <w:sz w:val="36"/>
          <w:szCs w:val="36"/>
        </w:rPr>
      </w:pPr>
      <w:r>
        <w:rPr>
          <w:rFonts w:hint="eastAsia" w:ascii="宋体" w:hAnsi="宋体"/>
          <w:bCs/>
          <w:color w:val="000000"/>
          <w:sz w:val="36"/>
          <w:szCs w:val="36"/>
        </w:rPr>
        <w:t>第二部分  通用条件</w:t>
      </w:r>
    </w:p>
    <w:p w14:paraId="44DC8CC0">
      <w:pPr>
        <w:spacing w:line="360" w:lineRule="exact"/>
        <w:rPr>
          <w:rFonts w:ascii="宋体" w:hAnsi="宋体"/>
          <w:color w:val="000000"/>
          <w:sz w:val="24"/>
        </w:rPr>
      </w:pPr>
      <w:r>
        <w:rPr>
          <w:rFonts w:hint="eastAsia" w:ascii="宋体" w:hAnsi="宋体"/>
          <w:color w:val="000000"/>
          <w:sz w:val="24"/>
        </w:rPr>
        <w:t>1.定义与解释</w:t>
      </w:r>
    </w:p>
    <w:p w14:paraId="0687DAB5">
      <w:pPr>
        <w:spacing w:line="360" w:lineRule="exact"/>
        <w:ind w:left="210" w:leftChars="100"/>
        <w:rPr>
          <w:rFonts w:ascii="宋体" w:hAnsi="宋体"/>
          <w:bCs/>
          <w:color w:val="000000"/>
          <w:sz w:val="24"/>
        </w:rPr>
      </w:pPr>
      <w:r>
        <w:rPr>
          <w:rFonts w:hint="eastAsia" w:ascii="宋体" w:hAnsi="宋体"/>
          <w:color w:val="000000"/>
          <w:sz w:val="24"/>
        </w:rPr>
        <w:t xml:space="preserve">1.1 </w:t>
      </w:r>
      <w:r>
        <w:rPr>
          <w:rFonts w:hint="eastAsia" w:ascii="宋体" w:hAnsi="宋体"/>
          <w:bCs/>
          <w:color w:val="000000"/>
          <w:sz w:val="24"/>
        </w:rPr>
        <w:t>定义</w:t>
      </w:r>
    </w:p>
    <w:p w14:paraId="27B2AC32">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除根据上下文另有其意义外，组成本合同的全部文件中的下列名词和用语应具有本款所赋予的含义：</w:t>
      </w:r>
    </w:p>
    <w:p w14:paraId="0CCA57AF">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1.1.1 “工程”是指按照本合同约定实施监理与相关服务的建设工程。</w:t>
      </w:r>
    </w:p>
    <w:p w14:paraId="47BB07E7">
      <w:pPr>
        <w:adjustRightInd w:val="0"/>
        <w:snapToGrid w:val="0"/>
        <w:spacing w:line="360" w:lineRule="exact"/>
        <w:ind w:firstLine="480" w:firstLineChars="200"/>
        <w:rPr>
          <w:rFonts w:ascii="宋体" w:hAnsi="宋体"/>
          <w:color w:val="FF0000"/>
          <w:sz w:val="24"/>
        </w:rPr>
      </w:pPr>
      <w:r>
        <w:rPr>
          <w:rFonts w:hint="eastAsia" w:ascii="宋体" w:hAnsi="宋体"/>
          <w:color w:val="000000"/>
          <w:sz w:val="24"/>
        </w:rPr>
        <w:t>1.1.2 “委托人”是指本合同中委托监理与相关服务的一方，及其合法的继承人或受让人。</w:t>
      </w:r>
    </w:p>
    <w:p w14:paraId="7A0C7D46">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1.1.3 “监理人”是指本合同中提供监理与相关服务的一方，及其合法的继承人。</w:t>
      </w:r>
    </w:p>
    <w:p w14:paraId="54EE8FC7">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1.1.4 “承包人”是指在工程范围内与委托人签订勘察、设计、施工等有关合同的当事人，及其合法的继承人。</w:t>
      </w:r>
    </w:p>
    <w:p w14:paraId="6FB4E140">
      <w:pPr>
        <w:pStyle w:val="19"/>
        <w:spacing w:line="360" w:lineRule="exact"/>
        <w:ind w:firstLine="570"/>
        <w:rPr>
          <w:rFonts w:hAnsi="宋体"/>
          <w:color w:val="000000"/>
          <w:sz w:val="24"/>
          <w:szCs w:val="24"/>
        </w:rPr>
      </w:pPr>
      <w:r>
        <w:rPr>
          <w:rFonts w:hint="eastAsia" w:hAnsi="宋体"/>
          <w:color w:val="000000"/>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732A89E">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1.1.6 “相关服务”是指监理人受委托人的委托 ，按照本合同约定，在勘察、设计、保修等阶段提供的服务活动。</w:t>
      </w:r>
    </w:p>
    <w:p w14:paraId="41414293">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1.1.7 “正常工作”指本合同订立时通用条件和专用条件中约定的监理人的工作。</w:t>
      </w:r>
    </w:p>
    <w:p w14:paraId="45D71C8A">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1.1.8 “附加工作”是指本合同约定的正常工作以外监理人的工作。</w:t>
      </w:r>
    </w:p>
    <w:p w14:paraId="7C06CB36">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1.1.9 “项目监理机构”是指监理人派驻工程负责履行本合同的组织机构。</w:t>
      </w:r>
    </w:p>
    <w:p w14:paraId="4AA9FE03">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1.1.10 “总监理工程师”是指由监理人的法定代表人书面授权，全面负责履行本合同、主持项目监理机构工作的注册监理工程师。</w:t>
      </w:r>
    </w:p>
    <w:p w14:paraId="17A8B3E9">
      <w:pPr>
        <w:adjustRightInd w:val="0"/>
        <w:snapToGrid w:val="0"/>
        <w:spacing w:line="360" w:lineRule="exact"/>
        <w:ind w:firstLine="475" w:firstLineChars="198"/>
        <w:rPr>
          <w:rFonts w:ascii="宋体" w:hAnsi="宋体"/>
          <w:color w:val="000000"/>
          <w:sz w:val="24"/>
        </w:rPr>
      </w:pPr>
      <w:r>
        <w:rPr>
          <w:rFonts w:hint="eastAsia" w:ascii="宋体" w:hAnsi="宋体"/>
          <w:color w:val="000000"/>
          <w:sz w:val="24"/>
        </w:rPr>
        <w:t>1.1.11 “酬金”是指监理人履行本合同义务，委托人按照本合同约定给付监理人的金额。</w:t>
      </w:r>
    </w:p>
    <w:p w14:paraId="6D6EB510">
      <w:pPr>
        <w:adjustRightInd w:val="0"/>
        <w:snapToGrid w:val="0"/>
        <w:spacing w:line="360" w:lineRule="exact"/>
        <w:ind w:firstLine="475" w:firstLineChars="198"/>
        <w:rPr>
          <w:rFonts w:ascii="宋体" w:hAnsi="宋体"/>
          <w:color w:val="000000"/>
          <w:sz w:val="24"/>
        </w:rPr>
      </w:pPr>
      <w:r>
        <w:rPr>
          <w:rFonts w:hint="eastAsia" w:ascii="宋体" w:hAnsi="宋体"/>
          <w:color w:val="000000"/>
          <w:sz w:val="24"/>
        </w:rPr>
        <w:t>1.1.12 “正常工作</w:t>
      </w:r>
      <w:r>
        <w:rPr>
          <w:rFonts w:hint="eastAsia" w:ascii="宋体" w:hAnsi="宋体" w:cs="宋体"/>
          <w:color w:val="000000"/>
          <w:kern w:val="0"/>
          <w:sz w:val="24"/>
        </w:rPr>
        <w:t>酬金”</w:t>
      </w:r>
      <w:r>
        <w:rPr>
          <w:rFonts w:hint="eastAsia" w:ascii="宋体" w:hAnsi="宋体"/>
          <w:color w:val="000000"/>
          <w:sz w:val="24"/>
        </w:rPr>
        <w:t>是指监理人完成正常工作，委托人应给付监理人并在协议书中载明的签约</w:t>
      </w:r>
      <w:r>
        <w:rPr>
          <w:rFonts w:hint="eastAsia" w:ascii="宋体" w:hAnsi="宋体" w:cs="宋体"/>
          <w:color w:val="000000"/>
          <w:kern w:val="0"/>
          <w:sz w:val="24"/>
        </w:rPr>
        <w:t>酬金额</w:t>
      </w:r>
      <w:r>
        <w:rPr>
          <w:rFonts w:hint="eastAsia" w:ascii="宋体" w:hAnsi="宋体"/>
          <w:color w:val="000000"/>
          <w:sz w:val="24"/>
        </w:rPr>
        <w:t>。</w:t>
      </w:r>
    </w:p>
    <w:p w14:paraId="7B61110B">
      <w:pPr>
        <w:adjustRightInd w:val="0"/>
        <w:snapToGrid w:val="0"/>
        <w:spacing w:line="360" w:lineRule="exact"/>
        <w:ind w:firstLine="475" w:firstLineChars="198"/>
        <w:rPr>
          <w:rFonts w:ascii="宋体" w:hAnsi="宋体"/>
          <w:color w:val="000000"/>
          <w:sz w:val="24"/>
        </w:rPr>
      </w:pPr>
      <w:r>
        <w:rPr>
          <w:rFonts w:hint="eastAsia" w:ascii="宋体" w:hAnsi="宋体"/>
          <w:color w:val="000000"/>
          <w:sz w:val="24"/>
        </w:rPr>
        <w:t>1.1.13 “附加工作酬金”是指监理人完成附加工作，委托人应给付监理人的金额。</w:t>
      </w:r>
    </w:p>
    <w:p w14:paraId="4BCFD6B4">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1.1.14 “一方”是指委托人或监理人；“双方”是指委托人和监理人；“第三方”是指除委托人和监理人以外的有关方。</w:t>
      </w:r>
    </w:p>
    <w:p w14:paraId="113477A2">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1.1.15 “书面形式”是指合同书、信件和数据电文（包括电报、电传、传真、电子数据交换和电子邮件）等可以有形地表现所载内容的形式。</w:t>
      </w:r>
    </w:p>
    <w:p w14:paraId="5575BFF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1.1.16 “天”是指第一天零时至第二天零时的时间。</w:t>
      </w:r>
    </w:p>
    <w:p w14:paraId="7B6FAD56">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1.1.17“月”是指按公历从一个月中任何一天开始的一个公历月时间。</w:t>
      </w:r>
    </w:p>
    <w:p w14:paraId="3D8397EB">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2839D92">
      <w:pPr>
        <w:adjustRightInd w:val="0"/>
        <w:snapToGrid w:val="0"/>
        <w:spacing w:line="360" w:lineRule="exact"/>
        <w:rPr>
          <w:rFonts w:ascii="宋体" w:hAnsi="宋体"/>
          <w:color w:val="000000"/>
          <w:sz w:val="24"/>
        </w:rPr>
      </w:pPr>
      <w:r>
        <w:rPr>
          <w:rFonts w:hint="eastAsia" w:ascii="宋体" w:hAnsi="宋体"/>
          <w:bCs/>
          <w:color w:val="000000"/>
          <w:sz w:val="24"/>
        </w:rPr>
        <w:t xml:space="preserve">1.2 </w:t>
      </w:r>
      <w:r>
        <w:rPr>
          <w:rFonts w:hint="eastAsia" w:ascii="宋体" w:hAnsi="宋体"/>
          <w:color w:val="000000"/>
          <w:sz w:val="24"/>
        </w:rPr>
        <w:t>解释</w:t>
      </w:r>
    </w:p>
    <w:p w14:paraId="274AFFD9">
      <w:pPr>
        <w:tabs>
          <w:tab w:val="left" w:pos="6140"/>
        </w:tabs>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1.2.1本合同使用中文书写、解释和说明。如专用条件约定使用两种及以上语言文字时，应以中文为准。</w:t>
      </w:r>
    </w:p>
    <w:p w14:paraId="744A0792">
      <w:pPr>
        <w:tabs>
          <w:tab w:val="left" w:pos="6140"/>
        </w:tabs>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1.2.2 组成本合同的下列文件彼此应能相互解释、互为说明。除专用条件另有约定外，本合同文件的解释顺序如下：</w:t>
      </w:r>
    </w:p>
    <w:p w14:paraId="5357ACEA">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（1）协议书；</w:t>
      </w:r>
    </w:p>
    <w:p w14:paraId="1204707F">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（2）中标通知书（适用于招标工程）或委托书（适用于非招标工程）；</w:t>
      </w:r>
    </w:p>
    <w:p w14:paraId="156BF7B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（3）专用条件及附录A、附录B；</w:t>
      </w:r>
    </w:p>
    <w:p w14:paraId="4A763998">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（4）通用条件；</w:t>
      </w:r>
    </w:p>
    <w:p w14:paraId="7271BECE">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（5）投标文件（适用于招标工程）或监理与相关服务建议书（适用于非招标工程）。</w:t>
      </w:r>
    </w:p>
    <w:p w14:paraId="1C6E3D09">
      <w:pPr>
        <w:spacing w:line="360" w:lineRule="exact"/>
        <w:ind w:firstLine="480" w:firstLineChars="200"/>
        <w:rPr>
          <w:rFonts w:ascii="宋体" w:hAnsi="宋体"/>
          <w:color w:val="000000"/>
          <w:sz w:val="24"/>
        </w:rPr>
      </w:pPr>
      <w:r>
        <w:rPr>
          <w:rFonts w:hint="eastAsia" w:ascii="宋体" w:hAnsi="宋体"/>
          <w:color w:val="000000"/>
          <w:sz w:val="24"/>
        </w:rPr>
        <w:t>双方签订的补充协议与其他文件发生矛盾或歧义时，属于同一类内容的文件，应以最新签署的为准。</w:t>
      </w:r>
    </w:p>
    <w:p w14:paraId="31F13B7E">
      <w:pPr>
        <w:spacing w:line="360" w:lineRule="exact"/>
        <w:rPr>
          <w:rFonts w:ascii="宋体" w:hAnsi="宋体"/>
          <w:color w:val="000000"/>
          <w:sz w:val="24"/>
        </w:rPr>
      </w:pPr>
      <w:r>
        <w:rPr>
          <w:rFonts w:hint="eastAsia" w:ascii="宋体" w:hAnsi="宋体"/>
          <w:color w:val="000000"/>
          <w:sz w:val="24"/>
        </w:rPr>
        <w:t>2. 监理人的义务</w:t>
      </w:r>
    </w:p>
    <w:p w14:paraId="0B405A8D">
      <w:pPr>
        <w:adjustRightInd w:val="0"/>
        <w:snapToGrid w:val="0"/>
        <w:spacing w:line="360" w:lineRule="exact"/>
        <w:rPr>
          <w:rFonts w:ascii="宋体" w:hAnsi="宋体"/>
          <w:bCs/>
          <w:color w:val="000000"/>
          <w:sz w:val="24"/>
        </w:rPr>
      </w:pPr>
      <w:r>
        <w:rPr>
          <w:rFonts w:hint="eastAsia" w:ascii="宋体" w:hAnsi="宋体"/>
          <w:color w:val="000000"/>
          <w:sz w:val="24"/>
        </w:rPr>
        <w:t>2.1 监理的范围和工作内容</w:t>
      </w:r>
    </w:p>
    <w:p w14:paraId="0E9AAA42">
      <w:pPr>
        <w:adjustRightInd w:val="0"/>
        <w:snapToGrid w:val="0"/>
        <w:spacing w:line="360" w:lineRule="exact"/>
        <w:ind w:left="420" w:leftChars="200"/>
        <w:rPr>
          <w:rFonts w:ascii="宋体" w:hAnsi="宋体"/>
          <w:color w:val="000000"/>
          <w:sz w:val="24"/>
        </w:rPr>
      </w:pPr>
      <w:r>
        <w:rPr>
          <w:rFonts w:hint="eastAsia" w:ascii="宋体" w:hAnsi="宋体"/>
          <w:color w:val="000000"/>
          <w:sz w:val="24"/>
        </w:rPr>
        <w:t>2.1.1 监理范围在专用条件中约定。</w:t>
      </w:r>
    </w:p>
    <w:p w14:paraId="26926B08">
      <w:pPr>
        <w:adjustRightInd w:val="0"/>
        <w:snapToGrid w:val="0"/>
        <w:spacing w:line="360" w:lineRule="exact"/>
        <w:ind w:left="420" w:leftChars="200"/>
        <w:rPr>
          <w:rFonts w:ascii="宋体" w:hAnsi="宋体"/>
          <w:color w:val="000000"/>
          <w:sz w:val="24"/>
        </w:rPr>
      </w:pPr>
      <w:r>
        <w:rPr>
          <w:rFonts w:hint="eastAsia" w:ascii="宋体" w:hAnsi="宋体"/>
          <w:color w:val="000000"/>
          <w:sz w:val="24"/>
        </w:rPr>
        <w:t>2.1.2 除专用条件另有约定外，监理工作内容包括：</w:t>
      </w:r>
    </w:p>
    <w:p w14:paraId="06F6FC72">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（1）收到工程设计文件后编制监理规划，并在第一次工地会议7天前报委托人。根据有关规定和监理工作需要，编制监理实施细则；</w:t>
      </w:r>
    </w:p>
    <w:p w14:paraId="140D4ADE">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（2）熟悉工程设计文件，并参加由委托人主持的图纸会审和设计交底会议；</w:t>
      </w:r>
    </w:p>
    <w:p w14:paraId="189F505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（3）参加由委托人主持的第一次工地会议；主持监理例会并根据工程需要主持或参加专题会议；</w:t>
      </w:r>
    </w:p>
    <w:p w14:paraId="3E432FE7">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（4）审查施工承包人提交的施工组织设计，重点审查其中的质量安全技术措施、专项施工方案与工程建设强制性标准的符合性；</w:t>
      </w:r>
    </w:p>
    <w:p w14:paraId="672D33C8">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（5）检查施工承包人工程质量、安全生产管理制度及组织机构和人员资格；</w:t>
      </w:r>
    </w:p>
    <w:p w14:paraId="7FA55928">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（6）检查施工承包人专职安全生产管理人员的配备情况；</w:t>
      </w:r>
    </w:p>
    <w:p w14:paraId="0D6EF3DB">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（7）审查施工承包人提交的施工进度计划，核查承包人对施工进度计划的调整；</w:t>
      </w:r>
    </w:p>
    <w:p w14:paraId="23768633">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（8）检查施工承包人的试验室；</w:t>
      </w:r>
    </w:p>
    <w:p w14:paraId="5932DB8E">
      <w:pPr>
        <w:adjustRightInd w:val="0"/>
        <w:snapToGrid w:val="0"/>
        <w:spacing w:line="360" w:lineRule="exact"/>
        <w:ind w:firstLine="465"/>
        <w:rPr>
          <w:rFonts w:ascii="宋体" w:hAnsi="宋体"/>
          <w:color w:val="000000"/>
          <w:sz w:val="24"/>
        </w:rPr>
      </w:pPr>
      <w:r>
        <w:rPr>
          <w:rFonts w:hint="eastAsia" w:ascii="宋体" w:hAnsi="宋体"/>
          <w:color w:val="000000"/>
          <w:sz w:val="24"/>
        </w:rPr>
        <w:t>（9）审核施工分包人资质条件；</w:t>
      </w:r>
    </w:p>
    <w:p w14:paraId="344702DA">
      <w:pPr>
        <w:adjustRightInd w:val="0"/>
        <w:snapToGrid w:val="0"/>
        <w:spacing w:line="360" w:lineRule="exact"/>
        <w:ind w:firstLine="465"/>
        <w:rPr>
          <w:rFonts w:ascii="宋体" w:hAnsi="宋体"/>
          <w:color w:val="000000"/>
          <w:sz w:val="24"/>
        </w:rPr>
      </w:pPr>
      <w:r>
        <w:rPr>
          <w:rFonts w:hint="eastAsia" w:ascii="宋体" w:hAnsi="宋体"/>
          <w:color w:val="000000"/>
          <w:sz w:val="24"/>
        </w:rPr>
        <w:t>（10）查验施工承包人的施工测量放线成果；</w:t>
      </w:r>
    </w:p>
    <w:p w14:paraId="5764EAC4">
      <w:pPr>
        <w:adjustRightInd w:val="0"/>
        <w:snapToGrid w:val="0"/>
        <w:spacing w:line="360" w:lineRule="exact"/>
        <w:ind w:firstLine="465"/>
        <w:rPr>
          <w:rFonts w:ascii="宋体" w:hAnsi="宋体"/>
          <w:color w:val="000000"/>
          <w:sz w:val="24"/>
        </w:rPr>
      </w:pPr>
      <w:r>
        <w:rPr>
          <w:rFonts w:hint="eastAsia" w:ascii="宋体" w:hAnsi="宋体"/>
          <w:color w:val="000000"/>
          <w:sz w:val="24"/>
        </w:rPr>
        <w:t>（11）审查工程开工条件，对条件具备的签发开工令；</w:t>
      </w:r>
    </w:p>
    <w:p w14:paraId="4D67E428">
      <w:pPr>
        <w:adjustRightInd w:val="0"/>
        <w:snapToGrid w:val="0"/>
        <w:spacing w:line="360" w:lineRule="exact"/>
        <w:ind w:firstLine="465"/>
        <w:rPr>
          <w:rFonts w:ascii="宋体" w:hAnsi="宋体"/>
          <w:color w:val="000000"/>
          <w:sz w:val="24"/>
        </w:rPr>
      </w:pPr>
      <w:r>
        <w:rPr>
          <w:rFonts w:hint="eastAsia" w:ascii="宋体" w:hAnsi="宋体"/>
          <w:color w:val="000000"/>
          <w:sz w:val="24"/>
        </w:rPr>
        <w:t>（12）审查施工承包人报送的工程材料、构配件、设备质量证明文件的有效性和符合性，并按规定对用于工程的材料采取平行检验或见证取样方式进行抽检；</w:t>
      </w:r>
    </w:p>
    <w:p w14:paraId="31D9581B">
      <w:pPr>
        <w:adjustRightInd w:val="0"/>
        <w:snapToGrid w:val="0"/>
        <w:spacing w:line="360" w:lineRule="exact"/>
        <w:ind w:firstLine="465"/>
        <w:rPr>
          <w:rFonts w:ascii="宋体" w:hAnsi="宋体"/>
          <w:color w:val="000000"/>
          <w:sz w:val="24"/>
        </w:rPr>
      </w:pPr>
      <w:r>
        <w:rPr>
          <w:rFonts w:hint="eastAsia" w:ascii="宋体" w:hAnsi="宋体"/>
          <w:color w:val="000000"/>
          <w:sz w:val="24"/>
        </w:rPr>
        <w:t>（13）审核施工承包人提交的工程款支付申请，签发或出具工程款支付证书，并报委托人审核、批准；</w:t>
      </w:r>
    </w:p>
    <w:p w14:paraId="76DCE1F1">
      <w:pPr>
        <w:adjustRightInd w:val="0"/>
        <w:snapToGrid w:val="0"/>
        <w:spacing w:line="360" w:lineRule="exact"/>
        <w:ind w:firstLine="465"/>
        <w:rPr>
          <w:rFonts w:ascii="宋体" w:hAnsi="宋体"/>
          <w:color w:val="000000"/>
          <w:sz w:val="24"/>
        </w:rPr>
      </w:pPr>
      <w:r>
        <w:rPr>
          <w:rFonts w:hint="eastAsia" w:ascii="宋体" w:hAnsi="宋体"/>
          <w:color w:val="000000"/>
          <w:sz w:val="24"/>
        </w:rPr>
        <w:t>（14）在巡视、旁站和检验过程中，发现工程质量、施工安全存在事故隐患的，要求施工承包人整改并报委托人；</w:t>
      </w:r>
    </w:p>
    <w:p w14:paraId="425377F1">
      <w:pPr>
        <w:adjustRightInd w:val="0"/>
        <w:snapToGrid w:val="0"/>
        <w:spacing w:line="360" w:lineRule="exact"/>
        <w:ind w:firstLine="465"/>
        <w:rPr>
          <w:rFonts w:ascii="宋体" w:hAnsi="宋体"/>
          <w:color w:val="000000"/>
          <w:sz w:val="24"/>
        </w:rPr>
      </w:pPr>
      <w:r>
        <w:rPr>
          <w:rFonts w:hint="eastAsia" w:ascii="宋体" w:hAnsi="宋体"/>
          <w:color w:val="000000"/>
          <w:sz w:val="24"/>
        </w:rPr>
        <w:t>（15）经委托人同意，签发工程暂停令和复工令；</w:t>
      </w:r>
    </w:p>
    <w:p w14:paraId="1B1E0B3F">
      <w:pPr>
        <w:adjustRightInd w:val="0"/>
        <w:snapToGrid w:val="0"/>
        <w:spacing w:line="360" w:lineRule="exact"/>
        <w:ind w:firstLine="465"/>
        <w:rPr>
          <w:rFonts w:ascii="宋体" w:hAnsi="宋体"/>
          <w:color w:val="000000"/>
          <w:sz w:val="24"/>
        </w:rPr>
      </w:pPr>
      <w:r>
        <w:rPr>
          <w:rFonts w:hint="eastAsia" w:ascii="宋体" w:hAnsi="宋体"/>
          <w:color w:val="000000"/>
          <w:sz w:val="24"/>
        </w:rPr>
        <w:t>（16）审查施工承包人提交的采用新材料、新工艺、新技术、新设备的论证材料及相关验收标准；</w:t>
      </w:r>
    </w:p>
    <w:p w14:paraId="3D3A510B">
      <w:pPr>
        <w:adjustRightInd w:val="0"/>
        <w:snapToGrid w:val="0"/>
        <w:spacing w:line="360" w:lineRule="exact"/>
        <w:ind w:firstLine="465"/>
        <w:rPr>
          <w:rFonts w:ascii="宋体" w:hAnsi="宋体"/>
          <w:color w:val="000000"/>
          <w:sz w:val="24"/>
        </w:rPr>
      </w:pPr>
      <w:r>
        <w:rPr>
          <w:rFonts w:hint="eastAsia" w:ascii="宋体" w:hAnsi="宋体"/>
          <w:color w:val="000000"/>
          <w:sz w:val="24"/>
        </w:rPr>
        <w:t>（17）验收隐蔽工程、分部分项工程；</w:t>
      </w:r>
    </w:p>
    <w:p w14:paraId="699E05B3">
      <w:pPr>
        <w:adjustRightInd w:val="0"/>
        <w:snapToGrid w:val="0"/>
        <w:spacing w:line="360" w:lineRule="exact"/>
        <w:ind w:firstLine="465"/>
        <w:rPr>
          <w:rFonts w:ascii="宋体" w:hAnsi="宋体"/>
          <w:color w:val="000000"/>
          <w:sz w:val="24"/>
        </w:rPr>
      </w:pPr>
      <w:r>
        <w:rPr>
          <w:rFonts w:hint="eastAsia" w:ascii="宋体" w:hAnsi="宋体"/>
          <w:color w:val="000000"/>
          <w:sz w:val="24"/>
        </w:rPr>
        <w:t>（18）审查施工承包人提交的工程变更申请，协调处理施工进度调整、费用索赔、合同争议等事项；</w:t>
      </w:r>
    </w:p>
    <w:p w14:paraId="415B2F21">
      <w:pPr>
        <w:adjustRightInd w:val="0"/>
        <w:snapToGrid w:val="0"/>
        <w:spacing w:line="360" w:lineRule="exact"/>
        <w:ind w:firstLine="465"/>
        <w:rPr>
          <w:rFonts w:ascii="宋体" w:hAnsi="宋体"/>
          <w:color w:val="000000"/>
          <w:sz w:val="24"/>
        </w:rPr>
      </w:pPr>
      <w:r>
        <w:rPr>
          <w:rFonts w:hint="eastAsia" w:ascii="宋体" w:hAnsi="宋体"/>
          <w:color w:val="000000"/>
          <w:sz w:val="24"/>
        </w:rPr>
        <w:t>（19）审查施工承包人提交的竣工验收申请，编写工程质量评估报告；</w:t>
      </w:r>
    </w:p>
    <w:p w14:paraId="5AC501C0">
      <w:pPr>
        <w:adjustRightInd w:val="0"/>
        <w:snapToGrid w:val="0"/>
        <w:spacing w:line="360" w:lineRule="exact"/>
        <w:ind w:firstLine="465"/>
        <w:rPr>
          <w:rFonts w:ascii="宋体" w:hAnsi="宋体"/>
          <w:color w:val="000000"/>
          <w:sz w:val="24"/>
        </w:rPr>
      </w:pPr>
      <w:r>
        <w:rPr>
          <w:rFonts w:hint="eastAsia" w:ascii="宋体" w:hAnsi="宋体"/>
          <w:color w:val="000000"/>
          <w:sz w:val="24"/>
        </w:rPr>
        <w:t>（20）参加工程竣工验收，签署竣工验收意见；</w:t>
      </w:r>
    </w:p>
    <w:p w14:paraId="184D2E1D">
      <w:pPr>
        <w:adjustRightInd w:val="0"/>
        <w:snapToGrid w:val="0"/>
        <w:spacing w:line="360" w:lineRule="exact"/>
        <w:ind w:firstLine="465"/>
        <w:rPr>
          <w:rFonts w:ascii="宋体" w:hAnsi="宋体"/>
          <w:color w:val="000000"/>
          <w:sz w:val="24"/>
        </w:rPr>
      </w:pPr>
      <w:r>
        <w:rPr>
          <w:rFonts w:hint="eastAsia" w:ascii="宋体" w:hAnsi="宋体"/>
          <w:color w:val="000000"/>
          <w:sz w:val="24"/>
        </w:rPr>
        <w:t>（21）审查施工承包人提交的竣工结算申请并报委托人；</w:t>
      </w:r>
    </w:p>
    <w:p w14:paraId="78175CB1">
      <w:pPr>
        <w:adjustRightInd w:val="0"/>
        <w:snapToGrid w:val="0"/>
        <w:spacing w:line="360" w:lineRule="exact"/>
        <w:ind w:firstLine="465"/>
        <w:rPr>
          <w:rFonts w:ascii="宋体" w:hAnsi="宋体"/>
          <w:color w:val="000000"/>
          <w:sz w:val="24"/>
        </w:rPr>
      </w:pPr>
      <w:r>
        <w:rPr>
          <w:rFonts w:hint="eastAsia" w:ascii="宋体" w:hAnsi="宋体"/>
          <w:color w:val="000000"/>
          <w:sz w:val="24"/>
        </w:rPr>
        <w:t>（22）编制、整理工程监理归档文件并报委托人。</w:t>
      </w:r>
    </w:p>
    <w:p w14:paraId="5FCDF02C">
      <w:pPr>
        <w:adjustRightInd w:val="0"/>
        <w:snapToGrid w:val="0"/>
        <w:spacing w:line="360" w:lineRule="exact"/>
        <w:ind w:firstLine="465"/>
        <w:rPr>
          <w:rFonts w:ascii="宋体" w:hAnsi="宋体"/>
          <w:color w:val="000000"/>
          <w:sz w:val="24"/>
        </w:rPr>
      </w:pPr>
      <w:r>
        <w:rPr>
          <w:rFonts w:hint="eastAsia" w:ascii="宋体" w:hAnsi="宋体"/>
          <w:color w:val="000000"/>
          <w:sz w:val="24"/>
        </w:rPr>
        <w:t>2.1.3 相关服务的范围和内容在附录A中约定。</w:t>
      </w:r>
    </w:p>
    <w:p w14:paraId="3831E7CE">
      <w:pPr>
        <w:spacing w:line="360" w:lineRule="exact"/>
        <w:rPr>
          <w:rFonts w:ascii="宋体" w:hAnsi="宋体"/>
          <w:bCs/>
          <w:color w:val="000000"/>
          <w:sz w:val="24"/>
        </w:rPr>
      </w:pPr>
      <w:r>
        <w:rPr>
          <w:rFonts w:hint="eastAsia" w:ascii="宋体" w:hAnsi="宋体"/>
          <w:color w:val="000000"/>
          <w:sz w:val="24"/>
        </w:rPr>
        <w:t xml:space="preserve">2.2 </w:t>
      </w:r>
      <w:r>
        <w:rPr>
          <w:rFonts w:hint="eastAsia" w:ascii="宋体" w:hAnsi="宋体"/>
          <w:bCs/>
          <w:color w:val="000000"/>
          <w:sz w:val="24"/>
        </w:rPr>
        <w:t>监理与相关服务依据</w:t>
      </w:r>
    </w:p>
    <w:p w14:paraId="5587AE9C">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2.2.1 监理依据包括：</w:t>
      </w:r>
    </w:p>
    <w:p w14:paraId="15C18632">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（1）适用的法律、行政法规及部门规章；</w:t>
      </w:r>
    </w:p>
    <w:p w14:paraId="71D11FE3">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（2）与工程有关的标准；</w:t>
      </w:r>
    </w:p>
    <w:p w14:paraId="1B2DCF50">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（3）工程设计及有关文件；</w:t>
      </w:r>
    </w:p>
    <w:p w14:paraId="077766BC">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（4）本合同及委托人与第三方签订的与实施工程有关的其他合同。</w:t>
      </w:r>
    </w:p>
    <w:p w14:paraId="0331B27D">
      <w:pPr>
        <w:adjustRightInd w:val="0"/>
        <w:snapToGrid w:val="0"/>
        <w:spacing w:line="360" w:lineRule="exact"/>
        <w:ind w:firstLine="480" w:firstLineChars="200"/>
        <w:rPr>
          <w:rFonts w:ascii="宋体" w:hAnsi="宋体"/>
          <w:color w:val="000000"/>
          <w:sz w:val="24"/>
        </w:rPr>
      </w:pPr>
      <w:r>
        <w:rPr>
          <w:rFonts w:hint="eastAsia" w:ascii="宋体" w:hAnsi="宋体"/>
          <w:bCs/>
          <w:color w:val="000000"/>
          <w:sz w:val="24"/>
        </w:rPr>
        <w:t>双方根据工程的行业和地域特点，在专用条件中具体约定监理依据。</w:t>
      </w:r>
    </w:p>
    <w:p w14:paraId="6AC2DB56">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2.2.2 相关服务依据在专用条件中约定。</w:t>
      </w:r>
    </w:p>
    <w:p w14:paraId="04350186">
      <w:pPr>
        <w:spacing w:line="360" w:lineRule="exact"/>
        <w:rPr>
          <w:rFonts w:ascii="宋体" w:hAnsi="宋体" w:cs="宋体"/>
          <w:color w:val="000000"/>
          <w:kern w:val="0"/>
          <w:sz w:val="24"/>
        </w:rPr>
      </w:pPr>
      <w:r>
        <w:rPr>
          <w:rFonts w:hint="eastAsia" w:ascii="宋体" w:hAnsi="宋体"/>
          <w:color w:val="000000"/>
          <w:kern w:val="0"/>
          <w:sz w:val="24"/>
        </w:rPr>
        <w:t xml:space="preserve">2.3 </w:t>
      </w:r>
      <w:r>
        <w:rPr>
          <w:rFonts w:hint="eastAsia" w:ascii="宋体" w:hAnsi="宋体" w:cs="宋体"/>
          <w:color w:val="000000"/>
          <w:kern w:val="0"/>
          <w:sz w:val="24"/>
        </w:rPr>
        <w:t>项目监理机构和人员</w:t>
      </w:r>
    </w:p>
    <w:p w14:paraId="11BBDF88">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2.3.1 监理人应组建满足工作需要的项目监理机构，配备必要的检测设备。项目监理机构的主要人员应具有相应的资格条件。</w:t>
      </w:r>
    </w:p>
    <w:p w14:paraId="404C76D1">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2.3.2本合同履行过程中，总监理工程师及重要岗位监理人员应保持相对稳定，以保证监理工作正常进行。</w:t>
      </w:r>
    </w:p>
    <w:p w14:paraId="50CC185F">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00FA1203">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2.3.4 监理人应及时更换有下列情形之一的监理人员：</w:t>
      </w:r>
    </w:p>
    <w:p w14:paraId="7A74A8AE">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（1）严重过失行为的；</w:t>
      </w:r>
    </w:p>
    <w:p w14:paraId="63BFDD10">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（2）有违法行为不能履行职责的；</w:t>
      </w:r>
    </w:p>
    <w:p w14:paraId="573D5F49">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（3）涉嫌犯罪的；</w:t>
      </w:r>
    </w:p>
    <w:p w14:paraId="7BE198F5">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（4）不能胜任岗位职责的；</w:t>
      </w:r>
    </w:p>
    <w:p w14:paraId="5A70EDE3">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（5）严重违反职业道德的；</w:t>
      </w:r>
    </w:p>
    <w:p w14:paraId="0E5C3BC6">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（6）专用条件约定的其他情形。</w:t>
      </w:r>
    </w:p>
    <w:p w14:paraId="264FCA1C">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2.3.5 委托人可要求监理人更换不能胜任本职工作的项目监理机构人员。</w:t>
      </w:r>
    </w:p>
    <w:p w14:paraId="1F49A813">
      <w:pPr>
        <w:spacing w:line="360" w:lineRule="exact"/>
        <w:rPr>
          <w:rFonts w:ascii="宋体" w:hAnsi="宋体" w:cs="宋体"/>
          <w:color w:val="000000"/>
          <w:kern w:val="0"/>
          <w:sz w:val="24"/>
        </w:rPr>
      </w:pPr>
      <w:r>
        <w:rPr>
          <w:rFonts w:hint="eastAsia" w:ascii="宋体" w:hAnsi="宋体"/>
          <w:color w:val="000000"/>
          <w:kern w:val="0"/>
          <w:sz w:val="24"/>
        </w:rPr>
        <w:t xml:space="preserve">2.4 </w:t>
      </w:r>
      <w:r>
        <w:rPr>
          <w:rFonts w:hint="eastAsia" w:ascii="宋体" w:hAnsi="宋体" w:cs="宋体"/>
          <w:color w:val="000000"/>
          <w:kern w:val="0"/>
          <w:sz w:val="24"/>
        </w:rPr>
        <w:t>履行职责</w:t>
      </w:r>
    </w:p>
    <w:p w14:paraId="39FCA72D">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监理人应遵循职业道德准则和行为规范，严格按照法律法规、工程建设有关标准及本合同履行职责。</w:t>
      </w:r>
    </w:p>
    <w:p w14:paraId="34AB2A7F">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2.4.1 在监理与相关服务范围内，委托人和承包人提出的意见和要求，监理人应及时提出处置意见。当委托人与承包人之间发生合同争议时，监理人应协助委托人、承包人协商解决。</w:t>
      </w:r>
    </w:p>
    <w:p w14:paraId="56705CB1">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2.4.2 当委托人与承包人之间的合同争议提交仲裁机构仲裁或人民法院审理时，监理人应提供必要的证明资料。</w:t>
      </w:r>
    </w:p>
    <w:p w14:paraId="4C32AEDE">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2.4.3 监理人应在专用条件约定的授权范围内，处理委托人与承包人所签订合同的变更事宜。如果变更超过授权范围，应以书面形式报委托人批准。</w:t>
      </w:r>
    </w:p>
    <w:p w14:paraId="7B9C547C">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在紧急情况下，为了保护财产和人身安全，监理人所发出的指令未能事先报委托人批准时，应在发出指令后的24小时内以书面形式报委托人。</w:t>
      </w:r>
    </w:p>
    <w:p w14:paraId="5C967356">
      <w:pPr>
        <w:spacing w:line="360" w:lineRule="exact"/>
        <w:ind w:firstLine="480" w:firstLineChars="200"/>
        <w:rPr>
          <w:rFonts w:ascii="宋体" w:hAnsi="宋体"/>
          <w:color w:val="000000"/>
          <w:kern w:val="0"/>
          <w:sz w:val="24"/>
        </w:rPr>
      </w:pPr>
      <w:r>
        <w:rPr>
          <w:rFonts w:hint="eastAsia" w:ascii="宋体" w:hAnsi="宋体"/>
          <w:color w:val="000000"/>
          <w:kern w:val="0"/>
          <w:sz w:val="24"/>
        </w:rPr>
        <w:t>2.4.4 除专用条件另有约定外，监理人发现承包人的人员不能胜任本职工作的，有权要求承包人予以调换。</w:t>
      </w:r>
    </w:p>
    <w:p w14:paraId="08ACE876">
      <w:pPr>
        <w:spacing w:line="360" w:lineRule="exact"/>
        <w:rPr>
          <w:rFonts w:ascii="宋体" w:hAnsi="宋体" w:cs="宋体"/>
          <w:color w:val="000000"/>
          <w:kern w:val="0"/>
          <w:sz w:val="24"/>
        </w:rPr>
      </w:pPr>
      <w:r>
        <w:rPr>
          <w:rFonts w:hint="eastAsia" w:ascii="宋体" w:hAnsi="宋体"/>
          <w:color w:val="000000"/>
          <w:kern w:val="0"/>
          <w:sz w:val="24"/>
        </w:rPr>
        <w:t>2.5提交</w:t>
      </w:r>
      <w:r>
        <w:rPr>
          <w:rFonts w:hint="eastAsia" w:ascii="宋体" w:hAnsi="宋体" w:cs="宋体"/>
          <w:color w:val="000000"/>
          <w:kern w:val="0"/>
          <w:sz w:val="24"/>
        </w:rPr>
        <w:t>报告</w:t>
      </w:r>
    </w:p>
    <w:p w14:paraId="4E8B5AF3">
      <w:pPr>
        <w:spacing w:line="360" w:lineRule="exact"/>
        <w:ind w:firstLine="480" w:firstLineChars="200"/>
        <w:rPr>
          <w:rFonts w:ascii="宋体" w:hAnsi="宋体"/>
          <w:color w:val="000000"/>
          <w:sz w:val="24"/>
        </w:rPr>
      </w:pPr>
      <w:r>
        <w:rPr>
          <w:rFonts w:hint="eastAsia" w:ascii="宋体" w:hAnsi="宋体"/>
          <w:color w:val="000000"/>
          <w:sz w:val="24"/>
        </w:rPr>
        <w:t>监理人应按专用条件约定的种类、时间和份数向委托人提交监理与相关服务的报告。</w:t>
      </w:r>
    </w:p>
    <w:p w14:paraId="0A40AE78">
      <w:pPr>
        <w:spacing w:line="360" w:lineRule="exact"/>
        <w:rPr>
          <w:rFonts w:ascii="宋体" w:hAnsi="宋体"/>
          <w:color w:val="000000"/>
          <w:kern w:val="0"/>
          <w:sz w:val="24"/>
        </w:rPr>
      </w:pPr>
      <w:r>
        <w:rPr>
          <w:rFonts w:hint="eastAsia" w:ascii="宋体" w:hAnsi="宋体"/>
          <w:color w:val="000000"/>
          <w:kern w:val="0"/>
          <w:sz w:val="24"/>
        </w:rPr>
        <w:t>2.6文件资料</w:t>
      </w:r>
    </w:p>
    <w:p w14:paraId="743209BD">
      <w:pPr>
        <w:spacing w:line="360" w:lineRule="exact"/>
        <w:ind w:firstLine="480" w:firstLineChars="200"/>
        <w:rPr>
          <w:rFonts w:ascii="宋体" w:hAnsi="宋体"/>
          <w:color w:val="000000"/>
          <w:sz w:val="24"/>
        </w:rPr>
      </w:pPr>
      <w:r>
        <w:rPr>
          <w:rFonts w:hint="eastAsia" w:ascii="宋体" w:hAnsi="宋体"/>
          <w:color w:val="000000"/>
          <w:kern w:val="0"/>
          <w:sz w:val="24"/>
        </w:rPr>
        <w:t>在本合同履行期内，监理人应在现场保留工作所用的图纸、报告及记录监理工</w:t>
      </w:r>
      <w:r>
        <w:rPr>
          <w:rFonts w:hint="eastAsia" w:ascii="宋体" w:hAnsi="宋体"/>
          <w:color w:val="000000"/>
          <w:sz w:val="24"/>
        </w:rPr>
        <w:t>作的相关文件。工程竣工后，应当按照档案管理规定将监理有关文件归档。</w:t>
      </w:r>
    </w:p>
    <w:p w14:paraId="5BA0CCE1">
      <w:pPr>
        <w:spacing w:line="360" w:lineRule="exact"/>
        <w:rPr>
          <w:rFonts w:ascii="宋体" w:hAnsi="宋体" w:cs="宋体"/>
          <w:color w:val="000000"/>
          <w:kern w:val="0"/>
          <w:sz w:val="24"/>
        </w:rPr>
      </w:pPr>
      <w:r>
        <w:rPr>
          <w:rFonts w:hint="eastAsia" w:ascii="宋体" w:hAnsi="宋体"/>
          <w:color w:val="000000"/>
          <w:kern w:val="0"/>
          <w:sz w:val="24"/>
        </w:rPr>
        <w:t>2.7</w:t>
      </w:r>
      <w:r>
        <w:rPr>
          <w:rFonts w:hint="eastAsia" w:ascii="宋体" w:hAnsi="宋体" w:cs="宋体"/>
          <w:color w:val="000000"/>
          <w:kern w:val="0"/>
          <w:sz w:val="24"/>
        </w:rPr>
        <w:t>使用委托人的财产</w:t>
      </w:r>
    </w:p>
    <w:p w14:paraId="47A09F69">
      <w:pPr>
        <w:spacing w:line="360" w:lineRule="exact"/>
        <w:ind w:firstLine="480" w:firstLineChars="200"/>
        <w:rPr>
          <w:rFonts w:ascii="宋体" w:hAnsi="宋体"/>
          <w:color w:val="000000"/>
          <w:sz w:val="24"/>
        </w:rPr>
      </w:pPr>
      <w:r>
        <w:rPr>
          <w:rFonts w:hint="eastAsia" w:ascii="宋体" w:hAnsi="宋体"/>
          <w:color w:val="000000"/>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08C47EA">
      <w:pPr>
        <w:spacing w:line="360" w:lineRule="exact"/>
        <w:rPr>
          <w:rFonts w:ascii="宋体" w:hAnsi="宋体"/>
          <w:color w:val="000000"/>
          <w:kern w:val="0"/>
          <w:sz w:val="24"/>
        </w:rPr>
      </w:pPr>
      <w:r>
        <w:rPr>
          <w:rFonts w:hint="eastAsia" w:ascii="宋体" w:hAnsi="宋体"/>
          <w:color w:val="000000"/>
          <w:kern w:val="0"/>
          <w:sz w:val="24"/>
        </w:rPr>
        <w:t>3.委托人的义务</w:t>
      </w:r>
    </w:p>
    <w:p w14:paraId="3ECF02CE">
      <w:pPr>
        <w:spacing w:line="360" w:lineRule="exact"/>
        <w:rPr>
          <w:rFonts w:ascii="宋体" w:hAnsi="宋体" w:cs="宋体"/>
          <w:color w:val="000000"/>
          <w:kern w:val="0"/>
          <w:sz w:val="24"/>
        </w:rPr>
      </w:pPr>
      <w:r>
        <w:rPr>
          <w:rFonts w:hint="eastAsia" w:ascii="宋体" w:hAnsi="宋体"/>
          <w:color w:val="000000"/>
          <w:kern w:val="0"/>
          <w:sz w:val="24"/>
        </w:rPr>
        <w:t>3.1</w:t>
      </w:r>
      <w:r>
        <w:rPr>
          <w:rFonts w:hint="eastAsia" w:ascii="宋体" w:hAnsi="宋体" w:cs="宋体"/>
          <w:color w:val="000000"/>
          <w:kern w:val="0"/>
          <w:sz w:val="24"/>
        </w:rPr>
        <w:t>告知</w:t>
      </w:r>
    </w:p>
    <w:p w14:paraId="1E138D13">
      <w:pPr>
        <w:spacing w:line="360" w:lineRule="exact"/>
        <w:ind w:firstLine="480" w:firstLineChars="200"/>
        <w:rPr>
          <w:rFonts w:ascii="宋体" w:hAnsi="宋体" w:cs="宋体"/>
          <w:color w:val="000000"/>
          <w:kern w:val="0"/>
          <w:sz w:val="24"/>
        </w:rPr>
      </w:pPr>
      <w:r>
        <w:rPr>
          <w:rFonts w:hint="eastAsia" w:ascii="宋体" w:hAnsi="宋体"/>
          <w:color w:val="000000"/>
          <w:kern w:val="0"/>
          <w:sz w:val="24"/>
        </w:rPr>
        <w:t>委托人应在委托人与承包人签订的合同中明确监理人、总监理工程师和授予项目监理机构的权限。如有变更，应及时通知承包人。</w:t>
      </w:r>
    </w:p>
    <w:p w14:paraId="312E09EC">
      <w:pPr>
        <w:spacing w:line="360" w:lineRule="exact"/>
        <w:rPr>
          <w:rFonts w:ascii="宋体" w:hAnsi="宋体" w:cs="宋体"/>
          <w:color w:val="000000"/>
          <w:kern w:val="0"/>
          <w:sz w:val="24"/>
        </w:rPr>
      </w:pPr>
      <w:r>
        <w:rPr>
          <w:rFonts w:hint="eastAsia" w:ascii="宋体" w:hAnsi="宋体"/>
          <w:color w:val="000000"/>
          <w:kern w:val="0"/>
          <w:sz w:val="24"/>
        </w:rPr>
        <w:t>3.2</w:t>
      </w:r>
      <w:r>
        <w:rPr>
          <w:rFonts w:hint="eastAsia" w:ascii="宋体" w:hAnsi="宋体" w:cs="宋体"/>
          <w:color w:val="000000"/>
          <w:kern w:val="0"/>
          <w:sz w:val="24"/>
        </w:rPr>
        <w:t>提供资料</w:t>
      </w:r>
    </w:p>
    <w:p w14:paraId="57056E76">
      <w:pPr>
        <w:spacing w:line="360" w:lineRule="exact"/>
        <w:ind w:firstLine="480" w:firstLineChars="200"/>
        <w:rPr>
          <w:rFonts w:ascii="宋体" w:hAnsi="宋体"/>
          <w:color w:val="000000"/>
          <w:sz w:val="24"/>
        </w:rPr>
      </w:pPr>
      <w:r>
        <w:rPr>
          <w:rFonts w:hint="eastAsia" w:ascii="宋体" w:hAnsi="宋体"/>
          <w:color w:val="000000"/>
          <w:kern w:val="0"/>
          <w:sz w:val="24"/>
        </w:rPr>
        <w:t>委托人应按照附录B约定，无偿向监理人提供工程有关的资料。</w:t>
      </w:r>
      <w:r>
        <w:rPr>
          <w:rFonts w:hint="eastAsia" w:ascii="宋体" w:hAnsi="宋体"/>
          <w:color w:val="000000"/>
          <w:sz w:val="24"/>
        </w:rPr>
        <w:t>在本合同履行过程中，委托人应及时向监理人提供最新的与工程有关的资料。</w:t>
      </w:r>
    </w:p>
    <w:p w14:paraId="545E7F81">
      <w:pPr>
        <w:spacing w:line="360" w:lineRule="exact"/>
        <w:rPr>
          <w:rFonts w:ascii="宋体" w:hAnsi="宋体" w:cs="宋体"/>
          <w:color w:val="000000"/>
          <w:kern w:val="0"/>
          <w:sz w:val="24"/>
        </w:rPr>
      </w:pPr>
      <w:r>
        <w:rPr>
          <w:rFonts w:hint="eastAsia" w:ascii="宋体" w:hAnsi="宋体"/>
          <w:color w:val="000000"/>
          <w:kern w:val="0"/>
          <w:sz w:val="24"/>
        </w:rPr>
        <w:t>3.3</w:t>
      </w:r>
      <w:r>
        <w:rPr>
          <w:rFonts w:hint="eastAsia" w:ascii="宋体" w:hAnsi="宋体" w:cs="宋体"/>
          <w:color w:val="000000"/>
          <w:kern w:val="0"/>
          <w:sz w:val="24"/>
        </w:rPr>
        <w:t>提供工作条件</w:t>
      </w:r>
    </w:p>
    <w:p w14:paraId="7BFDBD7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委托人应为监理人完成监理与相关服务提供必要的条件。</w:t>
      </w:r>
    </w:p>
    <w:p w14:paraId="3A42C4CE">
      <w:pPr>
        <w:adjustRightInd w:val="0"/>
        <w:snapToGrid w:val="0"/>
        <w:spacing w:line="360" w:lineRule="exact"/>
        <w:ind w:firstLine="480" w:firstLineChars="200"/>
        <w:rPr>
          <w:rFonts w:ascii="宋体" w:hAnsi="宋体"/>
          <w:color w:val="000000"/>
          <w:sz w:val="24"/>
        </w:rPr>
      </w:pPr>
      <w:r>
        <w:rPr>
          <w:rFonts w:hint="eastAsia" w:ascii="宋体" w:hAnsi="宋体"/>
          <w:color w:val="000000"/>
          <w:kern w:val="0"/>
          <w:sz w:val="24"/>
        </w:rPr>
        <w:t xml:space="preserve">3.3.1 </w:t>
      </w:r>
      <w:r>
        <w:rPr>
          <w:rFonts w:hint="eastAsia" w:ascii="宋体" w:hAnsi="宋体"/>
          <w:color w:val="000000"/>
          <w:sz w:val="24"/>
        </w:rPr>
        <w:t>委托人应按照附录B约定，派遣相应的人员，提供房屋、设备，供监理人</w:t>
      </w:r>
      <w:r>
        <w:rPr>
          <w:rFonts w:hint="eastAsia" w:ascii="宋体" w:hAnsi="宋体"/>
          <w:color w:val="000000"/>
          <w:kern w:val="0"/>
          <w:sz w:val="24"/>
        </w:rPr>
        <w:t>无偿</w:t>
      </w:r>
      <w:r>
        <w:rPr>
          <w:rFonts w:hint="eastAsia" w:ascii="宋体" w:hAnsi="宋体"/>
          <w:color w:val="000000"/>
          <w:sz w:val="24"/>
        </w:rPr>
        <w:t>使用。</w:t>
      </w:r>
    </w:p>
    <w:p w14:paraId="7DAF6402">
      <w:pPr>
        <w:spacing w:line="360" w:lineRule="exact"/>
        <w:ind w:firstLine="480" w:firstLineChars="200"/>
        <w:rPr>
          <w:rFonts w:ascii="宋体" w:hAnsi="宋体"/>
          <w:color w:val="000000"/>
          <w:sz w:val="24"/>
        </w:rPr>
      </w:pPr>
      <w:r>
        <w:rPr>
          <w:rFonts w:hint="eastAsia" w:ascii="宋体" w:hAnsi="宋体"/>
          <w:color w:val="000000"/>
          <w:kern w:val="0"/>
          <w:sz w:val="24"/>
        </w:rPr>
        <w:t xml:space="preserve">3.3.2 </w:t>
      </w:r>
      <w:r>
        <w:rPr>
          <w:rFonts w:hint="eastAsia" w:ascii="宋体" w:hAnsi="宋体"/>
          <w:color w:val="000000"/>
          <w:sz w:val="24"/>
        </w:rPr>
        <w:t>委托人应负责协调工程建设中所有外部关系，为监理人履行本合同提供必要的外部条件。</w:t>
      </w:r>
    </w:p>
    <w:p w14:paraId="21A1A563">
      <w:pPr>
        <w:snapToGrid w:val="0"/>
        <w:spacing w:line="360" w:lineRule="exact"/>
        <w:rPr>
          <w:rFonts w:ascii="宋体" w:hAnsi="宋体" w:cs="宋体"/>
          <w:color w:val="000000"/>
          <w:kern w:val="0"/>
          <w:sz w:val="24"/>
        </w:rPr>
      </w:pPr>
      <w:r>
        <w:rPr>
          <w:rFonts w:hint="eastAsia" w:ascii="宋体" w:hAnsi="宋体"/>
          <w:color w:val="000000"/>
          <w:kern w:val="0"/>
          <w:sz w:val="24"/>
        </w:rPr>
        <w:t>3.4</w:t>
      </w:r>
      <w:r>
        <w:rPr>
          <w:rFonts w:hint="eastAsia" w:ascii="宋体" w:hAnsi="宋体" w:cs="宋体"/>
          <w:color w:val="000000"/>
          <w:kern w:val="0"/>
          <w:sz w:val="24"/>
        </w:rPr>
        <w:t>委托人代表</w:t>
      </w:r>
    </w:p>
    <w:p w14:paraId="660C39D8">
      <w:pPr>
        <w:snapToGrid w:val="0"/>
        <w:spacing w:line="360" w:lineRule="exact"/>
        <w:ind w:firstLine="480" w:firstLineChars="200"/>
        <w:rPr>
          <w:rFonts w:ascii="宋体" w:hAnsi="宋体"/>
          <w:color w:val="000000"/>
          <w:sz w:val="24"/>
        </w:rPr>
      </w:pPr>
      <w:r>
        <w:rPr>
          <w:rFonts w:hint="eastAsia" w:ascii="宋体" w:hAnsi="宋体"/>
          <w:color w:val="000000"/>
          <w:sz w:val="24"/>
        </w:rPr>
        <w:t>委托人应授权一名熟悉工程情况的代表，负责与监理人联系。委托人应在双方签订本合同后7天内，将委托人代表的姓名和职责书面告知监理人。当委托人更换委托人代表时，应提前7天通知监理人。</w:t>
      </w:r>
    </w:p>
    <w:p w14:paraId="4D11C3C6">
      <w:pPr>
        <w:snapToGrid w:val="0"/>
        <w:spacing w:line="360" w:lineRule="exact"/>
        <w:rPr>
          <w:rFonts w:ascii="宋体" w:hAnsi="宋体" w:cs="宋体"/>
          <w:color w:val="000000"/>
          <w:kern w:val="0"/>
          <w:sz w:val="24"/>
        </w:rPr>
      </w:pPr>
      <w:r>
        <w:rPr>
          <w:rFonts w:hint="eastAsia" w:ascii="宋体" w:hAnsi="宋体"/>
          <w:color w:val="000000"/>
          <w:kern w:val="0"/>
          <w:sz w:val="24"/>
        </w:rPr>
        <w:t>3.5</w:t>
      </w:r>
      <w:r>
        <w:rPr>
          <w:rFonts w:hint="eastAsia" w:ascii="宋体" w:hAnsi="宋体" w:cs="宋体"/>
          <w:color w:val="000000"/>
          <w:kern w:val="0"/>
          <w:sz w:val="24"/>
        </w:rPr>
        <w:t>委托人意见或要求</w:t>
      </w:r>
    </w:p>
    <w:p w14:paraId="7150544C">
      <w:pPr>
        <w:snapToGrid w:val="0"/>
        <w:spacing w:line="360" w:lineRule="exact"/>
        <w:ind w:firstLine="480" w:firstLineChars="200"/>
        <w:rPr>
          <w:rFonts w:ascii="宋体" w:hAnsi="宋体"/>
          <w:color w:val="000000"/>
          <w:sz w:val="24"/>
        </w:rPr>
      </w:pPr>
      <w:r>
        <w:rPr>
          <w:rFonts w:hint="eastAsia" w:ascii="宋体" w:hAnsi="宋体"/>
          <w:color w:val="000000"/>
          <w:sz w:val="24"/>
        </w:rPr>
        <w:t>在本合同约定的监理与相关服务工作范围内，委托人对承包人的任何意见或要求应通知监理人，由监理人向承包人发出相应指令。</w:t>
      </w:r>
    </w:p>
    <w:p w14:paraId="7B212531">
      <w:pPr>
        <w:snapToGrid w:val="0"/>
        <w:spacing w:line="360" w:lineRule="exact"/>
        <w:rPr>
          <w:rFonts w:ascii="宋体" w:hAnsi="宋体" w:cs="宋体"/>
          <w:color w:val="000000"/>
          <w:kern w:val="0"/>
          <w:sz w:val="24"/>
        </w:rPr>
      </w:pPr>
      <w:r>
        <w:rPr>
          <w:rFonts w:hint="eastAsia" w:ascii="宋体" w:hAnsi="宋体"/>
          <w:color w:val="000000"/>
          <w:kern w:val="0"/>
          <w:sz w:val="24"/>
        </w:rPr>
        <w:t>3.6</w:t>
      </w:r>
      <w:r>
        <w:rPr>
          <w:rFonts w:hint="eastAsia" w:ascii="宋体" w:hAnsi="宋体" w:cs="宋体"/>
          <w:color w:val="000000"/>
          <w:kern w:val="0"/>
          <w:sz w:val="24"/>
        </w:rPr>
        <w:t>答复</w:t>
      </w:r>
    </w:p>
    <w:p w14:paraId="06606348">
      <w:pPr>
        <w:snapToGrid w:val="0"/>
        <w:spacing w:line="360" w:lineRule="exact"/>
        <w:ind w:firstLine="480" w:firstLineChars="200"/>
        <w:rPr>
          <w:rFonts w:ascii="宋体" w:hAnsi="宋体"/>
          <w:color w:val="000000"/>
          <w:sz w:val="24"/>
        </w:rPr>
      </w:pPr>
      <w:r>
        <w:rPr>
          <w:rFonts w:hint="eastAsia" w:ascii="宋体" w:hAnsi="宋体"/>
          <w:color w:val="000000"/>
          <w:sz w:val="24"/>
        </w:rPr>
        <w:t>委托人应在专用条件约定的时间内，对监理人以书面形式提交并要求作出决定的事宜，给予书面答复。逾期未答复的，视为委托人认可。</w:t>
      </w:r>
    </w:p>
    <w:p w14:paraId="7E1B2147">
      <w:pPr>
        <w:snapToGrid w:val="0"/>
        <w:spacing w:line="360" w:lineRule="exact"/>
        <w:rPr>
          <w:rFonts w:ascii="宋体" w:hAnsi="宋体" w:cs="宋体"/>
          <w:color w:val="000000"/>
          <w:kern w:val="0"/>
          <w:sz w:val="24"/>
        </w:rPr>
      </w:pPr>
      <w:r>
        <w:rPr>
          <w:rFonts w:hint="eastAsia" w:ascii="宋体" w:hAnsi="宋体"/>
          <w:color w:val="000000"/>
          <w:kern w:val="0"/>
          <w:sz w:val="24"/>
        </w:rPr>
        <w:t>3.7</w:t>
      </w:r>
      <w:r>
        <w:rPr>
          <w:rFonts w:hint="eastAsia" w:ascii="宋体" w:hAnsi="宋体" w:cs="宋体"/>
          <w:color w:val="000000"/>
          <w:kern w:val="0"/>
          <w:sz w:val="24"/>
        </w:rPr>
        <w:t>支付</w:t>
      </w:r>
    </w:p>
    <w:p w14:paraId="2CBA0E0B">
      <w:pPr>
        <w:snapToGrid w:val="0"/>
        <w:spacing w:line="360" w:lineRule="exact"/>
        <w:ind w:firstLine="480" w:firstLineChars="200"/>
        <w:rPr>
          <w:rFonts w:ascii="宋体" w:hAnsi="宋体"/>
          <w:color w:val="000000"/>
          <w:sz w:val="24"/>
        </w:rPr>
      </w:pPr>
      <w:r>
        <w:rPr>
          <w:rFonts w:hint="eastAsia" w:ascii="宋体" w:hAnsi="宋体"/>
          <w:color w:val="000000"/>
          <w:sz w:val="24"/>
        </w:rPr>
        <w:t>委托人应按本合同约定，向监理人支付酬金。</w:t>
      </w:r>
    </w:p>
    <w:p w14:paraId="4D28EFD9">
      <w:pPr>
        <w:snapToGrid w:val="0"/>
        <w:spacing w:line="360" w:lineRule="exact"/>
        <w:rPr>
          <w:rFonts w:ascii="宋体" w:hAnsi="宋体"/>
          <w:bCs/>
          <w:color w:val="000000"/>
          <w:sz w:val="24"/>
        </w:rPr>
      </w:pPr>
      <w:r>
        <w:rPr>
          <w:rFonts w:hint="eastAsia" w:ascii="宋体" w:hAnsi="宋体"/>
          <w:bCs/>
          <w:color w:val="000000"/>
          <w:sz w:val="24"/>
        </w:rPr>
        <w:t>4.违约责任</w:t>
      </w:r>
    </w:p>
    <w:p w14:paraId="22B71127">
      <w:pPr>
        <w:spacing w:line="360" w:lineRule="exact"/>
        <w:rPr>
          <w:rFonts w:ascii="宋体" w:hAnsi="宋体" w:cs="宋体"/>
          <w:color w:val="000000"/>
          <w:kern w:val="0"/>
          <w:sz w:val="24"/>
        </w:rPr>
      </w:pPr>
      <w:r>
        <w:rPr>
          <w:rFonts w:hint="eastAsia" w:ascii="宋体" w:hAnsi="宋体"/>
          <w:color w:val="000000"/>
          <w:kern w:val="0"/>
          <w:sz w:val="24"/>
        </w:rPr>
        <w:t>4.1</w:t>
      </w:r>
      <w:r>
        <w:rPr>
          <w:rFonts w:hint="eastAsia" w:ascii="宋体" w:hAnsi="宋体" w:cs="宋体"/>
          <w:color w:val="000000"/>
          <w:kern w:val="0"/>
          <w:sz w:val="24"/>
        </w:rPr>
        <w:t>监理人的违约责任</w:t>
      </w:r>
    </w:p>
    <w:p w14:paraId="5B1CE2F6">
      <w:pPr>
        <w:adjustRightInd w:val="0"/>
        <w:snapToGrid w:val="0"/>
        <w:spacing w:line="360" w:lineRule="exact"/>
        <w:ind w:firstLine="480" w:firstLineChars="200"/>
        <w:rPr>
          <w:rFonts w:ascii="宋体" w:hAnsi="宋体"/>
          <w:color w:val="000000"/>
          <w:sz w:val="24"/>
        </w:rPr>
      </w:pPr>
      <w:r>
        <w:rPr>
          <w:rFonts w:hint="eastAsia" w:ascii="宋体" w:hAnsi="宋体"/>
          <w:color w:val="000000"/>
          <w:kern w:val="0"/>
          <w:sz w:val="24"/>
        </w:rPr>
        <w:t>监理人未履行本合同义务的，应承担相应的责任。</w:t>
      </w:r>
    </w:p>
    <w:p w14:paraId="3D549EA9">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4.1.1 因监理人</w:t>
      </w:r>
      <w:r>
        <w:rPr>
          <w:rFonts w:hint="eastAsia" w:ascii="宋体" w:hAnsi="宋体" w:cs="宋体"/>
          <w:color w:val="000000"/>
          <w:kern w:val="0"/>
          <w:sz w:val="24"/>
        </w:rPr>
        <w:t>违反本合同约定</w:t>
      </w:r>
      <w:r>
        <w:rPr>
          <w:rFonts w:hint="eastAsia" w:ascii="宋体" w:hAnsi="宋体"/>
          <w:color w:val="000000"/>
          <w:sz w:val="24"/>
        </w:rPr>
        <w:t>给委托人造成损失的，监理人应当赔偿委托人损失</w:t>
      </w:r>
      <w:r>
        <w:rPr>
          <w:rFonts w:hint="eastAsia" w:ascii="宋体" w:hAnsi="宋体"/>
          <w:color w:val="000000"/>
          <w:kern w:val="0"/>
          <w:sz w:val="24"/>
        </w:rPr>
        <w:t>。赔偿金额的确定方法在专用条件中约定。监理人承担部分赔偿责任的，其承担赔偿金额由双方协商确定。</w:t>
      </w:r>
    </w:p>
    <w:p w14:paraId="11E7963C">
      <w:pPr>
        <w:spacing w:line="360" w:lineRule="exact"/>
        <w:ind w:firstLine="480" w:firstLineChars="200"/>
        <w:rPr>
          <w:rFonts w:ascii="宋体" w:hAnsi="宋体"/>
          <w:color w:val="000000"/>
          <w:kern w:val="0"/>
          <w:sz w:val="24"/>
        </w:rPr>
      </w:pPr>
      <w:r>
        <w:rPr>
          <w:rFonts w:hint="eastAsia" w:ascii="宋体" w:hAnsi="宋体"/>
          <w:color w:val="000000"/>
          <w:kern w:val="0"/>
          <w:sz w:val="24"/>
        </w:rPr>
        <w:t>4.1.2 监理人向委托人的索赔不成立时，监理人应赔偿委托人由此发生的费用。</w:t>
      </w:r>
    </w:p>
    <w:p w14:paraId="01A94B0E">
      <w:pPr>
        <w:snapToGrid w:val="0"/>
        <w:spacing w:line="360" w:lineRule="exact"/>
        <w:rPr>
          <w:rFonts w:ascii="宋体" w:hAnsi="宋体" w:cs="宋体"/>
          <w:color w:val="000000"/>
          <w:kern w:val="0"/>
          <w:sz w:val="24"/>
        </w:rPr>
      </w:pPr>
      <w:r>
        <w:rPr>
          <w:rFonts w:hint="eastAsia" w:ascii="宋体" w:hAnsi="宋体"/>
          <w:color w:val="000000"/>
          <w:kern w:val="0"/>
          <w:sz w:val="24"/>
        </w:rPr>
        <w:t>4.2委</w:t>
      </w:r>
      <w:r>
        <w:rPr>
          <w:rFonts w:hint="eastAsia" w:ascii="宋体" w:hAnsi="宋体" w:cs="宋体"/>
          <w:color w:val="000000"/>
          <w:kern w:val="0"/>
          <w:sz w:val="24"/>
        </w:rPr>
        <w:t>托人的违约责任</w:t>
      </w:r>
    </w:p>
    <w:p w14:paraId="644D4D85">
      <w:pPr>
        <w:adjustRightInd w:val="0"/>
        <w:snapToGrid w:val="0"/>
        <w:spacing w:line="360" w:lineRule="exact"/>
        <w:ind w:firstLine="480" w:firstLineChars="200"/>
        <w:rPr>
          <w:rFonts w:ascii="宋体" w:hAnsi="宋体" w:cs="宋体"/>
          <w:color w:val="000000"/>
          <w:kern w:val="0"/>
          <w:sz w:val="24"/>
        </w:rPr>
      </w:pPr>
      <w:r>
        <w:rPr>
          <w:rFonts w:hint="eastAsia" w:ascii="宋体" w:hAnsi="宋体"/>
          <w:color w:val="000000"/>
          <w:kern w:val="0"/>
          <w:sz w:val="24"/>
        </w:rPr>
        <w:t>委托人未履行本合同义务的，应承担相应的责任。</w:t>
      </w:r>
    </w:p>
    <w:p w14:paraId="1A34733C">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4.2.1 委托人违反本合同约定造成监理人损失的，委托人应予以赔偿。</w:t>
      </w:r>
    </w:p>
    <w:p w14:paraId="01261E14">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4.2.2 委托人向监理人的索赔不成立时，应赔偿监理人由此引起的费用。</w:t>
      </w:r>
    </w:p>
    <w:p w14:paraId="28CA5447">
      <w:pPr>
        <w:spacing w:line="360" w:lineRule="exact"/>
        <w:ind w:firstLine="480" w:firstLineChars="200"/>
        <w:rPr>
          <w:rFonts w:ascii="宋体" w:hAnsi="宋体"/>
          <w:color w:val="000000"/>
          <w:kern w:val="0"/>
          <w:sz w:val="24"/>
        </w:rPr>
      </w:pPr>
      <w:r>
        <w:rPr>
          <w:rFonts w:hint="eastAsia" w:ascii="宋体" w:hAnsi="宋体"/>
          <w:color w:val="000000"/>
          <w:sz w:val="24"/>
        </w:rPr>
        <w:t xml:space="preserve">4.2.3 </w:t>
      </w:r>
      <w:r>
        <w:rPr>
          <w:rFonts w:hint="eastAsia" w:ascii="宋体" w:hAnsi="宋体"/>
          <w:color w:val="000000"/>
          <w:kern w:val="0"/>
          <w:sz w:val="24"/>
        </w:rPr>
        <w:t>委托人未能按期支付</w:t>
      </w:r>
      <w:r>
        <w:rPr>
          <w:rFonts w:hint="eastAsia" w:ascii="宋体" w:hAnsi="宋体"/>
          <w:color w:val="000000"/>
          <w:sz w:val="24"/>
        </w:rPr>
        <w:t>酬金</w:t>
      </w:r>
      <w:r>
        <w:rPr>
          <w:rFonts w:hint="eastAsia" w:ascii="宋体" w:hAnsi="宋体"/>
          <w:color w:val="000000"/>
          <w:kern w:val="0"/>
          <w:sz w:val="24"/>
        </w:rPr>
        <w:t>超过28天，</w:t>
      </w:r>
      <w:r>
        <w:rPr>
          <w:rFonts w:hint="eastAsia" w:ascii="宋体" w:hAnsi="宋体" w:cs="宋体"/>
          <w:color w:val="000000"/>
          <w:kern w:val="0"/>
          <w:sz w:val="24"/>
        </w:rPr>
        <w:t>应按专用条件约定支付逾期付款利息</w:t>
      </w:r>
      <w:r>
        <w:rPr>
          <w:rFonts w:hint="eastAsia" w:ascii="宋体" w:hAnsi="宋体"/>
          <w:color w:val="000000"/>
          <w:kern w:val="0"/>
          <w:sz w:val="24"/>
        </w:rPr>
        <w:t>。</w:t>
      </w:r>
    </w:p>
    <w:p w14:paraId="0E27CC85">
      <w:pPr>
        <w:spacing w:line="360" w:lineRule="exact"/>
        <w:rPr>
          <w:rFonts w:ascii="宋体" w:hAnsi="宋体"/>
          <w:color w:val="000000"/>
          <w:kern w:val="0"/>
          <w:sz w:val="24"/>
        </w:rPr>
      </w:pPr>
      <w:r>
        <w:rPr>
          <w:rFonts w:hint="eastAsia" w:ascii="宋体" w:hAnsi="宋体"/>
          <w:color w:val="000000"/>
          <w:kern w:val="0"/>
          <w:sz w:val="24"/>
        </w:rPr>
        <w:t>4.3除外责任</w:t>
      </w:r>
    </w:p>
    <w:p w14:paraId="230C834E">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因非监理人的原因，且监理人无过错，发生工程质量事故、安全事故、工期延误等造成的损失，监理人不承担赔偿责任。</w:t>
      </w:r>
    </w:p>
    <w:p w14:paraId="63AAB977">
      <w:pPr>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因不可抗力导致本合同全部或部分不能履行时，双方各自承担其因此而造成的损失、损害。</w:t>
      </w:r>
    </w:p>
    <w:p w14:paraId="34EF138F">
      <w:pPr>
        <w:snapToGrid w:val="0"/>
        <w:spacing w:line="360" w:lineRule="exact"/>
        <w:rPr>
          <w:rFonts w:ascii="宋体" w:hAnsi="宋体"/>
          <w:bCs/>
          <w:color w:val="000000"/>
          <w:sz w:val="24"/>
        </w:rPr>
      </w:pPr>
      <w:r>
        <w:rPr>
          <w:rFonts w:hint="eastAsia" w:ascii="宋体" w:hAnsi="宋体"/>
          <w:bCs/>
          <w:color w:val="000000"/>
          <w:sz w:val="24"/>
        </w:rPr>
        <w:t>5.支付</w:t>
      </w:r>
    </w:p>
    <w:p w14:paraId="677A2747">
      <w:pPr>
        <w:snapToGrid w:val="0"/>
        <w:spacing w:line="360" w:lineRule="exact"/>
        <w:rPr>
          <w:rFonts w:ascii="宋体" w:hAnsi="宋体"/>
          <w:bCs/>
          <w:color w:val="000000"/>
          <w:sz w:val="24"/>
        </w:rPr>
      </w:pPr>
      <w:r>
        <w:rPr>
          <w:rFonts w:hint="eastAsia" w:ascii="宋体" w:hAnsi="宋体"/>
          <w:color w:val="000000"/>
          <w:sz w:val="24"/>
        </w:rPr>
        <w:t>5.1</w:t>
      </w:r>
      <w:r>
        <w:rPr>
          <w:rFonts w:hint="eastAsia" w:ascii="宋体" w:hAnsi="宋体"/>
          <w:bCs/>
          <w:color w:val="000000"/>
          <w:sz w:val="24"/>
        </w:rPr>
        <w:t>支付货币</w:t>
      </w:r>
    </w:p>
    <w:p w14:paraId="3923EF41">
      <w:pPr>
        <w:snapToGrid w:val="0"/>
        <w:spacing w:line="360" w:lineRule="exact"/>
        <w:ind w:firstLine="480" w:firstLineChars="200"/>
        <w:rPr>
          <w:rFonts w:ascii="宋体" w:hAnsi="宋体"/>
          <w:bCs/>
          <w:color w:val="000000"/>
          <w:sz w:val="24"/>
        </w:rPr>
      </w:pPr>
      <w:r>
        <w:rPr>
          <w:rFonts w:hint="eastAsia" w:ascii="宋体" w:hAnsi="宋体"/>
          <w:color w:val="000000"/>
          <w:sz w:val="24"/>
        </w:rPr>
        <w:t>除专用条件另有约定外，酬金均以人民币支付。涉及外币支付的，所采用的货币种类、比例和汇率在专用条件中约定。</w:t>
      </w:r>
    </w:p>
    <w:p w14:paraId="52BA2802">
      <w:pPr>
        <w:snapToGrid w:val="0"/>
        <w:spacing w:line="360" w:lineRule="exact"/>
        <w:rPr>
          <w:rFonts w:ascii="宋体" w:hAnsi="宋体"/>
          <w:bCs/>
          <w:color w:val="000000"/>
          <w:sz w:val="24"/>
        </w:rPr>
      </w:pPr>
      <w:r>
        <w:rPr>
          <w:rFonts w:hint="eastAsia" w:ascii="宋体" w:hAnsi="宋体"/>
          <w:color w:val="000000"/>
          <w:sz w:val="24"/>
        </w:rPr>
        <w:t>5.2支付申请</w:t>
      </w:r>
    </w:p>
    <w:p w14:paraId="4080B112">
      <w:pPr>
        <w:snapToGrid w:val="0"/>
        <w:spacing w:line="360" w:lineRule="exact"/>
        <w:ind w:firstLine="480" w:firstLineChars="200"/>
        <w:rPr>
          <w:rFonts w:ascii="宋体" w:hAnsi="宋体"/>
          <w:color w:val="000000"/>
          <w:sz w:val="24"/>
        </w:rPr>
      </w:pPr>
      <w:r>
        <w:rPr>
          <w:rFonts w:hint="eastAsia" w:ascii="宋体" w:hAnsi="宋体"/>
          <w:color w:val="000000"/>
          <w:sz w:val="24"/>
        </w:rPr>
        <w:t>监理人应在本合同约定的每次应付款时间的7天前，向委托人提交支付申请书。支付申请书应当说明当期应付款总额，并列出当期应支付的款项及其金额。</w:t>
      </w:r>
    </w:p>
    <w:p w14:paraId="5615609D">
      <w:pPr>
        <w:snapToGrid w:val="0"/>
        <w:spacing w:line="360" w:lineRule="exact"/>
        <w:rPr>
          <w:rFonts w:ascii="宋体" w:hAnsi="宋体"/>
          <w:color w:val="000000"/>
          <w:sz w:val="24"/>
        </w:rPr>
      </w:pPr>
      <w:r>
        <w:rPr>
          <w:rFonts w:hint="eastAsia" w:ascii="宋体" w:hAnsi="宋体"/>
          <w:color w:val="000000"/>
          <w:sz w:val="24"/>
        </w:rPr>
        <w:t>5.3支付酬金</w:t>
      </w:r>
    </w:p>
    <w:p w14:paraId="5236349F">
      <w:pPr>
        <w:snapToGrid w:val="0"/>
        <w:spacing w:line="360" w:lineRule="exact"/>
        <w:ind w:firstLine="480"/>
        <w:rPr>
          <w:rFonts w:ascii="宋体" w:hAnsi="宋体"/>
          <w:color w:val="000000"/>
          <w:sz w:val="24"/>
        </w:rPr>
      </w:pPr>
      <w:r>
        <w:rPr>
          <w:rFonts w:hint="eastAsia" w:ascii="宋体" w:hAnsi="宋体"/>
          <w:color w:val="000000"/>
          <w:sz w:val="24"/>
        </w:rPr>
        <w:t>支付的酬金包括正常工作酬金、附加工作酬金、合理化建议奖励金额及费用。</w:t>
      </w:r>
    </w:p>
    <w:p w14:paraId="61DDE618">
      <w:pPr>
        <w:snapToGrid w:val="0"/>
        <w:spacing w:line="360" w:lineRule="exact"/>
        <w:rPr>
          <w:rFonts w:ascii="宋体" w:hAnsi="宋体"/>
          <w:bCs/>
          <w:color w:val="000000"/>
          <w:sz w:val="24"/>
        </w:rPr>
      </w:pPr>
      <w:r>
        <w:rPr>
          <w:rFonts w:hint="eastAsia" w:ascii="宋体" w:hAnsi="宋体"/>
          <w:color w:val="000000"/>
          <w:sz w:val="24"/>
        </w:rPr>
        <w:t xml:space="preserve"> 5.4</w:t>
      </w:r>
      <w:r>
        <w:rPr>
          <w:rFonts w:hint="eastAsia" w:ascii="宋体" w:hAnsi="宋体"/>
          <w:bCs/>
          <w:color w:val="000000"/>
          <w:sz w:val="24"/>
        </w:rPr>
        <w:t>有争议部分的付款</w:t>
      </w:r>
    </w:p>
    <w:p w14:paraId="790362F7">
      <w:pPr>
        <w:snapToGrid w:val="0"/>
        <w:spacing w:line="360" w:lineRule="exact"/>
        <w:ind w:firstLine="480" w:firstLineChars="200"/>
        <w:rPr>
          <w:rFonts w:ascii="宋体" w:hAnsi="宋体"/>
          <w:color w:val="000000"/>
          <w:sz w:val="24"/>
        </w:rPr>
      </w:pPr>
      <w:r>
        <w:rPr>
          <w:rFonts w:hint="eastAsia" w:ascii="宋体" w:hAnsi="宋体"/>
          <w:color w:val="000000"/>
          <w:sz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7EF0EA2F">
      <w:pPr>
        <w:snapToGrid w:val="0"/>
        <w:spacing w:line="360" w:lineRule="exact"/>
        <w:rPr>
          <w:rFonts w:ascii="宋体" w:hAnsi="宋体"/>
          <w:bCs/>
          <w:color w:val="000000"/>
          <w:sz w:val="24"/>
        </w:rPr>
      </w:pPr>
      <w:r>
        <w:rPr>
          <w:rFonts w:hint="eastAsia" w:ascii="宋体" w:hAnsi="宋体"/>
          <w:bCs/>
          <w:color w:val="000000"/>
          <w:sz w:val="24"/>
        </w:rPr>
        <w:t>6.合同生效、变更、暂停、解除与终止</w:t>
      </w:r>
    </w:p>
    <w:p w14:paraId="52C001D6">
      <w:pPr>
        <w:spacing w:line="360" w:lineRule="exact"/>
        <w:rPr>
          <w:rFonts w:ascii="宋体" w:hAnsi="宋体"/>
          <w:color w:val="000000"/>
          <w:sz w:val="24"/>
        </w:rPr>
      </w:pPr>
      <w:r>
        <w:rPr>
          <w:rFonts w:hint="eastAsia" w:ascii="宋体" w:hAnsi="宋体"/>
          <w:color w:val="000000"/>
          <w:sz w:val="24"/>
        </w:rPr>
        <w:t>6.1生效</w:t>
      </w:r>
    </w:p>
    <w:p w14:paraId="7B6F39A1">
      <w:pPr>
        <w:spacing w:line="360" w:lineRule="exact"/>
        <w:ind w:firstLine="480" w:firstLineChars="200"/>
        <w:rPr>
          <w:rFonts w:ascii="宋体" w:hAnsi="宋体"/>
          <w:color w:val="000000"/>
          <w:sz w:val="24"/>
        </w:rPr>
      </w:pPr>
      <w:r>
        <w:rPr>
          <w:rFonts w:hint="eastAsia" w:ascii="宋体" w:hAnsi="宋体"/>
          <w:color w:val="000000"/>
          <w:sz w:val="24"/>
        </w:rPr>
        <w:t>除法律另有规定或者专用条件另有约定外，委托人和监理人的法定代表人或其授权代理人在协议书上签字并盖单位章后本合同生效。</w:t>
      </w:r>
    </w:p>
    <w:p w14:paraId="6345F676">
      <w:pPr>
        <w:snapToGrid w:val="0"/>
        <w:spacing w:line="360" w:lineRule="exact"/>
        <w:rPr>
          <w:rFonts w:ascii="宋体" w:hAnsi="宋体"/>
          <w:bCs/>
          <w:color w:val="000000"/>
          <w:sz w:val="24"/>
        </w:rPr>
      </w:pPr>
      <w:r>
        <w:rPr>
          <w:rFonts w:hint="eastAsia" w:ascii="宋体" w:hAnsi="宋体"/>
          <w:color w:val="000000"/>
          <w:sz w:val="24"/>
        </w:rPr>
        <w:t>6.2</w:t>
      </w:r>
      <w:r>
        <w:rPr>
          <w:rFonts w:hint="eastAsia" w:ascii="宋体" w:hAnsi="宋体"/>
          <w:bCs/>
          <w:color w:val="000000"/>
          <w:sz w:val="24"/>
        </w:rPr>
        <w:t>变更</w:t>
      </w:r>
    </w:p>
    <w:p w14:paraId="0C50336C">
      <w:pPr>
        <w:snapToGrid w:val="0"/>
        <w:spacing w:line="360" w:lineRule="exact"/>
        <w:ind w:firstLine="480" w:firstLineChars="200"/>
        <w:rPr>
          <w:rFonts w:ascii="宋体" w:hAnsi="宋体"/>
          <w:color w:val="000000"/>
          <w:sz w:val="24"/>
        </w:rPr>
      </w:pPr>
      <w:r>
        <w:rPr>
          <w:rFonts w:hint="eastAsia" w:ascii="宋体" w:hAnsi="宋体"/>
          <w:color w:val="000000"/>
          <w:sz w:val="24"/>
        </w:rPr>
        <w:t>6.2.1 任何一方提出变更请求时，双方经协商一致后可进行变更。</w:t>
      </w:r>
    </w:p>
    <w:p w14:paraId="754EDE2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3275268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7146C088">
      <w:pPr>
        <w:snapToGrid w:val="0"/>
        <w:spacing w:line="360" w:lineRule="exact"/>
        <w:ind w:firstLine="480" w:firstLineChars="200"/>
        <w:rPr>
          <w:rFonts w:ascii="宋体" w:hAnsi="宋体"/>
          <w:color w:val="000000"/>
          <w:sz w:val="24"/>
        </w:rPr>
      </w:pPr>
      <w:r>
        <w:rPr>
          <w:rFonts w:hint="eastAsia" w:ascii="宋体" w:hAnsi="宋体"/>
          <w:color w:val="000000"/>
          <w:sz w:val="24"/>
        </w:rPr>
        <w:t>6.2.4合同签订后，遇有与工程相关的法律法规、标准颁布或修订的，双方应遵照执行。由此引起监理与相关服务的范围、时间、酬金变化的，双方应通过协商进行相应调整。</w:t>
      </w:r>
    </w:p>
    <w:p w14:paraId="14388CEC">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6.2.5 因非监理人原因造成工程投资规模或建筑安装工程费增加时，正常工作酬金应作相应调整。调整方法在专用条件中约定。</w:t>
      </w:r>
    </w:p>
    <w:p w14:paraId="1F432091">
      <w:pPr>
        <w:snapToGrid w:val="0"/>
        <w:spacing w:line="360" w:lineRule="exact"/>
        <w:ind w:firstLine="480" w:firstLineChars="200"/>
        <w:rPr>
          <w:rFonts w:ascii="宋体" w:hAnsi="宋体"/>
          <w:color w:val="000000"/>
          <w:sz w:val="24"/>
        </w:rPr>
      </w:pPr>
      <w:r>
        <w:rPr>
          <w:rFonts w:hint="eastAsia" w:ascii="宋体" w:hAnsi="宋体"/>
          <w:color w:val="000000"/>
          <w:sz w:val="24"/>
        </w:rPr>
        <w:t>6.2.6 因工程规模、监理范围的变化导致监理人的正常工作量减少时，正常工作酬金应作相应调整。调整方法在专用条件中约定。</w:t>
      </w:r>
    </w:p>
    <w:p w14:paraId="512E4D3C">
      <w:pPr>
        <w:snapToGrid w:val="0"/>
        <w:spacing w:line="360" w:lineRule="exact"/>
        <w:rPr>
          <w:rFonts w:ascii="宋体" w:hAnsi="宋体"/>
          <w:bCs/>
          <w:color w:val="000000"/>
          <w:sz w:val="24"/>
        </w:rPr>
      </w:pPr>
      <w:r>
        <w:rPr>
          <w:rFonts w:hint="eastAsia" w:ascii="宋体" w:hAnsi="宋体"/>
          <w:color w:val="000000"/>
          <w:sz w:val="24"/>
        </w:rPr>
        <w:t>6.3 暂停与</w:t>
      </w:r>
      <w:r>
        <w:rPr>
          <w:rFonts w:hint="eastAsia" w:ascii="宋体" w:hAnsi="宋体"/>
          <w:bCs/>
          <w:color w:val="000000"/>
          <w:sz w:val="24"/>
        </w:rPr>
        <w:t>解除</w:t>
      </w:r>
    </w:p>
    <w:p w14:paraId="782D5A27">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除双方协商一致可以解除本合同外，当一方无正当理由未履行本合同约定的义务时，另一方可以根据本合同约定暂停履行本合同直至解除本合同。</w:t>
      </w:r>
    </w:p>
    <w:p w14:paraId="52A3B92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89A9E20">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因解除本合同或解除监理人的部分义务导致监理人遭受的损失，除依法可以免除责任的情况外，应由委托人予以补偿，补偿金额由双方协商确定。</w:t>
      </w:r>
    </w:p>
    <w:p w14:paraId="0C4B6467">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解除本合同的协议必须采取书面形式，协议未达成之前，本合同仍然有效。</w:t>
      </w:r>
    </w:p>
    <w:p w14:paraId="1E486F4D">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A1F7A25">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olor w:val="000000"/>
          <w:kern w:val="0"/>
          <w:sz w:val="24"/>
        </w:rPr>
        <w:t>的</w:t>
      </w:r>
      <w:r>
        <w:rPr>
          <w:rFonts w:hint="eastAsia" w:ascii="宋体" w:hAnsi="宋体"/>
          <w:color w:val="000000"/>
          <w:sz w:val="24"/>
        </w:rPr>
        <w:t>酬金支付至本合同解除日，且应承担第4.2款约定的责任。</w:t>
      </w:r>
    </w:p>
    <w:p w14:paraId="1ACEA8DD">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olor w:val="000000"/>
          <w:kern w:val="0"/>
          <w:sz w:val="24"/>
        </w:rPr>
        <w:t>的</w:t>
      </w:r>
      <w:r>
        <w:rPr>
          <w:rFonts w:hint="eastAsia" w:ascii="宋体" w:hAnsi="宋体"/>
          <w:color w:val="000000"/>
          <w:sz w:val="24"/>
        </w:rPr>
        <w:t>酬金支付至</w:t>
      </w:r>
      <w:r>
        <w:rPr>
          <w:rFonts w:hint="eastAsia" w:ascii="宋体" w:hAnsi="宋体"/>
          <w:color w:val="000000"/>
          <w:kern w:val="0"/>
          <w:sz w:val="24"/>
        </w:rPr>
        <w:t>限期改正通知到达监理人之日</w:t>
      </w:r>
      <w:r>
        <w:rPr>
          <w:rFonts w:hint="eastAsia" w:ascii="宋体" w:hAnsi="宋体"/>
          <w:color w:val="000000"/>
          <w:sz w:val="24"/>
        </w:rPr>
        <w:t>，但监理人应承担第4.1款约定的责任。</w:t>
      </w:r>
    </w:p>
    <w:p w14:paraId="09EE59E3">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CE9EDF3">
      <w:pPr>
        <w:snapToGrid w:val="0"/>
        <w:spacing w:line="360" w:lineRule="exact"/>
        <w:ind w:firstLine="480" w:firstLineChars="200"/>
        <w:rPr>
          <w:rFonts w:ascii="宋体" w:hAnsi="宋体"/>
          <w:color w:val="000000"/>
          <w:kern w:val="0"/>
          <w:sz w:val="24"/>
        </w:rPr>
      </w:pPr>
      <w:r>
        <w:rPr>
          <w:rFonts w:hint="eastAsia" w:ascii="宋体" w:hAnsi="宋体"/>
          <w:color w:val="000000"/>
          <w:sz w:val="24"/>
        </w:rPr>
        <w:t>6.3.5 因不可抗力致使本合同部分或全部不能履行时，一方应立即通知另一方，可暂停或解除本合同。</w:t>
      </w:r>
    </w:p>
    <w:p w14:paraId="7702043A">
      <w:pPr>
        <w:snapToGrid w:val="0"/>
        <w:spacing w:line="360" w:lineRule="exact"/>
        <w:ind w:firstLine="480" w:firstLineChars="200"/>
        <w:rPr>
          <w:rFonts w:ascii="宋体" w:hAnsi="宋体"/>
          <w:color w:val="000000"/>
          <w:sz w:val="24"/>
        </w:rPr>
      </w:pPr>
      <w:r>
        <w:rPr>
          <w:rFonts w:hint="eastAsia" w:ascii="宋体" w:hAnsi="宋体"/>
          <w:color w:val="000000"/>
          <w:sz w:val="24"/>
        </w:rPr>
        <w:t>6.3.6 本合同解除后，本合同约定的有关结算、清理、争议解决方式的条件仍然有效。</w:t>
      </w:r>
    </w:p>
    <w:p w14:paraId="581EEF42">
      <w:pPr>
        <w:snapToGrid w:val="0"/>
        <w:spacing w:line="360" w:lineRule="exact"/>
        <w:rPr>
          <w:rFonts w:ascii="宋体" w:hAnsi="宋体"/>
          <w:bCs/>
          <w:color w:val="000000"/>
          <w:sz w:val="24"/>
        </w:rPr>
      </w:pPr>
      <w:r>
        <w:rPr>
          <w:rFonts w:hint="eastAsia" w:ascii="宋体" w:hAnsi="宋体"/>
          <w:color w:val="000000"/>
          <w:sz w:val="24"/>
        </w:rPr>
        <w:t xml:space="preserve">6.4 </w:t>
      </w:r>
      <w:r>
        <w:rPr>
          <w:rFonts w:hint="eastAsia" w:ascii="宋体" w:hAnsi="宋体"/>
          <w:bCs/>
          <w:color w:val="000000"/>
          <w:sz w:val="24"/>
        </w:rPr>
        <w:t>终止</w:t>
      </w:r>
    </w:p>
    <w:p w14:paraId="4464445B">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以下条件全部满足时，本合同即告终止：</w:t>
      </w:r>
    </w:p>
    <w:p w14:paraId="685B8B5F">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（1）监理人完成本合同约定的全部工作；</w:t>
      </w:r>
    </w:p>
    <w:p w14:paraId="074FB5A9">
      <w:pPr>
        <w:snapToGrid w:val="0"/>
        <w:spacing w:line="360" w:lineRule="exact"/>
        <w:ind w:firstLine="480" w:firstLineChars="200"/>
        <w:rPr>
          <w:rFonts w:ascii="宋体" w:hAnsi="宋体"/>
          <w:color w:val="000000"/>
          <w:sz w:val="24"/>
        </w:rPr>
      </w:pPr>
      <w:r>
        <w:rPr>
          <w:rFonts w:hint="eastAsia" w:ascii="宋体" w:hAnsi="宋体"/>
          <w:color w:val="000000"/>
          <w:sz w:val="24"/>
        </w:rPr>
        <w:t>（2）委托人与监理人结清并支付全部酬金。</w:t>
      </w:r>
    </w:p>
    <w:p w14:paraId="5B149C2C">
      <w:pPr>
        <w:snapToGrid w:val="0"/>
        <w:spacing w:line="360" w:lineRule="exact"/>
        <w:rPr>
          <w:rFonts w:ascii="宋体" w:hAnsi="宋体"/>
          <w:bCs/>
          <w:color w:val="000000"/>
          <w:sz w:val="24"/>
        </w:rPr>
      </w:pPr>
      <w:r>
        <w:rPr>
          <w:rFonts w:hint="eastAsia" w:ascii="宋体" w:hAnsi="宋体"/>
          <w:bCs/>
          <w:color w:val="000000"/>
          <w:sz w:val="24"/>
        </w:rPr>
        <w:t>7.争议解决</w:t>
      </w:r>
    </w:p>
    <w:p w14:paraId="1B6A2D32">
      <w:pPr>
        <w:snapToGrid w:val="0"/>
        <w:spacing w:line="360" w:lineRule="exact"/>
        <w:rPr>
          <w:rFonts w:ascii="宋体" w:hAnsi="宋体"/>
          <w:bCs/>
          <w:color w:val="000000"/>
          <w:sz w:val="24"/>
        </w:rPr>
      </w:pPr>
      <w:r>
        <w:rPr>
          <w:rFonts w:hint="eastAsia" w:ascii="宋体" w:hAnsi="宋体"/>
          <w:color w:val="000000"/>
          <w:sz w:val="24"/>
        </w:rPr>
        <w:t>7.1</w:t>
      </w:r>
      <w:r>
        <w:rPr>
          <w:rFonts w:hint="eastAsia" w:ascii="宋体" w:hAnsi="宋体"/>
          <w:bCs/>
          <w:color w:val="000000"/>
          <w:sz w:val="24"/>
        </w:rPr>
        <w:t>协商</w:t>
      </w:r>
    </w:p>
    <w:p w14:paraId="5F561777">
      <w:pPr>
        <w:snapToGrid w:val="0"/>
        <w:spacing w:line="360" w:lineRule="exact"/>
        <w:ind w:firstLine="480" w:firstLineChars="200"/>
        <w:rPr>
          <w:rFonts w:ascii="宋体" w:hAnsi="宋体"/>
          <w:bCs/>
          <w:color w:val="000000"/>
          <w:sz w:val="24"/>
        </w:rPr>
      </w:pPr>
      <w:r>
        <w:rPr>
          <w:rFonts w:hint="eastAsia" w:ascii="宋体" w:hAnsi="宋体"/>
          <w:color w:val="000000"/>
          <w:sz w:val="24"/>
        </w:rPr>
        <w:t>双方应本着诚信原则协商解决彼此间的争议。</w:t>
      </w:r>
    </w:p>
    <w:p w14:paraId="038B05F2">
      <w:pPr>
        <w:snapToGrid w:val="0"/>
        <w:spacing w:line="360" w:lineRule="exact"/>
        <w:rPr>
          <w:rFonts w:ascii="宋体" w:hAnsi="宋体"/>
          <w:bCs/>
          <w:color w:val="000000"/>
          <w:sz w:val="24"/>
        </w:rPr>
      </w:pPr>
      <w:r>
        <w:rPr>
          <w:rFonts w:hint="eastAsia" w:ascii="宋体" w:hAnsi="宋体"/>
          <w:color w:val="000000"/>
          <w:sz w:val="24"/>
        </w:rPr>
        <w:t>7.2</w:t>
      </w:r>
      <w:r>
        <w:rPr>
          <w:rFonts w:hint="eastAsia" w:ascii="宋体" w:hAnsi="宋体"/>
          <w:bCs/>
          <w:color w:val="000000"/>
          <w:sz w:val="24"/>
        </w:rPr>
        <w:t>调解</w:t>
      </w:r>
    </w:p>
    <w:p w14:paraId="5E8AFE26">
      <w:pPr>
        <w:snapToGrid w:val="0"/>
        <w:spacing w:line="360" w:lineRule="exact"/>
        <w:ind w:firstLine="480" w:firstLineChars="200"/>
        <w:rPr>
          <w:rFonts w:ascii="宋体" w:hAnsi="宋体"/>
          <w:bCs/>
          <w:color w:val="000000"/>
          <w:sz w:val="24"/>
        </w:rPr>
      </w:pPr>
      <w:r>
        <w:rPr>
          <w:rFonts w:hint="eastAsia" w:ascii="宋体" w:hAnsi="宋体"/>
          <w:color w:val="000000"/>
          <w:sz w:val="24"/>
        </w:rPr>
        <w:t>如果双方不能在14天内或双方商定的其他时间内解决本合同争议，可以将其提交给专用条件约定的或事后达成协议的调解人进行调解。</w:t>
      </w:r>
    </w:p>
    <w:p w14:paraId="22B6891F">
      <w:pPr>
        <w:snapToGrid w:val="0"/>
        <w:spacing w:line="360" w:lineRule="exact"/>
        <w:rPr>
          <w:rFonts w:ascii="宋体" w:hAnsi="宋体"/>
          <w:bCs/>
          <w:color w:val="000000"/>
          <w:sz w:val="24"/>
        </w:rPr>
      </w:pPr>
      <w:r>
        <w:rPr>
          <w:rFonts w:hint="eastAsia" w:ascii="宋体" w:hAnsi="宋体"/>
          <w:color w:val="000000"/>
          <w:sz w:val="24"/>
        </w:rPr>
        <w:t>7.3</w:t>
      </w:r>
      <w:r>
        <w:rPr>
          <w:rFonts w:hint="eastAsia" w:ascii="宋体" w:hAnsi="宋体"/>
          <w:bCs/>
          <w:color w:val="000000"/>
          <w:sz w:val="24"/>
        </w:rPr>
        <w:t>仲裁或诉讼</w:t>
      </w:r>
    </w:p>
    <w:p w14:paraId="3110B5DA">
      <w:pPr>
        <w:snapToGrid w:val="0"/>
        <w:spacing w:line="360" w:lineRule="exact"/>
        <w:ind w:firstLine="480" w:firstLineChars="200"/>
        <w:rPr>
          <w:rFonts w:ascii="宋体" w:hAnsi="宋体"/>
          <w:color w:val="000000"/>
          <w:sz w:val="24"/>
        </w:rPr>
      </w:pPr>
      <w:r>
        <w:rPr>
          <w:rFonts w:hint="eastAsia" w:ascii="宋体" w:hAnsi="宋体"/>
          <w:color w:val="000000"/>
          <w:sz w:val="24"/>
        </w:rPr>
        <w:t>双方均有权不经调解直接向专用条件约定的仲裁机构申请仲裁或向有管辖权的人民法院提起诉讼。</w:t>
      </w:r>
    </w:p>
    <w:p w14:paraId="79B20AD3">
      <w:pPr>
        <w:snapToGrid w:val="0"/>
        <w:spacing w:line="360" w:lineRule="exact"/>
        <w:rPr>
          <w:rFonts w:ascii="宋体" w:hAnsi="宋体"/>
          <w:bCs/>
          <w:color w:val="000000"/>
          <w:sz w:val="24"/>
        </w:rPr>
      </w:pPr>
      <w:r>
        <w:rPr>
          <w:rFonts w:hint="eastAsia" w:ascii="宋体" w:hAnsi="宋体"/>
          <w:bCs/>
          <w:color w:val="000000"/>
          <w:sz w:val="24"/>
        </w:rPr>
        <w:t>8.其他</w:t>
      </w:r>
    </w:p>
    <w:p w14:paraId="0E5D52AF">
      <w:pPr>
        <w:spacing w:line="360" w:lineRule="exact"/>
        <w:rPr>
          <w:rFonts w:ascii="宋体" w:hAnsi="宋体"/>
          <w:bCs/>
          <w:color w:val="000000"/>
          <w:sz w:val="24"/>
        </w:rPr>
      </w:pPr>
      <w:r>
        <w:rPr>
          <w:rFonts w:hint="eastAsia" w:ascii="宋体" w:hAnsi="宋体"/>
          <w:color w:val="000000"/>
          <w:sz w:val="24"/>
        </w:rPr>
        <w:t xml:space="preserve">8.1 </w:t>
      </w:r>
      <w:r>
        <w:rPr>
          <w:rFonts w:hint="eastAsia" w:ascii="宋体" w:hAnsi="宋体"/>
          <w:bCs/>
          <w:color w:val="000000"/>
          <w:sz w:val="24"/>
        </w:rPr>
        <w:t>外出考察费用</w:t>
      </w:r>
    </w:p>
    <w:p w14:paraId="0766DB1A">
      <w:pPr>
        <w:snapToGrid w:val="0"/>
        <w:spacing w:line="360" w:lineRule="exact"/>
        <w:ind w:firstLine="480" w:firstLineChars="200"/>
        <w:rPr>
          <w:rFonts w:ascii="宋体" w:hAnsi="宋体"/>
          <w:bCs/>
          <w:color w:val="000000"/>
          <w:sz w:val="24"/>
        </w:rPr>
      </w:pPr>
      <w:r>
        <w:rPr>
          <w:rFonts w:hint="eastAsia" w:ascii="宋体" w:hAnsi="宋体"/>
          <w:color w:val="000000"/>
          <w:sz w:val="24"/>
        </w:rPr>
        <w:t>经委托人同意，监理人员外出考察发生的费用由委托人审核后支付。</w:t>
      </w:r>
    </w:p>
    <w:p w14:paraId="639B9D7D">
      <w:pPr>
        <w:snapToGrid w:val="0"/>
        <w:spacing w:line="360" w:lineRule="exact"/>
        <w:rPr>
          <w:rFonts w:ascii="宋体" w:hAnsi="宋体"/>
          <w:bCs/>
          <w:color w:val="000000"/>
          <w:sz w:val="24"/>
        </w:rPr>
      </w:pPr>
      <w:r>
        <w:rPr>
          <w:rFonts w:hint="eastAsia" w:ascii="宋体" w:hAnsi="宋体"/>
          <w:color w:val="000000"/>
          <w:sz w:val="24"/>
        </w:rPr>
        <w:t xml:space="preserve">8.2 </w:t>
      </w:r>
      <w:r>
        <w:rPr>
          <w:rFonts w:hint="eastAsia" w:ascii="宋体" w:hAnsi="宋体"/>
          <w:bCs/>
          <w:color w:val="000000"/>
          <w:sz w:val="24"/>
        </w:rPr>
        <w:t>检测费用</w:t>
      </w:r>
    </w:p>
    <w:p w14:paraId="270FB761">
      <w:pPr>
        <w:snapToGrid w:val="0"/>
        <w:spacing w:line="360" w:lineRule="exact"/>
        <w:ind w:firstLine="480" w:firstLineChars="200"/>
        <w:rPr>
          <w:rFonts w:ascii="宋体" w:hAnsi="宋体"/>
          <w:bCs/>
          <w:color w:val="000000"/>
          <w:sz w:val="24"/>
        </w:rPr>
      </w:pPr>
      <w:r>
        <w:rPr>
          <w:rFonts w:hint="eastAsia" w:ascii="宋体" w:hAnsi="宋体"/>
          <w:color w:val="000000"/>
          <w:sz w:val="24"/>
        </w:rPr>
        <w:t>委托人要求监理人进行的材料和设备检测所发生的费用，由委托人支付，支付时间在专用条件中约定。</w:t>
      </w:r>
    </w:p>
    <w:p w14:paraId="1B0E3B95">
      <w:pPr>
        <w:snapToGrid w:val="0"/>
        <w:spacing w:line="360" w:lineRule="exact"/>
        <w:rPr>
          <w:rFonts w:ascii="宋体" w:hAnsi="宋体"/>
          <w:bCs/>
          <w:color w:val="000000"/>
          <w:sz w:val="24"/>
        </w:rPr>
      </w:pPr>
      <w:r>
        <w:rPr>
          <w:rFonts w:hint="eastAsia" w:ascii="宋体" w:hAnsi="宋体"/>
          <w:color w:val="000000"/>
          <w:sz w:val="24"/>
        </w:rPr>
        <w:t xml:space="preserve">8.3 </w:t>
      </w:r>
      <w:r>
        <w:rPr>
          <w:rFonts w:hint="eastAsia" w:ascii="宋体" w:hAnsi="宋体"/>
          <w:bCs/>
          <w:color w:val="000000"/>
          <w:sz w:val="24"/>
        </w:rPr>
        <w:t>咨询费用</w:t>
      </w:r>
    </w:p>
    <w:p w14:paraId="696C6D1D">
      <w:pPr>
        <w:snapToGrid w:val="0"/>
        <w:spacing w:line="360" w:lineRule="exact"/>
        <w:ind w:firstLine="480" w:firstLineChars="200"/>
        <w:rPr>
          <w:rFonts w:ascii="宋体" w:hAnsi="宋体"/>
          <w:color w:val="000000"/>
          <w:sz w:val="24"/>
        </w:rPr>
      </w:pPr>
      <w:r>
        <w:rPr>
          <w:rFonts w:hint="eastAsia" w:ascii="宋体" w:hAnsi="宋体"/>
          <w:color w:val="000000"/>
          <w:sz w:val="24"/>
        </w:rPr>
        <w:t>经委托人同意，根据工程需要由监理人组织的相关咨询论证会以及聘请相关专家等发生的费用由委托人支付，支付时间在专用条件中约定。</w:t>
      </w:r>
    </w:p>
    <w:p w14:paraId="754E0256">
      <w:pPr>
        <w:snapToGrid w:val="0"/>
        <w:spacing w:line="360" w:lineRule="exact"/>
        <w:rPr>
          <w:rFonts w:ascii="宋体" w:hAnsi="宋体"/>
          <w:bCs/>
          <w:color w:val="000000"/>
          <w:sz w:val="24"/>
        </w:rPr>
      </w:pPr>
      <w:r>
        <w:rPr>
          <w:rFonts w:hint="eastAsia" w:ascii="宋体" w:hAnsi="宋体"/>
          <w:color w:val="000000"/>
          <w:sz w:val="24"/>
        </w:rPr>
        <w:t xml:space="preserve">8.4 </w:t>
      </w:r>
      <w:r>
        <w:rPr>
          <w:rFonts w:hint="eastAsia" w:ascii="宋体" w:hAnsi="宋体"/>
          <w:bCs/>
          <w:color w:val="000000"/>
          <w:sz w:val="24"/>
        </w:rPr>
        <w:t>奖励</w:t>
      </w:r>
    </w:p>
    <w:p w14:paraId="3E7CA9C7">
      <w:pPr>
        <w:snapToGrid w:val="0"/>
        <w:spacing w:line="360" w:lineRule="exact"/>
        <w:ind w:firstLine="480" w:firstLineChars="200"/>
        <w:rPr>
          <w:rFonts w:ascii="宋体" w:hAnsi="宋体"/>
          <w:color w:val="000000"/>
          <w:sz w:val="24"/>
        </w:rPr>
      </w:pPr>
      <w:r>
        <w:rPr>
          <w:rFonts w:hint="eastAsia" w:ascii="宋体" w:hAnsi="宋体"/>
          <w:color w:val="000000"/>
          <w:sz w:val="24"/>
        </w:rPr>
        <w:t>监理人在服务过程中提出的合理化建议，使委托人获得经济效益的，双方在专用条件中约定奖励金额的确定方法。奖励金额在合理化建议被采纳后，与最近一期的正常工作酬金同期支付。</w:t>
      </w:r>
    </w:p>
    <w:p w14:paraId="2FE0330A">
      <w:pPr>
        <w:snapToGrid w:val="0"/>
        <w:spacing w:line="360" w:lineRule="exact"/>
        <w:rPr>
          <w:rFonts w:ascii="宋体" w:hAnsi="宋体"/>
          <w:bCs/>
          <w:color w:val="000000"/>
          <w:sz w:val="24"/>
        </w:rPr>
      </w:pPr>
      <w:r>
        <w:rPr>
          <w:rFonts w:hint="eastAsia" w:ascii="宋体" w:hAnsi="宋体"/>
          <w:color w:val="000000"/>
          <w:sz w:val="24"/>
        </w:rPr>
        <w:t xml:space="preserve">8.5 </w:t>
      </w:r>
      <w:r>
        <w:rPr>
          <w:rFonts w:hint="eastAsia" w:ascii="宋体" w:hAnsi="宋体"/>
          <w:bCs/>
          <w:color w:val="000000"/>
          <w:sz w:val="24"/>
        </w:rPr>
        <w:t>守法诚信</w:t>
      </w:r>
    </w:p>
    <w:p w14:paraId="35514016">
      <w:pPr>
        <w:snapToGrid w:val="0"/>
        <w:spacing w:line="360" w:lineRule="exact"/>
        <w:ind w:firstLine="480" w:firstLineChars="200"/>
        <w:rPr>
          <w:rFonts w:ascii="宋体" w:hAnsi="宋体"/>
          <w:bCs/>
          <w:color w:val="000000"/>
          <w:sz w:val="24"/>
        </w:rPr>
      </w:pPr>
      <w:r>
        <w:rPr>
          <w:rFonts w:hint="eastAsia" w:ascii="宋体" w:hAnsi="宋体"/>
          <w:color w:val="000000"/>
          <w:sz w:val="24"/>
        </w:rPr>
        <w:t>监理人及其工作人员不得从与实施工程有关的第三方处获得任何经济利益。</w:t>
      </w:r>
    </w:p>
    <w:p w14:paraId="6CD64BA6">
      <w:pPr>
        <w:snapToGrid w:val="0"/>
        <w:spacing w:line="360" w:lineRule="exact"/>
        <w:rPr>
          <w:rFonts w:ascii="宋体" w:hAnsi="宋体"/>
          <w:bCs/>
          <w:color w:val="000000"/>
          <w:sz w:val="24"/>
        </w:rPr>
      </w:pPr>
      <w:r>
        <w:rPr>
          <w:rFonts w:hint="eastAsia" w:ascii="宋体" w:hAnsi="宋体"/>
          <w:color w:val="000000"/>
          <w:sz w:val="24"/>
        </w:rPr>
        <w:t xml:space="preserve">8.6 </w:t>
      </w:r>
      <w:r>
        <w:rPr>
          <w:rFonts w:hint="eastAsia" w:ascii="宋体" w:hAnsi="宋体"/>
          <w:bCs/>
          <w:color w:val="000000"/>
          <w:sz w:val="24"/>
        </w:rPr>
        <w:t>保密</w:t>
      </w:r>
    </w:p>
    <w:p w14:paraId="728A61EF">
      <w:pPr>
        <w:snapToGrid w:val="0"/>
        <w:spacing w:line="360" w:lineRule="exact"/>
        <w:ind w:firstLine="480" w:firstLineChars="200"/>
        <w:rPr>
          <w:rFonts w:ascii="宋体" w:hAnsi="宋体"/>
          <w:bCs/>
          <w:color w:val="000000"/>
          <w:sz w:val="24"/>
        </w:rPr>
      </w:pPr>
      <w:r>
        <w:rPr>
          <w:rFonts w:hint="eastAsia" w:ascii="宋体" w:hAnsi="宋体"/>
          <w:color w:val="000000"/>
          <w:sz w:val="24"/>
        </w:rPr>
        <w:t>双方不得泄露对方申明的保密资料，亦不得泄露与实施工程有关的第三方所提供的保密资料，保密事项在专用条件中约定。</w:t>
      </w:r>
    </w:p>
    <w:p w14:paraId="0F16C172">
      <w:pPr>
        <w:snapToGrid w:val="0"/>
        <w:spacing w:line="360" w:lineRule="exact"/>
        <w:rPr>
          <w:rFonts w:ascii="宋体" w:hAnsi="宋体"/>
          <w:bCs/>
          <w:color w:val="000000"/>
          <w:sz w:val="24"/>
        </w:rPr>
      </w:pPr>
      <w:r>
        <w:rPr>
          <w:rFonts w:hint="eastAsia" w:ascii="宋体" w:hAnsi="宋体"/>
          <w:color w:val="000000"/>
          <w:sz w:val="24"/>
        </w:rPr>
        <w:t xml:space="preserve">8.7 </w:t>
      </w:r>
      <w:r>
        <w:rPr>
          <w:rFonts w:hint="eastAsia" w:ascii="宋体" w:hAnsi="宋体"/>
          <w:bCs/>
          <w:color w:val="000000"/>
          <w:sz w:val="24"/>
        </w:rPr>
        <w:t>通知</w:t>
      </w:r>
    </w:p>
    <w:p w14:paraId="516E1E40">
      <w:pPr>
        <w:snapToGrid w:val="0"/>
        <w:spacing w:line="360" w:lineRule="exact"/>
        <w:ind w:firstLine="480" w:firstLineChars="200"/>
        <w:rPr>
          <w:rFonts w:ascii="宋体" w:hAnsi="宋体"/>
          <w:bCs/>
          <w:color w:val="000000"/>
          <w:sz w:val="24"/>
        </w:rPr>
      </w:pPr>
      <w:r>
        <w:rPr>
          <w:rFonts w:hint="eastAsia" w:ascii="宋体" w:hAnsi="宋体"/>
          <w:color w:val="000000"/>
          <w:sz w:val="24"/>
        </w:rPr>
        <w:t>本合同涉及的通知均应当采用书面形式，并在送达对方时生效，收件人应书面签收。</w:t>
      </w:r>
    </w:p>
    <w:p w14:paraId="736139F9">
      <w:pPr>
        <w:snapToGrid w:val="0"/>
        <w:spacing w:line="360" w:lineRule="exact"/>
        <w:rPr>
          <w:rFonts w:ascii="宋体" w:hAnsi="宋体"/>
          <w:bCs/>
          <w:color w:val="000000"/>
          <w:sz w:val="24"/>
        </w:rPr>
      </w:pPr>
      <w:r>
        <w:rPr>
          <w:rFonts w:hint="eastAsia" w:ascii="宋体" w:hAnsi="宋体"/>
          <w:color w:val="000000"/>
          <w:sz w:val="24"/>
        </w:rPr>
        <w:t xml:space="preserve">8.8 </w:t>
      </w:r>
      <w:r>
        <w:rPr>
          <w:rFonts w:hint="eastAsia" w:ascii="宋体" w:hAnsi="宋体"/>
          <w:bCs/>
          <w:color w:val="000000"/>
          <w:sz w:val="24"/>
        </w:rPr>
        <w:t>著作权</w:t>
      </w:r>
    </w:p>
    <w:p w14:paraId="36F1D9C1">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监理人对其编制的文件拥有著作权。</w:t>
      </w:r>
    </w:p>
    <w:p w14:paraId="5CC8F7B1">
      <w:pPr>
        <w:snapToGrid w:val="0"/>
        <w:spacing w:line="360" w:lineRule="exact"/>
        <w:ind w:firstLine="480" w:firstLineChars="200"/>
        <w:rPr>
          <w:rFonts w:ascii="宋体" w:hAnsi="宋体"/>
          <w:color w:val="000000"/>
          <w:sz w:val="24"/>
        </w:rPr>
      </w:pPr>
      <w:r>
        <w:rPr>
          <w:rFonts w:hint="eastAsia" w:ascii="宋体" w:hAnsi="宋体"/>
          <w:color w:val="000000"/>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97B5E69">
      <w:pPr>
        <w:snapToGrid w:val="0"/>
        <w:spacing w:line="360" w:lineRule="exact"/>
        <w:ind w:firstLine="480" w:firstLineChars="200"/>
        <w:rPr>
          <w:rFonts w:ascii="宋体" w:hAnsi="宋体"/>
          <w:color w:val="000000"/>
          <w:sz w:val="24"/>
        </w:rPr>
      </w:pPr>
    </w:p>
    <w:p w14:paraId="47C1DB8F">
      <w:pPr>
        <w:tabs>
          <w:tab w:val="left" w:pos="3120"/>
        </w:tabs>
        <w:spacing w:line="360" w:lineRule="auto"/>
        <w:jc w:val="center"/>
        <w:rPr>
          <w:rFonts w:ascii="宋体" w:hAnsi="宋体"/>
          <w:bCs/>
          <w:color w:val="000000"/>
          <w:sz w:val="36"/>
          <w:szCs w:val="36"/>
        </w:rPr>
      </w:pPr>
      <w:r>
        <w:rPr>
          <w:rFonts w:hint="eastAsia" w:ascii="宋体" w:hAnsi="宋体"/>
          <w:bCs/>
          <w:color w:val="000000"/>
          <w:sz w:val="36"/>
          <w:szCs w:val="36"/>
        </w:rPr>
        <w:t>第三部分  专用条件</w:t>
      </w:r>
    </w:p>
    <w:p w14:paraId="76B339FA">
      <w:pPr>
        <w:spacing w:line="360" w:lineRule="auto"/>
        <w:jc w:val="center"/>
        <w:rPr>
          <w:rFonts w:ascii="宋体" w:hAnsi="宋体"/>
          <w:color w:val="000000"/>
          <w:sz w:val="24"/>
        </w:rPr>
      </w:pPr>
    </w:p>
    <w:p w14:paraId="7CC086D8">
      <w:pPr>
        <w:adjustRightInd w:val="0"/>
        <w:snapToGrid w:val="0"/>
        <w:spacing w:line="360" w:lineRule="auto"/>
        <w:rPr>
          <w:rFonts w:ascii="宋体" w:hAnsi="宋体"/>
          <w:color w:val="000000"/>
          <w:sz w:val="24"/>
        </w:rPr>
      </w:pPr>
      <w:r>
        <w:rPr>
          <w:rFonts w:hint="eastAsia" w:ascii="宋体" w:hAnsi="宋体"/>
          <w:color w:val="000000"/>
          <w:sz w:val="24"/>
        </w:rPr>
        <w:t>1.定义与解释</w:t>
      </w:r>
    </w:p>
    <w:p w14:paraId="6BE21938">
      <w:pPr>
        <w:adjustRightInd w:val="0"/>
        <w:snapToGrid w:val="0"/>
        <w:spacing w:line="360" w:lineRule="auto"/>
        <w:rPr>
          <w:rFonts w:ascii="宋体" w:hAnsi="宋体"/>
          <w:color w:val="000000"/>
          <w:sz w:val="24"/>
        </w:rPr>
      </w:pPr>
      <w:r>
        <w:rPr>
          <w:rFonts w:hint="eastAsia" w:ascii="宋体" w:hAnsi="宋体"/>
          <w:color w:val="000000"/>
          <w:sz w:val="24"/>
        </w:rPr>
        <w:t>1.2解释</w:t>
      </w:r>
    </w:p>
    <w:p w14:paraId="6978F97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1.2.1本合同文件除使用中文外，还可用</w:t>
      </w:r>
      <w:r>
        <w:rPr>
          <w:rFonts w:hint="eastAsia" w:ascii="宋体" w:hAnsi="宋体"/>
          <w:color w:val="000000"/>
          <w:sz w:val="24"/>
          <w:u w:val="single"/>
        </w:rPr>
        <w:t xml:space="preserve"> /     </w:t>
      </w:r>
      <w:r>
        <w:rPr>
          <w:rFonts w:hint="eastAsia" w:ascii="宋体" w:hAnsi="宋体"/>
          <w:color w:val="000000"/>
          <w:sz w:val="24"/>
        </w:rPr>
        <w:t>。</w:t>
      </w:r>
    </w:p>
    <w:p w14:paraId="7925E3D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1.2.2约定本合同文件的解释顺序为：</w:t>
      </w:r>
      <w:r>
        <w:rPr>
          <w:rFonts w:hint="eastAsia" w:ascii="宋体" w:hAnsi="宋体"/>
          <w:color w:val="000000"/>
          <w:sz w:val="24"/>
          <w:u w:val="single"/>
        </w:rPr>
        <w:t>同合同协议书中组成合同文件的顺序</w:t>
      </w:r>
      <w:r>
        <w:rPr>
          <w:rFonts w:hint="eastAsia" w:ascii="宋体" w:hAnsi="宋体"/>
          <w:color w:val="000000"/>
          <w:sz w:val="24"/>
        </w:rPr>
        <w:t>。</w:t>
      </w:r>
    </w:p>
    <w:p w14:paraId="71E77131">
      <w:pPr>
        <w:adjustRightInd w:val="0"/>
        <w:snapToGrid w:val="0"/>
        <w:spacing w:line="360" w:lineRule="auto"/>
        <w:rPr>
          <w:rFonts w:ascii="宋体" w:hAnsi="宋体"/>
          <w:color w:val="000000"/>
          <w:sz w:val="24"/>
        </w:rPr>
      </w:pPr>
      <w:r>
        <w:rPr>
          <w:rFonts w:hint="eastAsia" w:ascii="宋体" w:hAnsi="宋体"/>
          <w:color w:val="000000"/>
          <w:sz w:val="24"/>
        </w:rPr>
        <w:t>2.监理人义务</w:t>
      </w:r>
    </w:p>
    <w:p w14:paraId="089205B8">
      <w:pPr>
        <w:adjustRightInd w:val="0"/>
        <w:snapToGrid w:val="0"/>
        <w:spacing w:line="360" w:lineRule="auto"/>
        <w:ind w:firstLine="235" w:firstLineChars="98"/>
        <w:rPr>
          <w:rFonts w:ascii="宋体" w:hAnsi="宋体"/>
          <w:color w:val="000000"/>
          <w:sz w:val="24"/>
        </w:rPr>
      </w:pPr>
      <w:r>
        <w:rPr>
          <w:rFonts w:hint="eastAsia" w:ascii="宋体" w:hAnsi="宋体"/>
          <w:color w:val="000000"/>
          <w:sz w:val="24"/>
        </w:rPr>
        <w:t>2.1监理的范围和</w:t>
      </w:r>
      <w:r>
        <w:rPr>
          <w:rFonts w:hint="eastAsia" w:ascii="宋体" w:hAnsi="宋体"/>
          <w:bCs/>
          <w:color w:val="000000"/>
          <w:sz w:val="24"/>
        </w:rPr>
        <w:t>内容</w:t>
      </w:r>
    </w:p>
    <w:p w14:paraId="54E559A0">
      <w:pPr>
        <w:adjustRightInd w:val="0"/>
        <w:snapToGrid w:val="0"/>
        <w:spacing w:line="360" w:lineRule="auto"/>
        <w:ind w:firstLine="240" w:firstLineChars="100"/>
        <w:rPr>
          <w:rFonts w:ascii="宋体" w:hAnsi="宋体"/>
          <w:color w:val="000000"/>
          <w:sz w:val="24"/>
        </w:rPr>
      </w:pPr>
      <w:r>
        <w:rPr>
          <w:rFonts w:hint="eastAsia" w:ascii="宋体" w:hAnsi="宋体"/>
          <w:color w:val="000000"/>
          <w:sz w:val="24"/>
        </w:rPr>
        <w:t>2.1.1监理范围包括：</w:t>
      </w:r>
    </w:p>
    <w:p w14:paraId="072AA56B">
      <w:pPr>
        <w:adjustRightInd w:val="0"/>
        <w:snapToGrid w:val="0"/>
        <w:spacing w:line="360" w:lineRule="auto"/>
        <w:ind w:firstLine="240" w:firstLineChars="100"/>
        <w:rPr>
          <w:rFonts w:ascii="宋体" w:hAnsi="宋体"/>
          <w:color w:val="000000"/>
          <w:sz w:val="24"/>
        </w:rPr>
      </w:pPr>
      <w:r>
        <w:rPr>
          <w:rFonts w:hint="eastAsia" w:ascii="宋体" w:hAnsi="宋体"/>
          <w:color w:val="000000"/>
          <w:sz w:val="24"/>
          <w:u w:val="single"/>
        </w:rPr>
        <w:t>本项目施工图范围内的全部内容，施工阶段和工程保修阶段全过程监理，对工程的工期、质量、投资及安全文明施工管理进行有效控制，并在实施过程中进行合同管理、信息管理等相关工作，同时协调有关单位之间的工作关系等</w:t>
      </w:r>
      <w:r>
        <w:rPr>
          <w:rFonts w:hint="eastAsia" w:ascii="宋体" w:hAnsi="宋体"/>
          <w:color w:val="000000"/>
          <w:sz w:val="24"/>
        </w:rPr>
        <w:t>。</w:t>
      </w:r>
    </w:p>
    <w:p w14:paraId="5B7D0692">
      <w:pPr>
        <w:adjustRightInd w:val="0"/>
        <w:snapToGrid w:val="0"/>
        <w:spacing w:line="360" w:lineRule="auto"/>
        <w:ind w:firstLine="240" w:firstLineChars="100"/>
        <w:rPr>
          <w:rFonts w:ascii="宋体" w:hAnsi="宋体"/>
          <w:color w:val="000000"/>
          <w:sz w:val="24"/>
        </w:rPr>
      </w:pPr>
      <w:r>
        <w:rPr>
          <w:rFonts w:hint="eastAsia" w:ascii="宋体" w:hAnsi="宋体"/>
          <w:color w:val="000000"/>
          <w:sz w:val="24"/>
        </w:rPr>
        <w:t>2.1.2监理工作内容还包括：</w:t>
      </w:r>
    </w:p>
    <w:p w14:paraId="64602DF4">
      <w:pPr>
        <w:adjustRightInd w:val="0"/>
        <w:snapToGrid w:val="0"/>
        <w:spacing w:line="360" w:lineRule="auto"/>
        <w:rPr>
          <w:rFonts w:ascii="宋体" w:hAnsi="宋体"/>
          <w:color w:val="000000"/>
          <w:sz w:val="24"/>
          <w:u w:val="single"/>
        </w:rPr>
      </w:pPr>
      <w:r>
        <w:rPr>
          <w:rFonts w:hint="eastAsia" w:ascii="宋体" w:hAnsi="宋体"/>
          <w:color w:val="000000"/>
          <w:sz w:val="24"/>
          <w:u w:val="single"/>
        </w:rPr>
        <w:t>1.检查开工前承包人的复测资料和现场控制点及高程点，确保建筑物定位和标高的准确；</w:t>
      </w:r>
    </w:p>
    <w:p w14:paraId="7DC58CBA">
      <w:pPr>
        <w:adjustRightInd w:val="0"/>
        <w:snapToGrid w:val="0"/>
        <w:spacing w:line="360" w:lineRule="auto"/>
        <w:rPr>
          <w:rFonts w:ascii="宋体" w:hAnsi="宋体"/>
          <w:color w:val="000000"/>
          <w:sz w:val="24"/>
          <w:u w:val="single"/>
        </w:rPr>
      </w:pPr>
      <w:r>
        <w:rPr>
          <w:rFonts w:hint="eastAsia" w:ascii="宋体" w:hAnsi="宋体"/>
          <w:color w:val="000000"/>
          <w:sz w:val="24"/>
          <w:u w:val="single"/>
        </w:rPr>
        <w:t>2.审查承包人各项施工准备工作，下达开工令；</w:t>
      </w:r>
    </w:p>
    <w:p w14:paraId="437A7BE6">
      <w:pPr>
        <w:adjustRightInd w:val="0"/>
        <w:snapToGrid w:val="0"/>
        <w:spacing w:line="360" w:lineRule="auto"/>
        <w:rPr>
          <w:rFonts w:ascii="宋体" w:hAnsi="宋体"/>
          <w:color w:val="000000"/>
          <w:sz w:val="24"/>
          <w:u w:val="single"/>
        </w:rPr>
      </w:pPr>
      <w:r>
        <w:rPr>
          <w:rFonts w:hint="eastAsia" w:ascii="宋体" w:hAnsi="宋体"/>
          <w:color w:val="000000"/>
          <w:sz w:val="24"/>
          <w:u w:val="single"/>
        </w:rPr>
        <w:t>3.督促承包人施工管理制度和质保体系的建立、健全与实施；</w:t>
      </w:r>
    </w:p>
    <w:p w14:paraId="3FCCE3AB">
      <w:pPr>
        <w:adjustRightInd w:val="0"/>
        <w:snapToGrid w:val="0"/>
        <w:spacing w:line="360" w:lineRule="auto"/>
        <w:rPr>
          <w:rFonts w:ascii="宋体" w:hAnsi="宋体"/>
          <w:color w:val="000000"/>
          <w:sz w:val="24"/>
          <w:u w:val="single"/>
        </w:rPr>
      </w:pPr>
      <w:r>
        <w:rPr>
          <w:rFonts w:hint="eastAsia" w:ascii="宋体" w:hAnsi="宋体"/>
          <w:color w:val="000000"/>
          <w:sz w:val="24"/>
          <w:u w:val="single"/>
        </w:rPr>
        <w:t>4.审查承包人提交的施工组织设计、施工技术方案和施工进度计划，并督促其实施；</w:t>
      </w:r>
    </w:p>
    <w:p w14:paraId="1B287F66">
      <w:pPr>
        <w:adjustRightInd w:val="0"/>
        <w:snapToGrid w:val="0"/>
        <w:spacing w:line="360" w:lineRule="auto"/>
        <w:rPr>
          <w:rFonts w:ascii="宋体" w:hAnsi="宋体"/>
          <w:color w:val="000000"/>
          <w:sz w:val="24"/>
          <w:u w:val="single"/>
        </w:rPr>
      </w:pPr>
      <w:r>
        <w:rPr>
          <w:rFonts w:hint="eastAsia" w:ascii="宋体" w:hAnsi="宋体"/>
          <w:color w:val="000000"/>
          <w:sz w:val="24"/>
          <w:u w:val="single"/>
        </w:rPr>
        <w:t>5.协助组织设计交底，图纸会审，审查设计变更；</w:t>
      </w:r>
    </w:p>
    <w:p w14:paraId="29062247">
      <w:pPr>
        <w:adjustRightInd w:val="0"/>
        <w:snapToGrid w:val="0"/>
        <w:spacing w:line="360" w:lineRule="auto"/>
        <w:rPr>
          <w:rFonts w:ascii="宋体" w:hAnsi="宋体"/>
          <w:color w:val="000000"/>
          <w:sz w:val="24"/>
          <w:u w:val="single"/>
        </w:rPr>
      </w:pPr>
      <w:r>
        <w:rPr>
          <w:rFonts w:hint="eastAsia" w:ascii="宋体" w:hAnsi="宋体"/>
          <w:color w:val="000000"/>
          <w:sz w:val="24"/>
          <w:u w:val="single"/>
        </w:rPr>
        <w:t>6.编制投资控制计划，复核已完工程量，签署工程付款凭证；</w:t>
      </w:r>
    </w:p>
    <w:p w14:paraId="5EF40C7C">
      <w:pPr>
        <w:adjustRightInd w:val="0"/>
        <w:snapToGrid w:val="0"/>
        <w:spacing w:line="360" w:lineRule="auto"/>
        <w:rPr>
          <w:rFonts w:ascii="宋体" w:hAnsi="宋体"/>
          <w:color w:val="000000"/>
          <w:sz w:val="24"/>
          <w:u w:val="single"/>
        </w:rPr>
      </w:pPr>
      <w:r>
        <w:rPr>
          <w:rFonts w:hint="eastAsia" w:ascii="宋体" w:hAnsi="宋体"/>
          <w:color w:val="000000"/>
          <w:sz w:val="24"/>
          <w:u w:val="single"/>
        </w:rPr>
        <w:t>7.审查工程使用的原材料、半成品、成品、构配件和设备的质量，必要时进行测试和监控；</w:t>
      </w:r>
    </w:p>
    <w:p w14:paraId="3CC28C3C">
      <w:pPr>
        <w:adjustRightInd w:val="0"/>
        <w:snapToGrid w:val="0"/>
        <w:spacing w:line="360" w:lineRule="auto"/>
        <w:rPr>
          <w:rFonts w:ascii="宋体" w:hAnsi="宋体"/>
          <w:color w:val="000000"/>
          <w:sz w:val="24"/>
          <w:u w:val="single"/>
        </w:rPr>
      </w:pPr>
      <w:r>
        <w:rPr>
          <w:rFonts w:hint="eastAsia" w:ascii="宋体" w:hAnsi="宋体"/>
          <w:color w:val="000000"/>
          <w:sz w:val="24"/>
          <w:u w:val="single"/>
        </w:rPr>
        <w:t>8.监督承包人严格按技术和设计文件施工，控制工程质量，重要工程部位督促承包人实施预控措施；</w:t>
      </w:r>
    </w:p>
    <w:p w14:paraId="64D3E7AD">
      <w:pPr>
        <w:adjustRightInd w:val="0"/>
        <w:snapToGrid w:val="0"/>
        <w:spacing w:line="360" w:lineRule="auto"/>
        <w:rPr>
          <w:rFonts w:ascii="宋体" w:hAnsi="宋体"/>
          <w:color w:val="000000"/>
          <w:sz w:val="24"/>
          <w:u w:val="single"/>
        </w:rPr>
      </w:pPr>
      <w:r>
        <w:rPr>
          <w:rFonts w:hint="eastAsia" w:ascii="宋体" w:hAnsi="宋体"/>
          <w:color w:val="000000"/>
          <w:sz w:val="24"/>
          <w:u w:val="single"/>
        </w:rPr>
        <w:t>9.检查控制工程施工质量，对隐蔽工程进行复验签证参与工程质量事故的分析及处理；</w:t>
      </w:r>
    </w:p>
    <w:p w14:paraId="283AE84B">
      <w:pPr>
        <w:adjustRightInd w:val="0"/>
        <w:snapToGrid w:val="0"/>
        <w:spacing w:line="360" w:lineRule="auto"/>
        <w:rPr>
          <w:rFonts w:ascii="宋体" w:hAnsi="宋体"/>
          <w:color w:val="000000"/>
          <w:sz w:val="24"/>
          <w:u w:val="single"/>
        </w:rPr>
      </w:pPr>
      <w:r>
        <w:rPr>
          <w:rFonts w:hint="eastAsia" w:ascii="宋体" w:hAnsi="宋体"/>
          <w:color w:val="000000"/>
          <w:sz w:val="24"/>
          <w:u w:val="single"/>
        </w:rPr>
        <w:t>10.分阶段进行进度控制，及时提出调整意见；</w:t>
      </w:r>
    </w:p>
    <w:p w14:paraId="79C4F3A0">
      <w:pPr>
        <w:adjustRightInd w:val="0"/>
        <w:snapToGrid w:val="0"/>
        <w:spacing w:line="360" w:lineRule="auto"/>
        <w:rPr>
          <w:rFonts w:ascii="宋体" w:hAnsi="宋体"/>
          <w:color w:val="000000"/>
          <w:sz w:val="24"/>
          <w:u w:val="single"/>
        </w:rPr>
      </w:pPr>
      <w:r>
        <w:rPr>
          <w:rFonts w:hint="eastAsia" w:ascii="宋体" w:hAnsi="宋体"/>
          <w:color w:val="000000"/>
          <w:sz w:val="24"/>
          <w:u w:val="single"/>
        </w:rPr>
        <w:t>11.协助处理合同纠纷和索赔事宜，协调委托人与承包人之间的争议；</w:t>
      </w:r>
    </w:p>
    <w:p w14:paraId="778AE2BD">
      <w:pPr>
        <w:adjustRightInd w:val="0"/>
        <w:snapToGrid w:val="0"/>
        <w:spacing w:line="360" w:lineRule="auto"/>
        <w:rPr>
          <w:rFonts w:ascii="宋体" w:hAnsi="宋体"/>
          <w:color w:val="000000"/>
          <w:sz w:val="24"/>
          <w:u w:val="single"/>
        </w:rPr>
      </w:pPr>
      <w:r>
        <w:rPr>
          <w:rFonts w:hint="eastAsia" w:ascii="宋体" w:hAnsi="宋体"/>
          <w:color w:val="000000"/>
          <w:sz w:val="24"/>
          <w:u w:val="single"/>
        </w:rPr>
        <w:t>12.督促检查安全生产，文明施工；</w:t>
      </w:r>
    </w:p>
    <w:p w14:paraId="45471DD5">
      <w:pPr>
        <w:adjustRightInd w:val="0"/>
        <w:snapToGrid w:val="0"/>
        <w:spacing w:line="360" w:lineRule="auto"/>
        <w:rPr>
          <w:rFonts w:ascii="宋体" w:hAnsi="宋体"/>
          <w:color w:val="000000"/>
          <w:sz w:val="24"/>
          <w:u w:val="single"/>
        </w:rPr>
      </w:pPr>
      <w:r>
        <w:rPr>
          <w:rFonts w:hint="eastAsia" w:ascii="宋体" w:hAnsi="宋体"/>
          <w:color w:val="000000"/>
          <w:sz w:val="24"/>
          <w:u w:val="single"/>
        </w:rPr>
        <w:t>13.督促承包人整理合同文件及施工技术档案资料；</w:t>
      </w:r>
    </w:p>
    <w:p w14:paraId="7396FD3D">
      <w:pPr>
        <w:adjustRightInd w:val="0"/>
        <w:snapToGrid w:val="0"/>
        <w:spacing w:line="360" w:lineRule="auto"/>
        <w:rPr>
          <w:rFonts w:ascii="宋体" w:hAnsi="宋体"/>
          <w:color w:val="000000"/>
          <w:sz w:val="24"/>
          <w:u w:val="single"/>
        </w:rPr>
      </w:pPr>
      <w:r>
        <w:rPr>
          <w:rFonts w:hint="eastAsia" w:ascii="宋体" w:hAnsi="宋体"/>
          <w:color w:val="000000"/>
          <w:sz w:val="24"/>
          <w:u w:val="single"/>
        </w:rPr>
        <w:t>14.组织对工程初验并参与工程竣工验收，对施工质量提出评估意见；</w:t>
      </w:r>
    </w:p>
    <w:p w14:paraId="2EEAC7EF">
      <w:pPr>
        <w:adjustRightInd w:val="0"/>
        <w:snapToGrid w:val="0"/>
        <w:spacing w:line="360" w:lineRule="auto"/>
        <w:rPr>
          <w:rFonts w:ascii="宋体" w:hAnsi="宋体"/>
          <w:color w:val="000000"/>
          <w:sz w:val="24"/>
          <w:u w:val="single"/>
        </w:rPr>
      </w:pPr>
      <w:r>
        <w:rPr>
          <w:rFonts w:hint="eastAsia" w:ascii="宋体" w:hAnsi="宋体"/>
          <w:color w:val="000000"/>
          <w:sz w:val="24"/>
          <w:u w:val="single"/>
        </w:rPr>
        <w:t>15.协助委托人进行报批、报建等相关手续；</w:t>
      </w:r>
    </w:p>
    <w:p w14:paraId="1336152E">
      <w:pPr>
        <w:adjustRightInd w:val="0"/>
        <w:snapToGrid w:val="0"/>
        <w:spacing w:line="360" w:lineRule="auto"/>
        <w:rPr>
          <w:rFonts w:ascii="宋体" w:hAnsi="宋体"/>
          <w:color w:val="000000"/>
          <w:sz w:val="24"/>
          <w:u w:val="single"/>
        </w:rPr>
      </w:pPr>
      <w:r>
        <w:rPr>
          <w:rFonts w:hint="eastAsia" w:ascii="宋体" w:hAnsi="宋体"/>
          <w:color w:val="000000"/>
          <w:sz w:val="24"/>
          <w:u w:val="single"/>
        </w:rPr>
        <w:t>16.协助项目单位在招标过程中完善功能需求并提供相应技术支持；</w:t>
      </w:r>
    </w:p>
    <w:p w14:paraId="19C37C40">
      <w:pPr>
        <w:adjustRightInd w:val="0"/>
        <w:snapToGrid w:val="0"/>
        <w:spacing w:line="360" w:lineRule="auto"/>
        <w:rPr>
          <w:rFonts w:ascii="宋体" w:hAnsi="宋体"/>
          <w:color w:val="000000"/>
          <w:sz w:val="24"/>
          <w:u w:val="single"/>
        </w:rPr>
      </w:pPr>
      <w:r>
        <w:rPr>
          <w:rFonts w:hint="eastAsia" w:ascii="宋体" w:hAnsi="宋体"/>
          <w:color w:val="000000"/>
          <w:sz w:val="24"/>
          <w:u w:val="single"/>
        </w:rPr>
        <w:t>17.对需要招标的需求计划、招标文件和工程量清单进行审核。</w:t>
      </w:r>
    </w:p>
    <w:p w14:paraId="4C298C94">
      <w:pPr>
        <w:adjustRightInd w:val="0"/>
        <w:snapToGrid w:val="0"/>
        <w:spacing w:line="360" w:lineRule="auto"/>
        <w:rPr>
          <w:rFonts w:ascii="宋体" w:hAnsi="宋体"/>
          <w:color w:val="000000"/>
          <w:sz w:val="24"/>
          <w:u w:val="single"/>
        </w:rPr>
      </w:pPr>
      <w:r>
        <w:rPr>
          <w:rFonts w:hint="eastAsia" w:ascii="宋体" w:hAnsi="宋体"/>
          <w:color w:val="000000"/>
          <w:sz w:val="24"/>
          <w:u w:val="single"/>
        </w:rPr>
        <w:t>18.做好施工过程中的投资控制，包括工程变更的费用分析、经济签证的审核（量和价的审核）、概算调整、工程结算的初审并提供审核报告。</w:t>
      </w:r>
    </w:p>
    <w:p w14:paraId="3F75E715">
      <w:pPr>
        <w:adjustRightInd w:val="0"/>
        <w:snapToGrid w:val="0"/>
        <w:spacing w:line="360" w:lineRule="auto"/>
        <w:rPr>
          <w:rFonts w:ascii="宋体" w:hAnsi="宋体"/>
          <w:color w:val="000000"/>
          <w:sz w:val="24"/>
          <w:u w:val="single"/>
        </w:rPr>
      </w:pPr>
      <w:r>
        <w:rPr>
          <w:rFonts w:hint="eastAsia" w:ascii="宋体" w:hAnsi="宋体"/>
          <w:color w:val="000000"/>
          <w:sz w:val="24"/>
          <w:u w:val="single"/>
        </w:rPr>
        <w:t>19.施工过程中做好与设计单位的沟通和协调。</w:t>
      </w:r>
    </w:p>
    <w:p w14:paraId="2B321B5B">
      <w:pPr>
        <w:adjustRightInd w:val="0"/>
        <w:snapToGrid w:val="0"/>
        <w:spacing w:line="360" w:lineRule="auto"/>
        <w:rPr>
          <w:rFonts w:ascii="宋体" w:hAnsi="宋体"/>
          <w:color w:val="000000"/>
          <w:sz w:val="24"/>
          <w:u w:val="single"/>
        </w:rPr>
      </w:pPr>
      <w:r>
        <w:rPr>
          <w:rFonts w:hint="eastAsia" w:ascii="宋体" w:hAnsi="宋体"/>
          <w:color w:val="000000"/>
          <w:sz w:val="24"/>
          <w:u w:val="single"/>
        </w:rPr>
        <w:t>20.组织工程验收：分部验收、单项验收（环保、规划、消防、档案、卫生防疫等验收）、工程竣工预验收。</w:t>
      </w:r>
    </w:p>
    <w:p w14:paraId="033CB3D9">
      <w:pPr>
        <w:adjustRightInd w:val="0"/>
        <w:snapToGrid w:val="0"/>
        <w:spacing w:line="360" w:lineRule="auto"/>
        <w:rPr>
          <w:rFonts w:ascii="宋体" w:hAnsi="宋体"/>
          <w:color w:val="000000"/>
          <w:sz w:val="24"/>
          <w:u w:val="single"/>
        </w:rPr>
      </w:pPr>
      <w:r>
        <w:rPr>
          <w:rFonts w:hint="eastAsia" w:ascii="宋体" w:hAnsi="宋体"/>
          <w:color w:val="000000"/>
          <w:sz w:val="24"/>
          <w:u w:val="single"/>
        </w:rPr>
        <w:t>21.履行政府相关管理部门的有关规定。</w:t>
      </w:r>
    </w:p>
    <w:p w14:paraId="1D44CEB9">
      <w:pPr>
        <w:adjustRightInd w:val="0"/>
        <w:snapToGrid w:val="0"/>
        <w:spacing w:line="360" w:lineRule="auto"/>
        <w:rPr>
          <w:rFonts w:ascii="宋体" w:hAnsi="宋体"/>
          <w:color w:val="000000"/>
          <w:sz w:val="24"/>
          <w:u w:val="single"/>
        </w:rPr>
      </w:pPr>
      <w:r>
        <w:rPr>
          <w:rFonts w:hint="eastAsia" w:ascii="宋体" w:hAnsi="宋体"/>
          <w:color w:val="000000"/>
          <w:sz w:val="24"/>
          <w:u w:val="single"/>
        </w:rPr>
        <w:t>22.履行规范相关要求和规定。</w:t>
      </w:r>
    </w:p>
    <w:p w14:paraId="470229A7">
      <w:pPr>
        <w:adjustRightInd w:val="0"/>
        <w:snapToGrid w:val="0"/>
        <w:spacing w:line="360" w:lineRule="auto"/>
        <w:rPr>
          <w:rFonts w:ascii="宋体" w:hAnsi="宋体"/>
          <w:color w:val="000000"/>
          <w:sz w:val="24"/>
          <w:u w:val="single"/>
        </w:rPr>
      </w:pPr>
      <w:r>
        <w:rPr>
          <w:rFonts w:hint="eastAsia" w:ascii="宋体" w:hAnsi="宋体"/>
          <w:color w:val="000000"/>
          <w:sz w:val="24"/>
          <w:u w:val="single"/>
        </w:rPr>
        <w:t>23.发包人委托的其他工作。</w:t>
      </w:r>
    </w:p>
    <w:p w14:paraId="35102D48">
      <w:pPr>
        <w:spacing w:line="360" w:lineRule="auto"/>
        <w:rPr>
          <w:rFonts w:ascii="宋体" w:hAnsi="宋体"/>
          <w:color w:val="000000"/>
          <w:sz w:val="24"/>
        </w:rPr>
      </w:pPr>
      <w:r>
        <w:rPr>
          <w:rFonts w:hint="eastAsia" w:ascii="宋体" w:hAnsi="宋体"/>
          <w:color w:val="000000"/>
          <w:sz w:val="24"/>
        </w:rPr>
        <w:t>2.2监理与相关服务依据</w:t>
      </w:r>
    </w:p>
    <w:p w14:paraId="341A7F3D">
      <w:pPr>
        <w:spacing w:line="360" w:lineRule="auto"/>
        <w:rPr>
          <w:rFonts w:ascii="宋体" w:hAnsi="宋体"/>
          <w:color w:val="000000"/>
          <w:sz w:val="24"/>
        </w:rPr>
      </w:pPr>
      <w:r>
        <w:rPr>
          <w:rFonts w:hint="eastAsia" w:ascii="宋体" w:hAnsi="宋体"/>
          <w:color w:val="000000"/>
          <w:sz w:val="24"/>
        </w:rPr>
        <w:t>2.2.1监理依据包括：</w:t>
      </w:r>
      <w:r>
        <w:rPr>
          <w:rFonts w:hint="eastAsia" w:ascii="宋体" w:hAnsi="宋体"/>
          <w:color w:val="000000"/>
          <w:sz w:val="24"/>
          <w:u w:val="single"/>
        </w:rPr>
        <w:t>《中华人民共和国建筑法》、《中华人民共和国民法典》、《建设工程质量管理条例》及与本工程有关的国家、地方和行业部门的标准、规范和规定</w:t>
      </w:r>
      <w:r>
        <w:rPr>
          <w:rFonts w:hint="eastAsia" w:ascii="宋体" w:hAnsi="宋体"/>
          <w:color w:val="000000"/>
          <w:sz w:val="24"/>
        </w:rPr>
        <w:t>。</w:t>
      </w:r>
    </w:p>
    <w:p w14:paraId="6126DD69">
      <w:pPr>
        <w:adjustRightInd w:val="0"/>
        <w:snapToGrid w:val="0"/>
        <w:spacing w:line="360" w:lineRule="auto"/>
        <w:rPr>
          <w:rFonts w:ascii="宋体" w:hAnsi="宋体"/>
          <w:dstrike/>
          <w:color w:val="000000"/>
          <w:sz w:val="24"/>
        </w:rPr>
      </w:pPr>
      <w:r>
        <w:rPr>
          <w:rFonts w:hint="eastAsia" w:ascii="宋体" w:hAnsi="宋体"/>
          <w:color w:val="000000"/>
          <w:sz w:val="24"/>
        </w:rPr>
        <w:t>2.2.2相关服务依据包括：</w:t>
      </w:r>
      <w:r>
        <w:rPr>
          <w:rFonts w:hint="eastAsia" w:ascii="宋体" w:hAnsi="宋体"/>
          <w:color w:val="000000"/>
          <w:sz w:val="24"/>
          <w:u w:val="single"/>
        </w:rPr>
        <w:t>本工程的设计文件、图纸、施工承包合同</w:t>
      </w:r>
      <w:r>
        <w:rPr>
          <w:rFonts w:hint="eastAsia" w:ascii="宋体" w:hAnsi="宋体"/>
          <w:color w:val="000000"/>
          <w:sz w:val="24"/>
        </w:rPr>
        <w:t>。</w:t>
      </w:r>
    </w:p>
    <w:p w14:paraId="1BA54D73">
      <w:pPr>
        <w:adjustRightInd w:val="0"/>
        <w:snapToGrid w:val="0"/>
        <w:spacing w:line="360" w:lineRule="auto"/>
        <w:rPr>
          <w:rFonts w:ascii="宋体" w:hAnsi="宋体"/>
          <w:dstrike/>
          <w:color w:val="000000"/>
          <w:sz w:val="24"/>
        </w:rPr>
      </w:pPr>
      <w:r>
        <w:rPr>
          <w:rFonts w:hint="eastAsia" w:ascii="宋体" w:hAnsi="宋体"/>
          <w:color w:val="000000"/>
          <w:sz w:val="24"/>
        </w:rPr>
        <w:t>2.3</w:t>
      </w:r>
      <w:r>
        <w:rPr>
          <w:rFonts w:hint="eastAsia" w:ascii="宋体" w:hAnsi="宋体" w:cs="宋体"/>
          <w:color w:val="000000"/>
          <w:kern w:val="0"/>
          <w:sz w:val="24"/>
        </w:rPr>
        <w:t>项目监理机构和人员</w:t>
      </w:r>
    </w:p>
    <w:p w14:paraId="1FFA026C">
      <w:pPr>
        <w:adjustRightInd w:val="0"/>
        <w:snapToGrid w:val="0"/>
        <w:spacing w:line="360" w:lineRule="auto"/>
        <w:rPr>
          <w:rFonts w:ascii="宋体" w:hAnsi="宋体"/>
          <w:color w:val="000000"/>
          <w:sz w:val="24"/>
        </w:rPr>
      </w:pPr>
      <w:r>
        <w:rPr>
          <w:rFonts w:hint="eastAsia" w:ascii="宋体" w:hAnsi="宋体"/>
          <w:color w:val="000000"/>
          <w:sz w:val="24"/>
        </w:rPr>
        <w:t>2.3.4</w:t>
      </w:r>
      <w:r>
        <w:rPr>
          <w:rFonts w:hint="eastAsia" w:ascii="宋体" w:hAnsi="宋体"/>
          <w:color w:val="000000"/>
          <w:kern w:val="0"/>
          <w:sz w:val="24"/>
        </w:rPr>
        <w:t>更换监理人员的其他情形：</w:t>
      </w:r>
      <w:r>
        <w:rPr>
          <w:rFonts w:hint="eastAsia" w:ascii="宋体" w:hAnsi="宋体"/>
          <w:color w:val="000000"/>
          <w:kern w:val="0"/>
          <w:sz w:val="24"/>
          <w:u w:val="single"/>
        </w:rPr>
        <w:t xml:space="preserve">          </w:t>
      </w:r>
      <w:r>
        <w:rPr>
          <w:rFonts w:hint="eastAsia" w:ascii="宋体" w:hAnsi="宋体"/>
          <w:color w:val="000000"/>
          <w:kern w:val="0"/>
          <w:sz w:val="24"/>
        </w:rPr>
        <w:t>。</w:t>
      </w:r>
    </w:p>
    <w:p w14:paraId="6D068E26">
      <w:pPr>
        <w:spacing w:line="360" w:lineRule="auto"/>
        <w:rPr>
          <w:rFonts w:ascii="宋体" w:hAnsi="宋体"/>
          <w:color w:val="000000"/>
          <w:sz w:val="24"/>
        </w:rPr>
      </w:pPr>
      <w:r>
        <w:rPr>
          <w:rFonts w:hint="eastAsia" w:ascii="宋体" w:hAnsi="宋体"/>
          <w:color w:val="000000"/>
          <w:sz w:val="24"/>
        </w:rPr>
        <w:t>2.4</w:t>
      </w:r>
      <w:r>
        <w:rPr>
          <w:rFonts w:hint="eastAsia" w:ascii="宋体" w:hAnsi="宋体" w:cs="宋体"/>
          <w:color w:val="000000"/>
          <w:kern w:val="0"/>
          <w:sz w:val="24"/>
        </w:rPr>
        <w:t>履行职责</w:t>
      </w:r>
    </w:p>
    <w:p w14:paraId="5E55C9E9">
      <w:pPr>
        <w:adjustRightInd w:val="0"/>
        <w:snapToGrid w:val="0"/>
        <w:spacing w:line="360" w:lineRule="auto"/>
        <w:rPr>
          <w:rFonts w:ascii="宋体" w:hAnsi="宋体"/>
          <w:color w:val="000000"/>
          <w:sz w:val="24"/>
        </w:rPr>
      </w:pPr>
      <w:r>
        <w:rPr>
          <w:rFonts w:hint="eastAsia" w:ascii="宋体" w:hAnsi="宋体"/>
          <w:color w:val="000000"/>
          <w:sz w:val="24"/>
        </w:rPr>
        <w:t>2.4.3对监理人的授权范围：</w:t>
      </w:r>
      <w:r>
        <w:rPr>
          <w:rFonts w:hint="eastAsia" w:ascii="宋体" w:hAnsi="宋体"/>
          <w:color w:val="000000"/>
          <w:sz w:val="24"/>
          <w:u w:val="single"/>
        </w:rPr>
        <w:t>执行通用条件及委托人授权委托</w:t>
      </w:r>
      <w:r>
        <w:rPr>
          <w:rFonts w:hint="eastAsia" w:ascii="宋体" w:hAnsi="宋体"/>
          <w:color w:val="000000"/>
          <w:sz w:val="24"/>
        </w:rPr>
        <w:t>。</w:t>
      </w:r>
    </w:p>
    <w:p w14:paraId="36BCB832">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在涉及工程延期  </w:t>
      </w:r>
      <w:r>
        <w:rPr>
          <w:rFonts w:hint="eastAsia" w:ascii="宋体" w:hAnsi="宋体"/>
          <w:color w:val="000000"/>
          <w:kern w:val="0"/>
          <w:sz w:val="24"/>
          <w:u w:val="single"/>
        </w:rPr>
        <w:t xml:space="preserve"> / </w:t>
      </w:r>
      <w:r>
        <w:rPr>
          <w:rFonts w:hint="eastAsia" w:ascii="宋体" w:hAnsi="宋体"/>
          <w:color w:val="000000"/>
          <w:kern w:val="0"/>
          <w:sz w:val="24"/>
        </w:rPr>
        <w:t xml:space="preserve">  天内和（或）金额  </w:t>
      </w:r>
      <w:r>
        <w:rPr>
          <w:rFonts w:hint="eastAsia" w:ascii="宋体" w:hAnsi="宋体"/>
          <w:color w:val="000000"/>
          <w:kern w:val="0"/>
          <w:sz w:val="24"/>
          <w:u w:val="single"/>
        </w:rPr>
        <w:t xml:space="preserve">  / </w:t>
      </w:r>
      <w:r>
        <w:rPr>
          <w:rFonts w:hint="eastAsia" w:ascii="宋体" w:hAnsi="宋体"/>
          <w:color w:val="000000"/>
          <w:kern w:val="0"/>
          <w:sz w:val="24"/>
        </w:rPr>
        <w:t xml:space="preserve">  万元内的变更，监理人不需请示委托人即可向承包人发布变更通知。</w:t>
      </w:r>
    </w:p>
    <w:p w14:paraId="07D6BD19">
      <w:pPr>
        <w:adjustRightInd w:val="0"/>
        <w:snapToGrid w:val="0"/>
        <w:spacing w:line="360" w:lineRule="auto"/>
        <w:rPr>
          <w:rFonts w:ascii="宋体" w:hAnsi="宋体"/>
          <w:color w:val="000000"/>
          <w:sz w:val="24"/>
        </w:rPr>
      </w:pPr>
      <w:r>
        <w:rPr>
          <w:rFonts w:hint="eastAsia" w:ascii="宋体" w:hAnsi="宋体"/>
          <w:color w:val="000000"/>
          <w:kern w:val="0"/>
          <w:sz w:val="24"/>
        </w:rPr>
        <w:t>2.4.4监理人有权要求承包人调换其人员</w:t>
      </w:r>
      <w:r>
        <w:rPr>
          <w:rFonts w:hint="eastAsia" w:ascii="宋体" w:hAnsi="宋体"/>
          <w:color w:val="000000"/>
          <w:sz w:val="24"/>
        </w:rPr>
        <w:t>的限制条件：</w:t>
      </w:r>
      <w:r>
        <w:rPr>
          <w:rFonts w:hint="eastAsia" w:ascii="宋体" w:hAnsi="宋体"/>
          <w:color w:val="000000"/>
          <w:sz w:val="24"/>
          <w:u w:val="single"/>
        </w:rPr>
        <w:t>监理人认为承包人员不能胜任本职工作的，有权要求承包人予以调换</w:t>
      </w:r>
      <w:r>
        <w:rPr>
          <w:rFonts w:hint="eastAsia" w:ascii="宋体" w:hAnsi="宋体"/>
          <w:color w:val="000000"/>
          <w:sz w:val="24"/>
        </w:rPr>
        <w:t>。</w:t>
      </w:r>
    </w:p>
    <w:p w14:paraId="5E65B2BA">
      <w:pPr>
        <w:adjustRightInd w:val="0"/>
        <w:snapToGrid w:val="0"/>
        <w:spacing w:line="360" w:lineRule="auto"/>
        <w:rPr>
          <w:rFonts w:ascii="宋体" w:hAnsi="宋体"/>
          <w:color w:val="000000"/>
          <w:sz w:val="24"/>
        </w:rPr>
      </w:pPr>
      <w:r>
        <w:rPr>
          <w:rFonts w:hint="eastAsia" w:ascii="宋体" w:hAnsi="宋体"/>
          <w:color w:val="000000"/>
          <w:kern w:val="0"/>
          <w:sz w:val="24"/>
        </w:rPr>
        <w:t>2.5</w:t>
      </w:r>
      <w:r>
        <w:rPr>
          <w:rFonts w:hint="eastAsia" w:ascii="宋体" w:hAnsi="宋体"/>
          <w:color w:val="000000"/>
          <w:sz w:val="24"/>
        </w:rPr>
        <w:t>提交</w:t>
      </w:r>
      <w:r>
        <w:rPr>
          <w:rFonts w:hint="eastAsia" w:ascii="宋体" w:hAnsi="宋体" w:cs="宋体"/>
          <w:color w:val="000000"/>
          <w:kern w:val="0"/>
          <w:sz w:val="24"/>
        </w:rPr>
        <w:t>报告</w:t>
      </w:r>
    </w:p>
    <w:p w14:paraId="38098EEC">
      <w:pPr>
        <w:adjustRightInd w:val="0"/>
        <w:snapToGrid w:val="0"/>
        <w:spacing w:line="360" w:lineRule="auto"/>
        <w:ind w:firstLine="525"/>
        <w:rPr>
          <w:rFonts w:ascii="宋体" w:hAnsi="宋体"/>
          <w:color w:val="000000"/>
          <w:sz w:val="24"/>
        </w:rPr>
      </w:pPr>
      <w:r>
        <w:rPr>
          <w:rFonts w:hint="eastAsia" w:ascii="宋体" w:hAnsi="宋体"/>
          <w:color w:val="000000"/>
          <w:sz w:val="24"/>
        </w:rPr>
        <w:t>监理人应提交报告的种类(</w:t>
      </w:r>
      <w:r>
        <w:rPr>
          <w:rFonts w:hint="eastAsia" w:ascii="宋体" w:hAnsi="宋体" w:cs="宋体"/>
          <w:color w:val="000000"/>
          <w:kern w:val="0"/>
          <w:sz w:val="24"/>
        </w:rPr>
        <w:t>包括监理规划、监理月报及约定的专项报告)</w:t>
      </w:r>
      <w:r>
        <w:rPr>
          <w:rFonts w:hint="eastAsia" w:ascii="宋体" w:hAnsi="宋体"/>
          <w:color w:val="000000"/>
          <w:sz w:val="24"/>
        </w:rPr>
        <w:t>、时间和份数</w:t>
      </w:r>
      <w:r>
        <w:rPr>
          <w:rFonts w:hint="eastAsia"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olor w:val="000000"/>
          <w:sz w:val="24"/>
        </w:rPr>
        <w:t>。</w:t>
      </w:r>
    </w:p>
    <w:p w14:paraId="2C23AAEC">
      <w:pPr>
        <w:adjustRightInd w:val="0"/>
        <w:snapToGrid w:val="0"/>
        <w:spacing w:line="360" w:lineRule="auto"/>
        <w:rPr>
          <w:rFonts w:ascii="宋体" w:hAnsi="宋体"/>
          <w:color w:val="000000"/>
          <w:sz w:val="24"/>
          <w:u w:val="single"/>
        </w:rPr>
      </w:pPr>
      <w:r>
        <w:rPr>
          <w:rFonts w:hint="eastAsia" w:ascii="宋体" w:hAnsi="宋体"/>
          <w:color w:val="000000"/>
          <w:kern w:val="0"/>
          <w:sz w:val="24"/>
        </w:rPr>
        <w:t>2.7</w:t>
      </w:r>
      <w:r>
        <w:rPr>
          <w:rFonts w:hint="eastAsia" w:ascii="宋体" w:hAnsi="宋体" w:cs="宋体"/>
          <w:color w:val="000000"/>
          <w:kern w:val="0"/>
          <w:sz w:val="24"/>
        </w:rPr>
        <w:t>使用委托人的财产</w:t>
      </w:r>
    </w:p>
    <w:p w14:paraId="13182321">
      <w:pPr>
        <w:spacing w:line="360" w:lineRule="auto"/>
        <w:rPr>
          <w:rFonts w:ascii="宋体" w:hAnsi="宋体"/>
          <w:color w:val="000000"/>
          <w:kern w:val="0"/>
          <w:sz w:val="24"/>
        </w:rPr>
      </w:pPr>
      <w:r>
        <w:rPr>
          <w:rFonts w:hint="eastAsia" w:ascii="宋体" w:hAnsi="宋体"/>
          <w:color w:val="000000"/>
          <w:sz w:val="24"/>
        </w:rPr>
        <w:t>附录B中由委托人无偿提供的房屋、设备的所有权属于：</w:t>
      </w:r>
      <w:r>
        <w:rPr>
          <w:rFonts w:hint="eastAsia" w:ascii="宋体" w:hAnsi="宋体"/>
          <w:color w:val="000000"/>
          <w:sz w:val="24"/>
          <w:u w:val="single"/>
        </w:rPr>
        <w:t xml:space="preserve">               </w:t>
      </w:r>
      <w:r>
        <w:rPr>
          <w:rFonts w:hint="eastAsia" w:ascii="宋体" w:hAnsi="宋体"/>
          <w:color w:val="000000"/>
          <w:sz w:val="24"/>
        </w:rPr>
        <w:t>。</w:t>
      </w:r>
    </w:p>
    <w:p w14:paraId="688EE94D">
      <w:pPr>
        <w:spacing w:line="360" w:lineRule="auto"/>
        <w:ind w:firstLine="480" w:firstLineChars="200"/>
        <w:rPr>
          <w:rFonts w:ascii="宋体" w:hAnsi="宋体"/>
          <w:color w:val="000000"/>
          <w:kern w:val="0"/>
          <w:sz w:val="24"/>
        </w:rPr>
      </w:pPr>
      <w:r>
        <w:rPr>
          <w:rFonts w:hint="eastAsia" w:ascii="宋体" w:hAnsi="宋体"/>
          <w:color w:val="000000"/>
          <w:sz w:val="24"/>
        </w:rPr>
        <w:t>监理人应在本合同终止后</w:t>
      </w:r>
      <w:r>
        <w:rPr>
          <w:rFonts w:hint="eastAsia" w:ascii="宋体" w:hAnsi="宋体"/>
          <w:color w:val="000000"/>
          <w:sz w:val="24"/>
          <w:u w:val="single"/>
        </w:rPr>
        <w:t xml:space="preserve">         </w:t>
      </w:r>
      <w:r>
        <w:rPr>
          <w:rFonts w:hint="eastAsia" w:ascii="宋体" w:hAnsi="宋体"/>
          <w:color w:val="000000"/>
          <w:sz w:val="24"/>
        </w:rPr>
        <w:t>天内移交委托人无偿提供的房屋、设备，移交的时间和方式为：</w:t>
      </w:r>
      <w:r>
        <w:rPr>
          <w:rFonts w:hint="eastAsia" w:ascii="宋体" w:hAnsi="宋体"/>
          <w:color w:val="000000"/>
          <w:sz w:val="24"/>
          <w:u w:val="single"/>
        </w:rPr>
        <w:t xml:space="preserve">         </w:t>
      </w:r>
      <w:r>
        <w:rPr>
          <w:rFonts w:hint="eastAsia" w:ascii="宋体" w:hAnsi="宋体"/>
          <w:color w:val="000000"/>
          <w:sz w:val="24"/>
        </w:rPr>
        <w:t>。</w:t>
      </w:r>
    </w:p>
    <w:p w14:paraId="5D16D7C9">
      <w:pPr>
        <w:adjustRightInd w:val="0"/>
        <w:snapToGrid w:val="0"/>
        <w:spacing w:line="360" w:lineRule="auto"/>
        <w:rPr>
          <w:rFonts w:ascii="宋体" w:hAnsi="宋体"/>
          <w:color w:val="000000"/>
          <w:sz w:val="24"/>
        </w:rPr>
      </w:pPr>
      <w:r>
        <w:rPr>
          <w:rFonts w:hint="eastAsia" w:ascii="宋体" w:hAnsi="宋体"/>
          <w:color w:val="000000"/>
          <w:kern w:val="0"/>
          <w:sz w:val="24"/>
        </w:rPr>
        <w:t>3.委托人义务</w:t>
      </w:r>
    </w:p>
    <w:p w14:paraId="22B74247">
      <w:pPr>
        <w:snapToGrid w:val="0"/>
        <w:spacing w:line="360" w:lineRule="auto"/>
        <w:rPr>
          <w:rFonts w:ascii="宋体" w:hAnsi="宋体"/>
          <w:color w:val="000000"/>
          <w:sz w:val="24"/>
        </w:rPr>
      </w:pPr>
      <w:r>
        <w:rPr>
          <w:rFonts w:hint="eastAsia" w:ascii="宋体" w:hAnsi="宋体"/>
          <w:color w:val="000000"/>
          <w:kern w:val="0"/>
          <w:sz w:val="24"/>
        </w:rPr>
        <w:t>3.4</w:t>
      </w:r>
      <w:r>
        <w:rPr>
          <w:rFonts w:hint="eastAsia" w:ascii="宋体" w:hAnsi="宋体" w:cs="宋体"/>
          <w:color w:val="000000"/>
          <w:kern w:val="0"/>
          <w:sz w:val="24"/>
        </w:rPr>
        <w:t xml:space="preserve">委托人代表 </w:t>
      </w:r>
    </w:p>
    <w:p w14:paraId="2FD257F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委托人代表为：</w:t>
      </w:r>
      <w:r>
        <w:rPr>
          <w:rFonts w:hint="eastAsia" w:ascii="宋体" w:hAnsi="宋体"/>
          <w:color w:val="000000"/>
          <w:sz w:val="24"/>
          <w:u w:val="single"/>
        </w:rPr>
        <w:t xml:space="preserve">               </w:t>
      </w:r>
      <w:r>
        <w:rPr>
          <w:rFonts w:hint="eastAsia" w:ascii="宋体" w:hAnsi="宋体"/>
          <w:color w:val="000000"/>
          <w:sz w:val="24"/>
        </w:rPr>
        <w:t>。</w:t>
      </w:r>
    </w:p>
    <w:p w14:paraId="1C5EBBF5">
      <w:pPr>
        <w:adjustRightInd w:val="0"/>
        <w:snapToGrid w:val="0"/>
        <w:spacing w:line="360" w:lineRule="auto"/>
        <w:rPr>
          <w:rFonts w:ascii="宋体" w:hAnsi="宋体" w:cs="宋体"/>
          <w:color w:val="000000"/>
          <w:kern w:val="0"/>
          <w:sz w:val="24"/>
        </w:rPr>
      </w:pPr>
      <w:r>
        <w:rPr>
          <w:rFonts w:hint="eastAsia" w:ascii="宋体" w:hAnsi="宋体"/>
          <w:color w:val="000000"/>
          <w:kern w:val="0"/>
          <w:sz w:val="24"/>
        </w:rPr>
        <w:t>3.6</w:t>
      </w:r>
      <w:r>
        <w:rPr>
          <w:rFonts w:hint="eastAsia" w:ascii="宋体" w:hAnsi="宋体" w:cs="宋体"/>
          <w:color w:val="000000"/>
          <w:kern w:val="0"/>
          <w:sz w:val="24"/>
        </w:rPr>
        <w:t>答复</w:t>
      </w:r>
    </w:p>
    <w:p w14:paraId="5604A10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委托人同意在</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天内，对监理人书面提交并要求做出决定的事宜给予书面答复。</w:t>
      </w:r>
    </w:p>
    <w:p w14:paraId="66865C14">
      <w:pPr>
        <w:snapToGrid w:val="0"/>
        <w:spacing w:line="360" w:lineRule="auto"/>
        <w:rPr>
          <w:rFonts w:ascii="宋体" w:hAnsi="宋体"/>
          <w:bCs/>
          <w:color w:val="000000"/>
          <w:sz w:val="24"/>
        </w:rPr>
      </w:pPr>
      <w:r>
        <w:rPr>
          <w:rFonts w:hint="eastAsia" w:ascii="宋体" w:hAnsi="宋体"/>
          <w:bCs/>
          <w:color w:val="000000"/>
          <w:sz w:val="24"/>
        </w:rPr>
        <w:t>4.违约责任</w:t>
      </w:r>
    </w:p>
    <w:p w14:paraId="50F869AB">
      <w:pPr>
        <w:spacing w:line="360" w:lineRule="auto"/>
        <w:rPr>
          <w:rFonts w:ascii="宋体" w:hAnsi="宋体" w:cs="宋体"/>
          <w:color w:val="000000"/>
          <w:kern w:val="0"/>
          <w:sz w:val="24"/>
        </w:rPr>
      </w:pPr>
      <w:r>
        <w:rPr>
          <w:rFonts w:hint="eastAsia" w:ascii="宋体" w:hAnsi="宋体"/>
          <w:color w:val="000000"/>
          <w:kern w:val="0"/>
          <w:sz w:val="24"/>
        </w:rPr>
        <w:t>4.1</w:t>
      </w:r>
      <w:r>
        <w:rPr>
          <w:rFonts w:hint="eastAsia" w:ascii="宋体" w:hAnsi="宋体" w:cs="宋体"/>
          <w:color w:val="000000"/>
          <w:kern w:val="0"/>
          <w:sz w:val="24"/>
        </w:rPr>
        <w:t>监理人的违约责任</w:t>
      </w:r>
    </w:p>
    <w:p w14:paraId="5915E9B2">
      <w:pPr>
        <w:spacing w:line="360" w:lineRule="auto"/>
        <w:ind w:firstLine="480" w:firstLineChars="200"/>
        <w:rPr>
          <w:rFonts w:ascii="宋体" w:hAnsi="宋体" w:cs="宋体"/>
          <w:color w:val="000000"/>
          <w:kern w:val="0"/>
          <w:sz w:val="24"/>
        </w:rPr>
      </w:pPr>
      <w:r>
        <w:rPr>
          <w:rFonts w:hint="eastAsia" w:ascii="宋体" w:hAnsi="宋体"/>
          <w:color w:val="000000"/>
          <w:kern w:val="0"/>
          <w:sz w:val="24"/>
        </w:rPr>
        <w:t>4.1.1监理人赔偿金额按下列方法确定：</w:t>
      </w:r>
    </w:p>
    <w:p w14:paraId="4F138539">
      <w:pPr>
        <w:adjustRightInd w:val="0"/>
        <w:snapToGrid w:val="0"/>
        <w:spacing w:line="360" w:lineRule="auto"/>
        <w:ind w:firstLine="480" w:firstLineChars="200"/>
        <w:rPr>
          <w:rFonts w:ascii="宋体" w:hAnsi="宋体" w:cs="宋体"/>
          <w:color w:val="000000"/>
          <w:kern w:val="0"/>
          <w:sz w:val="24"/>
        </w:rPr>
      </w:pPr>
      <w:r>
        <w:rPr>
          <w:rFonts w:hint="eastAsia" w:ascii="宋体" w:hAnsi="宋体"/>
          <w:color w:val="000000"/>
          <w:sz w:val="24"/>
        </w:rPr>
        <w:t>赔偿金＝直接经济损失×正常工作酬金÷工程概算</w:t>
      </w:r>
      <w:r>
        <w:rPr>
          <w:rFonts w:hint="eastAsia" w:ascii="宋体" w:hAnsi="宋体" w:cs="宋体"/>
          <w:color w:val="000000"/>
          <w:kern w:val="0"/>
          <w:sz w:val="24"/>
        </w:rPr>
        <w:t>投资额（</w:t>
      </w:r>
      <w:r>
        <w:rPr>
          <w:rFonts w:hint="eastAsia" w:ascii="宋体" w:hAnsi="宋体"/>
          <w:color w:val="000000"/>
          <w:sz w:val="24"/>
        </w:rPr>
        <w:t>工程施工投资估算价</w:t>
      </w:r>
      <w:r>
        <w:rPr>
          <w:rFonts w:hint="eastAsia" w:ascii="宋体" w:hAnsi="宋体" w:cs="宋体"/>
          <w:color w:val="000000"/>
          <w:kern w:val="0"/>
          <w:sz w:val="24"/>
        </w:rPr>
        <w:t>或建筑安装工程费或</w:t>
      </w:r>
      <w:r>
        <w:rPr>
          <w:rFonts w:hint="eastAsia" w:ascii="宋体" w:hAnsi="宋体"/>
          <w:color w:val="000000"/>
          <w:sz w:val="24"/>
        </w:rPr>
        <w:t>工程投资规模</w:t>
      </w:r>
      <w:r>
        <w:rPr>
          <w:rFonts w:hint="eastAsia" w:ascii="宋体" w:hAnsi="宋体" w:cs="宋体"/>
          <w:color w:val="000000"/>
          <w:kern w:val="0"/>
          <w:sz w:val="24"/>
        </w:rPr>
        <w:t>）</w:t>
      </w:r>
    </w:p>
    <w:p w14:paraId="7C1E81FB">
      <w:pPr>
        <w:snapToGrid w:val="0"/>
        <w:spacing w:line="360" w:lineRule="auto"/>
        <w:rPr>
          <w:rFonts w:ascii="宋体" w:hAnsi="宋体" w:cs="宋体"/>
          <w:color w:val="000000"/>
          <w:kern w:val="0"/>
          <w:sz w:val="24"/>
        </w:rPr>
      </w:pPr>
      <w:r>
        <w:rPr>
          <w:rFonts w:hint="eastAsia" w:ascii="宋体" w:hAnsi="宋体"/>
          <w:color w:val="000000"/>
          <w:kern w:val="0"/>
          <w:sz w:val="24"/>
        </w:rPr>
        <w:t>4.2 委</w:t>
      </w:r>
      <w:r>
        <w:rPr>
          <w:rFonts w:hint="eastAsia" w:ascii="宋体" w:hAnsi="宋体" w:cs="宋体"/>
          <w:color w:val="000000"/>
          <w:kern w:val="0"/>
          <w:sz w:val="24"/>
        </w:rPr>
        <w:t xml:space="preserve">托人的违约责任 </w:t>
      </w:r>
    </w:p>
    <w:p w14:paraId="7CA507C3">
      <w:pPr>
        <w:spacing w:line="360" w:lineRule="auto"/>
        <w:ind w:firstLine="480" w:firstLineChars="200"/>
        <w:rPr>
          <w:rFonts w:ascii="宋体" w:hAnsi="宋体"/>
          <w:color w:val="000000"/>
          <w:kern w:val="0"/>
          <w:sz w:val="24"/>
        </w:rPr>
      </w:pPr>
      <w:r>
        <w:rPr>
          <w:rFonts w:hint="eastAsia" w:ascii="宋体" w:hAnsi="宋体"/>
          <w:color w:val="000000"/>
          <w:sz w:val="24"/>
        </w:rPr>
        <w:t>4.2.3 委托人</w:t>
      </w:r>
      <w:r>
        <w:rPr>
          <w:rFonts w:hint="eastAsia" w:ascii="宋体" w:hAnsi="宋体"/>
          <w:color w:val="000000"/>
          <w:kern w:val="0"/>
          <w:sz w:val="24"/>
        </w:rPr>
        <w:t>逾期付款利息按下列方法确定：</w:t>
      </w:r>
    </w:p>
    <w:p w14:paraId="50696C4B">
      <w:pPr>
        <w:spacing w:line="360" w:lineRule="auto"/>
        <w:ind w:firstLine="480" w:firstLineChars="200"/>
        <w:rPr>
          <w:rFonts w:ascii="宋体" w:hAnsi="宋体"/>
          <w:color w:val="000000"/>
          <w:sz w:val="24"/>
        </w:rPr>
      </w:pPr>
      <w:r>
        <w:rPr>
          <w:rFonts w:hint="eastAsia" w:ascii="宋体" w:hAnsi="宋体"/>
          <w:color w:val="000000"/>
          <w:sz w:val="24"/>
        </w:rPr>
        <w:t>逾期付款利息＝当期应付款总额×银行同期贷款利率×拖延支付天数</w:t>
      </w:r>
    </w:p>
    <w:p w14:paraId="190697A4">
      <w:pPr>
        <w:snapToGrid w:val="0"/>
        <w:spacing w:line="360" w:lineRule="auto"/>
        <w:rPr>
          <w:rFonts w:ascii="宋体" w:hAnsi="宋体"/>
          <w:color w:val="000000"/>
          <w:sz w:val="24"/>
        </w:rPr>
      </w:pPr>
      <w:r>
        <w:rPr>
          <w:rFonts w:hint="eastAsia" w:ascii="宋体" w:hAnsi="宋体"/>
          <w:bCs/>
          <w:color w:val="000000"/>
          <w:sz w:val="24"/>
        </w:rPr>
        <w:t>5.支付</w:t>
      </w:r>
    </w:p>
    <w:p w14:paraId="3F2CE222">
      <w:pPr>
        <w:snapToGrid w:val="0"/>
        <w:spacing w:line="360" w:lineRule="auto"/>
        <w:rPr>
          <w:rFonts w:ascii="宋体" w:hAnsi="宋体"/>
          <w:bCs/>
          <w:color w:val="000000"/>
          <w:sz w:val="24"/>
        </w:rPr>
      </w:pPr>
      <w:r>
        <w:rPr>
          <w:rFonts w:hint="eastAsia" w:ascii="宋体" w:hAnsi="宋体"/>
          <w:color w:val="000000"/>
          <w:sz w:val="24"/>
        </w:rPr>
        <w:t>5.1</w:t>
      </w:r>
      <w:r>
        <w:rPr>
          <w:rFonts w:hint="eastAsia" w:ascii="宋体" w:hAnsi="宋体"/>
          <w:bCs/>
          <w:color w:val="000000"/>
          <w:sz w:val="24"/>
        </w:rPr>
        <w:t>支付货币</w:t>
      </w:r>
    </w:p>
    <w:p w14:paraId="69C16F49">
      <w:pPr>
        <w:snapToGrid w:val="0"/>
        <w:spacing w:line="360" w:lineRule="auto"/>
        <w:ind w:firstLine="480" w:firstLineChars="200"/>
        <w:rPr>
          <w:rFonts w:ascii="宋体" w:hAnsi="宋体"/>
          <w:color w:val="000000"/>
          <w:sz w:val="24"/>
        </w:rPr>
      </w:pPr>
      <w:r>
        <w:rPr>
          <w:rFonts w:hint="eastAsia" w:ascii="宋体" w:hAnsi="宋体"/>
          <w:color w:val="000000"/>
          <w:sz w:val="24"/>
        </w:rPr>
        <w:t>币种为：</w:t>
      </w:r>
      <w:r>
        <w:rPr>
          <w:rFonts w:hint="eastAsia" w:ascii="宋体" w:hAnsi="宋体"/>
          <w:color w:val="000000"/>
          <w:sz w:val="24"/>
          <w:u w:val="single"/>
        </w:rPr>
        <w:t xml:space="preserve">         </w:t>
      </w:r>
      <w:r>
        <w:rPr>
          <w:rFonts w:hint="eastAsia" w:ascii="宋体" w:hAnsi="宋体"/>
          <w:color w:val="000000"/>
          <w:sz w:val="24"/>
        </w:rPr>
        <w:t>，比例为：</w:t>
      </w:r>
      <w:r>
        <w:rPr>
          <w:rFonts w:hint="eastAsia" w:ascii="宋体" w:hAnsi="宋体"/>
          <w:color w:val="000000"/>
          <w:sz w:val="24"/>
          <w:u w:val="single"/>
        </w:rPr>
        <w:t xml:space="preserve">         </w:t>
      </w:r>
      <w:r>
        <w:rPr>
          <w:rFonts w:hint="eastAsia" w:ascii="宋体" w:hAnsi="宋体"/>
          <w:color w:val="000000"/>
          <w:sz w:val="24"/>
        </w:rPr>
        <w:t>，汇率为：</w:t>
      </w:r>
      <w:r>
        <w:rPr>
          <w:rFonts w:hint="eastAsia" w:ascii="宋体" w:hAnsi="宋体"/>
          <w:color w:val="000000"/>
          <w:sz w:val="24"/>
          <w:u w:val="single"/>
        </w:rPr>
        <w:t xml:space="preserve">         </w:t>
      </w:r>
      <w:r>
        <w:rPr>
          <w:rFonts w:hint="eastAsia" w:ascii="宋体" w:hAnsi="宋体"/>
          <w:color w:val="000000"/>
          <w:sz w:val="24"/>
        </w:rPr>
        <w:t>。</w:t>
      </w:r>
    </w:p>
    <w:p w14:paraId="38823E17">
      <w:pPr>
        <w:snapToGrid w:val="0"/>
        <w:spacing w:line="360" w:lineRule="auto"/>
        <w:rPr>
          <w:rFonts w:ascii="宋体" w:hAnsi="宋体"/>
          <w:color w:val="000000"/>
          <w:kern w:val="0"/>
          <w:sz w:val="24"/>
        </w:rPr>
      </w:pPr>
      <w:bookmarkStart w:id="32" w:name="_Hlk88465145"/>
      <w:r>
        <w:rPr>
          <w:rFonts w:hint="eastAsia" w:ascii="宋体" w:hAnsi="宋体"/>
          <w:color w:val="000000"/>
          <w:kern w:val="0"/>
          <w:sz w:val="24"/>
        </w:rPr>
        <w:t>5.3支付酬金</w:t>
      </w:r>
    </w:p>
    <w:p w14:paraId="3D6F2C28">
      <w:pPr>
        <w:adjustRightInd w:val="0"/>
        <w:snapToGrid w:val="0"/>
        <w:spacing w:line="360" w:lineRule="auto"/>
        <w:ind w:firstLine="475" w:firstLineChars="198"/>
        <w:rPr>
          <w:rFonts w:ascii="宋体" w:hAnsi="宋体"/>
          <w:color w:val="000000"/>
          <w:sz w:val="24"/>
        </w:rPr>
      </w:pPr>
      <w:r>
        <w:rPr>
          <w:rFonts w:hint="eastAsia" w:ascii="宋体" w:hAnsi="宋体"/>
          <w:color w:val="000000"/>
          <w:kern w:val="0"/>
          <w:sz w:val="24"/>
        </w:rPr>
        <w:t>正常工作</w:t>
      </w:r>
      <w:r>
        <w:rPr>
          <w:rFonts w:hint="eastAsia" w:ascii="宋体" w:hAnsi="宋体"/>
          <w:color w:val="000000"/>
          <w:sz w:val="24"/>
        </w:rPr>
        <w:t>酬金的</w:t>
      </w:r>
      <w:r>
        <w:rPr>
          <w:rFonts w:hint="eastAsia" w:ascii="宋体" w:hAnsi="宋体" w:cs="宋体"/>
          <w:color w:val="000000"/>
          <w:kern w:val="0"/>
          <w:sz w:val="24"/>
        </w:rPr>
        <w:t>支付</w:t>
      </w:r>
      <w:r>
        <w:rPr>
          <w:rFonts w:hint="eastAsia" w:ascii="宋体" w:hAnsi="宋体"/>
          <w:color w:val="000000"/>
          <w:sz w:val="24"/>
        </w:rPr>
        <w:t>：</w:t>
      </w:r>
    </w:p>
    <w:bookmarkEnd w:id="32"/>
    <w:tbl>
      <w:tblPr>
        <w:tblStyle w:val="3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5383"/>
        <w:gridCol w:w="2117"/>
      </w:tblGrid>
      <w:tr w14:paraId="71F6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vAlign w:val="center"/>
          </w:tcPr>
          <w:p w14:paraId="0F2765D5">
            <w:pPr>
              <w:spacing w:line="360" w:lineRule="auto"/>
              <w:jc w:val="center"/>
              <w:rPr>
                <w:rFonts w:ascii="宋体" w:hAnsi="宋体"/>
                <w:color w:val="000000"/>
                <w:sz w:val="24"/>
              </w:rPr>
            </w:pPr>
            <w:r>
              <w:rPr>
                <w:rFonts w:hint="eastAsia" w:ascii="宋体" w:hAnsi="宋体"/>
                <w:color w:val="000000"/>
                <w:sz w:val="24"/>
              </w:rPr>
              <w:t>支付时间</w:t>
            </w:r>
          </w:p>
        </w:tc>
        <w:tc>
          <w:tcPr>
            <w:tcW w:w="5383" w:type="dxa"/>
          </w:tcPr>
          <w:p w14:paraId="16B77CA3">
            <w:pPr>
              <w:spacing w:line="360" w:lineRule="auto"/>
              <w:jc w:val="center"/>
              <w:rPr>
                <w:rFonts w:ascii="宋体" w:hAnsi="宋体"/>
                <w:color w:val="000000"/>
                <w:sz w:val="24"/>
              </w:rPr>
            </w:pPr>
            <w:r>
              <w:rPr>
                <w:rFonts w:hint="eastAsia" w:ascii="宋体" w:hAnsi="宋体"/>
                <w:color w:val="000000"/>
                <w:sz w:val="24"/>
              </w:rPr>
              <w:t>支付比例</w:t>
            </w:r>
          </w:p>
        </w:tc>
        <w:tc>
          <w:tcPr>
            <w:tcW w:w="2117" w:type="dxa"/>
            <w:vAlign w:val="center"/>
          </w:tcPr>
          <w:p w14:paraId="364787B3">
            <w:pPr>
              <w:spacing w:line="360" w:lineRule="auto"/>
              <w:jc w:val="center"/>
              <w:rPr>
                <w:rFonts w:ascii="宋体" w:hAnsi="宋体"/>
                <w:color w:val="000000"/>
                <w:sz w:val="24"/>
              </w:rPr>
            </w:pPr>
            <w:r>
              <w:rPr>
                <w:rFonts w:hint="eastAsia" w:ascii="宋体" w:hAnsi="宋体"/>
                <w:color w:val="000000"/>
                <w:sz w:val="24"/>
              </w:rPr>
              <w:t>支付金额（万元）</w:t>
            </w:r>
          </w:p>
        </w:tc>
      </w:tr>
      <w:tr w14:paraId="40A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14:paraId="438CBF7F">
            <w:pPr>
              <w:spacing w:line="360" w:lineRule="auto"/>
              <w:rPr>
                <w:rFonts w:ascii="宋体" w:hAnsi="宋体"/>
                <w:color w:val="000000"/>
                <w:sz w:val="24"/>
              </w:rPr>
            </w:pPr>
            <w:r>
              <w:rPr>
                <w:rFonts w:hint="eastAsia" w:ascii="宋体" w:hAnsi="宋体"/>
                <w:color w:val="000000"/>
                <w:sz w:val="24"/>
              </w:rPr>
              <w:t>预付款（合同签订后，合同、担保措施生效以及具备实施条件后）</w:t>
            </w:r>
          </w:p>
        </w:tc>
        <w:tc>
          <w:tcPr>
            <w:tcW w:w="5383" w:type="dxa"/>
          </w:tcPr>
          <w:p w14:paraId="127C6347">
            <w:pPr>
              <w:spacing w:line="360" w:lineRule="auto"/>
              <w:jc w:val="left"/>
              <w:rPr>
                <w:rFonts w:ascii="宋体" w:hAnsi="宋体"/>
                <w:color w:val="000000"/>
                <w:sz w:val="24"/>
              </w:rPr>
            </w:pPr>
            <w:r>
              <w:rPr>
                <w:rFonts w:hint="eastAsia" w:ascii="宋体" w:hAnsi="宋体"/>
                <w:color w:val="000000"/>
                <w:sz w:val="24"/>
              </w:rPr>
              <w:t>签约酬金10%</w:t>
            </w:r>
          </w:p>
        </w:tc>
        <w:tc>
          <w:tcPr>
            <w:tcW w:w="2117" w:type="dxa"/>
          </w:tcPr>
          <w:p w14:paraId="7291AB06">
            <w:pPr>
              <w:spacing w:line="360" w:lineRule="auto"/>
              <w:rPr>
                <w:rFonts w:ascii="宋体" w:hAnsi="宋体"/>
                <w:color w:val="000000"/>
                <w:sz w:val="24"/>
              </w:rPr>
            </w:pPr>
            <w:r>
              <w:rPr>
                <w:rFonts w:hint="eastAsia" w:ascii="宋体" w:hAnsi="宋体"/>
                <w:color w:val="000000"/>
                <w:sz w:val="24"/>
              </w:rPr>
              <w:t>按支付比例支付</w:t>
            </w:r>
          </w:p>
        </w:tc>
      </w:tr>
      <w:tr w14:paraId="48F1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14:paraId="63D83F0C">
            <w:pPr>
              <w:spacing w:line="360" w:lineRule="auto"/>
              <w:rPr>
                <w:rFonts w:ascii="宋体" w:hAnsi="宋体"/>
                <w:color w:val="000000"/>
                <w:sz w:val="24"/>
              </w:rPr>
            </w:pPr>
            <w:r>
              <w:rPr>
                <w:rFonts w:hint="eastAsia" w:ascii="宋体" w:hAnsi="宋体"/>
                <w:color w:val="000000"/>
                <w:sz w:val="24"/>
              </w:rPr>
              <w:t>每月</w:t>
            </w:r>
          </w:p>
        </w:tc>
        <w:tc>
          <w:tcPr>
            <w:tcW w:w="5383" w:type="dxa"/>
          </w:tcPr>
          <w:p w14:paraId="7E0F6406">
            <w:pPr>
              <w:spacing w:line="360" w:lineRule="auto"/>
              <w:jc w:val="left"/>
              <w:rPr>
                <w:rFonts w:ascii="宋体" w:hAnsi="宋体"/>
                <w:color w:val="000000"/>
                <w:sz w:val="24"/>
              </w:rPr>
            </w:pPr>
            <w:r>
              <w:rPr>
                <w:rFonts w:hint="eastAsia" w:ascii="宋体" w:hAnsi="宋体"/>
                <w:color w:val="000000"/>
                <w:sz w:val="24"/>
              </w:rPr>
              <w:t>按考核后的监理费进度款的</w:t>
            </w:r>
            <w:r>
              <w:rPr>
                <w:rFonts w:hint="eastAsia" w:ascii="宋体" w:hAnsi="宋体"/>
                <w:sz w:val="24"/>
              </w:rPr>
              <w:t>75%（含预付款）支</w:t>
            </w:r>
            <w:r>
              <w:rPr>
                <w:rFonts w:hint="eastAsia" w:ascii="宋体" w:hAnsi="宋体"/>
                <w:color w:val="000000"/>
                <w:sz w:val="24"/>
              </w:rPr>
              <w:t>付月进度监理费</w:t>
            </w:r>
          </w:p>
        </w:tc>
        <w:tc>
          <w:tcPr>
            <w:tcW w:w="2117" w:type="dxa"/>
          </w:tcPr>
          <w:p w14:paraId="2311E6D8">
            <w:pPr>
              <w:spacing w:line="360" w:lineRule="auto"/>
              <w:rPr>
                <w:rFonts w:ascii="宋体" w:hAnsi="宋体"/>
                <w:color w:val="000000"/>
                <w:sz w:val="24"/>
              </w:rPr>
            </w:pPr>
            <w:r>
              <w:rPr>
                <w:rFonts w:hint="eastAsia" w:ascii="宋体" w:hAnsi="宋体"/>
                <w:color w:val="000000"/>
                <w:sz w:val="24"/>
              </w:rPr>
              <w:t>按支付比例支付。（注：分三个月扣回预付款）</w:t>
            </w:r>
          </w:p>
        </w:tc>
      </w:tr>
      <w:tr w14:paraId="0CDD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14:paraId="2CD27CB2">
            <w:pPr>
              <w:spacing w:line="360" w:lineRule="auto"/>
              <w:rPr>
                <w:rFonts w:ascii="宋体" w:hAnsi="宋体"/>
                <w:color w:val="000000"/>
                <w:sz w:val="24"/>
              </w:rPr>
            </w:pPr>
            <w:r>
              <w:rPr>
                <w:rFonts w:hint="eastAsia" w:ascii="宋体" w:hAnsi="宋体"/>
                <w:color w:val="000000"/>
                <w:sz w:val="24"/>
              </w:rPr>
              <w:t>工程竣工验收合格后</w:t>
            </w:r>
          </w:p>
        </w:tc>
        <w:tc>
          <w:tcPr>
            <w:tcW w:w="5383" w:type="dxa"/>
          </w:tcPr>
          <w:p w14:paraId="0C51ABA3">
            <w:pPr>
              <w:spacing w:line="360" w:lineRule="auto"/>
              <w:jc w:val="left"/>
              <w:rPr>
                <w:rFonts w:ascii="宋体" w:hAnsi="宋体"/>
                <w:color w:val="000000"/>
                <w:sz w:val="24"/>
              </w:rPr>
            </w:pPr>
            <w:r>
              <w:rPr>
                <w:rFonts w:hint="eastAsia" w:ascii="宋体" w:hAnsi="宋体"/>
                <w:color w:val="000000"/>
                <w:sz w:val="24"/>
              </w:rPr>
              <w:t>按考核后的监理费付至签约酬金85%</w:t>
            </w:r>
            <w:r>
              <w:rPr>
                <w:rFonts w:hint="eastAsia" w:ascii="宋体" w:hAnsi="宋体"/>
                <w:sz w:val="24"/>
              </w:rPr>
              <w:t>（含预付款）</w:t>
            </w:r>
          </w:p>
        </w:tc>
        <w:tc>
          <w:tcPr>
            <w:tcW w:w="2117" w:type="dxa"/>
          </w:tcPr>
          <w:p w14:paraId="661B925C">
            <w:pPr>
              <w:spacing w:line="360" w:lineRule="auto"/>
              <w:rPr>
                <w:rFonts w:ascii="宋体" w:hAnsi="宋体"/>
                <w:color w:val="000000"/>
                <w:sz w:val="24"/>
              </w:rPr>
            </w:pPr>
            <w:r>
              <w:rPr>
                <w:rFonts w:hint="eastAsia" w:ascii="宋体" w:hAnsi="宋体"/>
                <w:color w:val="000000"/>
                <w:sz w:val="24"/>
              </w:rPr>
              <w:t>按支付比例支付。</w:t>
            </w:r>
          </w:p>
        </w:tc>
      </w:tr>
      <w:tr w14:paraId="4D5E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14:paraId="3E4969A6">
            <w:pPr>
              <w:spacing w:line="360" w:lineRule="auto"/>
              <w:rPr>
                <w:rFonts w:ascii="宋体" w:hAnsi="宋体"/>
                <w:color w:val="000000"/>
                <w:sz w:val="24"/>
              </w:rPr>
            </w:pPr>
            <w:r>
              <w:rPr>
                <w:rFonts w:hint="eastAsia" w:ascii="宋体" w:hAnsi="宋体"/>
                <w:color w:val="000000"/>
                <w:sz w:val="24"/>
              </w:rPr>
              <w:t>工程结算审定后</w:t>
            </w:r>
          </w:p>
        </w:tc>
        <w:tc>
          <w:tcPr>
            <w:tcW w:w="5383" w:type="dxa"/>
          </w:tcPr>
          <w:p w14:paraId="7EB97709">
            <w:pPr>
              <w:spacing w:line="360" w:lineRule="auto"/>
              <w:rPr>
                <w:rFonts w:ascii="宋体" w:hAnsi="宋体"/>
                <w:color w:val="000000"/>
                <w:sz w:val="24"/>
              </w:rPr>
            </w:pPr>
            <w:r>
              <w:rPr>
                <w:rFonts w:hint="eastAsia" w:ascii="宋体" w:hAnsi="宋体"/>
                <w:color w:val="000000"/>
                <w:sz w:val="24"/>
              </w:rPr>
              <w:t>按考核后的监理费付至审核后的监理服务费用的97%</w:t>
            </w:r>
            <w:r>
              <w:rPr>
                <w:rFonts w:hint="eastAsia" w:ascii="宋体" w:hAnsi="宋体"/>
                <w:sz w:val="24"/>
              </w:rPr>
              <w:t>（含预付款）</w:t>
            </w:r>
          </w:p>
        </w:tc>
        <w:tc>
          <w:tcPr>
            <w:tcW w:w="2117" w:type="dxa"/>
          </w:tcPr>
          <w:p w14:paraId="62ECE43C">
            <w:pPr>
              <w:spacing w:line="360" w:lineRule="auto"/>
              <w:rPr>
                <w:rFonts w:ascii="宋体" w:hAnsi="宋体"/>
                <w:color w:val="000000"/>
                <w:sz w:val="24"/>
              </w:rPr>
            </w:pPr>
            <w:r>
              <w:rPr>
                <w:rFonts w:hint="eastAsia" w:ascii="宋体" w:hAnsi="宋体"/>
                <w:color w:val="000000"/>
                <w:sz w:val="24"/>
              </w:rPr>
              <w:t>按支付比例支付。</w:t>
            </w:r>
          </w:p>
        </w:tc>
      </w:tr>
      <w:tr w14:paraId="7B6A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4" w:type="dxa"/>
          </w:tcPr>
          <w:p w14:paraId="1B367BB7">
            <w:pPr>
              <w:spacing w:line="360" w:lineRule="auto"/>
              <w:rPr>
                <w:rFonts w:ascii="宋体" w:hAnsi="宋体"/>
                <w:color w:val="000000"/>
                <w:sz w:val="24"/>
              </w:rPr>
            </w:pPr>
            <w:r>
              <w:rPr>
                <w:rFonts w:hint="eastAsia" w:ascii="宋体" w:hAnsi="宋体"/>
                <w:color w:val="000000"/>
                <w:sz w:val="24"/>
              </w:rPr>
              <w:t>质保期结束后</w:t>
            </w:r>
          </w:p>
        </w:tc>
        <w:tc>
          <w:tcPr>
            <w:tcW w:w="5383" w:type="dxa"/>
          </w:tcPr>
          <w:p w14:paraId="0172CA48">
            <w:pPr>
              <w:spacing w:line="360" w:lineRule="auto"/>
              <w:jc w:val="left"/>
              <w:rPr>
                <w:rFonts w:ascii="宋体" w:hAnsi="宋体"/>
                <w:color w:val="000000"/>
                <w:sz w:val="24"/>
              </w:rPr>
            </w:pPr>
            <w:r>
              <w:rPr>
                <w:rFonts w:hint="eastAsia" w:ascii="宋体" w:hAnsi="宋体"/>
                <w:color w:val="000000"/>
                <w:sz w:val="24"/>
              </w:rPr>
              <w:t>余款3%一次性付清</w:t>
            </w:r>
          </w:p>
        </w:tc>
        <w:tc>
          <w:tcPr>
            <w:tcW w:w="2117" w:type="dxa"/>
          </w:tcPr>
          <w:p w14:paraId="60EF1D67">
            <w:pPr>
              <w:spacing w:line="360" w:lineRule="auto"/>
              <w:rPr>
                <w:rFonts w:ascii="宋体" w:hAnsi="宋体"/>
                <w:color w:val="000000"/>
                <w:sz w:val="24"/>
              </w:rPr>
            </w:pPr>
            <w:r>
              <w:rPr>
                <w:rFonts w:hint="eastAsia" w:ascii="宋体" w:hAnsi="宋体"/>
                <w:color w:val="000000"/>
                <w:sz w:val="24"/>
              </w:rPr>
              <w:t>按支付比例支付。</w:t>
            </w:r>
          </w:p>
        </w:tc>
      </w:tr>
    </w:tbl>
    <w:p w14:paraId="01E103FF">
      <w:pPr>
        <w:snapToGrid w:val="0"/>
        <w:spacing w:line="360" w:lineRule="exact"/>
        <w:rPr>
          <w:rFonts w:ascii="宋体" w:hAnsi="宋体"/>
          <w:color w:val="000000"/>
          <w:sz w:val="24"/>
          <w:u w:val="single"/>
        </w:rPr>
      </w:pPr>
      <w:r>
        <w:rPr>
          <w:rFonts w:hint="eastAsia" w:ascii="宋体" w:hAnsi="宋体"/>
          <w:color w:val="000000"/>
          <w:sz w:val="24"/>
          <w:u w:val="single"/>
        </w:rPr>
        <w:t>注：</w:t>
      </w:r>
    </w:p>
    <w:p w14:paraId="3CAC51C7">
      <w:pPr>
        <w:pStyle w:val="6"/>
        <w:ind w:firstLine="0" w:firstLineChars="0"/>
      </w:pPr>
      <w:r>
        <w:rPr>
          <w:rFonts w:hint="eastAsia"/>
          <w:lang w:val="en-US" w:eastAsia="zh-CN"/>
        </w:rPr>
        <w:t>1</w:t>
      </w:r>
      <w:r>
        <w:rPr>
          <w:rFonts w:hint="eastAsia"/>
        </w:rPr>
        <w:t>、</w:t>
      </w:r>
      <w:r>
        <w:rPr>
          <w:rFonts w:ascii="宋体" w:hAnsi="宋体" w:cs="宋体"/>
          <w:color w:val="FF0000"/>
          <w:sz w:val="24"/>
          <w:u w:val="single"/>
        </w:rPr>
        <w:t>若承包人选择以现金、保函、保证保险、法律法规规定的其他形式另行缴纳质量保证金的，工程结算审定结束后付至最终结算价款的100%</w:t>
      </w:r>
      <w:r>
        <w:rPr>
          <w:rFonts w:hint="eastAsia" w:ascii="宋体" w:hAnsi="宋体" w:cs="宋体"/>
          <w:color w:val="FF0000"/>
          <w:sz w:val="24"/>
          <w:u w:val="single"/>
        </w:rPr>
        <w:t>（含预付款）。</w:t>
      </w:r>
    </w:p>
    <w:p w14:paraId="2E87FEA1">
      <w:pPr>
        <w:snapToGrid w:val="0"/>
        <w:spacing w:line="360" w:lineRule="exact"/>
        <w:rPr>
          <w:rFonts w:ascii="宋体" w:hAnsi="宋体"/>
          <w:bCs/>
          <w:color w:val="000000"/>
          <w:sz w:val="24"/>
        </w:rPr>
      </w:pPr>
      <w:r>
        <w:rPr>
          <w:rFonts w:hint="eastAsia" w:ascii="宋体" w:hAnsi="宋体"/>
          <w:color w:val="FF0000"/>
          <w:sz w:val="24"/>
          <w:highlight w:val="yellow"/>
          <w:u w:val="single"/>
          <w:lang w:val="en-US" w:eastAsia="zh-CN"/>
        </w:rPr>
        <w:t>2、</w:t>
      </w:r>
      <w:r>
        <w:rPr>
          <w:rFonts w:hint="eastAsia" w:ascii="宋体" w:hAnsi="宋体"/>
          <w:color w:val="FF0000"/>
          <w:sz w:val="24"/>
          <w:highlight w:val="yellow"/>
          <w:u w:val="single"/>
        </w:rPr>
        <w:t>建设单位对监理单位每月进行一次考核，建设方将考核得分作为结算合同价款的依据，严格考核，从严惩处。月度考核得分低于80分的，该月进度款不予支付；连续2个月低于80分的，扣除履约保证金总额的10%。（考核方式见附件1）</w:t>
      </w:r>
    </w:p>
    <w:p w14:paraId="0618A12B">
      <w:pPr>
        <w:snapToGrid w:val="0"/>
        <w:spacing w:line="360" w:lineRule="exact"/>
        <w:rPr>
          <w:rFonts w:ascii="宋体" w:hAnsi="宋体"/>
          <w:bCs/>
          <w:color w:val="000000"/>
          <w:sz w:val="24"/>
        </w:rPr>
      </w:pPr>
      <w:r>
        <w:rPr>
          <w:rFonts w:hint="eastAsia" w:ascii="宋体" w:hAnsi="宋体"/>
          <w:bCs/>
          <w:color w:val="000000"/>
          <w:sz w:val="24"/>
        </w:rPr>
        <w:t>6.合同生效、变更、暂停、解除与终止</w:t>
      </w:r>
    </w:p>
    <w:p w14:paraId="22F47CF6">
      <w:pPr>
        <w:adjustRightInd w:val="0"/>
        <w:snapToGrid w:val="0"/>
        <w:spacing w:line="360" w:lineRule="exact"/>
        <w:ind w:firstLine="240" w:firstLineChars="100"/>
        <w:rPr>
          <w:rFonts w:ascii="宋体" w:hAnsi="宋体"/>
          <w:color w:val="000000"/>
          <w:sz w:val="24"/>
        </w:rPr>
      </w:pPr>
      <w:r>
        <w:rPr>
          <w:rFonts w:hint="eastAsia" w:ascii="宋体" w:hAnsi="宋体"/>
          <w:color w:val="000000"/>
          <w:sz w:val="24"/>
        </w:rPr>
        <w:t>6.1生效</w:t>
      </w:r>
    </w:p>
    <w:p w14:paraId="152BBF81">
      <w:pPr>
        <w:adjustRightInd w:val="0"/>
        <w:snapToGrid w:val="0"/>
        <w:spacing w:line="360" w:lineRule="exact"/>
        <w:ind w:firstLine="480"/>
        <w:rPr>
          <w:rFonts w:ascii="宋体" w:hAnsi="宋体"/>
          <w:color w:val="000000"/>
          <w:sz w:val="24"/>
        </w:rPr>
      </w:pPr>
      <w:r>
        <w:rPr>
          <w:rFonts w:hint="eastAsia" w:ascii="宋体" w:hAnsi="宋体"/>
          <w:color w:val="000000"/>
          <w:sz w:val="24"/>
        </w:rPr>
        <w:t>本合同生效条件：</w:t>
      </w:r>
      <w:r>
        <w:rPr>
          <w:rFonts w:hint="eastAsia" w:ascii="宋体" w:hAnsi="宋体"/>
          <w:color w:val="000000"/>
          <w:sz w:val="24"/>
          <w:u w:val="single"/>
        </w:rPr>
        <w:t xml:space="preserve">签字、盖章后生效 </w:t>
      </w:r>
      <w:r>
        <w:rPr>
          <w:rFonts w:hint="eastAsia" w:ascii="宋体" w:hAnsi="宋体"/>
          <w:color w:val="000000"/>
          <w:sz w:val="24"/>
        </w:rPr>
        <w:t>。</w:t>
      </w:r>
    </w:p>
    <w:p w14:paraId="40DEC09E">
      <w:pPr>
        <w:adjustRightInd w:val="0"/>
        <w:snapToGrid w:val="0"/>
        <w:spacing w:line="360" w:lineRule="exact"/>
        <w:ind w:firstLine="235" w:firstLineChars="98"/>
        <w:rPr>
          <w:rFonts w:ascii="宋体" w:hAnsi="宋体"/>
          <w:color w:val="000000"/>
          <w:sz w:val="24"/>
        </w:rPr>
      </w:pPr>
      <w:r>
        <w:rPr>
          <w:rFonts w:hint="eastAsia" w:ascii="宋体" w:hAnsi="宋体"/>
          <w:color w:val="000000"/>
          <w:sz w:val="24"/>
        </w:rPr>
        <w:t>6.2变更</w:t>
      </w:r>
    </w:p>
    <w:p w14:paraId="314BCE07">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sz w:val="24"/>
        </w:rPr>
        <w:t>6.2.2除不可抗力外， 因非监理人原因导致本合同期限延长时，附加工作酬金按下列方法确定：</w:t>
      </w:r>
      <w:r>
        <w:rPr>
          <w:rFonts w:hint="eastAsia" w:ascii="宋体" w:hAnsi="宋体"/>
          <w:color w:val="000000"/>
          <w:kern w:val="0"/>
          <w:sz w:val="24"/>
        </w:rPr>
        <w:t>附加工作</w:t>
      </w:r>
      <w:r>
        <w:rPr>
          <w:rFonts w:hint="eastAsia" w:ascii="宋体" w:hAnsi="宋体"/>
          <w:color w:val="000000"/>
          <w:sz w:val="24"/>
        </w:rPr>
        <w:t>酬金</w:t>
      </w:r>
      <w:r>
        <w:rPr>
          <w:rFonts w:hint="eastAsia" w:ascii="宋体" w:hAnsi="宋体"/>
          <w:color w:val="000000"/>
          <w:kern w:val="0"/>
          <w:sz w:val="24"/>
        </w:rPr>
        <w:t>=</w:t>
      </w:r>
      <w:r>
        <w:rPr>
          <w:rFonts w:hint="eastAsia" w:ascii="宋体" w:hAnsi="宋体"/>
          <w:color w:val="000000"/>
          <w:sz w:val="24"/>
        </w:rPr>
        <w:t>本合同期限延长</w:t>
      </w:r>
      <w:r>
        <w:rPr>
          <w:rFonts w:hint="eastAsia" w:ascii="宋体" w:hAnsi="宋体"/>
          <w:color w:val="000000"/>
          <w:kern w:val="0"/>
          <w:sz w:val="24"/>
        </w:rPr>
        <w:t>时间（天）×正常工作酬金÷</w:t>
      </w:r>
      <w:r>
        <w:rPr>
          <w:rFonts w:hint="eastAsia" w:ascii="宋体" w:hAnsi="宋体"/>
          <w:color w:val="000000"/>
          <w:sz w:val="24"/>
        </w:rPr>
        <w:t>协议书约定的监理与相关服务期限</w:t>
      </w:r>
      <w:r>
        <w:rPr>
          <w:rFonts w:hint="eastAsia" w:ascii="宋体" w:hAnsi="宋体"/>
          <w:color w:val="000000"/>
          <w:kern w:val="0"/>
          <w:sz w:val="24"/>
        </w:rPr>
        <w:t>（天）(本工程因采用</w:t>
      </w:r>
      <w:r>
        <w:rPr>
          <w:rFonts w:ascii="宋体" w:hAnsi="宋体"/>
          <w:color w:val="FF0000"/>
          <w:sz w:val="24"/>
          <w:u w:val="single"/>
        </w:rPr>
        <w:t>投标报价</w:t>
      </w:r>
      <w:r>
        <w:rPr>
          <w:rFonts w:hint="eastAsia" w:ascii="宋体" w:hAnsi="宋体"/>
          <w:color w:val="FF0000"/>
          <w:sz w:val="24"/>
          <w:u w:val="single"/>
        </w:rPr>
        <w:t>折算成</w:t>
      </w:r>
      <w:r>
        <w:rPr>
          <w:rFonts w:ascii="宋体" w:hAnsi="宋体"/>
          <w:color w:val="FF0000"/>
          <w:sz w:val="24"/>
          <w:u w:val="single"/>
        </w:rPr>
        <w:t>监理费率</w:t>
      </w:r>
      <w:r>
        <w:rPr>
          <w:rFonts w:hint="eastAsia" w:ascii="宋体" w:hAnsi="宋体"/>
          <w:color w:val="FF0000"/>
          <w:sz w:val="24"/>
          <w:u w:val="single"/>
        </w:rPr>
        <w:t>的方式</w:t>
      </w:r>
      <w:r>
        <w:rPr>
          <w:rFonts w:hint="eastAsia" w:ascii="宋体" w:hAnsi="宋体"/>
          <w:color w:val="000000"/>
          <w:kern w:val="0"/>
          <w:sz w:val="24"/>
        </w:rPr>
        <w:t>招标,如因非监理单位的原因造成工期调整或拖延，监理服务期应相应顺延，而且监理单位可适当调整监理计划，但这种计划调整以不影响监理服务水平为前提，并须经业主批准。业主对工期进行调整或延长，监理服务期也相应作调整或延长。)</w:t>
      </w:r>
    </w:p>
    <w:p w14:paraId="30EE2611">
      <w:pPr>
        <w:snapToGrid w:val="0"/>
        <w:spacing w:line="360" w:lineRule="exact"/>
        <w:ind w:firstLine="480" w:firstLineChars="200"/>
        <w:rPr>
          <w:rFonts w:ascii="宋体" w:hAnsi="宋体"/>
          <w:color w:val="000000"/>
          <w:sz w:val="24"/>
        </w:rPr>
      </w:pPr>
      <w:r>
        <w:rPr>
          <w:rFonts w:hint="eastAsia" w:ascii="宋体" w:hAnsi="宋体"/>
          <w:color w:val="000000"/>
          <w:sz w:val="24"/>
        </w:rPr>
        <w:t>6.2.3附加工作酬金按下列方法确定：</w:t>
      </w:r>
    </w:p>
    <w:p w14:paraId="11C3B47D">
      <w:pPr>
        <w:snapToGrid w:val="0"/>
        <w:spacing w:line="360" w:lineRule="exact"/>
        <w:ind w:firstLine="480" w:firstLineChars="200"/>
        <w:rPr>
          <w:rFonts w:ascii="宋体" w:hAnsi="宋体"/>
          <w:color w:val="000000"/>
          <w:kern w:val="0"/>
          <w:sz w:val="24"/>
        </w:rPr>
      </w:pPr>
      <w:r>
        <w:rPr>
          <w:rFonts w:hint="eastAsia" w:ascii="宋体" w:hAnsi="宋体"/>
          <w:color w:val="000000"/>
          <w:kern w:val="0"/>
          <w:sz w:val="24"/>
        </w:rPr>
        <w:t>附加工作</w:t>
      </w:r>
      <w:r>
        <w:rPr>
          <w:rFonts w:hint="eastAsia" w:ascii="宋体" w:hAnsi="宋体"/>
          <w:color w:val="000000"/>
          <w:sz w:val="24"/>
        </w:rPr>
        <w:t>酬金</w:t>
      </w:r>
      <w:r>
        <w:rPr>
          <w:rFonts w:hint="eastAsia" w:ascii="宋体" w:hAnsi="宋体"/>
          <w:color w:val="000000"/>
          <w:kern w:val="0"/>
          <w:sz w:val="24"/>
        </w:rPr>
        <w:t>=善后工作及恢复服务的准备工作时间（天）×正常工作酬金÷</w:t>
      </w:r>
      <w:r>
        <w:rPr>
          <w:rFonts w:hint="eastAsia" w:ascii="宋体" w:hAnsi="宋体"/>
          <w:color w:val="000000"/>
          <w:sz w:val="24"/>
        </w:rPr>
        <w:t>协议书约定的监理与相关服务期限</w:t>
      </w:r>
      <w:r>
        <w:rPr>
          <w:rFonts w:hint="eastAsia" w:ascii="宋体" w:hAnsi="宋体"/>
          <w:color w:val="000000"/>
          <w:kern w:val="0"/>
          <w:sz w:val="24"/>
        </w:rPr>
        <w:t>（天）</w:t>
      </w:r>
    </w:p>
    <w:p w14:paraId="0E5D61DC">
      <w:pPr>
        <w:adjustRightInd w:val="0"/>
        <w:snapToGrid w:val="0"/>
        <w:spacing w:line="360" w:lineRule="exact"/>
        <w:ind w:firstLine="480" w:firstLineChars="200"/>
        <w:rPr>
          <w:rFonts w:ascii="宋体" w:hAnsi="宋体"/>
          <w:color w:val="000000"/>
          <w:kern w:val="0"/>
          <w:sz w:val="24"/>
        </w:rPr>
      </w:pPr>
      <w:r>
        <w:rPr>
          <w:rFonts w:hint="eastAsia" w:ascii="宋体" w:hAnsi="宋体"/>
          <w:color w:val="000000"/>
          <w:sz w:val="24"/>
        </w:rPr>
        <w:t>6.2.5 正常工作酬金增加额按下列方法确定：正常工作酬金增加额</w:t>
      </w:r>
      <w:r>
        <w:rPr>
          <w:rFonts w:hint="eastAsia" w:ascii="宋体" w:hAnsi="宋体"/>
          <w:color w:val="000000"/>
          <w:kern w:val="0"/>
          <w:sz w:val="24"/>
        </w:rPr>
        <w:t>=工程投资额</w:t>
      </w:r>
      <w:r>
        <w:rPr>
          <w:rFonts w:hint="eastAsia" w:ascii="宋体" w:hAnsi="宋体"/>
          <w:color w:val="000000"/>
          <w:sz w:val="24"/>
        </w:rPr>
        <w:t>或建筑安装工程费</w:t>
      </w:r>
      <w:r>
        <w:rPr>
          <w:rFonts w:hint="eastAsia" w:ascii="宋体" w:hAnsi="宋体"/>
          <w:color w:val="000000"/>
          <w:kern w:val="0"/>
          <w:sz w:val="24"/>
        </w:rPr>
        <w:t>增加额×正常工作酬金÷工程概算投资额（或建筑安装工程费）</w:t>
      </w:r>
    </w:p>
    <w:p w14:paraId="526E8D19">
      <w:pPr>
        <w:adjustRightInd w:val="0"/>
        <w:snapToGrid w:val="0"/>
        <w:spacing w:line="360" w:lineRule="exact"/>
        <w:ind w:firstLine="480" w:firstLineChars="200"/>
        <w:rPr>
          <w:rFonts w:ascii="宋体" w:hAnsi="宋体"/>
          <w:color w:val="000000"/>
          <w:sz w:val="24"/>
        </w:rPr>
      </w:pPr>
      <w:r>
        <w:rPr>
          <w:rFonts w:hint="eastAsia" w:ascii="宋体" w:hAnsi="宋体"/>
          <w:color w:val="000000"/>
          <w:sz w:val="24"/>
        </w:rPr>
        <w:t>6.2.6 因工程规模、监理范围的变化导致监理人的正常工作量减少时，按减少工作量的比例从协议书约定的正常工作酬金中扣减相同比例的酬金。</w:t>
      </w:r>
    </w:p>
    <w:p w14:paraId="69EB3A2A">
      <w:pPr>
        <w:snapToGrid w:val="0"/>
        <w:spacing w:line="360" w:lineRule="exact"/>
        <w:rPr>
          <w:rFonts w:ascii="宋体" w:hAnsi="宋体"/>
          <w:bCs/>
          <w:color w:val="000000"/>
          <w:sz w:val="24"/>
        </w:rPr>
      </w:pPr>
      <w:r>
        <w:rPr>
          <w:rFonts w:hint="eastAsia" w:ascii="宋体" w:hAnsi="宋体"/>
          <w:bCs/>
          <w:color w:val="000000"/>
          <w:sz w:val="24"/>
        </w:rPr>
        <w:t>7.争议解决</w:t>
      </w:r>
    </w:p>
    <w:p w14:paraId="74EFCBCB">
      <w:pPr>
        <w:snapToGrid w:val="0"/>
        <w:spacing w:line="300" w:lineRule="exact"/>
        <w:ind w:firstLine="352" w:firstLineChars="147"/>
        <w:rPr>
          <w:rFonts w:ascii="宋体" w:hAnsi="宋体"/>
          <w:color w:val="000000"/>
          <w:sz w:val="24"/>
        </w:rPr>
      </w:pPr>
      <w:r>
        <w:rPr>
          <w:rFonts w:hint="eastAsia" w:ascii="宋体" w:hAnsi="宋体"/>
          <w:color w:val="000000"/>
          <w:sz w:val="24"/>
        </w:rPr>
        <w:t>7.2</w:t>
      </w:r>
      <w:r>
        <w:rPr>
          <w:rFonts w:hint="eastAsia" w:ascii="宋体" w:hAnsi="宋体"/>
          <w:bCs/>
          <w:color w:val="000000"/>
          <w:sz w:val="24"/>
        </w:rPr>
        <w:t>调解</w:t>
      </w:r>
    </w:p>
    <w:p w14:paraId="6C000BE8">
      <w:pPr>
        <w:snapToGrid w:val="0"/>
        <w:spacing w:line="300" w:lineRule="exact"/>
        <w:ind w:firstLine="470" w:firstLineChars="196"/>
        <w:rPr>
          <w:rFonts w:ascii="宋体" w:hAnsi="宋体"/>
          <w:color w:val="000000"/>
          <w:sz w:val="24"/>
        </w:rPr>
      </w:pPr>
      <w:r>
        <w:rPr>
          <w:rFonts w:hint="eastAsia" w:ascii="宋体" w:hAnsi="宋体"/>
          <w:color w:val="000000"/>
          <w:sz w:val="24"/>
        </w:rPr>
        <w:t>本合同争议进行调解时，可提交</w:t>
      </w:r>
      <w:r>
        <w:rPr>
          <w:rFonts w:hint="eastAsia" w:ascii="宋体" w:hAnsi="宋体"/>
          <w:color w:val="FF0000"/>
          <w:sz w:val="24"/>
          <w:u w:val="single"/>
        </w:rPr>
        <w:t xml:space="preserve">            </w:t>
      </w:r>
      <w:r>
        <w:rPr>
          <w:rFonts w:hint="eastAsia" w:ascii="宋体" w:hAnsi="宋体"/>
          <w:color w:val="000000"/>
          <w:sz w:val="24"/>
        </w:rPr>
        <w:t>进行调解。</w:t>
      </w:r>
    </w:p>
    <w:p w14:paraId="13785045">
      <w:pPr>
        <w:snapToGrid w:val="0"/>
        <w:spacing w:line="300" w:lineRule="exact"/>
        <w:ind w:firstLine="352" w:firstLineChars="147"/>
        <w:rPr>
          <w:rFonts w:ascii="宋体" w:hAnsi="宋体"/>
          <w:color w:val="000000"/>
          <w:sz w:val="24"/>
        </w:rPr>
      </w:pPr>
      <w:r>
        <w:rPr>
          <w:rFonts w:hint="eastAsia" w:ascii="宋体" w:hAnsi="宋体"/>
          <w:color w:val="000000"/>
          <w:sz w:val="24"/>
        </w:rPr>
        <w:t>7.3</w:t>
      </w:r>
      <w:r>
        <w:rPr>
          <w:rFonts w:hint="eastAsia" w:ascii="宋体" w:hAnsi="宋体"/>
          <w:bCs/>
          <w:color w:val="000000"/>
          <w:sz w:val="24"/>
        </w:rPr>
        <w:t>仲裁或诉讼</w:t>
      </w:r>
    </w:p>
    <w:p w14:paraId="4483B676">
      <w:pPr>
        <w:adjustRightInd w:val="0"/>
        <w:snapToGrid w:val="0"/>
        <w:spacing w:line="300" w:lineRule="exact"/>
        <w:ind w:firstLine="480" w:firstLineChars="200"/>
        <w:rPr>
          <w:rFonts w:ascii="宋体" w:hAnsi="宋体"/>
          <w:color w:val="000000"/>
          <w:sz w:val="24"/>
        </w:rPr>
      </w:pPr>
      <w:r>
        <w:rPr>
          <w:rFonts w:hint="eastAsia" w:ascii="宋体" w:hAnsi="宋体"/>
          <w:color w:val="000000"/>
          <w:sz w:val="24"/>
        </w:rPr>
        <w:t>合同争议的最终解决方式为下列第</w:t>
      </w:r>
      <w:r>
        <w:rPr>
          <w:rFonts w:hint="eastAsia" w:ascii="宋体" w:hAnsi="宋体"/>
          <w:color w:val="000000"/>
          <w:sz w:val="24"/>
          <w:u w:val="single"/>
        </w:rPr>
        <w:t xml:space="preserve">     </w:t>
      </w:r>
      <w:r>
        <w:rPr>
          <w:rFonts w:hint="eastAsia" w:ascii="宋体" w:hAnsi="宋体"/>
          <w:color w:val="000000"/>
          <w:sz w:val="24"/>
        </w:rPr>
        <w:t>种方式：</w:t>
      </w:r>
    </w:p>
    <w:p w14:paraId="56262238">
      <w:pPr>
        <w:adjustRightInd w:val="0"/>
        <w:snapToGrid w:val="0"/>
        <w:spacing w:line="300" w:lineRule="exact"/>
        <w:ind w:firstLine="480" w:firstLineChars="200"/>
        <w:rPr>
          <w:rFonts w:ascii="宋体" w:hAnsi="宋体"/>
          <w:color w:val="000000"/>
          <w:sz w:val="24"/>
        </w:rPr>
      </w:pPr>
      <w:r>
        <w:rPr>
          <w:rFonts w:hint="eastAsia" w:ascii="宋体" w:hAnsi="宋体"/>
          <w:color w:val="000000"/>
          <w:sz w:val="24"/>
        </w:rPr>
        <w:t>（1）提请</w:t>
      </w:r>
      <w:r>
        <w:rPr>
          <w:rFonts w:hint="eastAsia" w:ascii="宋体" w:hAnsi="宋体"/>
          <w:color w:val="000000"/>
          <w:sz w:val="24"/>
          <w:u w:val="single"/>
        </w:rPr>
        <w:t xml:space="preserve">       </w:t>
      </w:r>
      <w:r>
        <w:rPr>
          <w:rFonts w:hint="eastAsia" w:ascii="宋体" w:hAnsi="宋体"/>
          <w:color w:val="000000"/>
          <w:sz w:val="24"/>
        </w:rPr>
        <w:t>仲裁委员会进行仲裁。</w:t>
      </w:r>
    </w:p>
    <w:p w14:paraId="7843ACB4">
      <w:pPr>
        <w:adjustRightInd w:val="0"/>
        <w:snapToGrid w:val="0"/>
        <w:spacing w:line="300" w:lineRule="exact"/>
        <w:ind w:firstLine="480" w:firstLineChars="200"/>
        <w:rPr>
          <w:rFonts w:ascii="宋体" w:hAnsi="宋体"/>
          <w:color w:val="000000"/>
          <w:sz w:val="24"/>
        </w:rPr>
      </w:pPr>
      <w:r>
        <w:rPr>
          <w:rFonts w:hint="eastAsia" w:ascii="宋体" w:hAnsi="宋体"/>
          <w:color w:val="000000"/>
          <w:sz w:val="24"/>
        </w:rPr>
        <w:t>（2）向</w:t>
      </w:r>
      <w:r>
        <w:rPr>
          <w:rFonts w:hint="eastAsia" w:ascii="宋体" w:hAnsi="宋体"/>
          <w:color w:val="000000"/>
          <w:sz w:val="24"/>
          <w:u w:val="single"/>
        </w:rPr>
        <w:t xml:space="preserve">       </w:t>
      </w:r>
      <w:r>
        <w:rPr>
          <w:rFonts w:hint="eastAsia" w:ascii="宋体" w:hAnsi="宋体"/>
          <w:color w:val="000000"/>
          <w:sz w:val="24"/>
        </w:rPr>
        <w:t>人民法院提起诉讼。</w:t>
      </w:r>
    </w:p>
    <w:p w14:paraId="767E13EA">
      <w:pPr>
        <w:adjustRightInd w:val="0"/>
        <w:snapToGrid w:val="0"/>
        <w:spacing w:line="300" w:lineRule="exact"/>
        <w:rPr>
          <w:rFonts w:ascii="宋体" w:hAnsi="宋体"/>
          <w:bCs/>
          <w:color w:val="000000"/>
          <w:sz w:val="24"/>
        </w:rPr>
      </w:pPr>
      <w:r>
        <w:rPr>
          <w:rFonts w:hint="eastAsia" w:ascii="宋体" w:hAnsi="宋体"/>
          <w:bCs/>
          <w:color w:val="000000"/>
          <w:sz w:val="24"/>
        </w:rPr>
        <w:t>8.其他</w:t>
      </w:r>
    </w:p>
    <w:p w14:paraId="148100A3">
      <w:pPr>
        <w:adjustRightInd w:val="0"/>
        <w:snapToGrid w:val="0"/>
        <w:spacing w:line="300" w:lineRule="exact"/>
        <w:ind w:firstLine="480" w:firstLineChars="200"/>
        <w:rPr>
          <w:rFonts w:ascii="宋体" w:hAnsi="宋体"/>
          <w:bCs/>
          <w:color w:val="000000"/>
          <w:sz w:val="24"/>
        </w:rPr>
      </w:pPr>
      <w:r>
        <w:rPr>
          <w:rFonts w:hint="eastAsia" w:ascii="宋体" w:hAnsi="宋体"/>
          <w:bCs/>
          <w:color w:val="000000"/>
          <w:sz w:val="24"/>
        </w:rPr>
        <w:t>8.2检测费用</w:t>
      </w:r>
    </w:p>
    <w:p w14:paraId="2F92FD93">
      <w:pPr>
        <w:adjustRightInd w:val="0"/>
        <w:snapToGrid w:val="0"/>
        <w:spacing w:line="300" w:lineRule="exact"/>
        <w:ind w:firstLine="465"/>
        <w:rPr>
          <w:rFonts w:ascii="宋体" w:hAnsi="宋体"/>
          <w:bCs/>
          <w:color w:val="000000"/>
          <w:sz w:val="24"/>
        </w:rPr>
      </w:pPr>
      <w:r>
        <w:rPr>
          <w:rFonts w:hint="eastAsia" w:ascii="宋体" w:hAnsi="宋体"/>
          <w:bCs/>
          <w:color w:val="000000"/>
          <w:sz w:val="24"/>
        </w:rPr>
        <w:t>委托人应在检测工作完成后</w:t>
      </w:r>
      <w:r>
        <w:rPr>
          <w:rFonts w:hint="eastAsia" w:ascii="宋体" w:hAnsi="宋体"/>
          <w:color w:val="000000"/>
          <w:sz w:val="24"/>
          <w:u w:val="single"/>
        </w:rPr>
        <w:t xml:space="preserve">       </w:t>
      </w:r>
      <w:r>
        <w:rPr>
          <w:rFonts w:hint="eastAsia" w:ascii="宋体" w:hAnsi="宋体"/>
          <w:bCs/>
          <w:color w:val="000000"/>
          <w:sz w:val="24"/>
        </w:rPr>
        <w:t>天内支付检测费用。</w:t>
      </w:r>
    </w:p>
    <w:p w14:paraId="25345EE5">
      <w:pPr>
        <w:adjustRightInd w:val="0"/>
        <w:snapToGrid w:val="0"/>
        <w:spacing w:line="300" w:lineRule="exact"/>
        <w:ind w:firstLine="465"/>
        <w:rPr>
          <w:rFonts w:ascii="宋体" w:hAnsi="宋体"/>
          <w:bCs/>
          <w:color w:val="000000"/>
          <w:sz w:val="24"/>
        </w:rPr>
      </w:pPr>
      <w:r>
        <w:rPr>
          <w:rFonts w:hint="eastAsia" w:ascii="宋体" w:hAnsi="宋体"/>
          <w:bCs/>
          <w:color w:val="000000"/>
          <w:sz w:val="24"/>
        </w:rPr>
        <w:t>8.3 咨询费用</w:t>
      </w:r>
    </w:p>
    <w:p w14:paraId="2B666295">
      <w:pPr>
        <w:adjustRightInd w:val="0"/>
        <w:snapToGrid w:val="0"/>
        <w:spacing w:line="300" w:lineRule="exact"/>
        <w:rPr>
          <w:rFonts w:ascii="宋体" w:hAnsi="宋体"/>
          <w:bCs/>
          <w:color w:val="000000"/>
          <w:sz w:val="24"/>
        </w:rPr>
      </w:pPr>
      <w:r>
        <w:rPr>
          <w:rFonts w:hint="eastAsia" w:ascii="宋体" w:hAnsi="宋体"/>
          <w:bCs/>
          <w:color w:val="000000"/>
          <w:sz w:val="24"/>
        </w:rPr>
        <w:t xml:space="preserve">    委托人应在咨询工作完成后</w:t>
      </w:r>
      <w:r>
        <w:rPr>
          <w:rFonts w:hint="eastAsia" w:ascii="宋体" w:hAnsi="宋体"/>
          <w:color w:val="000000"/>
          <w:sz w:val="24"/>
          <w:u w:val="single"/>
        </w:rPr>
        <w:t xml:space="preserve">       </w:t>
      </w:r>
      <w:r>
        <w:rPr>
          <w:rFonts w:hint="eastAsia" w:ascii="宋体" w:hAnsi="宋体"/>
          <w:bCs/>
          <w:color w:val="000000"/>
          <w:sz w:val="24"/>
        </w:rPr>
        <w:t>天内支付咨询费用。</w:t>
      </w:r>
    </w:p>
    <w:p w14:paraId="16373462">
      <w:pPr>
        <w:snapToGrid w:val="0"/>
        <w:spacing w:line="300" w:lineRule="exact"/>
        <w:ind w:firstLine="472" w:firstLineChars="197"/>
        <w:rPr>
          <w:rFonts w:ascii="宋体" w:hAnsi="宋体"/>
          <w:color w:val="000000"/>
          <w:sz w:val="24"/>
        </w:rPr>
      </w:pPr>
      <w:r>
        <w:rPr>
          <w:rFonts w:hint="eastAsia" w:ascii="宋体" w:hAnsi="宋体"/>
          <w:color w:val="000000"/>
          <w:sz w:val="24"/>
        </w:rPr>
        <w:t>8.4 奖励</w:t>
      </w:r>
    </w:p>
    <w:p w14:paraId="4176EA2E">
      <w:pPr>
        <w:snapToGrid w:val="0"/>
        <w:spacing w:line="300" w:lineRule="exact"/>
        <w:ind w:firstLine="480" w:firstLineChars="200"/>
        <w:rPr>
          <w:rFonts w:ascii="宋体" w:hAnsi="宋体"/>
          <w:color w:val="000000"/>
          <w:sz w:val="24"/>
        </w:rPr>
      </w:pPr>
      <w:r>
        <w:rPr>
          <w:rFonts w:hint="eastAsia" w:ascii="宋体" w:hAnsi="宋体"/>
          <w:color w:val="000000"/>
          <w:sz w:val="24"/>
        </w:rPr>
        <w:t>合理化建议的奖励金额按下列方法确定为：奖励金额＝工程投资节省额×奖励金额的比率；奖励金额的比率为</w:t>
      </w:r>
      <w:r>
        <w:rPr>
          <w:rFonts w:hint="eastAsia" w:ascii="宋体" w:hAnsi="宋体"/>
          <w:color w:val="000000"/>
          <w:sz w:val="24"/>
          <w:u w:val="single"/>
        </w:rPr>
        <w:t xml:space="preserve">            </w:t>
      </w:r>
      <w:r>
        <w:rPr>
          <w:rFonts w:hint="eastAsia" w:ascii="宋体" w:hAnsi="宋体"/>
          <w:color w:val="000000"/>
          <w:sz w:val="24"/>
        </w:rPr>
        <w:t>%。</w:t>
      </w:r>
    </w:p>
    <w:p w14:paraId="5A372DB0">
      <w:pPr>
        <w:adjustRightInd w:val="0"/>
        <w:snapToGrid w:val="0"/>
        <w:spacing w:line="300" w:lineRule="exact"/>
        <w:ind w:firstLine="472" w:firstLineChars="197"/>
        <w:rPr>
          <w:rFonts w:ascii="宋体" w:hAnsi="宋体"/>
          <w:color w:val="000000"/>
          <w:sz w:val="24"/>
        </w:rPr>
      </w:pPr>
      <w:r>
        <w:rPr>
          <w:rFonts w:hint="eastAsia" w:ascii="宋体" w:hAnsi="宋体"/>
          <w:color w:val="000000"/>
          <w:sz w:val="24"/>
        </w:rPr>
        <w:t>8.6 保密</w:t>
      </w:r>
    </w:p>
    <w:p w14:paraId="2A04A24C">
      <w:pPr>
        <w:adjustRightInd w:val="0"/>
        <w:snapToGrid w:val="0"/>
        <w:spacing w:line="300" w:lineRule="exact"/>
        <w:ind w:firstLine="480" w:firstLineChars="200"/>
        <w:rPr>
          <w:rFonts w:ascii="宋体" w:hAnsi="宋体"/>
          <w:color w:val="000000"/>
          <w:sz w:val="24"/>
          <w:u w:val="single"/>
        </w:rPr>
      </w:pPr>
      <w:r>
        <w:rPr>
          <w:rFonts w:hint="eastAsia" w:ascii="宋体" w:hAnsi="宋体"/>
          <w:color w:val="000000"/>
          <w:sz w:val="24"/>
        </w:rPr>
        <w:t>委托人申明的保密事项和期限：</w:t>
      </w:r>
      <w:r>
        <w:rPr>
          <w:rFonts w:hint="eastAsia" w:ascii="宋体" w:hAnsi="宋体"/>
          <w:color w:val="000000"/>
          <w:sz w:val="24"/>
          <w:u w:val="single"/>
        </w:rPr>
        <w:t>未经委托人同意，监理人任何时候不得将本工程、本合同业务有关的资料及商业秘密泄露给第三人</w:t>
      </w:r>
      <w:r>
        <w:rPr>
          <w:rFonts w:hint="eastAsia" w:ascii="宋体" w:hAnsi="宋体"/>
          <w:color w:val="000000"/>
          <w:sz w:val="24"/>
        </w:rPr>
        <w:t>。</w:t>
      </w:r>
    </w:p>
    <w:p w14:paraId="1BF6BD04">
      <w:pPr>
        <w:adjustRightInd w:val="0"/>
        <w:snapToGrid w:val="0"/>
        <w:spacing w:line="300" w:lineRule="exact"/>
        <w:ind w:firstLine="480" w:firstLineChars="200"/>
        <w:rPr>
          <w:rFonts w:ascii="宋体" w:hAnsi="宋体"/>
          <w:color w:val="000000"/>
          <w:sz w:val="24"/>
          <w:u w:val="single"/>
        </w:rPr>
      </w:pPr>
      <w:r>
        <w:rPr>
          <w:rFonts w:hint="eastAsia" w:ascii="宋体" w:hAnsi="宋体"/>
          <w:color w:val="000000"/>
          <w:sz w:val="24"/>
        </w:rPr>
        <w:t>监理人申明的保密事项和期限：</w:t>
      </w:r>
      <w:r>
        <w:rPr>
          <w:rFonts w:hint="eastAsia" w:ascii="宋体" w:hAnsi="宋体"/>
          <w:color w:val="000000"/>
          <w:sz w:val="24"/>
          <w:u w:val="single"/>
        </w:rPr>
        <w:t>未经委托人同意，监理人任何时候不得将本工程、本合同业务有关的资料及商业秘密泄露给第三人。</w:t>
      </w:r>
    </w:p>
    <w:p w14:paraId="5AEEC2F3">
      <w:pPr>
        <w:adjustRightInd w:val="0"/>
        <w:snapToGrid w:val="0"/>
        <w:spacing w:line="300" w:lineRule="exact"/>
        <w:ind w:firstLine="480" w:firstLineChars="200"/>
        <w:rPr>
          <w:rFonts w:ascii="宋体" w:hAnsi="宋体"/>
          <w:color w:val="000000"/>
          <w:sz w:val="24"/>
          <w:u w:val="single"/>
        </w:rPr>
      </w:pPr>
      <w:r>
        <w:rPr>
          <w:rFonts w:hint="eastAsia" w:ascii="宋体" w:hAnsi="宋体"/>
          <w:color w:val="000000"/>
          <w:sz w:val="24"/>
        </w:rPr>
        <w:t>第三方申明的保密事项和期限：</w:t>
      </w:r>
      <w:r>
        <w:rPr>
          <w:rFonts w:hint="eastAsia" w:ascii="宋体" w:hAnsi="宋体"/>
          <w:color w:val="000000"/>
          <w:sz w:val="24"/>
          <w:u w:val="single"/>
        </w:rPr>
        <w:t>执行通用条件。</w:t>
      </w:r>
    </w:p>
    <w:p w14:paraId="3F374E30">
      <w:pPr>
        <w:snapToGrid w:val="0"/>
        <w:spacing w:line="300" w:lineRule="exact"/>
        <w:ind w:firstLine="235" w:firstLineChars="98"/>
        <w:rPr>
          <w:rFonts w:ascii="宋体" w:hAnsi="宋体"/>
          <w:bCs/>
          <w:color w:val="000000"/>
          <w:sz w:val="24"/>
        </w:rPr>
      </w:pPr>
      <w:r>
        <w:rPr>
          <w:rFonts w:hint="eastAsia" w:ascii="宋体" w:hAnsi="宋体"/>
          <w:color w:val="000000"/>
          <w:sz w:val="24"/>
        </w:rPr>
        <w:t>8.8</w:t>
      </w:r>
      <w:r>
        <w:rPr>
          <w:rFonts w:hint="eastAsia" w:ascii="宋体" w:hAnsi="宋体"/>
          <w:bCs/>
          <w:color w:val="000000"/>
          <w:sz w:val="24"/>
        </w:rPr>
        <w:t>著作权</w:t>
      </w:r>
    </w:p>
    <w:p w14:paraId="5813D6A3">
      <w:pPr>
        <w:snapToGrid w:val="0"/>
        <w:spacing w:line="300" w:lineRule="exact"/>
        <w:ind w:firstLine="480" w:firstLineChars="200"/>
        <w:rPr>
          <w:rFonts w:ascii="宋体" w:hAnsi="宋体"/>
          <w:color w:val="000000"/>
          <w:sz w:val="24"/>
        </w:rPr>
      </w:pPr>
      <w:r>
        <w:rPr>
          <w:rFonts w:hint="eastAsia" w:ascii="宋体" w:hAnsi="宋体"/>
          <w:color w:val="000000"/>
          <w:sz w:val="24"/>
        </w:rPr>
        <w:t>监理人在本合同履行期间及本合同终止后两年内出版涉及本工程的有关监理与相关服务的资料的限制条件：</w:t>
      </w:r>
      <w:r>
        <w:rPr>
          <w:rFonts w:hint="eastAsia" w:ascii="宋体" w:hAnsi="宋体"/>
          <w:color w:val="000000"/>
          <w:sz w:val="24"/>
          <w:u w:val="single"/>
        </w:rPr>
        <w:t>需征得委托人同意</w:t>
      </w:r>
      <w:r>
        <w:rPr>
          <w:rFonts w:hint="eastAsia" w:ascii="宋体" w:hAnsi="宋体"/>
          <w:color w:val="000000"/>
          <w:sz w:val="24"/>
        </w:rPr>
        <w:t>。</w:t>
      </w:r>
    </w:p>
    <w:p w14:paraId="534D72DD">
      <w:pPr>
        <w:snapToGrid w:val="0"/>
        <w:spacing w:line="300" w:lineRule="exact"/>
        <w:ind w:firstLine="480" w:firstLineChars="200"/>
        <w:rPr>
          <w:rFonts w:ascii="宋体" w:hAnsi="宋体"/>
          <w:color w:val="0070C0"/>
          <w:sz w:val="24"/>
          <w:u w:val="single"/>
        </w:rPr>
      </w:pPr>
      <w:r>
        <w:rPr>
          <w:rFonts w:hint="eastAsia" w:ascii="宋体" w:hAnsi="宋体"/>
          <w:color w:val="000000"/>
          <w:sz w:val="24"/>
          <w:u w:val="single"/>
        </w:rPr>
        <w:t>8.9中标人提供履约担保。</w:t>
      </w:r>
      <w:r>
        <w:rPr>
          <w:rFonts w:hint="eastAsia" w:ascii="宋体" w:hAnsi="宋体"/>
          <w:color w:val="0070C0"/>
          <w:sz w:val="24"/>
          <w:u w:val="single"/>
        </w:rPr>
        <w:t>履约担保的形式、金额及期限：              。</w:t>
      </w:r>
    </w:p>
    <w:p w14:paraId="1E23A8D7">
      <w:pPr>
        <w:adjustRightInd w:val="0"/>
        <w:snapToGrid w:val="0"/>
        <w:spacing w:beforeLines="50" w:afterLines="50" w:line="360" w:lineRule="auto"/>
        <w:ind w:firstLine="480" w:firstLineChars="200"/>
        <w:rPr>
          <w:rFonts w:ascii="宋体" w:hAnsi="宋体"/>
          <w:color w:val="000000"/>
          <w:sz w:val="24"/>
          <w:u w:val="single"/>
        </w:rPr>
      </w:pPr>
      <w:r>
        <w:rPr>
          <w:rFonts w:hint="eastAsia" w:ascii="宋体" w:hAnsi="宋体"/>
          <w:color w:val="000000"/>
          <w:sz w:val="24"/>
          <w:u w:val="single"/>
        </w:rPr>
        <w:t>8.10发包人提供支付担保。支付担保的形式：                  。</w:t>
      </w:r>
    </w:p>
    <w:p w14:paraId="2B154883">
      <w:pPr>
        <w:spacing w:line="300" w:lineRule="exact"/>
        <w:ind w:left="-210" w:leftChars="-100" w:right="-210" w:rightChars="-100" w:firstLine="120" w:firstLineChars="50"/>
        <w:rPr>
          <w:rFonts w:ascii="宋体" w:hAnsi="宋体"/>
          <w:bCs/>
          <w:color w:val="000000"/>
          <w:sz w:val="24"/>
        </w:rPr>
      </w:pPr>
      <w:r>
        <w:rPr>
          <w:rFonts w:hint="eastAsia" w:ascii="宋体" w:hAnsi="宋体"/>
          <w:bCs/>
          <w:color w:val="000000"/>
          <w:sz w:val="24"/>
        </w:rPr>
        <w:t>附录A  相关服务的范围和内容</w:t>
      </w:r>
    </w:p>
    <w:p w14:paraId="25E7D47D">
      <w:pPr>
        <w:snapToGrid w:val="0"/>
        <w:spacing w:beforeLines="50" w:afterLines="50" w:line="300" w:lineRule="exact"/>
        <w:rPr>
          <w:rFonts w:ascii="宋体" w:hAnsi="宋体"/>
          <w:color w:val="000000"/>
          <w:sz w:val="24"/>
        </w:rPr>
      </w:pPr>
      <w:r>
        <w:rPr>
          <w:rFonts w:hint="eastAsia" w:ascii="宋体" w:hAnsi="宋体"/>
          <w:color w:val="000000"/>
          <w:kern w:val="0"/>
          <w:sz w:val="24"/>
        </w:rPr>
        <w:t>A-1 勘察阶段：</w:t>
      </w:r>
      <w:r>
        <w:rPr>
          <w:rFonts w:hint="eastAsia" w:ascii="宋体" w:hAnsi="宋体"/>
          <w:color w:val="000000"/>
          <w:sz w:val="24"/>
          <w:u w:val="single"/>
        </w:rPr>
        <w:t xml:space="preserve">         </w:t>
      </w:r>
      <w:r>
        <w:rPr>
          <w:rFonts w:hint="eastAsia" w:ascii="宋体" w:hAnsi="宋体"/>
          <w:color w:val="000000"/>
          <w:kern w:val="0"/>
          <w:sz w:val="24"/>
        </w:rPr>
        <w:t>。</w:t>
      </w:r>
    </w:p>
    <w:p w14:paraId="63C001B9">
      <w:pPr>
        <w:snapToGrid w:val="0"/>
        <w:spacing w:beforeLines="50" w:afterLines="50" w:line="300" w:lineRule="exact"/>
        <w:rPr>
          <w:rFonts w:ascii="宋体" w:hAnsi="宋体"/>
          <w:color w:val="000000"/>
          <w:sz w:val="24"/>
        </w:rPr>
      </w:pPr>
      <w:r>
        <w:rPr>
          <w:rFonts w:hint="eastAsia" w:ascii="宋体" w:hAnsi="宋体"/>
          <w:color w:val="000000"/>
          <w:kern w:val="0"/>
          <w:sz w:val="24"/>
        </w:rPr>
        <w:t>A-2 设计阶段：</w:t>
      </w:r>
      <w:r>
        <w:rPr>
          <w:rFonts w:hint="eastAsia" w:ascii="宋体" w:hAnsi="宋体"/>
          <w:color w:val="000000"/>
          <w:sz w:val="24"/>
          <w:u w:val="single"/>
        </w:rPr>
        <w:t xml:space="preserve">         </w:t>
      </w:r>
      <w:r>
        <w:rPr>
          <w:rFonts w:hint="eastAsia" w:ascii="宋体" w:hAnsi="宋体"/>
          <w:color w:val="000000"/>
          <w:sz w:val="24"/>
        </w:rPr>
        <w:t>。</w:t>
      </w:r>
    </w:p>
    <w:p w14:paraId="4BCFAC49">
      <w:pPr>
        <w:snapToGrid w:val="0"/>
        <w:spacing w:beforeLines="50" w:afterLines="50" w:line="360" w:lineRule="auto"/>
        <w:jc w:val="left"/>
        <w:rPr>
          <w:rFonts w:ascii="宋体" w:hAnsi="宋体"/>
          <w:color w:val="000000"/>
          <w:kern w:val="0"/>
          <w:sz w:val="24"/>
          <w:u w:val="single"/>
        </w:rPr>
      </w:pPr>
      <w:r>
        <w:rPr>
          <w:rFonts w:hint="eastAsia" w:ascii="宋体" w:hAnsi="宋体"/>
          <w:color w:val="000000"/>
          <w:kern w:val="0"/>
          <w:sz w:val="24"/>
        </w:rPr>
        <w:t>A-3 保修阶段：</w:t>
      </w:r>
      <w:r>
        <w:rPr>
          <w:rFonts w:hint="eastAsia" w:ascii="宋体" w:hAnsi="宋体"/>
          <w:color w:val="000000"/>
          <w:sz w:val="24"/>
          <w:u w:val="single"/>
        </w:rPr>
        <w:t>（1）</w:t>
      </w:r>
      <w:r>
        <w:rPr>
          <w:rFonts w:hint="eastAsia" w:ascii="宋体" w:hAnsi="宋体"/>
          <w:color w:val="000000"/>
          <w:kern w:val="0"/>
          <w:sz w:val="24"/>
          <w:u w:val="single"/>
        </w:rPr>
        <w:t xml:space="preserve">保修期间如出现有工程质量问题，应积极响应发包人要求，处理调查发生工程质量问题的责任，与承包人共同研究修补方案并督促实施；（2）完成保修阶段的工程修复、修补的监理工作及签发缺陷责任期终止证书等工作 </w:t>
      </w:r>
      <w:r>
        <w:rPr>
          <w:rFonts w:hint="eastAsia" w:ascii="宋体" w:hAnsi="宋体"/>
          <w:color w:val="000000"/>
          <w:sz w:val="24"/>
        </w:rPr>
        <w:t>。</w:t>
      </w:r>
    </w:p>
    <w:p w14:paraId="787C652A">
      <w:pPr>
        <w:snapToGrid w:val="0"/>
        <w:spacing w:beforeLines="50" w:afterLines="50" w:line="360" w:lineRule="auto"/>
        <w:rPr>
          <w:rFonts w:ascii="宋体" w:hAnsi="宋体"/>
          <w:color w:val="000000"/>
          <w:sz w:val="24"/>
        </w:rPr>
      </w:pPr>
      <w:r>
        <w:rPr>
          <w:rFonts w:hint="eastAsia" w:ascii="宋体" w:hAnsi="宋体"/>
          <w:color w:val="000000"/>
          <w:kern w:val="0"/>
          <w:sz w:val="24"/>
        </w:rPr>
        <w:t xml:space="preserve">A-4 </w:t>
      </w:r>
      <w:r>
        <w:rPr>
          <w:rFonts w:hint="eastAsia" w:ascii="宋体" w:hAnsi="宋体"/>
          <w:color w:val="000000"/>
          <w:sz w:val="24"/>
        </w:rPr>
        <w:t>其他（专业技术咨询、外部协调工作等）：</w:t>
      </w:r>
      <w:r>
        <w:rPr>
          <w:rFonts w:hint="eastAsia" w:ascii="宋体" w:hAnsi="宋体"/>
          <w:color w:val="000000"/>
          <w:kern w:val="0"/>
          <w:sz w:val="24"/>
          <w:u w:val="single"/>
        </w:rPr>
        <w:t xml:space="preserve">（1）接受发包人委托的各项材料、设备询价并出具书面材料；（2）配合发包人办理项目前期手续；（3）发包人委托的其他与项目有关的事项；（4）监理人委派至现场的专业监理工程师必须满足项目各专业的需要 </w:t>
      </w:r>
      <w:r>
        <w:rPr>
          <w:rFonts w:hint="eastAsia" w:ascii="宋体" w:hAnsi="宋体"/>
          <w:color w:val="000000"/>
          <w:kern w:val="0"/>
          <w:sz w:val="24"/>
        </w:rPr>
        <w:t>。</w:t>
      </w:r>
    </w:p>
    <w:p w14:paraId="1674F937">
      <w:pPr>
        <w:snapToGrid w:val="0"/>
        <w:spacing w:beforeLines="50" w:afterLines="50" w:line="300" w:lineRule="exact"/>
        <w:rPr>
          <w:rFonts w:ascii="宋体" w:hAnsi="宋体"/>
          <w:bCs/>
          <w:color w:val="000000"/>
          <w:sz w:val="24"/>
        </w:rPr>
      </w:pPr>
      <w:r>
        <w:rPr>
          <w:rFonts w:hint="eastAsia" w:ascii="宋体" w:hAnsi="宋体"/>
          <w:bCs/>
          <w:color w:val="000000"/>
          <w:sz w:val="24"/>
        </w:rPr>
        <w:t>附录B  委托人派遣的人员和提供的房屋、资料、设备</w:t>
      </w:r>
    </w:p>
    <w:p w14:paraId="4C640F04">
      <w:pPr>
        <w:spacing w:beforeLines="50" w:line="360" w:lineRule="auto"/>
        <w:rPr>
          <w:rFonts w:ascii="宋体" w:hAnsi="宋体"/>
          <w:color w:val="000000"/>
          <w:kern w:val="0"/>
          <w:sz w:val="24"/>
        </w:rPr>
      </w:pPr>
      <w:r>
        <w:rPr>
          <w:rFonts w:hint="eastAsia" w:ascii="宋体" w:hAnsi="宋体"/>
          <w:color w:val="000000"/>
          <w:kern w:val="0"/>
          <w:sz w:val="24"/>
        </w:rPr>
        <w:t>B-1  委托人派遣的人员</w:t>
      </w:r>
    </w:p>
    <w:tbl>
      <w:tblPr>
        <w:tblStyle w:val="3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415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41485B4">
            <w:pPr>
              <w:spacing w:line="360" w:lineRule="auto"/>
              <w:jc w:val="center"/>
              <w:rPr>
                <w:rFonts w:ascii="宋体" w:hAnsi="宋体"/>
                <w:color w:val="000000"/>
                <w:sz w:val="24"/>
              </w:rPr>
            </w:pPr>
            <w:r>
              <w:rPr>
                <w:rFonts w:hint="eastAsia" w:ascii="宋体" w:hAnsi="宋体"/>
                <w:color w:val="000000"/>
                <w:sz w:val="24"/>
              </w:rPr>
              <w:t>名称</w:t>
            </w:r>
          </w:p>
        </w:tc>
        <w:tc>
          <w:tcPr>
            <w:tcW w:w="1770" w:type="dxa"/>
          </w:tcPr>
          <w:p w14:paraId="708EF61B">
            <w:pPr>
              <w:spacing w:line="360" w:lineRule="auto"/>
              <w:jc w:val="center"/>
              <w:rPr>
                <w:rFonts w:ascii="宋体" w:hAnsi="宋体"/>
                <w:color w:val="000000"/>
                <w:sz w:val="24"/>
              </w:rPr>
            </w:pPr>
            <w:r>
              <w:rPr>
                <w:rFonts w:hint="eastAsia" w:ascii="宋体" w:hAnsi="宋体"/>
                <w:color w:val="000000"/>
                <w:sz w:val="24"/>
              </w:rPr>
              <w:t>数量</w:t>
            </w:r>
          </w:p>
        </w:tc>
        <w:tc>
          <w:tcPr>
            <w:tcW w:w="2130" w:type="dxa"/>
          </w:tcPr>
          <w:p w14:paraId="7DC90767">
            <w:pPr>
              <w:spacing w:line="360" w:lineRule="auto"/>
              <w:jc w:val="center"/>
              <w:rPr>
                <w:rFonts w:ascii="宋体" w:hAnsi="宋体"/>
                <w:color w:val="000000"/>
                <w:sz w:val="24"/>
              </w:rPr>
            </w:pPr>
            <w:r>
              <w:rPr>
                <w:rFonts w:hint="eastAsia" w:ascii="宋体" w:hAnsi="宋体"/>
                <w:color w:val="000000"/>
                <w:sz w:val="24"/>
              </w:rPr>
              <w:t>工作要求</w:t>
            </w:r>
          </w:p>
        </w:tc>
        <w:tc>
          <w:tcPr>
            <w:tcW w:w="1860" w:type="dxa"/>
          </w:tcPr>
          <w:p w14:paraId="60627237">
            <w:pPr>
              <w:spacing w:line="360" w:lineRule="auto"/>
              <w:jc w:val="center"/>
              <w:rPr>
                <w:rFonts w:ascii="宋体" w:hAnsi="宋体"/>
                <w:color w:val="000000"/>
                <w:sz w:val="24"/>
              </w:rPr>
            </w:pPr>
            <w:r>
              <w:rPr>
                <w:rFonts w:hint="eastAsia" w:ascii="宋体" w:hAnsi="宋体"/>
                <w:color w:val="000000"/>
                <w:sz w:val="24"/>
              </w:rPr>
              <w:t>提供时间</w:t>
            </w:r>
          </w:p>
        </w:tc>
      </w:tr>
      <w:tr w14:paraId="768A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18074C7">
            <w:pPr>
              <w:spacing w:line="360" w:lineRule="auto"/>
              <w:rPr>
                <w:rFonts w:ascii="宋体" w:hAnsi="宋体"/>
                <w:color w:val="000000"/>
                <w:sz w:val="24"/>
              </w:rPr>
            </w:pPr>
            <w:r>
              <w:rPr>
                <w:rFonts w:hint="eastAsia" w:ascii="宋体" w:hAnsi="宋体"/>
                <w:color w:val="000000"/>
                <w:sz w:val="24"/>
              </w:rPr>
              <w:t>1. 工程技术人员</w:t>
            </w:r>
          </w:p>
        </w:tc>
        <w:tc>
          <w:tcPr>
            <w:tcW w:w="1770" w:type="dxa"/>
          </w:tcPr>
          <w:p w14:paraId="531CA078">
            <w:pPr>
              <w:spacing w:line="360" w:lineRule="auto"/>
              <w:rPr>
                <w:rFonts w:ascii="宋体" w:hAnsi="宋体"/>
                <w:color w:val="000000"/>
                <w:sz w:val="24"/>
              </w:rPr>
            </w:pPr>
          </w:p>
        </w:tc>
        <w:tc>
          <w:tcPr>
            <w:tcW w:w="2130" w:type="dxa"/>
          </w:tcPr>
          <w:p w14:paraId="4359309D">
            <w:pPr>
              <w:spacing w:line="360" w:lineRule="auto"/>
              <w:rPr>
                <w:rFonts w:ascii="宋体" w:hAnsi="宋体"/>
                <w:color w:val="000000"/>
                <w:sz w:val="24"/>
              </w:rPr>
            </w:pPr>
          </w:p>
        </w:tc>
        <w:tc>
          <w:tcPr>
            <w:tcW w:w="1860" w:type="dxa"/>
          </w:tcPr>
          <w:p w14:paraId="68110A37">
            <w:pPr>
              <w:spacing w:line="360" w:lineRule="auto"/>
              <w:rPr>
                <w:rFonts w:ascii="宋体" w:hAnsi="宋体"/>
                <w:color w:val="000000"/>
                <w:sz w:val="24"/>
              </w:rPr>
            </w:pPr>
          </w:p>
        </w:tc>
      </w:tr>
      <w:tr w14:paraId="1871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52F341A">
            <w:pPr>
              <w:spacing w:line="360" w:lineRule="auto"/>
              <w:rPr>
                <w:rFonts w:ascii="宋体" w:hAnsi="宋体"/>
                <w:color w:val="000000"/>
                <w:sz w:val="24"/>
              </w:rPr>
            </w:pPr>
            <w:r>
              <w:rPr>
                <w:rFonts w:hint="eastAsia" w:ascii="宋体" w:hAnsi="宋体"/>
                <w:color w:val="000000"/>
                <w:sz w:val="24"/>
              </w:rPr>
              <w:t>2. 辅助工作人员</w:t>
            </w:r>
          </w:p>
        </w:tc>
        <w:tc>
          <w:tcPr>
            <w:tcW w:w="1770" w:type="dxa"/>
          </w:tcPr>
          <w:p w14:paraId="6DCCF116">
            <w:pPr>
              <w:spacing w:line="360" w:lineRule="auto"/>
              <w:rPr>
                <w:rFonts w:ascii="宋体" w:hAnsi="宋体"/>
                <w:color w:val="000000"/>
                <w:sz w:val="24"/>
              </w:rPr>
            </w:pPr>
          </w:p>
        </w:tc>
        <w:tc>
          <w:tcPr>
            <w:tcW w:w="2130" w:type="dxa"/>
          </w:tcPr>
          <w:p w14:paraId="5299862B">
            <w:pPr>
              <w:spacing w:line="360" w:lineRule="auto"/>
              <w:rPr>
                <w:rFonts w:ascii="宋体" w:hAnsi="宋体"/>
                <w:color w:val="000000"/>
                <w:sz w:val="24"/>
              </w:rPr>
            </w:pPr>
          </w:p>
        </w:tc>
        <w:tc>
          <w:tcPr>
            <w:tcW w:w="1860" w:type="dxa"/>
          </w:tcPr>
          <w:p w14:paraId="323F3A39">
            <w:pPr>
              <w:spacing w:line="360" w:lineRule="auto"/>
              <w:rPr>
                <w:rFonts w:ascii="宋体" w:hAnsi="宋体"/>
                <w:color w:val="000000"/>
                <w:sz w:val="24"/>
              </w:rPr>
            </w:pPr>
          </w:p>
        </w:tc>
      </w:tr>
      <w:tr w14:paraId="51B1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F852A83">
            <w:pPr>
              <w:spacing w:line="360" w:lineRule="auto"/>
              <w:rPr>
                <w:rFonts w:ascii="宋体" w:hAnsi="宋体"/>
                <w:color w:val="000000"/>
                <w:sz w:val="24"/>
              </w:rPr>
            </w:pPr>
            <w:r>
              <w:rPr>
                <w:rFonts w:hint="eastAsia" w:ascii="宋体" w:hAnsi="宋体"/>
                <w:color w:val="000000"/>
                <w:sz w:val="24"/>
              </w:rPr>
              <w:t>3. 其他人员</w:t>
            </w:r>
          </w:p>
        </w:tc>
        <w:tc>
          <w:tcPr>
            <w:tcW w:w="1770" w:type="dxa"/>
          </w:tcPr>
          <w:p w14:paraId="1B0048D1">
            <w:pPr>
              <w:spacing w:line="360" w:lineRule="auto"/>
              <w:rPr>
                <w:rFonts w:ascii="宋体" w:hAnsi="宋体"/>
                <w:color w:val="000000"/>
                <w:sz w:val="24"/>
              </w:rPr>
            </w:pPr>
          </w:p>
        </w:tc>
        <w:tc>
          <w:tcPr>
            <w:tcW w:w="2130" w:type="dxa"/>
          </w:tcPr>
          <w:p w14:paraId="2C05D29C">
            <w:pPr>
              <w:spacing w:line="360" w:lineRule="auto"/>
              <w:rPr>
                <w:rFonts w:ascii="宋体" w:hAnsi="宋体"/>
                <w:color w:val="000000"/>
                <w:sz w:val="24"/>
              </w:rPr>
            </w:pPr>
          </w:p>
        </w:tc>
        <w:tc>
          <w:tcPr>
            <w:tcW w:w="1860" w:type="dxa"/>
          </w:tcPr>
          <w:p w14:paraId="0807B4BB">
            <w:pPr>
              <w:spacing w:line="360" w:lineRule="auto"/>
              <w:rPr>
                <w:rFonts w:ascii="宋体" w:hAnsi="宋体"/>
                <w:color w:val="000000"/>
                <w:sz w:val="24"/>
              </w:rPr>
            </w:pPr>
          </w:p>
        </w:tc>
      </w:tr>
      <w:tr w14:paraId="4BC9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4D08DDCF">
            <w:pPr>
              <w:spacing w:line="360" w:lineRule="auto"/>
              <w:rPr>
                <w:rFonts w:ascii="宋体" w:hAnsi="宋体"/>
                <w:color w:val="000000"/>
                <w:sz w:val="24"/>
              </w:rPr>
            </w:pPr>
          </w:p>
        </w:tc>
        <w:tc>
          <w:tcPr>
            <w:tcW w:w="1770" w:type="dxa"/>
          </w:tcPr>
          <w:p w14:paraId="16826565">
            <w:pPr>
              <w:spacing w:line="360" w:lineRule="auto"/>
              <w:rPr>
                <w:rFonts w:ascii="宋体" w:hAnsi="宋体"/>
                <w:color w:val="000000"/>
                <w:sz w:val="24"/>
              </w:rPr>
            </w:pPr>
          </w:p>
        </w:tc>
        <w:tc>
          <w:tcPr>
            <w:tcW w:w="2130" w:type="dxa"/>
          </w:tcPr>
          <w:p w14:paraId="67AA6E43">
            <w:pPr>
              <w:spacing w:line="360" w:lineRule="auto"/>
              <w:rPr>
                <w:rFonts w:ascii="宋体" w:hAnsi="宋体"/>
                <w:color w:val="000000"/>
                <w:sz w:val="24"/>
              </w:rPr>
            </w:pPr>
          </w:p>
        </w:tc>
        <w:tc>
          <w:tcPr>
            <w:tcW w:w="1860" w:type="dxa"/>
          </w:tcPr>
          <w:p w14:paraId="7EF36355">
            <w:pPr>
              <w:spacing w:line="360" w:lineRule="auto"/>
              <w:rPr>
                <w:rFonts w:ascii="宋体" w:hAnsi="宋体"/>
                <w:color w:val="000000"/>
                <w:sz w:val="24"/>
              </w:rPr>
            </w:pPr>
          </w:p>
        </w:tc>
      </w:tr>
    </w:tbl>
    <w:p w14:paraId="49A42F56">
      <w:pPr>
        <w:rPr>
          <w:rFonts w:ascii="宋体" w:hAnsi="宋体"/>
          <w:color w:val="000000"/>
          <w:kern w:val="0"/>
          <w:sz w:val="24"/>
        </w:rPr>
      </w:pPr>
      <w:bookmarkStart w:id="33" w:name="_Toc387911107"/>
      <w:bookmarkStart w:id="34" w:name="_Toc410207749"/>
      <w:bookmarkStart w:id="35" w:name="_Toc387911374"/>
      <w:bookmarkStart w:id="36" w:name="_Toc418170725"/>
      <w:bookmarkStart w:id="37" w:name="_Toc418173594"/>
      <w:r>
        <w:rPr>
          <w:rFonts w:hint="eastAsia" w:ascii="宋体" w:hAnsi="宋体"/>
          <w:color w:val="000000"/>
          <w:kern w:val="0"/>
          <w:sz w:val="24"/>
        </w:rPr>
        <w:t>B-2  委托人提供的房屋</w:t>
      </w:r>
    </w:p>
    <w:bookmarkEnd w:id="33"/>
    <w:bookmarkEnd w:id="34"/>
    <w:bookmarkEnd w:id="35"/>
    <w:bookmarkEnd w:id="36"/>
    <w:bookmarkEnd w:id="37"/>
    <w:tbl>
      <w:tblPr>
        <w:tblStyle w:val="3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5AF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ED76239">
            <w:pPr>
              <w:spacing w:line="360" w:lineRule="auto"/>
              <w:jc w:val="center"/>
              <w:rPr>
                <w:rFonts w:ascii="宋体" w:hAnsi="宋体"/>
                <w:color w:val="000000"/>
                <w:sz w:val="24"/>
              </w:rPr>
            </w:pPr>
            <w:r>
              <w:rPr>
                <w:rFonts w:hint="eastAsia" w:ascii="宋体" w:hAnsi="宋体"/>
                <w:color w:val="000000"/>
                <w:sz w:val="24"/>
              </w:rPr>
              <w:t>名称</w:t>
            </w:r>
          </w:p>
        </w:tc>
        <w:tc>
          <w:tcPr>
            <w:tcW w:w="2130" w:type="dxa"/>
          </w:tcPr>
          <w:p w14:paraId="1BE05215">
            <w:pPr>
              <w:spacing w:line="360" w:lineRule="auto"/>
              <w:jc w:val="center"/>
              <w:rPr>
                <w:rFonts w:ascii="宋体" w:hAnsi="宋体"/>
                <w:color w:val="000000"/>
                <w:sz w:val="24"/>
              </w:rPr>
            </w:pPr>
            <w:r>
              <w:rPr>
                <w:rFonts w:hint="eastAsia" w:ascii="宋体" w:hAnsi="宋体"/>
                <w:color w:val="000000"/>
                <w:sz w:val="24"/>
              </w:rPr>
              <w:t>数量</w:t>
            </w:r>
          </w:p>
        </w:tc>
        <w:tc>
          <w:tcPr>
            <w:tcW w:w="2130" w:type="dxa"/>
          </w:tcPr>
          <w:p w14:paraId="1661FC9D">
            <w:pPr>
              <w:spacing w:line="360" w:lineRule="auto"/>
              <w:jc w:val="center"/>
              <w:rPr>
                <w:rFonts w:ascii="宋体" w:hAnsi="宋体"/>
                <w:color w:val="000000"/>
                <w:sz w:val="24"/>
              </w:rPr>
            </w:pPr>
            <w:r>
              <w:rPr>
                <w:rFonts w:hint="eastAsia" w:ascii="宋体" w:hAnsi="宋体"/>
                <w:color w:val="000000"/>
                <w:sz w:val="24"/>
              </w:rPr>
              <w:t>面积</w:t>
            </w:r>
          </w:p>
        </w:tc>
        <w:tc>
          <w:tcPr>
            <w:tcW w:w="1860" w:type="dxa"/>
          </w:tcPr>
          <w:p w14:paraId="5693CDAC">
            <w:pPr>
              <w:spacing w:line="360" w:lineRule="auto"/>
              <w:jc w:val="center"/>
              <w:rPr>
                <w:rFonts w:ascii="宋体" w:hAnsi="宋体"/>
                <w:color w:val="000000"/>
                <w:sz w:val="24"/>
              </w:rPr>
            </w:pPr>
            <w:r>
              <w:rPr>
                <w:rFonts w:hint="eastAsia" w:ascii="宋体" w:hAnsi="宋体"/>
                <w:color w:val="000000"/>
                <w:sz w:val="24"/>
              </w:rPr>
              <w:t>提供时间</w:t>
            </w:r>
          </w:p>
        </w:tc>
      </w:tr>
      <w:tr w14:paraId="57A7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E370D8D">
            <w:pPr>
              <w:spacing w:line="360" w:lineRule="auto"/>
              <w:rPr>
                <w:rFonts w:ascii="宋体" w:hAnsi="宋体"/>
                <w:color w:val="000000"/>
                <w:sz w:val="24"/>
              </w:rPr>
            </w:pPr>
            <w:r>
              <w:rPr>
                <w:rFonts w:hint="eastAsia" w:ascii="宋体" w:hAnsi="宋体"/>
                <w:color w:val="000000"/>
                <w:sz w:val="24"/>
              </w:rPr>
              <w:t>1. 办公用房</w:t>
            </w:r>
          </w:p>
        </w:tc>
        <w:tc>
          <w:tcPr>
            <w:tcW w:w="2130" w:type="dxa"/>
          </w:tcPr>
          <w:p w14:paraId="36D72474">
            <w:pPr>
              <w:spacing w:line="360" w:lineRule="auto"/>
              <w:ind w:firstLine="240" w:firstLineChars="100"/>
              <w:rPr>
                <w:rFonts w:ascii="宋体" w:hAnsi="宋体"/>
                <w:color w:val="000000"/>
                <w:sz w:val="24"/>
              </w:rPr>
            </w:pPr>
          </w:p>
        </w:tc>
        <w:tc>
          <w:tcPr>
            <w:tcW w:w="2130" w:type="dxa"/>
          </w:tcPr>
          <w:p w14:paraId="2030C3A4">
            <w:pPr>
              <w:spacing w:line="360" w:lineRule="auto"/>
              <w:ind w:firstLine="240" w:firstLineChars="100"/>
              <w:rPr>
                <w:rFonts w:ascii="宋体" w:hAnsi="宋体"/>
                <w:color w:val="000000"/>
                <w:sz w:val="24"/>
              </w:rPr>
            </w:pPr>
          </w:p>
        </w:tc>
        <w:tc>
          <w:tcPr>
            <w:tcW w:w="1860" w:type="dxa"/>
          </w:tcPr>
          <w:p w14:paraId="6A91A8B2">
            <w:pPr>
              <w:spacing w:line="360" w:lineRule="auto"/>
              <w:rPr>
                <w:rFonts w:ascii="宋体" w:hAnsi="宋体"/>
                <w:color w:val="000000"/>
                <w:sz w:val="24"/>
              </w:rPr>
            </w:pPr>
          </w:p>
        </w:tc>
      </w:tr>
      <w:tr w14:paraId="7E5D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DF0EF6F">
            <w:pPr>
              <w:spacing w:line="360" w:lineRule="auto"/>
              <w:rPr>
                <w:rFonts w:ascii="宋体" w:hAnsi="宋体"/>
                <w:color w:val="000000"/>
                <w:sz w:val="24"/>
              </w:rPr>
            </w:pPr>
            <w:r>
              <w:rPr>
                <w:rFonts w:hint="eastAsia" w:ascii="宋体" w:hAnsi="宋体"/>
                <w:color w:val="000000"/>
                <w:sz w:val="24"/>
              </w:rPr>
              <w:t>2. 生活用房</w:t>
            </w:r>
          </w:p>
        </w:tc>
        <w:tc>
          <w:tcPr>
            <w:tcW w:w="2130" w:type="dxa"/>
          </w:tcPr>
          <w:p w14:paraId="5CA888CC">
            <w:pPr>
              <w:spacing w:line="360" w:lineRule="auto"/>
              <w:rPr>
                <w:rFonts w:ascii="宋体" w:hAnsi="宋体"/>
                <w:color w:val="000000"/>
                <w:sz w:val="24"/>
              </w:rPr>
            </w:pPr>
          </w:p>
        </w:tc>
        <w:tc>
          <w:tcPr>
            <w:tcW w:w="2130" w:type="dxa"/>
          </w:tcPr>
          <w:p w14:paraId="2BE1CAEC">
            <w:pPr>
              <w:spacing w:line="360" w:lineRule="auto"/>
              <w:rPr>
                <w:rFonts w:ascii="宋体" w:hAnsi="宋体"/>
                <w:color w:val="000000"/>
                <w:sz w:val="24"/>
              </w:rPr>
            </w:pPr>
          </w:p>
        </w:tc>
        <w:tc>
          <w:tcPr>
            <w:tcW w:w="1860" w:type="dxa"/>
          </w:tcPr>
          <w:p w14:paraId="5974E0B4">
            <w:pPr>
              <w:spacing w:line="360" w:lineRule="auto"/>
              <w:rPr>
                <w:rFonts w:ascii="宋体" w:hAnsi="宋体"/>
                <w:color w:val="000000"/>
                <w:sz w:val="24"/>
              </w:rPr>
            </w:pPr>
          </w:p>
        </w:tc>
      </w:tr>
      <w:tr w14:paraId="72BB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632F6284">
            <w:pPr>
              <w:spacing w:line="360" w:lineRule="auto"/>
              <w:rPr>
                <w:rFonts w:ascii="宋体" w:hAnsi="宋体"/>
                <w:dstrike/>
                <w:color w:val="000000"/>
                <w:sz w:val="24"/>
              </w:rPr>
            </w:pPr>
            <w:r>
              <w:rPr>
                <w:rFonts w:hint="eastAsia" w:ascii="宋体" w:hAnsi="宋体"/>
                <w:color w:val="000000"/>
                <w:sz w:val="24"/>
              </w:rPr>
              <w:t>3. 试验用房</w:t>
            </w:r>
          </w:p>
        </w:tc>
        <w:tc>
          <w:tcPr>
            <w:tcW w:w="2130" w:type="dxa"/>
          </w:tcPr>
          <w:p w14:paraId="0928134F">
            <w:pPr>
              <w:spacing w:line="360" w:lineRule="auto"/>
              <w:rPr>
                <w:rFonts w:ascii="宋体" w:hAnsi="宋体"/>
                <w:color w:val="000000"/>
                <w:sz w:val="24"/>
              </w:rPr>
            </w:pPr>
          </w:p>
        </w:tc>
        <w:tc>
          <w:tcPr>
            <w:tcW w:w="2130" w:type="dxa"/>
          </w:tcPr>
          <w:p w14:paraId="7BAED877">
            <w:pPr>
              <w:spacing w:line="360" w:lineRule="auto"/>
              <w:rPr>
                <w:rFonts w:ascii="宋体" w:hAnsi="宋体"/>
                <w:color w:val="000000"/>
                <w:sz w:val="24"/>
              </w:rPr>
            </w:pPr>
          </w:p>
        </w:tc>
        <w:tc>
          <w:tcPr>
            <w:tcW w:w="1860" w:type="dxa"/>
          </w:tcPr>
          <w:p w14:paraId="5A854EEC">
            <w:pPr>
              <w:spacing w:line="360" w:lineRule="auto"/>
              <w:rPr>
                <w:rFonts w:ascii="宋体" w:hAnsi="宋体"/>
                <w:color w:val="000000"/>
                <w:sz w:val="24"/>
              </w:rPr>
            </w:pPr>
          </w:p>
        </w:tc>
      </w:tr>
      <w:tr w14:paraId="1D3C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2828EC4">
            <w:pPr>
              <w:spacing w:line="360" w:lineRule="auto"/>
              <w:rPr>
                <w:rFonts w:ascii="宋体" w:hAnsi="宋体"/>
                <w:color w:val="000000"/>
                <w:sz w:val="24"/>
              </w:rPr>
            </w:pPr>
            <w:r>
              <w:rPr>
                <w:rFonts w:hint="eastAsia" w:ascii="宋体" w:hAnsi="宋体"/>
                <w:color w:val="000000"/>
                <w:sz w:val="24"/>
              </w:rPr>
              <w:t>4. 样品用房</w:t>
            </w:r>
          </w:p>
        </w:tc>
        <w:tc>
          <w:tcPr>
            <w:tcW w:w="2130" w:type="dxa"/>
          </w:tcPr>
          <w:p w14:paraId="743480B7">
            <w:pPr>
              <w:spacing w:line="360" w:lineRule="auto"/>
              <w:rPr>
                <w:rFonts w:ascii="宋体" w:hAnsi="宋体"/>
                <w:color w:val="000000"/>
                <w:sz w:val="24"/>
              </w:rPr>
            </w:pPr>
          </w:p>
        </w:tc>
        <w:tc>
          <w:tcPr>
            <w:tcW w:w="2130" w:type="dxa"/>
          </w:tcPr>
          <w:p w14:paraId="215F5AEB">
            <w:pPr>
              <w:spacing w:line="360" w:lineRule="auto"/>
              <w:rPr>
                <w:rFonts w:ascii="宋体" w:hAnsi="宋体"/>
                <w:color w:val="000000"/>
                <w:sz w:val="24"/>
              </w:rPr>
            </w:pPr>
          </w:p>
        </w:tc>
        <w:tc>
          <w:tcPr>
            <w:tcW w:w="1860" w:type="dxa"/>
          </w:tcPr>
          <w:p w14:paraId="39162F6C">
            <w:pPr>
              <w:spacing w:line="360" w:lineRule="auto"/>
              <w:rPr>
                <w:rFonts w:ascii="宋体" w:hAnsi="宋体"/>
                <w:color w:val="000000"/>
                <w:sz w:val="24"/>
              </w:rPr>
            </w:pPr>
          </w:p>
        </w:tc>
      </w:tr>
      <w:tr w14:paraId="5909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DAEE77C">
            <w:pPr>
              <w:spacing w:line="360" w:lineRule="auto"/>
              <w:rPr>
                <w:rFonts w:ascii="宋体" w:hAnsi="宋体"/>
                <w:color w:val="000000"/>
                <w:sz w:val="24"/>
              </w:rPr>
            </w:pPr>
          </w:p>
        </w:tc>
        <w:tc>
          <w:tcPr>
            <w:tcW w:w="2130" w:type="dxa"/>
          </w:tcPr>
          <w:p w14:paraId="671BA3AB">
            <w:pPr>
              <w:spacing w:line="360" w:lineRule="auto"/>
              <w:rPr>
                <w:rFonts w:ascii="宋体" w:hAnsi="宋体"/>
                <w:color w:val="000000"/>
                <w:sz w:val="24"/>
              </w:rPr>
            </w:pPr>
          </w:p>
        </w:tc>
        <w:tc>
          <w:tcPr>
            <w:tcW w:w="2130" w:type="dxa"/>
          </w:tcPr>
          <w:p w14:paraId="55868312">
            <w:pPr>
              <w:spacing w:line="360" w:lineRule="auto"/>
              <w:rPr>
                <w:rFonts w:ascii="宋体" w:hAnsi="宋体"/>
                <w:color w:val="000000"/>
                <w:sz w:val="24"/>
              </w:rPr>
            </w:pPr>
          </w:p>
        </w:tc>
        <w:tc>
          <w:tcPr>
            <w:tcW w:w="1860" w:type="dxa"/>
          </w:tcPr>
          <w:p w14:paraId="0C8AC26A">
            <w:pPr>
              <w:spacing w:line="360" w:lineRule="auto"/>
              <w:rPr>
                <w:rFonts w:ascii="宋体" w:hAnsi="宋体"/>
                <w:color w:val="000000"/>
                <w:sz w:val="24"/>
              </w:rPr>
            </w:pPr>
          </w:p>
        </w:tc>
      </w:tr>
      <w:tr w14:paraId="0674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9C165EC">
            <w:pPr>
              <w:spacing w:line="360" w:lineRule="auto"/>
              <w:rPr>
                <w:rFonts w:ascii="宋体" w:hAnsi="宋体"/>
                <w:color w:val="000000"/>
                <w:sz w:val="24"/>
              </w:rPr>
            </w:pPr>
            <w:r>
              <w:rPr>
                <w:rFonts w:hint="eastAsia" w:ascii="宋体" w:hAnsi="宋体"/>
                <w:color w:val="000000"/>
                <w:sz w:val="24"/>
              </w:rPr>
              <w:t>用餐及其他生活条件</w:t>
            </w:r>
          </w:p>
        </w:tc>
        <w:tc>
          <w:tcPr>
            <w:tcW w:w="6120" w:type="dxa"/>
            <w:gridSpan w:val="3"/>
          </w:tcPr>
          <w:p w14:paraId="56A02ED5">
            <w:pPr>
              <w:spacing w:line="360" w:lineRule="auto"/>
              <w:rPr>
                <w:rFonts w:ascii="宋体" w:hAnsi="宋体"/>
                <w:color w:val="000000"/>
                <w:sz w:val="24"/>
              </w:rPr>
            </w:pPr>
          </w:p>
        </w:tc>
      </w:tr>
    </w:tbl>
    <w:p w14:paraId="7274BB60">
      <w:pPr>
        <w:rPr>
          <w:rFonts w:ascii="宋体" w:hAnsi="宋体"/>
          <w:color w:val="000000"/>
          <w:kern w:val="0"/>
          <w:sz w:val="24"/>
        </w:rPr>
      </w:pPr>
      <w:bookmarkStart w:id="38" w:name="_Toc418170726"/>
      <w:bookmarkStart w:id="39" w:name="_Toc387911108"/>
      <w:bookmarkStart w:id="40" w:name="_Toc410207750"/>
      <w:bookmarkStart w:id="41" w:name="_Toc387911375"/>
      <w:bookmarkStart w:id="42" w:name="_Toc418173595"/>
      <w:r>
        <w:rPr>
          <w:rFonts w:hint="eastAsia" w:ascii="宋体" w:hAnsi="宋体"/>
          <w:color w:val="000000"/>
          <w:kern w:val="0"/>
          <w:sz w:val="24"/>
        </w:rPr>
        <w:t>B-3  委托人提供的资料</w:t>
      </w:r>
      <w:bookmarkEnd w:id="38"/>
      <w:bookmarkEnd w:id="39"/>
      <w:bookmarkEnd w:id="40"/>
      <w:bookmarkEnd w:id="41"/>
      <w:bookmarkEnd w:id="42"/>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2514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63D9D93">
            <w:pPr>
              <w:spacing w:line="360" w:lineRule="auto"/>
              <w:jc w:val="center"/>
              <w:rPr>
                <w:rFonts w:ascii="宋体" w:hAnsi="宋体"/>
                <w:color w:val="000000"/>
                <w:kern w:val="0"/>
                <w:sz w:val="24"/>
              </w:rPr>
            </w:pPr>
            <w:r>
              <w:rPr>
                <w:rFonts w:hint="eastAsia" w:ascii="宋体" w:hAnsi="宋体"/>
                <w:color w:val="000000"/>
                <w:kern w:val="0"/>
                <w:sz w:val="24"/>
              </w:rPr>
              <w:t>名称</w:t>
            </w:r>
          </w:p>
        </w:tc>
        <w:tc>
          <w:tcPr>
            <w:tcW w:w="1491" w:type="dxa"/>
          </w:tcPr>
          <w:p w14:paraId="0349AA61">
            <w:pPr>
              <w:spacing w:line="360" w:lineRule="auto"/>
              <w:jc w:val="center"/>
              <w:rPr>
                <w:rFonts w:ascii="宋体" w:hAnsi="宋体"/>
                <w:color w:val="000000"/>
                <w:kern w:val="0"/>
                <w:sz w:val="24"/>
              </w:rPr>
            </w:pPr>
            <w:r>
              <w:rPr>
                <w:rFonts w:hint="eastAsia" w:ascii="宋体" w:hAnsi="宋体"/>
                <w:color w:val="000000"/>
                <w:kern w:val="0"/>
                <w:sz w:val="24"/>
              </w:rPr>
              <w:t>份数</w:t>
            </w:r>
          </w:p>
        </w:tc>
        <w:tc>
          <w:tcPr>
            <w:tcW w:w="2147" w:type="dxa"/>
          </w:tcPr>
          <w:p w14:paraId="7DC452E5">
            <w:pPr>
              <w:spacing w:line="360" w:lineRule="auto"/>
              <w:jc w:val="center"/>
              <w:rPr>
                <w:rFonts w:ascii="宋体" w:hAnsi="宋体"/>
                <w:color w:val="000000"/>
                <w:kern w:val="0"/>
                <w:sz w:val="24"/>
              </w:rPr>
            </w:pPr>
            <w:r>
              <w:rPr>
                <w:rFonts w:hint="eastAsia" w:ascii="宋体" w:hAnsi="宋体"/>
                <w:color w:val="000000"/>
                <w:kern w:val="0"/>
                <w:sz w:val="24"/>
              </w:rPr>
              <w:t>提供时间</w:t>
            </w:r>
          </w:p>
        </w:tc>
        <w:tc>
          <w:tcPr>
            <w:tcW w:w="2082" w:type="dxa"/>
          </w:tcPr>
          <w:p w14:paraId="6BBEEBF9">
            <w:pPr>
              <w:spacing w:line="360" w:lineRule="auto"/>
              <w:jc w:val="center"/>
              <w:rPr>
                <w:rFonts w:ascii="宋体" w:hAnsi="宋体"/>
                <w:color w:val="000000"/>
                <w:kern w:val="0"/>
                <w:sz w:val="24"/>
              </w:rPr>
            </w:pPr>
            <w:r>
              <w:rPr>
                <w:rFonts w:hint="eastAsia" w:ascii="宋体" w:hAnsi="宋体"/>
                <w:color w:val="000000"/>
                <w:kern w:val="0"/>
                <w:sz w:val="24"/>
              </w:rPr>
              <w:t>备注</w:t>
            </w:r>
          </w:p>
        </w:tc>
      </w:tr>
      <w:tr w14:paraId="225C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A8F62FC">
            <w:pPr>
              <w:spacing w:line="360" w:lineRule="auto"/>
              <w:rPr>
                <w:rFonts w:ascii="宋体" w:hAnsi="宋体"/>
                <w:color w:val="000000"/>
                <w:kern w:val="0"/>
                <w:sz w:val="24"/>
              </w:rPr>
            </w:pPr>
            <w:r>
              <w:rPr>
                <w:rFonts w:hint="eastAsia" w:ascii="宋体" w:hAnsi="宋体"/>
                <w:color w:val="000000"/>
                <w:kern w:val="0"/>
                <w:sz w:val="24"/>
              </w:rPr>
              <w:t>1. 工程立项文件</w:t>
            </w:r>
          </w:p>
        </w:tc>
        <w:tc>
          <w:tcPr>
            <w:tcW w:w="1491" w:type="dxa"/>
          </w:tcPr>
          <w:p w14:paraId="07DEE30D">
            <w:pPr>
              <w:spacing w:line="360" w:lineRule="auto"/>
              <w:jc w:val="center"/>
              <w:rPr>
                <w:rFonts w:ascii="宋体" w:hAnsi="宋体"/>
                <w:b/>
                <w:bCs/>
                <w:color w:val="FF0000"/>
                <w:kern w:val="0"/>
                <w:sz w:val="24"/>
                <w:highlight w:val="green"/>
              </w:rPr>
            </w:pPr>
          </w:p>
        </w:tc>
        <w:tc>
          <w:tcPr>
            <w:tcW w:w="2147" w:type="dxa"/>
          </w:tcPr>
          <w:p w14:paraId="7607A97D">
            <w:pPr>
              <w:spacing w:line="360" w:lineRule="auto"/>
              <w:jc w:val="center"/>
              <w:rPr>
                <w:rFonts w:ascii="宋体" w:hAnsi="宋体"/>
                <w:b/>
                <w:bCs/>
                <w:color w:val="FF0000"/>
                <w:kern w:val="0"/>
                <w:sz w:val="24"/>
                <w:highlight w:val="green"/>
              </w:rPr>
            </w:pPr>
          </w:p>
        </w:tc>
        <w:tc>
          <w:tcPr>
            <w:tcW w:w="2082" w:type="dxa"/>
          </w:tcPr>
          <w:p w14:paraId="5DFA6FD5">
            <w:pPr>
              <w:spacing w:line="360" w:lineRule="auto"/>
              <w:rPr>
                <w:rFonts w:ascii="宋体" w:hAnsi="宋体"/>
                <w:color w:val="000000"/>
                <w:kern w:val="0"/>
                <w:sz w:val="24"/>
              </w:rPr>
            </w:pPr>
          </w:p>
        </w:tc>
      </w:tr>
      <w:tr w14:paraId="1C3D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EC56706">
            <w:pPr>
              <w:spacing w:line="360" w:lineRule="auto"/>
              <w:rPr>
                <w:rFonts w:ascii="宋体" w:hAnsi="宋体"/>
                <w:color w:val="000000"/>
                <w:kern w:val="0"/>
                <w:sz w:val="24"/>
              </w:rPr>
            </w:pPr>
            <w:r>
              <w:rPr>
                <w:rFonts w:hint="eastAsia" w:ascii="宋体" w:hAnsi="宋体"/>
                <w:color w:val="000000"/>
                <w:kern w:val="0"/>
                <w:sz w:val="24"/>
              </w:rPr>
              <w:t>2. 工程勘察文件</w:t>
            </w:r>
          </w:p>
        </w:tc>
        <w:tc>
          <w:tcPr>
            <w:tcW w:w="1491" w:type="dxa"/>
          </w:tcPr>
          <w:p w14:paraId="3878BF86">
            <w:pPr>
              <w:spacing w:line="360" w:lineRule="auto"/>
              <w:jc w:val="center"/>
              <w:rPr>
                <w:rFonts w:ascii="宋体" w:hAnsi="宋体"/>
                <w:b/>
                <w:bCs/>
                <w:color w:val="FF0000"/>
                <w:kern w:val="0"/>
                <w:sz w:val="24"/>
                <w:highlight w:val="green"/>
              </w:rPr>
            </w:pPr>
          </w:p>
        </w:tc>
        <w:tc>
          <w:tcPr>
            <w:tcW w:w="2147" w:type="dxa"/>
          </w:tcPr>
          <w:p w14:paraId="12D7A21B">
            <w:pPr>
              <w:spacing w:line="360" w:lineRule="auto"/>
              <w:jc w:val="center"/>
              <w:rPr>
                <w:rFonts w:ascii="宋体" w:hAnsi="宋体"/>
                <w:b/>
                <w:bCs/>
                <w:color w:val="FF0000"/>
                <w:kern w:val="0"/>
                <w:sz w:val="24"/>
                <w:highlight w:val="green"/>
              </w:rPr>
            </w:pPr>
          </w:p>
        </w:tc>
        <w:tc>
          <w:tcPr>
            <w:tcW w:w="2082" w:type="dxa"/>
          </w:tcPr>
          <w:p w14:paraId="4D79C1FE">
            <w:pPr>
              <w:spacing w:line="360" w:lineRule="auto"/>
              <w:rPr>
                <w:rFonts w:ascii="宋体" w:hAnsi="宋体"/>
                <w:color w:val="000000"/>
                <w:kern w:val="0"/>
                <w:sz w:val="24"/>
              </w:rPr>
            </w:pPr>
          </w:p>
        </w:tc>
      </w:tr>
      <w:tr w14:paraId="1AF1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F6B2AC3">
            <w:pPr>
              <w:spacing w:line="360" w:lineRule="auto"/>
              <w:rPr>
                <w:rFonts w:ascii="宋体" w:hAnsi="宋体"/>
                <w:color w:val="000000"/>
                <w:kern w:val="0"/>
                <w:sz w:val="24"/>
              </w:rPr>
            </w:pPr>
            <w:r>
              <w:rPr>
                <w:rFonts w:hint="eastAsia" w:ascii="宋体" w:hAnsi="宋体"/>
                <w:color w:val="000000"/>
                <w:kern w:val="0"/>
                <w:sz w:val="24"/>
              </w:rPr>
              <w:t>3. 工程设计及施工图纸</w:t>
            </w:r>
          </w:p>
        </w:tc>
        <w:tc>
          <w:tcPr>
            <w:tcW w:w="1491" w:type="dxa"/>
          </w:tcPr>
          <w:p w14:paraId="58BF5DAC">
            <w:pPr>
              <w:spacing w:line="360" w:lineRule="auto"/>
              <w:jc w:val="center"/>
              <w:rPr>
                <w:rFonts w:ascii="宋体" w:hAnsi="宋体"/>
                <w:b/>
                <w:bCs/>
                <w:color w:val="FF0000"/>
                <w:kern w:val="0"/>
                <w:sz w:val="24"/>
                <w:highlight w:val="green"/>
              </w:rPr>
            </w:pPr>
          </w:p>
        </w:tc>
        <w:tc>
          <w:tcPr>
            <w:tcW w:w="2147" w:type="dxa"/>
          </w:tcPr>
          <w:p w14:paraId="76922ADA">
            <w:pPr>
              <w:spacing w:line="360" w:lineRule="auto"/>
              <w:jc w:val="center"/>
              <w:rPr>
                <w:rFonts w:ascii="宋体" w:hAnsi="宋体"/>
                <w:b/>
                <w:bCs/>
                <w:color w:val="FF0000"/>
                <w:kern w:val="0"/>
                <w:sz w:val="24"/>
                <w:highlight w:val="green"/>
              </w:rPr>
            </w:pPr>
          </w:p>
        </w:tc>
        <w:tc>
          <w:tcPr>
            <w:tcW w:w="2082" w:type="dxa"/>
          </w:tcPr>
          <w:p w14:paraId="051A3542">
            <w:pPr>
              <w:spacing w:line="360" w:lineRule="auto"/>
              <w:rPr>
                <w:rFonts w:ascii="宋体" w:hAnsi="宋体"/>
                <w:color w:val="000000"/>
                <w:kern w:val="0"/>
                <w:sz w:val="24"/>
              </w:rPr>
            </w:pPr>
          </w:p>
        </w:tc>
      </w:tr>
      <w:tr w14:paraId="7DFB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2199EF4">
            <w:pPr>
              <w:spacing w:line="360" w:lineRule="auto"/>
              <w:rPr>
                <w:rFonts w:ascii="宋体" w:hAnsi="宋体"/>
                <w:color w:val="000000"/>
                <w:kern w:val="0"/>
                <w:sz w:val="24"/>
              </w:rPr>
            </w:pPr>
            <w:r>
              <w:rPr>
                <w:rFonts w:hint="eastAsia" w:ascii="宋体" w:hAnsi="宋体"/>
                <w:color w:val="000000"/>
                <w:kern w:val="0"/>
                <w:sz w:val="24"/>
              </w:rPr>
              <w:t>4. 工程承包合同及其他相关合同</w:t>
            </w:r>
          </w:p>
        </w:tc>
        <w:tc>
          <w:tcPr>
            <w:tcW w:w="1491" w:type="dxa"/>
          </w:tcPr>
          <w:p w14:paraId="39337930">
            <w:pPr>
              <w:spacing w:line="360" w:lineRule="auto"/>
              <w:jc w:val="center"/>
              <w:rPr>
                <w:rFonts w:ascii="宋体" w:hAnsi="宋体"/>
                <w:b/>
                <w:bCs/>
                <w:color w:val="FF0000"/>
                <w:kern w:val="0"/>
                <w:sz w:val="24"/>
                <w:highlight w:val="green"/>
              </w:rPr>
            </w:pPr>
          </w:p>
        </w:tc>
        <w:tc>
          <w:tcPr>
            <w:tcW w:w="2147" w:type="dxa"/>
          </w:tcPr>
          <w:p w14:paraId="0C32AB94">
            <w:pPr>
              <w:spacing w:line="360" w:lineRule="auto"/>
              <w:jc w:val="center"/>
              <w:rPr>
                <w:rFonts w:ascii="宋体" w:hAnsi="宋体"/>
                <w:b/>
                <w:bCs/>
                <w:color w:val="FF0000"/>
                <w:kern w:val="0"/>
                <w:sz w:val="24"/>
                <w:highlight w:val="green"/>
              </w:rPr>
            </w:pPr>
          </w:p>
        </w:tc>
        <w:tc>
          <w:tcPr>
            <w:tcW w:w="2082" w:type="dxa"/>
          </w:tcPr>
          <w:p w14:paraId="5C41EB59">
            <w:pPr>
              <w:spacing w:line="360" w:lineRule="auto"/>
              <w:rPr>
                <w:rFonts w:ascii="宋体" w:hAnsi="宋体"/>
                <w:color w:val="000000"/>
                <w:kern w:val="0"/>
                <w:sz w:val="24"/>
              </w:rPr>
            </w:pPr>
          </w:p>
        </w:tc>
      </w:tr>
      <w:tr w14:paraId="6E50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A347878">
            <w:pPr>
              <w:spacing w:line="360" w:lineRule="auto"/>
              <w:rPr>
                <w:rFonts w:ascii="宋体" w:hAnsi="宋体"/>
                <w:color w:val="000000"/>
                <w:kern w:val="0"/>
                <w:sz w:val="24"/>
              </w:rPr>
            </w:pPr>
            <w:r>
              <w:rPr>
                <w:rFonts w:hint="eastAsia" w:ascii="宋体" w:hAnsi="宋体"/>
                <w:color w:val="000000"/>
                <w:kern w:val="0"/>
                <w:sz w:val="24"/>
              </w:rPr>
              <w:t>5. 施工许可文件</w:t>
            </w:r>
          </w:p>
        </w:tc>
        <w:tc>
          <w:tcPr>
            <w:tcW w:w="1491" w:type="dxa"/>
          </w:tcPr>
          <w:p w14:paraId="4D500136">
            <w:pPr>
              <w:spacing w:line="360" w:lineRule="auto"/>
              <w:jc w:val="center"/>
              <w:rPr>
                <w:rFonts w:ascii="宋体" w:hAnsi="宋体"/>
                <w:b/>
                <w:bCs/>
                <w:color w:val="FF0000"/>
                <w:kern w:val="0"/>
                <w:sz w:val="24"/>
                <w:highlight w:val="green"/>
              </w:rPr>
            </w:pPr>
          </w:p>
        </w:tc>
        <w:tc>
          <w:tcPr>
            <w:tcW w:w="2147" w:type="dxa"/>
          </w:tcPr>
          <w:p w14:paraId="0F114AED">
            <w:pPr>
              <w:spacing w:line="360" w:lineRule="auto"/>
              <w:jc w:val="center"/>
              <w:rPr>
                <w:rFonts w:ascii="宋体" w:hAnsi="宋体"/>
                <w:b/>
                <w:bCs/>
                <w:color w:val="FF0000"/>
                <w:kern w:val="0"/>
                <w:sz w:val="24"/>
                <w:highlight w:val="green"/>
              </w:rPr>
            </w:pPr>
          </w:p>
        </w:tc>
        <w:tc>
          <w:tcPr>
            <w:tcW w:w="2082" w:type="dxa"/>
          </w:tcPr>
          <w:p w14:paraId="4328DAA4">
            <w:pPr>
              <w:spacing w:line="360" w:lineRule="auto"/>
              <w:rPr>
                <w:rFonts w:ascii="宋体" w:hAnsi="宋体"/>
                <w:color w:val="000000"/>
                <w:kern w:val="0"/>
                <w:sz w:val="24"/>
              </w:rPr>
            </w:pPr>
          </w:p>
        </w:tc>
      </w:tr>
      <w:tr w14:paraId="6CC3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5DEB994">
            <w:pPr>
              <w:spacing w:line="360" w:lineRule="auto"/>
              <w:rPr>
                <w:rFonts w:ascii="宋体" w:hAnsi="宋体"/>
                <w:color w:val="000000"/>
                <w:kern w:val="0"/>
                <w:sz w:val="24"/>
              </w:rPr>
            </w:pPr>
            <w:r>
              <w:rPr>
                <w:rFonts w:hint="eastAsia" w:ascii="宋体" w:hAnsi="宋体"/>
                <w:color w:val="000000"/>
                <w:kern w:val="0"/>
                <w:sz w:val="24"/>
              </w:rPr>
              <w:t>6. 其他文件</w:t>
            </w:r>
          </w:p>
        </w:tc>
        <w:tc>
          <w:tcPr>
            <w:tcW w:w="1491" w:type="dxa"/>
          </w:tcPr>
          <w:p w14:paraId="309A2BD6">
            <w:pPr>
              <w:spacing w:line="360" w:lineRule="auto"/>
              <w:jc w:val="center"/>
              <w:rPr>
                <w:rFonts w:ascii="宋体" w:hAnsi="宋体"/>
                <w:color w:val="000000"/>
                <w:kern w:val="0"/>
                <w:sz w:val="24"/>
              </w:rPr>
            </w:pPr>
          </w:p>
        </w:tc>
        <w:tc>
          <w:tcPr>
            <w:tcW w:w="2147" w:type="dxa"/>
          </w:tcPr>
          <w:p w14:paraId="6B0D8ADE">
            <w:pPr>
              <w:spacing w:line="360" w:lineRule="auto"/>
              <w:jc w:val="center"/>
              <w:rPr>
                <w:rFonts w:ascii="宋体" w:hAnsi="宋体"/>
                <w:color w:val="000000"/>
                <w:kern w:val="0"/>
                <w:sz w:val="24"/>
              </w:rPr>
            </w:pPr>
          </w:p>
        </w:tc>
        <w:tc>
          <w:tcPr>
            <w:tcW w:w="2082" w:type="dxa"/>
          </w:tcPr>
          <w:p w14:paraId="0EDC8F20">
            <w:pPr>
              <w:spacing w:line="360" w:lineRule="auto"/>
              <w:rPr>
                <w:rFonts w:ascii="宋体" w:hAnsi="宋体"/>
                <w:color w:val="000000"/>
                <w:kern w:val="0"/>
                <w:sz w:val="24"/>
              </w:rPr>
            </w:pPr>
          </w:p>
        </w:tc>
      </w:tr>
      <w:tr w14:paraId="6D31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DC43A49">
            <w:pPr>
              <w:spacing w:line="360" w:lineRule="auto"/>
              <w:jc w:val="center"/>
              <w:rPr>
                <w:rFonts w:ascii="宋体" w:hAnsi="宋体" w:cs="宋体"/>
                <w:color w:val="000000"/>
                <w:kern w:val="0"/>
                <w:sz w:val="24"/>
              </w:rPr>
            </w:pPr>
          </w:p>
        </w:tc>
        <w:tc>
          <w:tcPr>
            <w:tcW w:w="1491" w:type="dxa"/>
          </w:tcPr>
          <w:p w14:paraId="3D73F53F">
            <w:pPr>
              <w:spacing w:line="360" w:lineRule="auto"/>
              <w:jc w:val="center"/>
              <w:rPr>
                <w:rFonts w:ascii="宋体" w:hAnsi="宋体" w:cs="宋体"/>
                <w:color w:val="000000"/>
                <w:kern w:val="0"/>
                <w:sz w:val="24"/>
              </w:rPr>
            </w:pPr>
          </w:p>
        </w:tc>
        <w:tc>
          <w:tcPr>
            <w:tcW w:w="2147" w:type="dxa"/>
          </w:tcPr>
          <w:p w14:paraId="32987681">
            <w:pPr>
              <w:spacing w:line="360" w:lineRule="auto"/>
              <w:jc w:val="center"/>
              <w:rPr>
                <w:rFonts w:ascii="宋体" w:hAnsi="宋体" w:cs="宋体"/>
                <w:color w:val="000000"/>
                <w:kern w:val="0"/>
                <w:sz w:val="24"/>
              </w:rPr>
            </w:pPr>
          </w:p>
        </w:tc>
        <w:tc>
          <w:tcPr>
            <w:tcW w:w="2082" w:type="dxa"/>
          </w:tcPr>
          <w:p w14:paraId="7B7A748C">
            <w:pPr>
              <w:spacing w:line="360" w:lineRule="auto"/>
              <w:jc w:val="center"/>
              <w:rPr>
                <w:rFonts w:ascii="宋体" w:hAnsi="宋体" w:cs="宋体"/>
                <w:color w:val="000000"/>
                <w:kern w:val="0"/>
                <w:sz w:val="24"/>
              </w:rPr>
            </w:pPr>
          </w:p>
        </w:tc>
      </w:tr>
    </w:tbl>
    <w:p w14:paraId="61CEC60C">
      <w:pPr>
        <w:spacing w:beforeLines="50" w:line="360" w:lineRule="auto"/>
        <w:rPr>
          <w:rFonts w:ascii="宋体" w:hAnsi="宋体"/>
          <w:color w:val="000000"/>
          <w:kern w:val="0"/>
          <w:sz w:val="24"/>
        </w:rPr>
      </w:pPr>
      <w:r>
        <w:rPr>
          <w:rFonts w:hint="eastAsia" w:ascii="宋体" w:hAnsi="宋体"/>
          <w:color w:val="000000"/>
          <w:kern w:val="0"/>
          <w:sz w:val="24"/>
        </w:rPr>
        <w:t>B-4 委托人提供的设备</w:t>
      </w:r>
    </w:p>
    <w:tbl>
      <w:tblPr>
        <w:tblStyle w:val="3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1E69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7E5CD5FC">
            <w:pPr>
              <w:spacing w:line="360" w:lineRule="auto"/>
              <w:jc w:val="center"/>
              <w:rPr>
                <w:rFonts w:ascii="宋体" w:hAnsi="宋体"/>
                <w:color w:val="000000"/>
                <w:sz w:val="24"/>
              </w:rPr>
            </w:pPr>
            <w:r>
              <w:rPr>
                <w:rFonts w:hint="eastAsia" w:ascii="宋体" w:hAnsi="宋体"/>
                <w:color w:val="000000"/>
                <w:sz w:val="24"/>
              </w:rPr>
              <w:t>名称</w:t>
            </w:r>
          </w:p>
        </w:tc>
        <w:tc>
          <w:tcPr>
            <w:tcW w:w="1590" w:type="dxa"/>
          </w:tcPr>
          <w:p w14:paraId="61639393">
            <w:pPr>
              <w:spacing w:line="360" w:lineRule="auto"/>
              <w:jc w:val="center"/>
              <w:rPr>
                <w:rFonts w:ascii="宋体" w:hAnsi="宋体"/>
                <w:color w:val="000000"/>
                <w:sz w:val="24"/>
              </w:rPr>
            </w:pPr>
            <w:r>
              <w:rPr>
                <w:rFonts w:hint="eastAsia" w:ascii="宋体" w:hAnsi="宋体"/>
                <w:color w:val="000000"/>
                <w:sz w:val="24"/>
              </w:rPr>
              <w:t>数量</w:t>
            </w:r>
          </w:p>
        </w:tc>
        <w:tc>
          <w:tcPr>
            <w:tcW w:w="2130" w:type="dxa"/>
          </w:tcPr>
          <w:p w14:paraId="5D2939A6">
            <w:pPr>
              <w:spacing w:line="360" w:lineRule="auto"/>
              <w:jc w:val="center"/>
              <w:rPr>
                <w:rFonts w:ascii="宋体" w:hAnsi="宋体"/>
                <w:color w:val="000000"/>
                <w:sz w:val="24"/>
              </w:rPr>
            </w:pPr>
            <w:r>
              <w:rPr>
                <w:rFonts w:hint="eastAsia" w:ascii="宋体" w:hAnsi="宋体"/>
                <w:color w:val="000000"/>
                <w:sz w:val="24"/>
              </w:rPr>
              <w:t>型号与规格</w:t>
            </w:r>
          </w:p>
        </w:tc>
        <w:tc>
          <w:tcPr>
            <w:tcW w:w="1860" w:type="dxa"/>
          </w:tcPr>
          <w:p w14:paraId="50FE6EC7">
            <w:pPr>
              <w:spacing w:line="360" w:lineRule="auto"/>
              <w:jc w:val="center"/>
              <w:rPr>
                <w:rFonts w:ascii="宋体" w:hAnsi="宋体"/>
                <w:color w:val="000000"/>
                <w:sz w:val="24"/>
              </w:rPr>
            </w:pPr>
            <w:r>
              <w:rPr>
                <w:rFonts w:hint="eastAsia" w:ascii="宋体" w:hAnsi="宋体"/>
                <w:color w:val="000000"/>
                <w:sz w:val="24"/>
              </w:rPr>
              <w:t>提供时间</w:t>
            </w:r>
          </w:p>
        </w:tc>
      </w:tr>
      <w:tr w14:paraId="2B44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283F2FF6">
            <w:pPr>
              <w:spacing w:line="360" w:lineRule="auto"/>
              <w:rPr>
                <w:rFonts w:ascii="宋体" w:hAnsi="宋体"/>
                <w:color w:val="000000"/>
                <w:sz w:val="24"/>
              </w:rPr>
            </w:pPr>
            <w:r>
              <w:rPr>
                <w:rFonts w:hint="eastAsia" w:ascii="宋体" w:hAnsi="宋体"/>
                <w:color w:val="000000"/>
                <w:sz w:val="24"/>
              </w:rPr>
              <w:t>1. 通讯设备</w:t>
            </w:r>
          </w:p>
        </w:tc>
        <w:tc>
          <w:tcPr>
            <w:tcW w:w="1590" w:type="dxa"/>
          </w:tcPr>
          <w:p w14:paraId="330F2D42">
            <w:pPr>
              <w:spacing w:line="360" w:lineRule="auto"/>
              <w:rPr>
                <w:rFonts w:ascii="宋体" w:hAnsi="宋体"/>
                <w:color w:val="000000"/>
                <w:sz w:val="24"/>
              </w:rPr>
            </w:pPr>
          </w:p>
        </w:tc>
        <w:tc>
          <w:tcPr>
            <w:tcW w:w="2130" w:type="dxa"/>
          </w:tcPr>
          <w:p w14:paraId="732F69F9">
            <w:pPr>
              <w:spacing w:line="360" w:lineRule="auto"/>
              <w:rPr>
                <w:rFonts w:ascii="宋体" w:hAnsi="宋体"/>
                <w:color w:val="000000"/>
                <w:sz w:val="24"/>
              </w:rPr>
            </w:pPr>
          </w:p>
        </w:tc>
        <w:tc>
          <w:tcPr>
            <w:tcW w:w="1860" w:type="dxa"/>
          </w:tcPr>
          <w:p w14:paraId="05AB9C00">
            <w:pPr>
              <w:spacing w:line="360" w:lineRule="auto"/>
              <w:rPr>
                <w:rFonts w:ascii="宋体" w:hAnsi="宋体"/>
                <w:color w:val="000000"/>
                <w:sz w:val="24"/>
              </w:rPr>
            </w:pPr>
          </w:p>
        </w:tc>
      </w:tr>
      <w:tr w14:paraId="31DE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0EA93976">
            <w:pPr>
              <w:spacing w:line="360" w:lineRule="auto"/>
              <w:rPr>
                <w:rFonts w:ascii="宋体" w:hAnsi="宋体"/>
                <w:color w:val="000000"/>
                <w:sz w:val="24"/>
              </w:rPr>
            </w:pPr>
            <w:r>
              <w:rPr>
                <w:rFonts w:hint="eastAsia" w:ascii="宋体" w:hAnsi="宋体"/>
                <w:color w:val="000000"/>
                <w:sz w:val="24"/>
              </w:rPr>
              <w:t>2. 办公设备</w:t>
            </w:r>
          </w:p>
        </w:tc>
        <w:tc>
          <w:tcPr>
            <w:tcW w:w="1590" w:type="dxa"/>
          </w:tcPr>
          <w:p w14:paraId="617B2113">
            <w:pPr>
              <w:spacing w:line="360" w:lineRule="auto"/>
              <w:rPr>
                <w:rFonts w:ascii="宋体" w:hAnsi="宋体"/>
                <w:color w:val="000000"/>
                <w:sz w:val="24"/>
              </w:rPr>
            </w:pPr>
          </w:p>
        </w:tc>
        <w:tc>
          <w:tcPr>
            <w:tcW w:w="2130" w:type="dxa"/>
          </w:tcPr>
          <w:p w14:paraId="6D9931A3">
            <w:pPr>
              <w:spacing w:line="360" w:lineRule="auto"/>
              <w:rPr>
                <w:rFonts w:ascii="宋体" w:hAnsi="宋体"/>
                <w:color w:val="000000"/>
                <w:sz w:val="24"/>
              </w:rPr>
            </w:pPr>
          </w:p>
        </w:tc>
        <w:tc>
          <w:tcPr>
            <w:tcW w:w="1860" w:type="dxa"/>
          </w:tcPr>
          <w:p w14:paraId="15028C37">
            <w:pPr>
              <w:spacing w:line="360" w:lineRule="auto"/>
              <w:rPr>
                <w:rFonts w:ascii="宋体" w:hAnsi="宋体"/>
                <w:color w:val="000000"/>
                <w:sz w:val="24"/>
              </w:rPr>
            </w:pPr>
          </w:p>
        </w:tc>
      </w:tr>
      <w:tr w14:paraId="2DD0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2F0F12E8">
            <w:pPr>
              <w:spacing w:line="360" w:lineRule="auto"/>
              <w:rPr>
                <w:rFonts w:ascii="宋体" w:hAnsi="宋体"/>
                <w:color w:val="000000"/>
                <w:sz w:val="24"/>
              </w:rPr>
            </w:pPr>
            <w:r>
              <w:rPr>
                <w:rFonts w:hint="eastAsia" w:ascii="宋体" w:hAnsi="宋体"/>
                <w:color w:val="000000"/>
                <w:sz w:val="24"/>
              </w:rPr>
              <w:t>3. 交通工具</w:t>
            </w:r>
          </w:p>
        </w:tc>
        <w:tc>
          <w:tcPr>
            <w:tcW w:w="1590" w:type="dxa"/>
          </w:tcPr>
          <w:p w14:paraId="6D19E8CA">
            <w:pPr>
              <w:spacing w:line="360" w:lineRule="auto"/>
              <w:rPr>
                <w:rFonts w:ascii="宋体" w:hAnsi="宋体"/>
                <w:color w:val="000000"/>
                <w:sz w:val="24"/>
              </w:rPr>
            </w:pPr>
          </w:p>
        </w:tc>
        <w:tc>
          <w:tcPr>
            <w:tcW w:w="2130" w:type="dxa"/>
          </w:tcPr>
          <w:p w14:paraId="6357808E">
            <w:pPr>
              <w:spacing w:line="360" w:lineRule="auto"/>
              <w:rPr>
                <w:rFonts w:ascii="宋体" w:hAnsi="宋体"/>
                <w:color w:val="000000"/>
                <w:sz w:val="24"/>
              </w:rPr>
            </w:pPr>
          </w:p>
        </w:tc>
        <w:tc>
          <w:tcPr>
            <w:tcW w:w="1860" w:type="dxa"/>
          </w:tcPr>
          <w:p w14:paraId="622B5D4D">
            <w:pPr>
              <w:spacing w:line="360" w:lineRule="auto"/>
              <w:rPr>
                <w:rFonts w:ascii="宋体" w:hAnsi="宋体"/>
                <w:color w:val="000000"/>
                <w:sz w:val="24"/>
              </w:rPr>
            </w:pPr>
          </w:p>
        </w:tc>
      </w:tr>
      <w:tr w14:paraId="0ED6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59EDE2F">
            <w:pPr>
              <w:spacing w:line="360" w:lineRule="auto"/>
              <w:rPr>
                <w:rFonts w:ascii="宋体" w:hAnsi="宋体"/>
                <w:color w:val="000000"/>
                <w:sz w:val="24"/>
              </w:rPr>
            </w:pPr>
            <w:r>
              <w:rPr>
                <w:rFonts w:hint="eastAsia" w:ascii="宋体" w:hAnsi="宋体"/>
                <w:color w:val="000000"/>
                <w:sz w:val="24"/>
              </w:rPr>
              <w:t>4. 检测和试验设备</w:t>
            </w:r>
          </w:p>
        </w:tc>
        <w:tc>
          <w:tcPr>
            <w:tcW w:w="1590" w:type="dxa"/>
          </w:tcPr>
          <w:p w14:paraId="3C2B7875">
            <w:pPr>
              <w:spacing w:line="360" w:lineRule="auto"/>
              <w:rPr>
                <w:rFonts w:ascii="宋体" w:hAnsi="宋体"/>
                <w:color w:val="000000"/>
                <w:sz w:val="24"/>
              </w:rPr>
            </w:pPr>
          </w:p>
        </w:tc>
        <w:tc>
          <w:tcPr>
            <w:tcW w:w="2130" w:type="dxa"/>
          </w:tcPr>
          <w:p w14:paraId="6503D11D">
            <w:pPr>
              <w:spacing w:line="360" w:lineRule="auto"/>
              <w:rPr>
                <w:rFonts w:ascii="宋体" w:hAnsi="宋体"/>
                <w:color w:val="000000"/>
                <w:sz w:val="24"/>
              </w:rPr>
            </w:pPr>
          </w:p>
        </w:tc>
        <w:tc>
          <w:tcPr>
            <w:tcW w:w="1860" w:type="dxa"/>
          </w:tcPr>
          <w:p w14:paraId="6E3CEB25">
            <w:pPr>
              <w:spacing w:line="360" w:lineRule="auto"/>
              <w:rPr>
                <w:rFonts w:ascii="宋体" w:hAnsi="宋体"/>
                <w:color w:val="000000"/>
                <w:sz w:val="24"/>
              </w:rPr>
            </w:pPr>
          </w:p>
        </w:tc>
      </w:tr>
      <w:tr w14:paraId="225D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7C9F228">
            <w:pPr>
              <w:spacing w:line="360" w:lineRule="auto"/>
              <w:rPr>
                <w:rFonts w:ascii="宋体" w:hAnsi="宋体"/>
                <w:color w:val="000000"/>
                <w:sz w:val="24"/>
              </w:rPr>
            </w:pPr>
          </w:p>
        </w:tc>
        <w:tc>
          <w:tcPr>
            <w:tcW w:w="1590" w:type="dxa"/>
          </w:tcPr>
          <w:p w14:paraId="0BBC211F">
            <w:pPr>
              <w:spacing w:line="360" w:lineRule="auto"/>
              <w:rPr>
                <w:rFonts w:ascii="宋体" w:hAnsi="宋体"/>
                <w:color w:val="000000"/>
                <w:sz w:val="24"/>
              </w:rPr>
            </w:pPr>
          </w:p>
        </w:tc>
        <w:tc>
          <w:tcPr>
            <w:tcW w:w="2130" w:type="dxa"/>
          </w:tcPr>
          <w:p w14:paraId="415D4E9E">
            <w:pPr>
              <w:spacing w:line="360" w:lineRule="auto"/>
              <w:rPr>
                <w:rFonts w:ascii="宋体" w:hAnsi="宋体"/>
                <w:color w:val="000000"/>
                <w:sz w:val="24"/>
              </w:rPr>
            </w:pPr>
          </w:p>
        </w:tc>
        <w:tc>
          <w:tcPr>
            <w:tcW w:w="1860" w:type="dxa"/>
          </w:tcPr>
          <w:p w14:paraId="7BE44010">
            <w:pPr>
              <w:spacing w:line="360" w:lineRule="auto"/>
              <w:rPr>
                <w:rFonts w:ascii="宋体" w:hAnsi="宋体"/>
                <w:color w:val="000000"/>
                <w:sz w:val="24"/>
              </w:rPr>
            </w:pPr>
          </w:p>
        </w:tc>
      </w:tr>
    </w:tbl>
    <w:p w14:paraId="103AA563"/>
    <w:p w14:paraId="583D5791">
      <w:pPr>
        <w:spacing w:line="560" w:lineRule="exact"/>
        <w:rPr>
          <w:rFonts w:ascii="宋体" w:hAnsi="宋体"/>
          <w:color w:val="000000"/>
          <w:sz w:val="30"/>
          <w:szCs w:val="30"/>
        </w:rPr>
      </w:pPr>
    </w:p>
    <w:p w14:paraId="47A03847">
      <w:pPr>
        <w:spacing w:line="560" w:lineRule="exact"/>
        <w:rPr>
          <w:rFonts w:ascii="宋体" w:hAnsi="宋体"/>
          <w:color w:val="000000"/>
          <w:sz w:val="30"/>
          <w:szCs w:val="30"/>
        </w:rPr>
      </w:pPr>
    </w:p>
    <w:p w14:paraId="375620A7">
      <w:pPr>
        <w:spacing w:line="560" w:lineRule="exact"/>
        <w:rPr>
          <w:rFonts w:ascii="宋体" w:hAnsi="宋体"/>
          <w:color w:val="000000"/>
          <w:sz w:val="30"/>
          <w:szCs w:val="30"/>
        </w:rPr>
      </w:pPr>
    </w:p>
    <w:p w14:paraId="27ECC817">
      <w:pPr>
        <w:spacing w:line="560" w:lineRule="exact"/>
        <w:rPr>
          <w:rFonts w:ascii="宋体" w:hAnsi="宋体"/>
          <w:color w:val="000000"/>
          <w:sz w:val="30"/>
          <w:szCs w:val="30"/>
        </w:rPr>
      </w:pPr>
    </w:p>
    <w:p w14:paraId="0DE4B81C">
      <w:pPr>
        <w:spacing w:line="560" w:lineRule="exact"/>
        <w:rPr>
          <w:rFonts w:ascii="宋体" w:hAnsi="宋体"/>
          <w:color w:val="000000"/>
          <w:sz w:val="30"/>
          <w:szCs w:val="30"/>
        </w:rPr>
      </w:pPr>
    </w:p>
    <w:p w14:paraId="3CB1A62D">
      <w:pPr>
        <w:spacing w:line="560" w:lineRule="exact"/>
        <w:rPr>
          <w:rFonts w:ascii="宋体" w:hAnsi="宋体"/>
          <w:color w:val="000000"/>
          <w:sz w:val="30"/>
          <w:szCs w:val="30"/>
        </w:rPr>
      </w:pPr>
    </w:p>
    <w:p w14:paraId="7855C9BC">
      <w:pPr>
        <w:spacing w:line="560" w:lineRule="exact"/>
        <w:rPr>
          <w:rFonts w:ascii="宋体" w:hAnsi="宋体"/>
          <w:color w:val="000000"/>
          <w:sz w:val="30"/>
          <w:szCs w:val="30"/>
        </w:rPr>
      </w:pPr>
    </w:p>
    <w:p w14:paraId="26F01FA8">
      <w:pPr>
        <w:spacing w:line="560" w:lineRule="exact"/>
        <w:rPr>
          <w:rFonts w:ascii="宋体" w:hAnsi="宋体"/>
          <w:color w:val="000000"/>
          <w:sz w:val="30"/>
          <w:szCs w:val="30"/>
        </w:rPr>
      </w:pPr>
    </w:p>
    <w:p w14:paraId="20DDF6A5">
      <w:pPr>
        <w:spacing w:line="560" w:lineRule="exact"/>
        <w:rPr>
          <w:rFonts w:ascii="宋体" w:hAnsi="宋体"/>
          <w:color w:val="000000"/>
          <w:sz w:val="30"/>
          <w:szCs w:val="30"/>
        </w:rPr>
      </w:pPr>
    </w:p>
    <w:p w14:paraId="3B4A2885">
      <w:pPr>
        <w:spacing w:line="560" w:lineRule="exact"/>
        <w:rPr>
          <w:rFonts w:ascii="宋体" w:hAnsi="宋体" w:cs="黑体"/>
          <w:bCs/>
          <w:color w:val="000000"/>
          <w:sz w:val="30"/>
          <w:szCs w:val="30"/>
        </w:rPr>
      </w:pPr>
      <w:r>
        <w:rPr>
          <w:rFonts w:ascii="宋体" w:hAnsi="宋体"/>
          <w:color w:val="000000"/>
          <w:sz w:val="30"/>
          <w:szCs w:val="30"/>
        </w:rPr>
        <w:br w:type="page"/>
      </w:r>
      <w:r>
        <w:rPr>
          <w:rFonts w:hint="eastAsia" w:ascii="宋体" w:hAnsi="宋体"/>
          <w:color w:val="000000"/>
          <w:sz w:val="30"/>
          <w:szCs w:val="30"/>
        </w:rPr>
        <w:t>附件1：</w:t>
      </w:r>
    </w:p>
    <w:p w14:paraId="26A0DEAC">
      <w:pPr>
        <w:spacing w:line="360" w:lineRule="auto"/>
        <w:jc w:val="center"/>
        <w:rPr>
          <w:rFonts w:ascii="宋体" w:hAnsi="宋体"/>
          <w:b/>
          <w:sz w:val="36"/>
          <w:szCs w:val="36"/>
        </w:rPr>
      </w:pPr>
      <w:r>
        <w:rPr>
          <w:rFonts w:hint="eastAsia" w:ascii="宋体" w:hAnsi="宋体"/>
          <w:b/>
          <w:sz w:val="36"/>
          <w:szCs w:val="36"/>
        </w:rPr>
        <w:t>建设工程监理单位项目部管理规定（试行）</w:t>
      </w:r>
    </w:p>
    <w:p w14:paraId="45FA8434">
      <w:pPr>
        <w:pStyle w:val="6"/>
        <w:spacing w:line="264" w:lineRule="auto"/>
        <w:ind w:firstLine="0" w:firstLineChars="0"/>
        <w:jc w:val="center"/>
        <w:rPr>
          <w:rFonts w:ascii="宋体" w:hAnsi="宋体"/>
          <w:bCs/>
          <w:color w:val="000000"/>
          <w:sz w:val="28"/>
          <w:szCs w:val="28"/>
        </w:rPr>
      </w:pPr>
      <w:r>
        <w:rPr>
          <w:rFonts w:hint="eastAsia" w:ascii="宋体" w:hAnsi="宋体"/>
          <w:bCs/>
          <w:color w:val="000000"/>
          <w:sz w:val="28"/>
          <w:szCs w:val="28"/>
        </w:rPr>
        <w:t>第一章 监理人员的管理</w:t>
      </w:r>
    </w:p>
    <w:p w14:paraId="2231D8BD">
      <w:pPr>
        <w:pStyle w:val="6"/>
        <w:spacing w:line="480" w:lineRule="exact"/>
        <w:ind w:firstLine="480"/>
        <w:rPr>
          <w:rFonts w:ascii="宋体" w:hAnsi="宋体"/>
          <w:bCs/>
          <w:color w:val="000000"/>
          <w:sz w:val="24"/>
        </w:rPr>
      </w:pPr>
      <w:r>
        <w:rPr>
          <w:rFonts w:hint="eastAsia" w:ascii="宋体" w:hAnsi="宋体"/>
          <w:bCs/>
          <w:color w:val="000000"/>
          <w:sz w:val="24"/>
        </w:rPr>
        <w:t>一、中标单位必须严格按照投标文件承诺和监理合同要求配备监理人员。中标通知书发放后7日内投标承诺的监理人员须带身份证、资格证书原件到委托人进行登记，并按要求实行证件管理。</w:t>
      </w:r>
    </w:p>
    <w:p w14:paraId="200EA46F">
      <w:pPr>
        <w:pStyle w:val="6"/>
        <w:spacing w:line="480" w:lineRule="exact"/>
        <w:ind w:firstLine="480"/>
        <w:rPr>
          <w:rFonts w:ascii="宋体" w:hAnsi="宋体"/>
          <w:bCs/>
          <w:color w:val="000000"/>
          <w:sz w:val="24"/>
        </w:rPr>
      </w:pPr>
      <w:r>
        <w:rPr>
          <w:rFonts w:hint="eastAsia" w:ascii="宋体" w:hAnsi="宋体"/>
          <w:bCs/>
          <w:color w:val="000000"/>
          <w:sz w:val="24"/>
        </w:rPr>
        <w:t>二、中标单位原则上不得变更项目总监理工程师、专业监理工程师。如确需变更，应提前10天书面报告委托人，经同意后方可变更，变更后的人员不得低于招标文件中相同岗位人员的各项要求；</w:t>
      </w:r>
      <w:r>
        <w:rPr>
          <w:rFonts w:hint="eastAsia" w:ascii="宋体" w:hAnsi="宋体"/>
          <w:bCs/>
          <w:color w:val="FF0000"/>
          <w:sz w:val="24"/>
        </w:rPr>
        <w:t>同时监理单位更换总监理工程师的，</w:t>
      </w:r>
      <w:r>
        <w:rPr>
          <w:rFonts w:hint="eastAsia" w:ascii="宋体" w:hAnsi="宋体"/>
          <w:bCs/>
          <w:color w:val="FF0000"/>
          <w:sz w:val="24"/>
          <w:u w:val="single"/>
        </w:rPr>
        <w:t>每人次支付10万元</w:t>
      </w:r>
      <w:r>
        <w:rPr>
          <w:rFonts w:hint="eastAsia" w:ascii="宋体" w:hAnsi="宋体"/>
          <w:bCs/>
          <w:color w:val="FF0000"/>
          <w:sz w:val="24"/>
        </w:rPr>
        <w:t>（人民币，以下同）的违约金（违约金可从履约保证金、应付的监理费中扣除，下同），更换其他专业监理人员的</w:t>
      </w:r>
      <w:r>
        <w:rPr>
          <w:rFonts w:hint="eastAsia" w:ascii="宋体" w:hAnsi="宋体"/>
          <w:bCs/>
          <w:color w:val="FF0000"/>
          <w:sz w:val="24"/>
          <w:u w:val="single"/>
        </w:rPr>
        <w:t>，每人次付2万元的违约金</w:t>
      </w:r>
      <w:r>
        <w:rPr>
          <w:rFonts w:hint="eastAsia" w:ascii="宋体" w:hAnsi="宋体"/>
          <w:bCs/>
          <w:color w:val="FF0000"/>
          <w:sz w:val="24"/>
        </w:rPr>
        <w:t>。</w:t>
      </w:r>
      <w:r>
        <w:rPr>
          <w:rFonts w:hint="eastAsia" w:ascii="宋体" w:hAnsi="宋体"/>
          <w:bCs/>
          <w:color w:val="000000"/>
          <w:sz w:val="24"/>
        </w:rPr>
        <w:t>合同期内调换的人数不得超过合同中约定总人数的30％。</w:t>
      </w:r>
    </w:p>
    <w:p w14:paraId="53282BBC">
      <w:pPr>
        <w:pStyle w:val="6"/>
        <w:spacing w:line="480" w:lineRule="exact"/>
        <w:ind w:firstLine="480"/>
        <w:rPr>
          <w:rFonts w:ascii="宋体" w:hAnsi="宋体"/>
          <w:bCs/>
          <w:color w:val="000000"/>
          <w:sz w:val="24"/>
        </w:rPr>
      </w:pPr>
      <w:r>
        <w:rPr>
          <w:rFonts w:hint="eastAsia" w:ascii="宋体" w:hAnsi="宋体"/>
          <w:bCs/>
          <w:color w:val="000000"/>
          <w:sz w:val="24"/>
        </w:rPr>
        <w:t>三、现场监理人员数量、资格达不到招标文件和委托监理合同要求或不能胜任的，按程度分别给予通报批评、要求支付违约金、媒体公开曝光，经委托人两次书面通知仍未改正的，提请有关部门给予不良行为记录，经委托人三次书面通知仍未改正的，</w:t>
      </w:r>
      <w:r>
        <w:rPr>
          <w:rFonts w:hint="eastAsia" w:ascii="宋体" w:hAnsi="宋体"/>
          <w:bCs/>
          <w:sz w:val="24"/>
        </w:rPr>
        <w:t>委托人</w:t>
      </w:r>
      <w:r>
        <w:rPr>
          <w:rFonts w:hint="eastAsia" w:ascii="宋体" w:hAnsi="宋体"/>
          <w:bCs/>
          <w:color w:val="000000"/>
          <w:sz w:val="24"/>
        </w:rPr>
        <w:t>将单方终止委托监理合同。</w:t>
      </w:r>
    </w:p>
    <w:p w14:paraId="3D935B0D">
      <w:pPr>
        <w:pStyle w:val="6"/>
        <w:spacing w:line="480" w:lineRule="exact"/>
        <w:ind w:firstLine="480"/>
        <w:rPr>
          <w:rFonts w:ascii="宋体" w:hAnsi="宋体"/>
          <w:bCs/>
          <w:color w:val="000000"/>
          <w:sz w:val="24"/>
        </w:rPr>
      </w:pPr>
      <w:r>
        <w:rPr>
          <w:rFonts w:hint="eastAsia" w:ascii="宋体" w:hAnsi="宋体"/>
          <w:bCs/>
          <w:color w:val="000000"/>
          <w:sz w:val="24"/>
        </w:rPr>
        <w:t>四、总监理工程师每月驻现场不少于22天，每天不少于8小时。总监理工程师请假必须经业主代表</w:t>
      </w:r>
      <w:r>
        <w:rPr>
          <w:rFonts w:hint="eastAsia" w:ascii="宋体" w:hAnsi="宋体"/>
          <w:bCs/>
          <w:sz w:val="24"/>
        </w:rPr>
        <w:t>按程序</w:t>
      </w:r>
      <w:r>
        <w:rPr>
          <w:rFonts w:hint="eastAsia" w:ascii="宋体" w:hAnsi="宋体"/>
          <w:bCs/>
          <w:color w:val="000000"/>
          <w:sz w:val="24"/>
        </w:rPr>
        <w:t>审批同意后方可离岗，否则按缺岗处理，每人次支付1000元的违约金；其他监理人员须经业主代表同意后方可离岗，否则按缺岗处理，每人次支付300元的违约金。业主代表每天对所有监理人员考勤（实行指纹考勤的项目部按照指纹考勤办法执行），并对出勤情况记录在册。</w:t>
      </w:r>
    </w:p>
    <w:p w14:paraId="7463D9CE">
      <w:pPr>
        <w:pStyle w:val="6"/>
        <w:spacing w:line="480" w:lineRule="exact"/>
        <w:ind w:firstLine="0" w:firstLineChars="0"/>
        <w:jc w:val="center"/>
        <w:rPr>
          <w:rFonts w:ascii="宋体" w:hAnsi="宋体"/>
          <w:bCs/>
          <w:color w:val="000000"/>
          <w:sz w:val="28"/>
          <w:szCs w:val="28"/>
        </w:rPr>
      </w:pPr>
      <w:r>
        <w:rPr>
          <w:rFonts w:hint="eastAsia" w:ascii="宋体" w:hAnsi="宋体"/>
          <w:bCs/>
          <w:color w:val="000000"/>
          <w:sz w:val="28"/>
          <w:szCs w:val="28"/>
        </w:rPr>
        <w:t>第二章 监理合同履约及信息管理</w:t>
      </w:r>
    </w:p>
    <w:p w14:paraId="5AA56B4E">
      <w:pPr>
        <w:pStyle w:val="6"/>
        <w:spacing w:line="480" w:lineRule="exact"/>
        <w:ind w:firstLine="480"/>
        <w:rPr>
          <w:rFonts w:ascii="宋体" w:hAnsi="宋体"/>
          <w:bCs/>
          <w:color w:val="000000"/>
          <w:sz w:val="24"/>
        </w:rPr>
      </w:pPr>
      <w:r>
        <w:rPr>
          <w:rFonts w:hint="eastAsia" w:ascii="宋体" w:hAnsi="宋体"/>
          <w:bCs/>
          <w:color w:val="000000"/>
          <w:sz w:val="24"/>
        </w:rPr>
        <w:t>一、凡因监理责任而影响工程造价、工期和质量的，造成的工期滞后和经济损失由监理单位承担连带承担。委托人有权从监理费中扣减并追索损失、费用。</w:t>
      </w:r>
    </w:p>
    <w:p w14:paraId="6CC4AC4E">
      <w:pPr>
        <w:pStyle w:val="6"/>
        <w:spacing w:line="480" w:lineRule="exact"/>
        <w:ind w:firstLine="480"/>
        <w:rPr>
          <w:rFonts w:ascii="宋体" w:hAnsi="宋体"/>
          <w:bCs/>
          <w:color w:val="000000"/>
          <w:sz w:val="24"/>
        </w:rPr>
      </w:pPr>
      <w:r>
        <w:rPr>
          <w:rFonts w:hint="eastAsia" w:ascii="宋体" w:hAnsi="宋体"/>
          <w:bCs/>
          <w:color w:val="000000"/>
          <w:sz w:val="24"/>
        </w:rPr>
        <w:t>二、</w:t>
      </w:r>
      <w:r>
        <w:rPr>
          <w:rFonts w:hint="eastAsia" w:ascii="宋体" w:hAnsi="宋体"/>
          <w:bCs/>
          <w:sz w:val="24"/>
        </w:rPr>
        <w:t>委托人</w:t>
      </w:r>
      <w:r>
        <w:rPr>
          <w:rFonts w:hint="eastAsia" w:ascii="宋体" w:hAnsi="宋体"/>
          <w:bCs/>
          <w:color w:val="000000"/>
          <w:sz w:val="24"/>
        </w:rPr>
        <w:t>在工程施工期间，不定期地组织有关人员对工程质量、进度、安全、文明施工进行抽查，如发现存在质量、安全隐患、进度严重滞后、未按规定文明施工的，视为监理单位违约，应按监理合同价款的1％支付违约金。</w:t>
      </w:r>
    </w:p>
    <w:p w14:paraId="08A81B8B">
      <w:pPr>
        <w:pStyle w:val="6"/>
        <w:spacing w:line="480" w:lineRule="exact"/>
        <w:ind w:firstLine="480"/>
        <w:rPr>
          <w:rFonts w:ascii="宋体" w:hAnsi="宋体"/>
          <w:bCs/>
          <w:color w:val="000000"/>
          <w:sz w:val="24"/>
        </w:rPr>
      </w:pPr>
      <w:r>
        <w:rPr>
          <w:rFonts w:hint="eastAsia" w:ascii="宋体" w:hAnsi="宋体"/>
          <w:bCs/>
          <w:color w:val="000000"/>
          <w:sz w:val="24"/>
        </w:rPr>
        <w:t>三、项目监理部应根据工程需要每周至少组织一次工程例会，对施工过程中存在的问题提出初步处理意见和建议，形成会议纪要于下周报送委托人。</w:t>
      </w:r>
    </w:p>
    <w:p w14:paraId="7A6B93BC">
      <w:pPr>
        <w:pStyle w:val="6"/>
        <w:spacing w:line="480" w:lineRule="exact"/>
        <w:ind w:firstLine="480"/>
        <w:rPr>
          <w:rFonts w:ascii="宋体" w:hAnsi="宋体"/>
          <w:bCs/>
          <w:color w:val="000000"/>
          <w:sz w:val="24"/>
        </w:rPr>
      </w:pPr>
      <w:r>
        <w:rPr>
          <w:rFonts w:hint="eastAsia" w:ascii="宋体" w:hAnsi="宋体"/>
          <w:bCs/>
          <w:color w:val="000000"/>
          <w:sz w:val="24"/>
        </w:rPr>
        <w:t>四、项目监理部根据工程招投标文件及施工合同约定的工程价款，对工程进度款进行审核，并对工程结算进行内审。对于工程进度审核不认真，审签进度与实际进度相差超过10%，导致进度款多付的，委托人将按实际多付比例同比例扣除监理费用。专业监理工程师对承包单位报送的竣工结算进行审核，提出审核意见，总监理工程师签署审批意见。</w:t>
      </w:r>
    </w:p>
    <w:p w14:paraId="094E1935">
      <w:pPr>
        <w:pStyle w:val="6"/>
        <w:spacing w:line="480" w:lineRule="exact"/>
        <w:ind w:firstLine="480"/>
        <w:rPr>
          <w:rFonts w:hint="eastAsia" w:ascii="宋体" w:hAnsi="宋体" w:eastAsia="宋体"/>
          <w:bCs/>
          <w:color w:val="000000"/>
          <w:sz w:val="24"/>
          <w:lang w:eastAsia="zh-CN"/>
        </w:rPr>
      </w:pPr>
      <w:r>
        <w:rPr>
          <w:rFonts w:hint="eastAsia" w:ascii="宋体" w:hAnsi="宋体"/>
          <w:bCs/>
          <w:color w:val="000000"/>
          <w:sz w:val="24"/>
        </w:rPr>
        <w:t>五、监理单位应严格控制工程变更，确需变更的经委托人同意后，对变更导致的工程量增减，进行现场认真测量和确认，确保经济签证准确无误。委托人将对签证的准确性、真实性进行抽查，对经济签证经复核，签证量超出实际工程量5%的，按超出量实际比例同比例扣除监理费用，对弄虚作假的，委托人将加大扣除监理费比例（最高至监理合同价款的30％），并报行政或移送司法机关处理。</w:t>
      </w:r>
    </w:p>
    <w:p w14:paraId="1E254356">
      <w:pPr>
        <w:pStyle w:val="6"/>
        <w:spacing w:line="480" w:lineRule="exact"/>
        <w:ind w:firstLine="480"/>
        <w:rPr>
          <w:rFonts w:ascii="宋体" w:hAnsi="宋体"/>
          <w:bCs/>
          <w:color w:val="000000"/>
          <w:sz w:val="24"/>
        </w:rPr>
      </w:pPr>
      <w:r>
        <w:rPr>
          <w:rFonts w:hint="eastAsia" w:ascii="宋体" w:hAnsi="宋体"/>
          <w:bCs/>
          <w:color w:val="000000"/>
          <w:sz w:val="24"/>
        </w:rPr>
        <w:t xml:space="preserve">    六、监理人员无故刁难施工单位，向施工单位吃、拿、卡、要，或与施工单位串通一气，弄虚作假的，一经查实后立即终止合同并没收履约保证金并要求监理单位支付监理合同价款的30％作为违约金，造成损失超过履约保证金和实际支付的违约金，</w:t>
      </w:r>
      <w:r>
        <w:rPr>
          <w:rFonts w:hint="eastAsia" w:ascii="宋体" w:hAnsi="宋体"/>
          <w:bCs/>
          <w:sz w:val="24"/>
        </w:rPr>
        <w:t>委托人</w:t>
      </w:r>
      <w:r>
        <w:rPr>
          <w:rFonts w:hint="eastAsia" w:ascii="宋体" w:hAnsi="宋体"/>
          <w:bCs/>
          <w:color w:val="000000"/>
          <w:sz w:val="24"/>
        </w:rPr>
        <w:t>将通过法律途径予以追偿，违反国家法律法规的由司法机关处理。</w:t>
      </w:r>
    </w:p>
    <w:p w14:paraId="2985B305">
      <w:pPr>
        <w:pStyle w:val="6"/>
        <w:spacing w:line="480" w:lineRule="exact"/>
        <w:ind w:firstLine="480"/>
        <w:rPr>
          <w:rFonts w:ascii="宋体" w:hAnsi="宋体"/>
          <w:bCs/>
          <w:color w:val="000000"/>
          <w:sz w:val="24"/>
        </w:rPr>
      </w:pPr>
      <w:r>
        <w:rPr>
          <w:rFonts w:hint="eastAsia" w:ascii="宋体" w:hAnsi="宋体"/>
          <w:bCs/>
          <w:color w:val="000000"/>
          <w:sz w:val="24"/>
        </w:rPr>
        <w:t>七、项目实施过程中，监理违约或严重违反本《办法》规定其他工作的，按10000元/次支付违约金，并通告政府相关部门（单位）处理。</w:t>
      </w:r>
    </w:p>
    <w:p w14:paraId="61FEC750">
      <w:pPr>
        <w:pStyle w:val="6"/>
        <w:spacing w:line="480" w:lineRule="exact"/>
        <w:ind w:firstLine="480"/>
        <w:rPr>
          <w:rFonts w:ascii="宋体" w:hAnsi="宋体"/>
          <w:bCs/>
          <w:color w:val="000000"/>
          <w:sz w:val="24"/>
        </w:rPr>
      </w:pPr>
      <w:r>
        <w:rPr>
          <w:rFonts w:hint="eastAsia" w:ascii="宋体" w:hAnsi="宋体"/>
          <w:bCs/>
          <w:color w:val="000000"/>
          <w:sz w:val="24"/>
        </w:rPr>
        <w:t>八、监理单位不能严格控制主材的质量、规格、型号, 造成工程质量隐患的，一经发现，委托人将分别要求监理单位支付50000元、10000元、5000元不等的违约金，情况严重的通告相关行政单位给予处罚。</w:t>
      </w:r>
    </w:p>
    <w:p w14:paraId="318110D4">
      <w:pPr>
        <w:pStyle w:val="6"/>
        <w:spacing w:line="480" w:lineRule="exact"/>
        <w:ind w:firstLine="480"/>
        <w:rPr>
          <w:rFonts w:ascii="宋体" w:hAnsi="宋体"/>
          <w:bCs/>
          <w:color w:val="000000"/>
          <w:sz w:val="24"/>
        </w:rPr>
      </w:pPr>
      <w:r>
        <w:rPr>
          <w:rFonts w:hint="eastAsia" w:ascii="宋体" w:hAnsi="宋体"/>
          <w:bCs/>
          <w:color w:val="000000"/>
          <w:sz w:val="24"/>
        </w:rPr>
        <w:t>九、工程质量的报验工作由监理单位督促施工单位完成。遇有质量问题，必须按要求作停工或返工处理，未履行监理责任而造成的损失由监理单位承担连带责任。</w:t>
      </w:r>
    </w:p>
    <w:p w14:paraId="7A66A83C">
      <w:pPr>
        <w:pStyle w:val="6"/>
        <w:spacing w:line="480" w:lineRule="exact"/>
        <w:ind w:firstLine="480"/>
        <w:rPr>
          <w:rFonts w:ascii="宋体" w:hAnsi="宋体"/>
          <w:bCs/>
          <w:color w:val="000000"/>
          <w:sz w:val="24"/>
        </w:rPr>
      </w:pPr>
      <w:r>
        <w:rPr>
          <w:rFonts w:hint="eastAsia" w:ascii="宋体" w:hAnsi="宋体"/>
          <w:bCs/>
          <w:color w:val="000000"/>
          <w:sz w:val="24"/>
        </w:rPr>
        <w:t>十、监理单位应协调施工单位开展夜间施工，合理缩短工期，并督促施工单位做好夜间施工的照明、安全防护等工作。夜间施工现场无监理人员或在场监理人员未履行其职责，视为监理离岗，监理费扣除参照前述第一章第4条执行。</w:t>
      </w:r>
    </w:p>
    <w:p w14:paraId="7B233986">
      <w:pPr>
        <w:pStyle w:val="6"/>
        <w:spacing w:line="480" w:lineRule="exact"/>
        <w:ind w:firstLine="480"/>
        <w:rPr>
          <w:rFonts w:ascii="宋体" w:hAnsi="宋体"/>
          <w:bCs/>
          <w:color w:val="000000"/>
          <w:sz w:val="24"/>
        </w:rPr>
      </w:pPr>
      <w:r>
        <w:rPr>
          <w:rFonts w:hint="eastAsia" w:ascii="宋体" w:hAnsi="宋体"/>
          <w:bCs/>
          <w:color w:val="000000"/>
          <w:sz w:val="24"/>
        </w:rPr>
        <w:t>十一、监理单位必须在每月25日前上报经其审核的本月已完进度报表，并将经其审核的次月施工计划报委托人审批。</w:t>
      </w:r>
    </w:p>
    <w:p w14:paraId="5B48E3BE">
      <w:pPr>
        <w:pStyle w:val="6"/>
        <w:spacing w:line="480" w:lineRule="exact"/>
        <w:ind w:firstLine="480"/>
        <w:rPr>
          <w:rFonts w:ascii="宋体" w:hAnsi="宋体"/>
          <w:bCs/>
          <w:color w:val="000000"/>
          <w:sz w:val="24"/>
        </w:rPr>
      </w:pPr>
      <w:r>
        <w:rPr>
          <w:rFonts w:hint="eastAsia" w:ascii="宋体" w:hAnsi="宋体"/>
          <w:bCs/>
          <w:color w:val="000000"/>
          <w:sz w:val="24"/>
        </w:rPr>
        <w:t>十二、监理单位必须于每月25日前将经审核的工程进度款支付申请表上报委托人，同时将监理月报一并上报。</w:t>
      </w:r>
    </w:p>
    <w:p w14:paraId="2F7D96FA">
      <w:pPr>
        <w:pStyle w:val="6"/>
        <w:spacing w:line="480" w:lineRule="exact"/>
        <w:ind w:firstLine="560"/>
        <w:jc w:val="center"/>
        <w:rPr>
          <w:rFonts w:ascii="宋体" w:hAnsi="宋体"/>
          <w:bCs/>
          <w:color w:val="000000"/>
          <w:sz w:val="24"/>
        </w:rPr>
      </w:pPr>
      <w:r>
        <w:rPr>
          <w:rFonts w:hint="eastAsia" w:ascii="宋体" w:hAnsi="宋体"/>
          <w:bCs/>
          <w:sz w:val="28"/>
          <w:szCs w:val="28"/>
        </w:rPr>
        <w:t>第三章 检测工作的考核</w:t>
      </w:r>
    </w:p>
    <w:p w14:paraId="177C8C2C">
      <w:pPr>
        <w:pStyle w:val="6"/>
        <w:spacing w:line="480" w:lineRule="exact"/>
        <w:ind w:firstLine="480"/>
        <w:rPr>
          <w:rFonts w:ascii="宋体" w:hAnsi="宋体"/>
          <w:bCs/>
          <w:sz w:val="24"/>
        </w:rPr>
      </w:pPr>
      <w:r>
        <w:rPr>
          <w:rFonts w:hint="eastAsia" w:ascii="宋体" w:hAnsi="宋体"/>
          <w:bCs/>
          <w:sz w:val="24"/>
        </w:rPr>
        <w:t>一、监理单位必须严格按照投标承诺和合同要求配备足够的实验检测仪器设备（具体设备种类、数量在招标文件或合同中约定），并根据工程建设情况及时开展必要的实验检测工作。进场7日内实验检测仪器设备必须到位，并将仪器设备清单和实验检测工作方案报委托人备查。委托人在工程实施过程中将对监理单位所做的各项实验检测工作进行抽查。</w:t>
      </w:r>
    </w:p>
    <w:p w14:paraId="605CDAD2">
      <w:pPr>
        <w:pStyle w:val="6"/>
        <w:spacing w:line="480" w:lineRule="exact"/>
        <w:ind w:firstLine="480"/>
        <w:rPr>
          <w:rFonts w:ascii="宋体" w:hAnsi="宋体"/>
          <w:bCs/>
          <w:color w:val="000000"/>
          <w:sz w:val="24"/>
        </w:rPr>
      </w:pPr>
      <w:r>
        <w:rPr>
          <w:rFonts w:hint="eastAsia" w:ascii="宋体" w:hAnsi="宋体"/>
          <w:bCs/>
          <w:sz w:val="24"/>
        </w:rPr>
        <w:t>二、监理实验检测仪器、设备不符合要求或在规定时间未到位的，委托人可以根据工程需要购买实验检测仪器、设备，费用从监理服务费中扣除。未及时开展实验检测工作的，将</w:t>
      </w:r>
      <w:r>
        <w:rPr>
          <w:rFonts w:hint="eastAsia" w:ascii="宋体" w:hAnsi="宋体"/>
          <w:bCs/>
          <w:color w:val="000000"/>
          <w:sz w:val="24"/>
        </w:rPr>
        <w:t>按照工作量扣除相应的监理费。</w:t>
      </w:r>
    </w:p>
    <w:p w14:paraId="5AFC506D">
      <w:pPr>
        <w:pStyle w:val="6"/>
        <w:spacing w:line="480" w:lineRule="exact"/>
        <w:ind w:firstLine="480"/>
        <w:rPr>
          <w:rFonts w:ascii="宋体" w:hAnsi="宋体"/>
          <w:bCs/>
          <w:color w:val="000000"/>
          <w:sz w:val="24"/>
        </w:rPr>
      </w:pPr>
      <w:r>
        <w:rPr>
          <w:rFonts w:hint="eastAsia" w:ascii="宋体" w:hAnsi="宋体"/>
          <w:bCs/>
          <w:color w:val="000000"/>
          <w:sz w:val="24"/>
        </w:rPr>
        <w:t>三、监理单位应对第三方检测单位出具的检测数据和报告进行复核、验证并整理、备案，如有较大偏差，应及时进行复检。</w:t>
      </w:r>
    </w:p>
    <w:p w14:paraId="4E8E7866">
      <w:pPr>
        <w:pStyle w:val="6"/>
        <w:spacing w:line="480" w:lineRule="exact"/>
        <w:ind w:firstLine="0" w:firstLineChars="0"/>
        <w:jc w:val="center"/>
        <w:rPr>
          <w:rFonts w:ascii="宋体" w:hAnsi="宋体"/>
          <w:bCs/>
          <w:color w:val="000000"/>
          <w:sz w:val="28"/>
          <w:szCs w:val="28"/>
        </w:rPr>
      </w:pPr>
      <w:r>
        <w:rPr>
          <w:rFonts w:hint="eastAsia" w:ascii="宋体" w:hAnsi="宋体"/>
          <w:bCs/>
          <w:color w:val="000000"/>
          <w:sz w:val="28"/>
          <w:szCs w:val="28"/>
        </w:rPr>
        <w:t>第四章 监理考核打分及奖惩</w:t>
      </w:r>
    </w:p>
    <w:p w14:paraId="19493F0F">
      <w:pPr>
        <w:pStyle w:val="6"/>
        <w:spacing w:line="480" w:lineRule="exact"/>
        <w:ind w:firstLine="480"/>
        <w:rPr>
          <w:rFonts w:ascii="宋体" w:hAnsi="宋体"/>
          <w:bCs/>
          <w:sz w:val="24"/>
        </w:rPr>
      </w:pPr>
      <w:r>
        <w:rPr>
          <w:rFonts w:hint="eastAsia" w:ascii="宋体" w:hAnsi="宋体"/>
          <w:bCs/>
          <w:sz w:val="24"/>
        </w:rPr>
        <w:t>一、委托人按照《监理管理考核打分表》对监理实行打分考核管理，考核时间与监理费支付时间同步（详见专用条款5.3条），考核得分与监理费支付挂钩，考核得分高于85分（不含85分）时当期监理费按合同正常支付；考核得分在85分以下（含85分）时，当期监理费=合同约定应支付监理费*考核得分×0.01，当期扣除的监理费若下期（仅限下一期）考核得100分，扣除部分的监理费在当期监理费中支付，其他一律在最后一次结算款中支付。考核累计得分三次以上低于85分（含85分）的，委托人除监理费按规定扣减外，并视情按监理费合同价款的1%-5%进行处罚，罚金在监理结算款中扣除。</w:t>
      </w:r>
    </w:p>
    <w:p w14:paraId="29B27F19">
      <w:pPr>
        <w:pStyle w:val="6"/>
        <w:spacing w:line="480" w:lineRule="exact"/>
        <w:ind w:firstLine="480"/>
        <w:rPr>
          <w:rFonts w:ascii="宋体" w:hAnsi="宋体"/>
          <w:bCs/>
          <w:color w:val="000000"/>
          <w:sz w:val="24"/>
        </w:rPr>
      </w:pPr>
      <w:r>
        <w:rPr>
          <w:rFonts w:hint="eastAsia" w:ascii="宋体" w:hAnsi="宋体"/>
          <w:bCs/>
          <w:color w:val="000000"/>
          <w:sz w:val="24"/>
        </w:rPr>
        <w:t>二、每次在监理费支付前</w:t>
      </w:r>
      <w:r>
        <w:rPr>
          <w:rFonts w:hint="eastAsia" w:ascii="宋体" w:hAnsi="宋体"/>
          <w:bCs/>
          <w:sz w:val="24"/>
        </w:rPr>
        <w:t>委托人</w:t>
      </w:r>
      <w:r>
        <w:rPr>
          <w:rFonts w:hint="eastAsia" w:ascii="宋体" w:hAnsi="宋体"/>
          <w:bCs/>
          <w:color w:val="000000"/>
          <w:sz w:val="24"/>
        </w:rPr>
        <w:t>将按照上次审批的施工计划并根据现场实际情况对监理单位进行目标考核。完成合同约定的计划进度目标的，在考核总得分基础上加10分（加满100为止）；若未完成合同约定计划进度目标的，在当期考核得分基础上减15分。考核得分100分，奖励监理单位3000元—5000元不等，奖励监理项目部2000元—3000元不等；考核得分在70分以下的，扣除监理单位8000元监理费，并建议监理单位罚款监理项目部3000元。</w:t>
      </w:r>
    </w:p>
    <w:p w14:paraId="3B3AC224">
      <w:pPr>
        <w:pStyle w:val="6"/>
        <w:spacing w:line="480" w:lineRule="exact"/>
        <w:ind w:firstLine="480"/>
        <w:rPr>
          <w:rFonts w:ascii="宋体" w:hAnsi="宋体"/>
          <w:bCs/>
          <w:color w:val="000000"/>
          <w:sz w:val="24"/>
        </w:rPr>
      </w:pPr>
      <w:r>
        <w:rPr>
          <w:rFonts w:hint="eastAsia" w:ascii="宋体" w:hAnsi="宋体"/>
          <w:bCs/>
          <w:color w:val="000000"/>
          <w:sz w:val="24"/>
        </w:rPr>
        <w:t>三、委托人授权监理单位和监理管理人员对本项目的安全生产，文明施工实施监理，本项目安全目标为“零死亡率”。若达不到此目标。委托人对监理单位和总监理工程师进行处罚，处罚按国家相关法律法规执行，并处监理单位合同价款10%-20%的罚金，处总监理工程师30000-50000元的罚金，罚金在监理费中扣除。同时扣除全部履约金。</w:t>
      </w:r>
    </w:p>
    <w:p w14:paraId="689DE749">
      <w:pPr>
        <w:pStyle w:val="6"/>
        <w:spacing w:line="480" w:lineRule="exact"/>
        <w:ind w:firstLine="0" w:firstLineChars="0"/>
        <w:jc w:val="center"/>
        <w:rPr>
          <w:rFonts w:ascii="宋体" w:hAnsi="宋体"/>
          <w:bCs/>
          <w:color w:val="000000"/>
          <w:sz w:val="28"/>
          <w:szCs w:val="28"/>
        </w:rPr>
      </w:pPr>
      <w:r>
        <w:rPr>
          <w:rFonts w:hint="eastAsia" w:ascii="宋体" w:hAnsi="宋体"/>
          <w:bCs/>
          <w:color w:val="000000"/>
          <w:sz w:val="28"/>
          <w:szCs w:val="28"/>
        </w:rPr>
        <w:t xml:space="preserve">  第五章 扣除监理费和奖励资金管理程序</w:t>
      </w:r>
    </w:p>
    <w:p w14:paraId="5AA5E357">
      <w:pPr>
        <w:pStyle w:val="6"/>
        <w:spacing w:line="480" w:lineRule="exact"/>
        <w:ind w:firstLine="480"/>
        <w:rPr>
          <w:rFonts w:ascii="宋体" w:hAnsi="宋体"/>
          <w:bCs/>
          <w:sz w:val="24"/>
        </w:rPr>
      </w:pPr>
      <w:r>
        <w:rPr>
          <w:rFonts w:hint="eastAsia" w:ascii="宋体" w:hAnsi="宋体"/>
          <w:bCs/>
          <w:sz w:val="24"/>
        </w:rPr>
        <w:t>一、扣除监理费由委托人现场管理人员填报监理费扣除资金申请，并附相关理由说明，经委托人分管领导和委托人主要领导签字后，按程序办理扣除手续。</w:t>
      </w:r>
    </w:p>
    <w:p w14:paraId="25FE85B6">
      <w:pPr>
        <w:pStyle w:val="6"/>
        <w:spacing w:line="480" w:lineRule="exact"/>
        <w:ind w:firstLine="480"/>
        <w:rPr>
          <w:rFonts w:ascii="宋体" w:hAnsi="宋体"/>
          <w:bCs/>
          <w:sz w:val="24"/>
        </w:rPr>
      </w:pPr>
      <w:r>
        <w:rPr>
          <w:rFonts w:hint="eastAsia" w:ascii="宋体" w:hAnsi="宋体"/>
          <w:bCs/>
          <w:sz w:val="24"/>
        </w:rPr>
        <w:t>二、对监理单位奖励款项，由委托人现场管理人员填报监理单位奖励资金申请，并附相关理由说明，经委托人分管领导和主要领导签字后按程序支付。</w:t>
      </w:r>
    </w:p>
    <w:p w14:paraId="4815D548">
      <w:pPr>
        <w:pStyle w:val="6"/>
        <w:spacing w:line="480" w:lineRule="exact"/>
        <w:ind w:firstLine="480"/>
        <w:rPr>
          <w:rFonts w:ascii="宋体" w:hAnsi="宋体"/>
          <w:bCs/>
          <w:sz w:val="24"/>
        </w:rPr>
      </w:pPr>
      <w:r>
        <w:rPr>
          <w:rFonts w:hint="eastAsia" w:ascii="宋体" w:hAnsi="宋体"/>
          <w:color w:val="000000"/>
          <w:sz w:val="24"/>
          <w:highlight w:val="yellow"/>
        </w:rPr>
        <w:t>注：《</w:t>
      </w:r>
      <w:r>
        <w:rPr>
          <w:rFonts w:hint="eastAsia" w:ascii="宋体" w:hAnsi="宋体"/>
          <w:b/>
          <w:sz w:val="24"/>
          <w:highlight w:val="yellow"/>
        </w:rPr>
        <w:t>建设工程监理单位项目部管理规定（试行）</w:t>
      </w:r>
      <w:r>
        <w:rPr>
          <w:rFonts w:hint="eastAsia" w:ascii="宋体" w:hAnsi="宋体"/>
          <w:color w:val="000000"/>
          <w:sz w:val="24"/>
          <w:highlight w:val="yellow"/>
        </w:rPr>
        <w:t>》与合同第三部分</w:t>
      </w:r>
      <w:r>
        <w:rPr>
          <w:rFonts w:hint="eastAsia"/>
          <w:sz w:val="24"/>
          <w:highlight w:val="yellow"/>
        </w:rPr>
        <w:t>专用合同条件中相同内容规定不一致的，以</w:t>
      </w:r>
      <w:r>
        <w:rPr>
          <w:rFonts w:hint="eastAsia" w:ascii="宋体" w:hAnsi="宋体"/>
          <w:color w:val="000000"/>
          <w:sz w:val="24"/>
          <w:highlight w:val="yellow"/>
        </w:rPr>
        <w:t>合同第三部分</w:t>
      </w:r>
      <w:r>
        <w:rPr>
          <w:rFonts w:hint="eastAsia"/>
          <w:sz w:val="24"/>
          <w:highlight w:val="yellow"/>
        </w:rPr>
        <w:t>专用合同条件规定的为准。</w:t>
      </w:r>
    </w:p>
    <w:p w14:paraId="1B5A68B7">
      <w:pPr>
        <w:spacing w:line="400" w:lineRule="exact"/>
        <w:ind w:firstLine="560" w:firstLineChars="200"/>
        <w:jc w:val="center"/>
        <w:rPr>
          <w:rFonts w:ascii="宋体" w:hAnsi="宋体" w:cs="仿宋_GB2312"/>
          <w:bCs/>
          <w:sz w:val="28"/>
          <w:szCs w:val="28"/>
        </w:rPr>
      </w:pPr>
      <w:r>
        <w:rPr>
          <w:rFonts w:hint="eastAsia" w:ascii="宋体" w:hAnsi="宋体" w:cs="仿宋_GB2312"/>
          <w:bCs/>
          <w:sz w:val="28"/>
          <w:szCs w:val="28"/>
        </w:rPr>
        <w:t>监理管理考核打分表</w:t>
      </w:r>
    </w:p>
    <w:p w14:paraId="48BAE1D9">
      <w:pPr>
        <w:spacing w:line="400" w:lineRule="exact"/>
        <w:rPr>
          <w:rFonts w:ascii="宋体" w:hAnsi="宋体" w:cs="仿宋_GB2312"/>
          <w:bCs/>
          <w:sz w:val="28"/>
          <w:szCs w:val="28"/>
          <w:u w:val="single"/>
        </w:rPr>
      </w:pPr>
      <w:r>
        <w:rPr>
          <w:rFonts w:hint="eastAsia" w:ascii="宋体" w:hAnsi="宋体" w:cs="仿宋_GB2312"/>
          <w:bCs/>
          <w:sz w:val="28"/>
          <w:szCs w:val="28"/>
        </w:rPr>
        <w:t>工程名称:          监理单位名称：</w:t>
      </w:r>
    </w:p>
    <w:tbl>
      <w:tblPr>
        <w:tblStyle w:val="32"/>
        <w:tblW w:w="10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494"/>
        <w:gridCol w:w="720"/>
        <w:gridCol w:w="756"/>
      </w:tblGrid>
      <w:tr w14:paraId="7B7B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554919A3">
            <w:pPr>
              <w:spacing w:line="380" w:lineRule="exact"/>
              <w:jc w:val="center"/>
              <w:rPr>
                <w:rFonts w:ascii="宋体" w:hAnsi="宋体" w:cs="仿宋_GB2312"/>
                <w:bCs/>
                <w:kern w:val="0"/>
                <w:szCs w:val="21"/>
              </w:rPr>
            </w:pPr>
            <w:r>
              <w:rPr>
                <w:rFonts w:hint="eastAsia" w:ascii="宋体" w:hAnsi="宋体" w:cs="仿宋_GB2312"/>
                <w:bCs/>
                <w:kern w:val="0"/>
                <w:szCs w:val="21"/>
              </w:rPr>
              <w:t>序</w:t>
            </w:r>
          </w:p>
          <w:p w14:paraId="332A8E52">
            <w:pPr>
              <w:spacing w:line="380" w:lineRule="exact"/>
              <w:jc w:val="center"/>
              <w:rPr>
                <w:rFonts w:ascii="宋体" w:hAnsi="宋体" w:cs="仿宋_GB2312"/>
                <w:bCs/>
                <w:kern w:val="0"/>
                <w:szCs w:val="21"/>
              </w:rPr>
            </w:pPr>
            <w:r>
              <w:rPr>
                <w:rFonts w:hint="eastAsia" w:ascii="宋体" w:hAnsi="宋体" w:cs="仿宋_GB2312"/>
                <w:bCs/>
                <w:kern w:val="0"/>
                <w:szCs w:val="21"/>
              </w:rPr>
              <w:t>号</w:t>
            </w:r>
          </w:p>
        </w:tc>
        <w:tc>
          <w:tcPr>
            <w:tcW w:w="8494" w:type="dxa"/>
            <w:tcBorders>
              <w:top w:val="single" w:color="auto" w:sz="4" w:space="0"/>
              <w:left w:val="single" w:color="auto" w:sz="4" w:space="0"/>
              <w:bottom w:val="single" w:color="auto" w:sz="4" w:space="0"/>
              <w:right w:val="single" w:color="auto" w:sz="4" w:space="0"/>
            </w:tcBorders>
            <w:vAlign w:val="center"/>
          </w:tcPr>
          <w:p w14:paraId="5DB014AE">
            <w:pPr>
              <w:spacing w:line="380" w:lineRule="exact"/>
              <w:jc w:val="center"/>
              <w:rPr>
                <w:rFonts w:ascii="宋体" w:hAnsi="宋体" w:cs="仿宋_GB2312"/>
                <w:bCs/>
                <w:kern w:val="0"/>
                <w:szCs w:val="21"/>
              </w:rPr>
            </w:pPr>
            <w:r>
              <w:rPr>
                <w:rFonts w:hint="eastAsia" w:ascii="宋体" w:hAnsi="宋体" w:cs="仿宋_GB2312"/>
                <w:bCs/>
                <w:kern w:val="0"/>
                <w:szCs w:val="21"/>
              </w:rPr>
              <w:t>考  核  内  容</w:t>
            </w:r>
          </w:p>
        </w:tc>
        <w:tc>
          <w:tcPr>
            <w:tcW w:w="720" w:type="dxa"/>
            <w:tcBorders>
              <w:top w:val="single" w:color="auto" w:sz="4" w:space="0"/>
              <w:left w:val="single" w:color="auto" w:sz="4" w:space="0"/>
              <w:bottom w:val="single" w:color="auto" w:sz="4" w:space="0"/>
              <w:right w:val="single" w:color="auto" w:sz="4" w:space="0"/>
            </w:tcBorders>
            <w:vAlign w:val="center"/>
          </w:tcPr>
          <w:p w14:paraId="525DF83E">
            <w:pPr>
              <w:spacing w:line="380" w:lineRule="exact"/>
              <w:jc w:val="center"/>
              <w:rPr>
                <w:rFonts w:ascii="宋体" w:hAnsi="宋体" w:cs="仿宋_GB2312"/>
                <w:bCs/>
                <w:kern w:val="0"/>
                <w:szCs w:val="21"/>
              </w:rPr>
            </w:pPr>
            <w:r>
              <w:rPr>
                <w:rFonts w:hint="eastAsia" w:ascii="宋体" w:hAnsi="宋体" w:cs="仿宋_GB2312"/>
                <w:bCs/>
                <w:kern w:val="0"/>
                <w:szCs w:val="21"/>
              </w:rPr>
              <w:t>设定</w:t>
            </w:r>
          </w:p>
          <w:p w14:paraId="6194747F">
            <w:pPr>
              <w:spacing w:line="380" w:lineRule="exact"/>
              <w:jc w:val="center"/>
              <w:rPr>
                <w:rFonts w:ascii="宋体" w:hAnsi="宋体" w:cs="仿宋_GB2312"/>
                <w:bCs/>
                <w:kern w:val="0"/>
                <w:szCs w:val="21"/>
              </w:rPr>
            </w:pPr>
            <w:r>
              <w:rPr>
                <w:rFonts w:hint="eastAsia" w:ascii="宋体" w:hAnsi="宋体" w:cs="仿宋_GB2312"/>
                <w:bCs/>
                <w:kern w:val="0"/>
                <w:szCs w:val="21"/>
              </w:rPr>
              <w:t>分值</w:t>
            </w:r>
          </w:p>
        </w:tc>
        <w:tc>
          <w:tcPr>
            <w:tcW w:w="756" w:type="dxa"/>
            <w:tcBorders>
              <w:top w:val="single" w:color="auto" w:sz="4" w:space="0"/>
              <w:left w:val="single" w:color="auto" w:sz="4" w:space="0"/>
              <w:bottom w:val="single" w:color="auto" w:sz="4" w:space="0"/>
              <w:right w:val="single" w:color="auto" w:sz="4" w:space="0"/>
            </w:tcBorders>
            <w:vAlign w:val="center"/>
          </w:tcPr>
          <w:p w14:paraId="6DCE15E1">
            <w:pPr>
              <w:spacing w:line="380" w:lineRule="exact"/>
              <w:jc w:val="center"/>
              <w:rPr>
                <w:rFonts w:ascii="宋体" w:hAnsi="宋体" w:cs="仿宋_GB2312"/>
                <w:bCs/>
                <w:kern w:val="0"/>
                <w:szCs w:val="21"/>
              </w:rPr>
            </w:pPr>
            <w:r>
              <w:rPr>
                <w:rFonts w:hint="eastAsia" w:ascii="宋体" w:hAnsi="宋体" w:cs="仿宋_GB2312"/>
                <w:bCs/>
                <w:kern w:val="0"/>
                <w:szCs w:val="21"/>
              </w:rPr>
              <w:t>考核得分</w:t>
            </w:r>
          </w:p>
        </w:tc>
      </w:tr>
      <w:tr w14:paraId="16B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54692438">
            <w:pPr>
              <w:spacing w:line="380" w:lineRule="exact"/>
              <w:jc w:val="center"/>
              <w:rPr>
                <w:rFonts w:ascii="宋体" w:hAnsi="宋体" w:cs="仿宋_GB2312"/>
                <w:kern w:val="0"/>
                <w:szCs w:val="21"/>
              </w:rPr>
            </w:pPr>
            <w:r>
              <w:rPr>
                <w:rFonts w:hint="eastAsia" w:ascii="宋体" w:hAnsi="宋体" w:cs="仿宋_GB2312"/>
                <w:kern w:val="0"/>
                <w:szCs w:val="21"/>
              </w:rPr>
              <w:t>1</w:t>
            </w:r>
          </w:p>
        </w:tc>
        <w:tc>
          <w:tcPr>
            <w:tcW w:w="8494" w:type="dxa"/>
            <w:tcBorders>
              <w:top w:val="single" w:color="auto" w:sz="4" w:space="0"/>
              <w:left w:val="single" w:color="auto" w:sz="4" w:space="0"/>
              <w:bottom w:val="single" w:color="auto" w:sz="4" w:space="0"/>
              <w:right w:val="single" w:color="auto" w:sz="4" w:space="0"/>
            </w:tcBorders>
            <w:vAlign w:val="center"/>
          </w:tcPr>
          <w:p w14:paraId="1B02EC44">
            <w:pPr>
              <w:spacing w:line="380" w:lineRule="exact"/>
              <w:rPr>
                <w:rFonts w:ascii="宋体" w:hAnsi="宋体" w:cs="仿宋_GB2312"/>
                <w:kern w:val="0"/>
                <w:szCs w:val="21"/>
              </w:rPr>
            </w:pPr>
            <w:r>
              <w:rPr>
                <w:rFonts w:hint="eastAsia" w:ascii="宋体" w:hAnsi="宋体" w:cs="仿宋_GB2312"/>
                <w:kern w:val="0"/>
                <w:szCs w:val="21"/>
              </w:rPr>
              <w:t>总监理工程师上班时间迟到或早退，发现一次扣1分。</w:t>
            </w:r>
          </w:p>
        </w:tc>
        <w:tc>
          <w:tcPr>
            <w:tcW w:w="720" w:type="dxa"/>
            <w:tcBorders>
              <w:top w:val="single" w:color="auto" w:sz="4" w:space="0"/>
              <w:left w:val="single" w:color="auto" w:sz="4" w:space="0"/>
              <w:bottom w:val="single" w:color="auto" w:sz="4" w:space="0"/>
              <w:right w:val="single" w:color="auto" w:sz="4" w:space="0"/>
            </w:tcBorders>
          </w:tcPr>
          <w:p w14:paraId="793980D7">
            <w:pPr>
              <w:spacing w:line="380" w:lineRule="exact"/>
              <w:jc w:val="center"/>
              <w:rPr>
                <w:rFonts w:ascii="宋体" w:hAnsi="宋体" w:cs="仿宋_GB2312"/>
                <w:bCs/>
                <w:kern w:val="0"/>
                <w:szCs w:val="21"/>
              </w:rPr>
            </w:pPr>
            <w:r>
              <w:rPr>
                <w:rFonts w:hint="eastAsia" w:ascii="宋体" w:hAnsi="宋体" w:cs="仿宋_GB2312"/>
                <w:bCs/>
                <w:kern w:val="0"/>
                <w:szCs w:val="21"/>
              </w:rPr>
              <w:t>5</w:t>
            </w:r>
          </w:p>
        </w:tc>
        <w:tc>
          <w:tcPr>
            <w:tcW w:w="756" w:type="dxa"/>
            <w:tcBorders>
              <w:top w:val="single" w:color="auto" w:sz="4" w:space="0"/>
              <w:left w:val="single" w:color="auto" w:sz="4" w:space="0"/>
              <w:bottom w:val="single" w:color="auto" w:sz="4" w:space="0"/>
              <w:right w:val="single" w:color="auto" w:sz="4" w:space="0"/>
            </w:tcBorders>
          </w:tcPr>
          <w:p w14:paraId="3C9D480C">
            <w:pPr>
              <w:spacing w:line="380" w:lineRule="exact"/>
              <w:rPr>
                <w:rFonts w:ascii="宋体" w:hAnsi="宋体" w:cs="仿宋_GB2312"/>
                <w:bCs/>
                <w:kern w:val="0"/>
                <w:szCs w:val="21"/>
              </w:rPr>
            </w:pPr>
          </w:p>
        </w:tc>
      </w:tr>
      <w:tr w14:paraId="0328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750D4DEF">
            <w:pPr>
              <w:spacing w:line="380" w:lineRule="exact"/>
              <w:jc w:val="center"/>
              <w:rPr>
                <w:rFonts w:ascii="宋体" w:hAnsi="宋体" w:cs="仿宋_GB2312"/>
                <w:kern w:val="0"/>
                <w:szCs w:val="21"/>
              </w:rPr>
            </w:pPr>
            <w:r>
              <w:rPr>
                <w:rFonts w:hint="eastAsia" w:ascii="宋体" w:hAnsi="宋体" w:cs="仿宋_GB2312"/>
                <w:kern w:val="0"/>
                <w:szCs w:val="21"/>
              </w:rPr>
              <w:t>2</w:t>
            </w:r>
          </w:p>
        </w:tc>
        <w:tc>
          <w:tcPr>
            <w:tcW w:w="8494" w:type="dxa"/>
            <w:tcBorders>
              <w:top w:val="single" w:color="auto" w:sz="4" w:space="0"/>
              <w:left w:val="single" w:color="auto" w:sz="4" w:space="0"/>
              <w:bottom w:val="single" w:color="auto" w:sz="4" w:space="0"/>
              <w:right w:val="single" w:color="auto" w:sz="4" w:space="0"/>
            </w:tcBorders>
            <w:vAlign w:val="center"/>
          </w:tcPr>
          <w:p w14:paraId="7FA45195">
            <w:pPr>
              <w:spacing w:line="380" w:lineRule="exact"/>
              <w:rPr>
                <w:rFonts w:ascii="宋体" w:hAnsi="宋体" w:cs="仿宋_GB2312"/>
                <w:kern w:val="0"/>
                <w:szCs w:val="21"/>
              </w:rPr>
            </w:pPr>
            <w:r>
              <w:rPr>
                <w:rFonts w:hint="eastAsia" w:ascii="宋体" w:hAnsi="宋体" w:cs="仿宋_GB2312"/>
                <w:kern w:val="0"/>
                <w:szCs w:val="21"/>
              </w:rPr>
              <w:t>现场监理资料不完整、规范、及时，扣5分。</w:t>
            </w:r>
          </w:p>
        </w:tc>
        <w:tc>
          <w:tcPr>
            <w:tcW w:w="720" w:type="dxa"/>
            <w:tcBorders>
              <w:top w:val="single" w:color="auto" w:sz="4" w:space="0"/>
              <w:left w:val="single" w:color="auto" w:sz="4" w:space="0"/>
              <w:bottom w:val="single" w:color="auto" w:sz="4" w:space="0"/>
              <w:right w:val="single" w:color="auto" w:sz="4" w:space="0"/>
            </w:tcBorders>
          </w:tcPr>
          <w:p w14:paraId="5BEB9C15">
            <w:pPr>
              <w:spacing w:line="380" w:lineRule="exact"/>
              <w:jc w:val="center"/>
              <w:rPr>
                <w:rFonts w:ascii="宋体" w:hAnsi="宋体" w:cs="仿宋_GB2312"/>
                <w:bCs/>
                <w:kern w:val="0"/>
                <w:szCs w:val="21"/>
              </w:rPr>
            </w:pPr>
            <w:r>
              <w:rPr>
                <w:rFonts w:hint="eastAsia" w:ascii="宋体" w:hAnsi="宋体" w:cs="仿宋_GB2312"/>
                <w:bCs/>
                <w:kern w:val="0"/>
                <w:szCs w:val="21"/>
              </w:rPr>
              <w:t>5</w:t>
            </w:r>
          </w:p>
        </w:tc>
        <w:tc>
          <w:tcPr>
            <w:tcW w:w="756" w:type="dxa"/>
            <w:tcBorders>
              <w:top w:val="single" w:color="auto" w:sz="4" w:space="0"/>
              <w:left w:val="single" w:color="auto" w:sz="4" w:space="0"/>
              <w:bottom w:val="single" w:color="auto" w:sz="4" w:space="0"/>
              <w:right w:val="single" w:color="auto" w:sz="4" w:space="0"/>
            </w:tcBorders>
          </w:tcPr>
          <w:p w14:paraId="1A3929CD">
            <w:pPr>
              <w:spacing w:line="380" w:lineRule="exact"/>
              <w:rPr>
                <w:rFonts w:ascii="宋体" w:hAnsi="宋体" w:cs="仿宋_GB2312"/>
                <w:bCs/>
                <w:kern w:val="0"/>
                <w:szCs w:val="21"/>
              </w:rPr>
            </w:pPr>
          </w:p>
        </w:tc>
      </w:tr>
      <w:tr w14:paraId="149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677C8077">
            <w:pPr>
              <w:spacing w:line="380" w:lineRule="exact"/>
              <w:jc w:val="center"/>
              <w:rPr>
                <w:rFonts w:ascii="宋体" w:hAnsi="宋体" w:cs="仿宋_GB2312"/>
                <w:kern w:val="0"/>
                <w:szCs w:val="21"/>
              </w:rPr>
            </w:pPr>
            <w:r>
              <w:rPr>
                <w:rFonts w:hint="eastAsia" w:ascii="宋体" w:hAnsi="宋体" w:cs="仿宋_GB2312"/>
                <w:kern w:val="0"/>
                <w:szCs w:val="21"/>
              </w:rPr>
              <w:t>3</w:t>
            </w:r>
          </w:p>
        </w:tc>
        <w:tc>
          <w:tcPr>
            <w:tcW w:w="8494" w:type="dxa"/>
            <w:tcBorders>
              <w:top w:val="single" w:color="auto" w:sz="4" w:space="0"/>
              <w:left w:val="single" w:color="auto" w:sz="4" w:space="0"/>
              <w:bottom w:val="single" w:color="auto" w:sz="4" w:space="0"/>
              <w:right w:val="single" w:color="auto" w:sz="4" w:space="0"/>
            </w:tcBorders>
            <w:vAlign w:val="center"/>
          </w:tcPr>
          <w:p w14:paraId="24963FBF">
            <w:pPr>
              <w:spacing w:line="380" w:lineRule="exact"/>
              <w:rPr>
                <w:rFonts w:ascii="宋体" w:hAnsi="宋体" w:cs="仿宋_GB2312"/>
                <w:kern w:val="0"/>
                <w:szCs w:val="21"/>
              </w:rPr>
            </w:pPr>
            <w:r>
              <w:rPr>
                <w:rFonts w:hint="eastAsia" w:ascii="宋体" w:hAnsi="宋体" w:cs="仿宋_GB2312"/>
                <w:kern w:val="0"/>
                <w:szCs w:val="21"/>
              </w:rPr>
              <w:t>现场未质实性投入招标文件规定数量的监理工作小组的，扣3分；经建设方要求整改仍不能满足现场所需要的最低人数的，扣3分。</w:t>
            </w:r>
          </w:p>
        </w:tc>
        <w:tc>
          <w:tcPr>
            <w:tcW w:w="720" w:type="dxa"/>
            <w:tcBorders>
              <w:top w:val="single" w:color="auto" w:sz="4" w:space="0"/>
              <w:left w:val="single" w:color="auto" w:sz="4" w:space="0"/>
              <w:bottom w:val="single" w:color="auto" w:sz="4" w:space="0"/>
              <w:right w:val="single" w:color="auto" w:sz="4" w:space="0"/>
            </w:tcBorders>
          </w:tcPr>
          <w:p w14:paraId="6F0C377B">
            <w:pPr>
              <w:spacing w:line="380" w:lineRule="exact"/>
              <w:jc w:val="center"/>
              <w:rPr>
                <w:rFonts w:ascii="宋体" w:hAnsi="宋体" w:cs="仿宋_GB2312"/>
                <w:bCs/>
                <w:kern w:val="0"/>
                <w:szCs w:val="21"/>
              </w:rPr>
            </w:pPr>
            <w:r>
              <w:rPr>
                <w:rFonts w:hint="eastAsia" w:ascii="宋体" w:hAnsi="宋体" w:cs="仿宋_GB2312"/>
                <w:bCs/>
                <w:kern w:val="0"/>
                <w:szCs w:val="21"/>
              </w:rPr>
              <w:t>6</w:t>
            </w:r>
          </w:p>
        </w:tc>
        <w:tc>
          <w:tcPr>
            <w:tcW w:w="756" w:type="dxa"/>
            <w:tcBorders>
              <w:top w:val="single" w:color="auto" w:sz="4" w:space="0"/>
              <w:left w:val="single" w:color="auto" w:sz="4" w:space="0"/>
              <w:bottom w:val="single" w:color="auto" w:sz="4" w:space="0"/>
              <w:right w:val="single" w:color="auto" w:sz="4" w:space="0"/>
            </w:tcBorders>
          </w:tcPr>
          <w:p w14:paraId="62C74CC8">
            <w:pPr>
              <w:spacing w:line="380" w:lineRule="exact"/>
              <w:rPr>
                <w:rFonts w:ascii="宋体" w:hAnsi="宋体" w:cs="仿宋_GB2312"/>
                <w:bCs/>
                <w:kern w:val="0"/>
                <w:szCs w:val="21"/>
              </w:rPr>
            </w:pPr>
          </w:p>
        </w:tc>
      </w:tr>
      <w:tr w14:paraId="0E36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6BED8CEA">
            <w:pPr>
              <w:spacing w:line="380" w:lineRule="exact"/>
              <w:jc w:val="center"/>
              <w:rPr>
                <w:rFonts w:ascii="宋体" w:hAnsi="宋体" w:cs="仿宋_GB2312"/>
                <w:kern w:val="0"/>
                <w:szCs w:val="21"/>
              </w:rPr>
            </w:pPr>
            <w:r>
              <w:rPr>
                <w:rFonts w:hint="eastAsia" w:ascii="宋体" w:hAnsi="宋体" w:cs="仿宋_GB2312"/>
                <w:kern w:val="0"/>
                <w:szCs w:val="21"/>
              </w:rPr>
              <w:t>4</w:t>
            </w:r>
          </w:p>
        </w:tc>
        <w:tc>
          <w:tcPr>
            <w:tcW w:w="8494" w:type="dxa"/>
            <w:tcBorders>
              <w:top w:val="single" w:color="auto" w:sz="4" w:space="0"/>
              <w:left w:val="single" w:color="auto" w:sz="4" w:space="0"/>
              <w:bottom w:val="single" w:color="auto" w:sz="4" w:space="0"/>
              <w:right w:val="single" w:color="auto" w:sz="4" w:space="0"/>
            </w:tcBorders>
            <w:vAlign w:val="center"/>
          </w:tcPr>
          <w:p w14:paraId="65F1D877">
            <w:pPr>
              <w:spacing w:line="380" w:lineRule="exact"/>
              <w:rPr>
                <w:rFonts w:ascii="宋体" w:hAnsi="宋体" w:cs="仿宋_GB2312"/>
                <w:kern w:val="0"/>
                <w:szCs w:val="21"/>
              </w:rPr>
            </w:pPr>
            <w:r>
              <w:rPr>
                <w:rFonts w:hint="eastAsia" w:ascii="宋体" w:hAnsi="宋体" w:cs="仿宋_GB2312"/>
                <w:kern w:val="0"/>
                <w:szCs w:val="21"/>
              </w:rPr>
              <w:t>工程的重要部位、关键部位实行旁站监理不到位的，及实行旁站但没有完整、规范的旁站记录过程的，发现一次扣1分。</w:t>
            </w:r>
          </w:p>
        </w:tc>
        <w:tc>
          <w:tcPr>
            <w:tcW w:w="720" w:type="dxa"/>
            <w:tcBorders>
              <w:top w:val="single" w:color="auto" w:sz="4" w:space="0"/>
              <w:left w:val="single" w:color="auto" w:sz="4" w:space="0"/>
              <w:bottom w:val="single" w:color="auto" w:sz="4" w:space="0"/>
              <w:right w:val="single" w:color="auto" w:sz="4" w:space="0"/>
            </w:tcBorders>
          </w:tcPr>
          <w:p w14:paraId="38A39C02">
            <w:pPr>
              <w:spacing w:line="380" w:lineRule="exact"/>
              <w:jc w:val="center"/>
              <w:rPr>
                <w:rFonts w:ascii="宋体" w:hAnsi="宋体" w:cs="仿宋_GB2312"/>
                <w:bCs/>
                <w:kern w:val="0"/>
                <w:szCs w:val="21"/>
              </w:rPr>
            </w:pPr>
            <w:r>
              <w:rPr>
                <w:rFonts w:hint="eastAsia" w:ascii="宋体" w:hAnsi="宋体" w:cs="仿宋_GB2312"/>
                <w:bCs/>
                <w:kern w:val="0"/>
                <w:szCs w:val="21"/>
              </w:rPr>
              <w:t>8</w:t>
            </w:r>
          </w:p>
        </w:tc>
        <w:tc>
          <w:tcPr>
            <w:tcW w:w="756" w:type="dxa"/>
            <w:tcBorders>
              <w:top w:val="single" w:color="auto" w:sz="4" w:space="0"/>
              <w:left w:val="single" w:color="auto" w:sz="4" w:space="0"/>
              <w:bottom w:val="single" w:color="auto" w:sz="4" w:space="0"/>
              <w:right w:val="single" w:color="auto" w:sz="4" w:space="0"/>
            </w:tcBorders>
          </w:tcPr>
          <w:p w14:paraId="041CC366">
            <w:pPr>
              <w:spacing w:line="380" w:lineRule="exact"/>
              <w:rPr>
                <w:rFonts w:ascii="宋体" w:hAnsi="宋体" w:cs="仿宋_GB2312"/>
                <w:bCs/>
                <w:kern w:val="0"/>
                <w:szCs w:val="21"/>
              </w:rPr>
            </w:pPr>
          </w:p>
        </w:tc>
      </w:tr>
      <w:tr w14:paraId="1994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32BC1369">
            <w:pPr>
              <w:spacing w:line="380" w:lineRule="exact"/>
              <w:jc w:val="center"/>
              <w:rPr>
                <w:rFonts w:ascii="宋体" w:hAnsi="宋体" w:cs="仿宋_GB2312"/>
                <w:kern w:val="0"/>
                <w:szCs w:val="21"/>
              </w:rPr>
            </w:pPr>
            <w:r>
              <w:rPr>
                <w:rFonts w:hint="eastAsia" w:ascii="宋体" w:hAnsi="宋体" w:cs="仿宋_GB2312"/>
                <w:kern w:val="0"/>
                <w:szCs w:val="21"/>
              </w:rPr>
              <w:t>5</w:t>
            </w:r>
          </w:p>
        </w:tc>
        <w:tc>
          <w:tcPr>
            <w:tcW w:w="8494" w:type="dxa"/>
            <w:tcBorders>
              <w:top w:val="single" w:color="auto" w:sz="4" w:space="0"/>
              <w:left w:val="single" w:color="auto" w:sz="4" w:space="0"/>
              <w:bottom w:val="single" w:color="auto" w:sz="4" w:space="0"/>
              <w:right w:val="single" w:color="auto" w:sz="4" w:space="0"/>
            </w:tcBorders>
            <w:vAlign w:val="center"/>
          </w:tcPr>
          <w:p w14:paraId="0DD58240">
            <w:pPr>
              <w:spacing w:line="380" w:lineRule="exact"/>
              <w:rPr>
                <w:rFonts w:ascii="宋体" w:hAnsi="宋体" w:cs="仿宋_GB2312"/>
                <w:kern w:val="0"/>
                <w:szCs w:val="21"/>
              </w:rPr>
            </w:pPr>
            <w:r>
              <w:rPr>
                <w:rFonts w:hint="eastAsia" w:ascii="宋体" w:hAnsi="宋体" w:cs="仿宋_GB2312"/>
                <w:kern w:val="0"/>
                <w:szCs w:val="21"/>
              </w:rPr>
              <w:t>监理人在工作期间，在施工承包单位搭伙，发现一次扣1分。</w:t>
            </w:r>
          </w:p>
        </w:tc>
        <w:tc>
          <w:tcPr>
            <w:tcW w:w="720" w:type="dxa"/>
            <w:tcBorders>
              <w:top w:val="single" w:color="auto" w:sz="4" w:space="0"/>
              <w:left w:val="single" w:color="auto" w:sz="4" w:space="0"/>
              <w:bottom w:val="single" w:color="auto" w:sz="4" w:space="0"/>
              <w:right w:val="single" w:color="auto" w:sz="4" w:space="0"/>
            </w:tcBorders>
          </w:tcPr>
          <w:p w14:paraId="5D17D51B">
            <w:pPr>
              <w:spacing w:line="380" w:lineRule="exact"/>
              <w:jc w:val="center"/>
              <w:rPr>
                <w:rFonts w:ascii="宋体" w:hAnsi="宋体" w:cs="仿宋_GB2312"/>
                <w:bCs/>
                <w:kern w:val="0"/>
                <w:szCs w:val="21"/>
              </w:rPr>
            </w:pPr>
            <w:r>
              <w:rPr>
                <w:rFonts w:hint="eastAsia" w:ascii="宋体" w:hAnsi="宋体" w:cs="仿宋_GB2312"/>
                <w:bCs/>
                <w:kern w:val="0"/>
                <w:szCs w:val="21"/>
              </w:rPr>
              <w:t>2</w:t>
            </w:r>
          </w:p>
        </w:tc>
        <w:tc>
          <w:tcPr>
            <w:tcW w:w="756" w:type="dxa"/>
            <w:tcBorders>
              <w:top w:val="single" w:color="auto" w:sz="4" w:space="0"/>
              <w:left w:val="single" w:color="auto" w:sz="4" w:space="0"/>
              <w:bottom w:val="single" w:color="auto" w:sz="4" w:space="0"/>
              <w:right w:val="single" w:color="auto" w:sz="4" w:space="0"/>
            </w:tcBorders>
          </w:tcPr>
          <w:p w14:paraId="321FC2C8">
            <w:pPr>
              <w:spacing w:line="380" w:lineRule="exact"/>
              <w:rPr>
                <w:rFonts w:ascii="宋体" w:hAnsi="宋体" w:cs="仿宋_GB2312"/>
                <w:bCs/>
                <w:kern w:val="0"/>
                <w:szCs w:val="21"/>
              </w:rPr>
            </w:pPr>
          </w:p>
        </w:tc>
      </w:tr>
      <w:tr w14:paraId="000E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588B8893">
            <w:pPr>
              <w:spacing w:line="380" w:lineRule="exact"/>
              <w:jc w:val="center"/>
              <w:rPr>
                <w:rFonts w:ascii="宋体" w:hAnsi="宋体" w:cs="仿宋_GB2312"/>
                <w:kern w:val="0"/>
                <w:szCs w:val="21"/>
              </w:rPr>
            </w:pPr>
            <w:r>
              <w:rPr>
                <w:rFonts w:hint="eastAsia" w:ascii="宋体" w:hAnsi="宋体" w:cs="仿宋_GB2312"/>
                <w:kern w:val="0"/>
                <w:szCs w:val="21"/>
              </w:rPr>
              <w:t>6</w:t>
            </w:r>
          </w:p>
        </w:tc>
        <w:tc>
          <w:tcPr>
            <w:tcW w:w="8494" w:type="dxa"/>
            <w:tcBorders>
              <w:top w:val="single" w:color="auto" w:sz="4" w:space="0"/>
              <w:left w:val="single" w:color="auto" w:sz="4" w:space="0"/>
              <w:bottom w:val="single" w:color="auto" w:sz="4" w:space="0"/>
              <w:right w:val="single" w:color="auto" w:sz="4" w:space="0"/>
            </w:tcBorders>
            <w:vAlign w:val="center"/>
          </w:tcPr>
          <w:p w14:paraId="3A776B24">
            <w:pPr>
              <w:spacing w:line="380" w:lineRule="exact"/>
              <w:rPr>
                <w:rFonts w:ascii="宋体" w:hAnsi="宋体" w:cs="仿宋_GB2312"/>
                <w:kern w:val="0"/>
                <w:szCs w:val="21"/>
              </w:rPr>
            </w:pPr>
            <w:r>
              <w:rPr>
                <w:rFonts w:hint="eastAsia" w:ascii="宋体" w:hAnsi="宋体" w:cs="仿宋_GB2312"/>
                <w:kern w:val="0"/>
                <w:szCs w:val="21"/>
              </w:rPr>
              <w:t>发生安全事故扣5分，安全监督措施不到位，未能及时发现安全隐患或发现安全隐患未及时下发整改通知单的扣3分，未能督促施工单位按时整改的发现一次扣1分。</w:t>
            </w:r>
          </w:p>
        </w:tc>
        <w:tc>
          <w:tcPr>
            <w:tcW w:w="720" w:type="dxa"/>
            <w:tcBorders>
              <w:top w:val="single" w:color="auto" w:sz="4" w:space="0"/>
              <w:left w:val="single" w:color="auto" w:sz="4" w:space="0"/>
              <w:bottom w:val="single" w:color="auto" w:sz="4" w:space="0"/>
              <w:right w:val="single" w:color="auto" w:sz="4" w:space="0"/>
            </w:tcBorders>
          </w:tcPr>
          <w:p w14:paraId="5A1C9042">
            <w:pPr>
              <w:spacing w:line="380" w:lineRule="exact"/>
              <w:jc w:val="center"/>
              <w:rPr>
                <w:rFonts w:ascii="宋体" w:hAnsi="宋体" w:cs="仿宋_GB2312"/>
                <w:bCs/>
                <w:kern w:val="0"/>
                <w:szCs w:val="21"/>
              </w:rPr>
            </w:pPr>
            <w:r>
              <w:rPr>
                <w:rFonts w:hint="eastAsia" w:ascii="宋体" w:hAnsi="宋体" w:cs="仿宋_GB2312"/>
                <w:bCs/>
                <w:kern w:val="0"/>
                <w:szCs w:val="21"/>
              </w:rPr>
              <w:t>8</w:t>
            </w:r>
          </w:p>
        </w:tc>
        <w:tc>
          <w:tcPr>
            <w:tcW w:w="756" w:type="dxa"/>
            <w:tcBorders>
              <w:top w:val="single" w:color="auto" w:sz="4" w:space="0"/>
              <w:left w:val="single" w:color="auto" w:sz="4" w:space="0"/>
              <w:bottom w:val="single" w:color="auto" w:sz="4" w:space="0"/>
              <w:right w:val="single" w:color="auto" w:sz="4" w:space="0"/>
            </w:tcBorders>
          </w:tcPr>
          <w:p w14:paraId="1AF41AA4">
            <w:pPr>
              <w:spacing w:line="380" w:lineRule="exact"/>
              <w:rPr>
                <w:rFonts w:ascii="宋体" w:hAnsi="宋体" w:cs="仿宋_GB2312"/>
                <w:bCs/>
                <w:kern w:val="0"/>
                <w:szCs w:val="21"/>
              </w:rPr>
            </w:pPr>
          </w:p>
        </w:tc>
      </w:tr>
      <w:tr w14:paraId="4555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5B4457AD">
            <w:pPr>
              <w:spacing w:line="380" w:lineRule="exact"/>
              <w:jc w:val="center"/>
              <w:rPr>
                <w:rFonts w:ascii="宋体" w:hAnsi="宋体" w:cs="仿宋_GB2312"/>
                <w:bCs/>
                <w:kern w:val="0"/>
                <w:szCs w:val="21"/>
              </w:rPr>
            </w:pPr>
            <w:r>
              <w:rPr>
                <w:rFonts w:hint="eastAsia" w:ascii="宋体" w:hAnsi="宋体" w:cs="仿宋_GB2312"/>
                <w:bCs/>
                <w:kern w:val="0"/>
                <w:szCs w:val="21"/>
              </w:rPr>
              <w:t>7</w:t>
            </w:r>
          </w:p>
        </w:tc>
        <w:tc>
          <w:tcPr>
            <w:tcW w:w="8494" w:type="dxa"/>
            <w:tcBorders>
              <w:top w:val="single" w:color="auto" w:sz="4" w:space="0"/>
              <w:left w:val="single" w:color="auto" w:sz="4" w:space="0"/>
              <w:bottom w:val="single" w:color="auto" w:sz="4" w:space="0"/>
              <w:right w:val="single" w:color="auto" w:sz="4" w:space="0"/>
            </w:tcBorders>
            <w:vAlign w:val="center"/>
          </w:tcPr>
          <w:p w14:paraId="7650C202">
            <w:pPr>
              <w:spacing w:line="380" w:lineRule="exact"/>
              <w:jc w:val="left"/>
              <w:rPr>
                <w:rFonts w:ascii="宋体" w:hAnsi="宋体" w:cs="仿宋_GB2312"/>
                <w:kern w:val="0"/>
                <w:szCs w:val="21"/>
              </w:rPr>
            </w:pPr>
            <w:r>
              <w:rPr>
                <w:rFonts w:hint="eastAsia" w:ascii="宋体" w:hAnsi="宋体" w:cs="仿宋_GB2312"/>
                <w:kern w:val="0"/>
                <w:szCs w:val="21"/>
              </w:rPr>
              <w:t>质量控制不到位，工程存在质量隐患，发现一次扣2分。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7FE1DE44">
            <w:pPr>
              <w:widowControl/>
              <w:spacing w:line="380" w:lineRule="exact"/>
              <w:jc w:val="center"/>
              <w:rPr>
                <w:rFonts w:ascii="宋体" w:hAnsi="宋体" w:cs="仿宋_GB2312"/>
                <w:kern w:val="0"/>
                <w:szCs w:val="21"/>
              </w:rPr>
            </w:pPr>
            <w:r>
              <w:rPr>
                <w:rFonts w:hint="eastAsia" w:ascii="宋体" w:hAnsi="宋体" w:cs="仿宋_GB2312"/>
                <w:kern w:val="0"/>
                <w:szCs w:val="21"/>
              </w:rPr>
              <w:t>6</w:t>
            </w:r>
          </w:p>
        </w:tc>
        <w:tc>
          <w:tcPr>
            <w:tcW w:w="756" w:type="dxa"/>
            <w:tcBorders>
              <w:top w:val="single" w:color="auto" w:sz="4" w:space="0"/>
              <w:left w:val="single" w:color="auto" w:sz="4" w:space="0"/>
              <w:bottom w:val="single" w:color="auto" w:sz="4" w:space="0"/>
              <w:right w:val="single" w:color="auto" w:sz="4" w:space="0"/>
            </w:tcBorders>
          </w:tcPr>
          <w:p w14:paraId="73B7F6FE">
            <w:pPr>
              <w:spacing w:line="380" w:lineRule="exact"/>
              <w:rPr>
                <w:rFonts w:ascii="宋体" w:hAnsi="宋体" w:cs="仿宋_GB2312"/>
                <w:bCs/>
                <w:kern w:val="0"/>
                <w:szCs w:val="21"/>
              </w:rPr>
            </w:pPr>
          </w:p>
        </w:tc>
      </w:tr>
      <w:tr w14:paraId="5CDE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4FEB2E5E">
            <w:pPr>
              <w:spacing w:line="380" w:lineRule="exact"/>
              <w:jc w:val="center"/>
              <w:rPr>
                <w:rFonts w:ascii="宋体" w:hAnsi="宋体" w:cs="仿宋_GB2312"/>
                <w:bCs/>
                <w:kern w:val="0"/>
                <w:szCs w:val="21"/>
              </w:rPr>
            </w:pPr>
            <w:r>
              <w:rPr>
                <w:rFonts w:hint="eastAsia" w:ascii="宋体" w:hAnsi="宋体" w:cs="仿宋_GB2312"/>
                <w:bCs/>
                <w:kern w:val="0"/>
                <w:szCs w:val="21"/>
              </w:rPr>
              <w:t>8</w:t>
            </w:r>
          </w:p>
        </w:tc>
        <w:tc>
          <w:tcPr>
            <w:tcW w:w="8494" w:type="dxa"/>
            <w:tcBorders>
              <w:top w:val="single" w:color="auto" w:sz="4" w:space="0"/>
              <w:left w:val="single" w:color="auto" w:sz="4" w:space="0"/>
              <w:bottom w:val="single" w:color="auto" w:sz="4" w:space="0"/>
              <w:right w:val="single" w:color="auto" w:sz="4" w:space="0"/>
            </w:tcBorders>
            <w:vAlign w:val="center"/>
          </w:tcPr>
          <w:p w14:paraId="08EA55D1">
            <w:pPr>
              <w:spacing w:line="380" w:lineRule="exact"/>
              <w:jc w:val="left"/>
              <w:rPr>
                <w:rFonts w:ascii="宋体" w:hAnsi="宋体" w:cs="仿宋_GB2312"/>
                <w:kern w:val="0"/>
                <w:szCs w:val="21"/>
              </w:rPr>
            </w:pPr>
            <w:r>
              <w:rPr>
                <w:rFonts w:hint="eastAsia" w:ascii="宋体" w:hAnsi="宋体" w:cs="仿宋_GB2312"/>
                <w:kern w:val="0"/>
                <w:szCs w:val="21"/>
              </w:rPr>
              <w:t>夜间施工无监理人员或在场监理人员未履行职责，发现一次扣2分.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7DFBF95A">
            <w:pPr>
              <w:widowControl/>
              <w:spacing w:line="380" w:lineRule="exact"/>
              <w:jc w:val="center"/>
              <w:rPr>
                <w:rFonts w:ascii="宋体" w:hAnsi="宋体" w:cs="仿宋_GB2312"/>
                <w:kern w:val="0"/>
                <w:szCs w:val="21"/>
              </w:rPr>
            </w:pPr>
            <w:r>
              <w:rPr>
                <w:rFonts w:hint="eastAsia" w:ascii="宋体" w:hAnsi="宋体" w:cs="仿宋_GB2312"/>
                <w:kern w:val="0"/>
                <w:szCs w:val="21"/>
              </w:rPr>
              <w:t>6</w:t>
            </w:r>
          </w:p>
        </w:tc>
        <w:tc>
          <w:tcPr>
            <w:tcW w:w="756" w:type="dxa"/>
            <w:tcBorders>
              <w:top w:val="single" w:color="auto" w:sz="4" w:space="0"/>
              <w:left w:val="single" w:color="auto" w:sz="4" w:space="0"/>
              <w:bottom w:val="single" w:color="auto" w:sz="4" w:space="0"/>
              <w:right w:val="single" w:color="auto" w:sz="4" w:space="0"/>
            </w:tcBorders>
          </w:tcPr>
          <w:p w14:paraId="2C48966F">
            <w:pPr>
              <w:spacing w:line="380" w:lineRule="exact"/>
              <w:rPr>
                <w:rFonts w:ascii="宋体" w:hAnsi="宋体" w:cs="仿宋_GB2312"/>
                <w:bCs/>
                <w:kern w:val="0"/>
                <w:szCs w:val="21"/>
              </w:rPr>
            </w:pPr>
          </w:p>
        </w:tc>
      </w:tr>
      <w:tr w14:paraId="58FA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364EBA53">
            <w:pPr>
              <w:spacing w:line="380" w:lineRule="exact"/>
              <w:jc w:val="center"/>
              <w:rPr>
                <w:rFonts w:ascii="宋体" w:hAnsi="宋体" w:cs="仿宋_GB2312"/>
                <w:bCs/>
                <w:kern w:val="0"/>
                <w:szCs w:val="21"/>
              </w:rPr>
            </w:pPr>
            <w:r>
              <w:rPr>
                <w:rFonts w:hint="eastAsia" w:ascii="宋体" w:hAnsi="宋体" w:cs="仿宋_GB2312"/>
                <w:bCs/>
                <w:kern w:val="0"/>
                <w:szCs w:val="21"/>
              </w:rPr>
              <w:t>9</w:t>
            </w:r>
          </w:p>
        </w:tc>
        <w:tc>
          <w:tcPr>
            <w:tcW w:w="8494" w:type="dxa"/>
            <w:tcBorders>
              <w:top w:val="single" w:color="auto" w:sz="4" w:space="0"/>
              <w:left w:val="single" w:color="auto" w:sz="4" w:space="0"/>
              <w:bottom w:val="single" w:color="auto" w:sz="4" w:space="0"/>
              <w:right w:val="single" w:color="auto" w:sz="4" w:space="0"/>
            </w:tcBorders>
            <w:vAlign w:val="center"/>
          </w:tcPr>
          <w:p w14:paraId="2E467FC2">
            <w:pPr>
              <w:spacing w:line="380" w:lineRule="exact"/>
              <w:jc w:val="left"/>
              <w:rPr>
                <w:rFonts w:ascii="宋体" w:hAnsi="宋体" w:cs="仿宋_GB2312"/>
                <w:kern w:val="0"/>
                <w:szCs w:val="21"/>
              </w:rPr>
            </w:pPr>
            <w:r>
              <w:rPr>
                <w:rFonts w:hint="eastAsia" w:ascii="宋体" w:hAnsi="宋体" w:cs="仿宋_GB2312"/>
                <w:kern w:val="0"/>
                <w:szCs w:val="21"/>
              </w:rPr>
              <w:t>投资控制措施不当，不能及时认真审核施工单位上报月进度报表的，扣3分。</w:t>
            </w:r>
          </w:p>
        </w:tc>
        <w:tc>
          <w:tcPr>
            <w:tcW w:w="720" w:type="dxa"/>
            <w:tcBorders>
              <w:top w:val="single" w:color="auto" w:sz="4" w:space="0"/>
              <w:left w:val="single" w:color="auto" w:sz="4" w:space="0"/>
              <w:bottom w:val="single" w:color="auto" w:sz="4" w:space="0"/>
              <w:right w:val="single" w:color="auto" w:sz="4" w:space="0"/>
            </w:tcBorders>
            <w:vAlign w:val="center"/>
          </w:tcPr>
          <w:p w14:paraId="47771887">
            <w:pPr>
              <w:widowControl/>
              <w:spacing w:line="380" w:lineRule="exact"/>
              <w:jc w:val="center"/>
              <w:rPr>
                <w:rFonts w:ascii="宋体" w:hAnsi="宋体" w:cs="仿宋_GB2312"/>
                <w:kern w:val="0"/>
                <w:szCs w:val="21"/>
              </w:rPr>
            </w:pPr>
            <w:r>
              <w:rPr>
                <w:rFonts w:hint="eastAsia" w:ascii="宋体" w:hAnsi="宋体" w:cs="仿宋_GB2312"/>
                <w:kern w:val="0"/>
                <w:szCs w:val="21"/>
              </w:rPr>
              <w:t>3</w:t>
            </w:r>
          </w:p>
        </w:tc>
        <w:tc>
          <w:tcPr>
            <w:tcW w:w="756" w:type="dxa"/>
            <w:tcBorders>
              <w:top w:val="single" w:color="auto" w:sz="4" w:space="0"/>
              <w:left w:val="single" w:color="auto" w:sz="4" w:space="0"/>
              <w:bottom w:val="single" w:color="auto" w:sz="4" w:space="0"/>
              <w:right w:val="single" w:color="auto" w:sz="4" w:space="0"/>
            </w:tcBorders>
          </w:tcPr>
          <w:p w14:paraId="1ABF03C3">
            <w:pPr>
              <w:spacing w:line="380" w:lineRule="exact"/>
              <w:rPr>
                <w:rFonts w:ascii="宋体" w:hAnsi="宋体" w:cs="仿宋_GB2312"/>
                <w:bCs/>
                <w:kern w:val="0"/>
                <w:szCs w:val="21"/>
              </w:rPr>
            </w:pPr>
          </w:p>
        </w:tc>
      </w:tr>
      <w:tr w14:paraId="0543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06F603A3">
            <w:pPr>
              <w:spacing w:line="380" w:lineRule="exact"/>
              <w:jc w:val="center"/>
              <w:rPr>
                <w:rFonts w:ascii="宋体" w:hAnsi="宋体" w:cs="仿宋_GB2312"/>
                <w:bCs/>
                <w:kern w:val="0"/>
                <w:szCs w:val="21"/>
              </w:rPr>
            </w:pPr>
            <w:r>
              <w:rPr>
                <w:rFonts w:hint="eastAsia" w:ascii="宋体" w:hAnsi="宋体" w:cs="仿宋_GB2312"/>
                <w:bCs/>
                <w:kern w:val="0"/>
                <w:szCs w:val="21"/>
              </w:rPr>
              <w:t>10</w:t>
            </w:r>
          </w:p>
        </w:tc>
        <w:tc>
          <w:tcPr>
            <w:tcW w:w="8494" w:type="dxa"/>
            <w:tcBorders>
              <w:top w:val="single" w:color="auto" w:sz="4" w:space="0"/>
              <w:left w:val="single" w:color="auto" w:sz="4" w:space="0"/>
              <w:bottom w:val="single" w:color="auto" w:sz="4" w:space="0"/>
              <w:right w:val="single" w:color="auto" w:sz="4" w:space="0"/>
            </w:tcBorders>
            <w:vAlign w:val="center"/>
          </w:tcPr>
          <w:p w14:paraId="50EFD480">
            <w:pPr>
              <w:spacing w:line="380" w:lineRule="exact"/>
              <w:jc w:val="left"/>
              <w:rPr>
                <w:rFonts w:ascii="宋体" w:hAnsi="宋体" w:cs="仿宋_GB2312"/>
                <w:kern w:val="0"/>
                <w:szCs w:val="21"/>
              </w:rPr>
            </w:pPr>
            <w:r>
              <w:rPr>
                <w:rFonts w:hint="eastAsia" w:ascii="宋体" w:hAnsi="宋体" w:cs="仿宋_GB2312"/>
                <w:kern w:val="0"/>
                <w:szCs w:val="21"/>
              </w:rPr>
              <w:t>对关键工序施工方案未能及时审批或审批的施工方案内容出现明显缺陷的，扣2分。</w:t>
            </w:r>
          </w:p>
        </w:tc>
        <w:tc>
          <w:tcPr>
            <w:tcW w:w="720" w:type="dxa"/>
            <w:tcBorders>
              <w:top w:val="single" w:color="auto" w:sz="4" w:space="0"/>
              <w:left w:val="single" w:color="auto" w:sz="4" w:space="0"/>
              <w:bottom w:val="single" w:color="auto" w:sz="4" w:space="0"/>
              <w:right w:val="single" w:color="auto" w:sz="4" w:space="0"/>
            </w:tcBorders>
            <w:vAlign w:val="center"/>
          </w:tcPr>
          <w:p w14:paraId="4EB6C81D">
            <w:pPr>
              <w:widowControl/>
              <w:spacing w:line="380" w:lineRule="exact"/>
              <w:jc w:val="center"/>
              <w:rPr>
                <w:rFonts w:ascii="宋体" w:hAnsi="宋体" w:cs="仿宋_GB2312"/>
                <w:kern w:val="0"/>
                <w:szCs w:val="21"/>
              </w:rPr>
            </w:pPr>
            <w:r>
              <w:rPr>
                <w:rFonts w:hint="eastAsia" w:ascii="宋体" w:hAnsi="宋体" w:cs="仿宋_GB2312"/>
                <w:kern w:val="0"/>
                <w:szCs w:val="21"/>
              </w:rPr>
              <w:t>2</w:t>
            </w:r>
          </w:p>
        </w:tc>
        <w:tc>
          <w:tcPr>
            <w:tcW w:w="756" w:type="dxa"/>
            <w:tcBorders>
              <w:top w:val="single" w:color="auto" w:sz="4" w:space="0"/>
              <w:left w:val="single" w:color="auto" w:sz="4" w:space="0"/>
              <w:bottom w:val="single" w:color="auto" w:sz="4" w:space="0"/>
              <w:right w:val="single" w:color="auto" w:sz="4" w:space="0"/>
            </w:tcBorders>
          </w:tcPr>
          <w:p w14:paraId="13C823B4">
            <w:pPr>
              <w:spacing w:line="380" w:lineRule="exact"/>
              <w:rPr>
                <w:rFonts w:ascii="宋体" w:hAnsi="宋体" w:cs="仿宋_GB2312"/>
                <w:bCs/>
                <w:kern w:val="0"/>
                <w:szCs w:val="21"/>
              </w:rPr>
            </w:pPr>
          </w:p>
        </w:tc>
      </w:tr>
      <w:tr w14:paraId="4749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0E6133F7">
            <w:pPr>
              <w:spacing w:line="380" w:lineRule="exact"/>
              <w:jc w:val="center"/>
              <w:rPr>
                <w:rFonts w:ascii="宋体" w:hAnsi="宋体" w:cs="仿宋_GB2312"/>
                <w:bCs/>
                <w:kern w:val="0"/>
                <w:szCs w:val="21"/>
              </w:rPr>
            </w:pPr>
            <w:r>
              <w:rPr>
                <w:rFonts w:hint="eastAsia" w:ascii="宋体" w:hAnsi="宋体" w:cs="仿宋_GB2312"/>
                <w:bCs/>
                <w:kern w:val="0"/>
                <w:szCs w:val="21"/>
              </w:rPr>
              <w:t>11</w:t>
            </w:r>
          </w:p>
        </w:tc>
        <w:tc>
          <w:tcPr>
            <w:tcW w:w="8494" w:type="dxa"/>
            <w:tcBorders>
              <w:top w:val="single" w:color="auto" w:sz="4" w:space="0"/>
              <w:left w:val="single" w:color="auto" w:sz="4" w:space="0"/>
              <w:bottom w:val="single" w:color="auto" w:sz="4" w:space="0"/>
              <w:right w:val="single" w:color="auto" w:sz="4" w:space="0"/>
            </w:tcBorders>
            <w:vAlign w:val="center"/>
          </w:tcPr>
          <w:p w14:paraId="667127A5">
            <w:pPr>
              <w:spacing w:line="380" w:lineRule="exact"/>
              <w:jc w:val="left"/>
              <w:rPr>
                <w:rFonts w:ascii="宋体" w:hAnsi="宋体" w:cs="仿宋_GB2312"/>
                <w:kern w:val="0"/>
                <w:szCs w:val="21"/>
              </w:rPr>
            </w:pPr>
            <w:r>
              <w:rPr>
                <w:rFonts w:hint="eastAsia" w:ascii="宋体" w:hAnsi="宋体" w:cs="仿宋_GB2312"/>
                <w:kern w:val="0"/>
                <w:szCs w:val="21"/>
              </w:rPr>
              <w:t>无现场试验室扣5分，检测设备、检测内容、检测频率未达到招标文件要求扣3分，对第三方检测数据未复核、备案扣2分。</w:t>
            </w:r>
          </w:p>
        </w:tc>
        <w:tc>
          <w:tcPr>
            <w:tcW w:w="720" w:type="dxa"/>
            <w:tcBorders>
              <w:top w:val="single" w:color="auto" w:sz="4" w:space="0"/>
              <w:left w:val="single" w:color="auto" w:sz="4" w:space="0"/>
              <w:bottom w:val="single" w:color="auto" w:sz="4" w:space="0"/>
              <w:right w:val="single" w:color="auto" w:sz="4" w:space="0"/>
            </w:tcBorders>
            <w:vAlign w:val="center"/>
          </w:tcPr>
          <w:p w14:paraId="4E6994C3">
            <w:pPr>
              <w:widowControl/>
              <w:spacing w:line="380" w:lineRule="exact"/>
              <w:jc w:val="center"/>
              <w:rPr>
                <w:rFonts w:ascii="宋体" w:hAnsi="宋体" w:cs="仿宋_GB2312"/>
                <w:kern w:val="0"/>
                <w:szCs w:val="21"/>
              </w:rPr>
            </w:pPr>
            <w:r>
              <w:rPr>
                <w:rFonts w:hint="eastAsia" w:ascii="宋体" w:hAnsi="宋体" w:cs="仿宋_GB2312"/>
                <w:kern w:val="0"/>
                <w:szCs w:val="21"/>
              </w:rPr>
              <w:t>10</w:t>
            </w:r>
          </w:p>
        </w:tc>
        <w:tc>
          <w:tcPr>
            <w:tcW w:w="756" w:type="dxa"/>
            <w:tcBorders>
              <w:top w:val="single" w:color="auto" w:sz="4" w:space="0"/>
              <w:left w:val="single" w:color="auto" w:sz="4" w:space="0"/>
              <w:bottom w:val="single" w:color="auto" w:sz="4" w:space="0"/>
              <w:right w:val="single" w:color="auto" w:sz="4" w:space="0"/>
            </w:tcBorders>
          </w:tcPr>
          <w:p w14:paraId="5E6739DD">
            <w:pPr>
              <w:spacing w:line="380" w:lineRule="exact"/>
              <w:rPr>
                <w:rFonts w:ascii="宋体" w:hAnsi="宋体" w:cs="仿宋_GB2312"/>
                <w:bCs/>
                <w:kern w:val="0"/>
                <w:szCs w:val="21"/>
              </w:rPr>
            </w:pPr>
          </w:p>
        </w:tc>
      </w:tr>
      <w:tr w14:paraId="0ABD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2889F497">
            <w:pPr>
              <w:spacing w:line="380" w:lineRule="exact"/>
              <w:jc w:val="center"/>
              <w:rPr>
                <w:rFonts w:ascii="宋体" w:hAnsi="宋体" w:cs="仿宋_GB2312"/>
                <w:bCs/>
                <w:kern w:val="0"/>
                <w:szCs w:val="21"/>
              </w:rPr>
            </w:pPr>
            <w:r>
              <w:rPr>
                <w:rFonts w:hint="eastAsia" w:ascii="宋体" w:hAnsi="宋体" w:cs="仿宋_GB2312"/>
                <w:bCs/>
                <w:kern w:val="0"/>
                <w:szCs w:val="21"/>
              </w:rPr>
              <w:t>12</w:t>
            </w:r>
          </w:p>
        </w:tc>
        <w:tc>
          <w:tcPr>
            <w:tcW w:w="8494" w:type="dxa"/>
            <w:tcBorders>
              <w:top w:val="single" w:color="auto" w:sz="4" w:space="0"/>
              <w:left w:val="single" w:color="auto" w:sz="4" w:space="0"/>
              <w:bottom w:val="single" w:color="auto" w:sz="4" w:space="0"/>
              <w:right w:val="single" w:color="auto" w:sz="4" w:space="0"/>
            </w:tcBorders>
            <w:vAlign w:val="center"/>
          </w:tcPr>
          <w:p w14:paraId="488FBAC5">
            <w:pPr>
              <w:spacing w:line="380" w:lineRule="exact"/>
              <w:jc w:val="left"/>
              <w:rPr>
                <w:rFonts w:ascii="宋体" w:hAnsi="宋体" w:cs="仿宋_GB2312"/>
                <w:kern w:val="0"/>
                <w:szCs w:val="21"/>
              </w:rPr>
            </w:pPr>
            <w:r>
              <w:rPr>
                <w:rFonts w:hint="eastAsia" w:ascii="宋体" w:hAnsi="宋体" w:cs="仿宋_GB2312"/>
                <w:kern w:val="0"/>
                <w:szCs w:val="21"/>
              </w:rPr>
              <w:t>信息报送不全面、准确、及时，扣3分。</w:t>
            </w:r>
          </w:p>
        </w:tc>
        <w:tc>
          <w:tcPr>
            <w:tcW w:w="720" w:type="dxa"/>
            <w:tcBorders>
              <w:top w:val="single" w:color="auto" w:sz="4" w:space="0"/>
              <w:left w:val="single" w:color="auto" w:sz="4" w:space="0"/>
              <w:bottom w:val="single" w:color="auto" w:sz="4" w:space="0"/>
              <w:right w:val="single" w:color="auto" w:sz="4" w:space="0"/>
            </w:tcBorders>
            <w:vAlign w:val="center"/>
          </w:tcPr>
          <w:p w14:paraId="30ABAC27">
            <w:pPr>
              <w:spacing w:line="380" w:lineRule="exact"/>
              <w:jc w:val="center"/>
              <w:rPr>
                <w:rFonts w:ascii="宋体" w:hAnsi="宋体" w:cs="仿宋_GB2312"/>
                <w:kern w:val="0"/>
                <w:szCs w:val="21"/>
              </w:rPr>
            </w:pPr>
            <w:r>
              <w:rPr>
                <w:rFonts w:hint="eastAsia" w:ascii="宋体" w:hAnsi="宋体" w:cs="仿宋_GB2312"/>
                <w:kern w:val="0"/>
                <w:szCs w:val="21"/>
              </w:rPr>
              <w:t>3</w:t>
            </w:r>
          </w:p>
        </w:tc>
        <w:tc>
          <w:tcPr>
            <w:tcW w:w="756" w:type="dxa"/>
            <w:tcBorders>
              <w:top w:val="single" w:color="auto" w:sz="4" w:space="0"/>
              <w:left w:val="single" w:color="auto" w:sz="4" w:space="0"/>
              <w:bottom w:val="single" w:color="auto" w:sz="4" w:space="0"/>
              <w:right w:val="single" w:color="auto" w:sz="4" w:space="0"/>
            </w:tcBorders>
          </w:tcPr>
          <w:p w14:paraId="044E6947">
            <w:pPr>
              <w:spacing w:line="380" w:lineRule="exact"/>
              <w:rPr>
                <w:rFonts w:ascii="宋体" w:hAnsi="宋体" w:cs="仿宋_GB2312"/>
                <w:bCs/>
                <w:kern w:val="0"/>
                <w:szCs w:val="21"/>
              </w:rPr>
            </w:pPr>
          </w:p>
        </w:tc>
      </w:tr>
      <w:tr w14:paraId="14DA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14:paraId="5252D06E">
            <w:pPr>
              <w:spacing w:line="380" w:lineRule="exact"/>
              <w:jc w:val="center"/>
              <w:rPr>
                <w:rFonts w:ascii="宋体" w:hAnsi="宋体" w:cs="仿宋_GB2312"/>
                <w:bCs/>
                <w:kern w:val="0"/>
                <w:szCs w:val="21"/>
              </w:rPr>
            </w:pPr>
            <w:r>
              <w:rPr>
                <w:rFonts w:hint="eastAsia" w:ascii="宋体" w:hAnsi="宋体" w:cs="仿宋_GB2312"/>
                <w:bCs/>
                <w:kern w:val="0"/>
                <w:szCs w:val="21"/>
              </w:rPr>
              <w:t>13</w:t>
            </w:r>
          </w:p>
        </w:tc>
        <w:tc>
          <w:tcPr>
            <w:tcW w:w="8494" w:type="dxa"/>
            <w:tcBorders>
              <w:top w:val="single" w:color="auto" w:sz="4" w:space="0"/>
              <w:left w:val="single" w:color="auto" w:sz="4" w:space="0"/>
              <w:bottom w:val="single" w:color="auto" w:sz="4" w:space="0"/>
              <w:right w:val="single" w:color="auto" w:sz="4" w:space="0"/>
            </w:tcBorders>
            <w:vAlign w:val="center"/>
          </w:tcPr>
          <w:p w14:paraId="71B4CC65">
            <w:pPr>
              <w:spacing w:line="380" w:lineRule="exact"/>
              <w:jc w:val="left"/>
              <w:rPr>
                <w:rFonts w:ascii="宋体" w:hAnsi="宋体" w:cs="仿宋_GB2312"/>
                <w:kern w:val="0"/>
                <w:szCs w:val="21"/>
              </w:rPr>
            </w:pPr>
            <w:r>
              <w:rPr>
                <w:rFonts w:hint="eastAsia" w:ascii="宋体" w:hAnsi="宋体" w:cs="仿宋_GB2312"/>
                <w:kern w:val="0"/>
                <w:szCs w:val="21"/>
              </w:rPr>
              <w:t>现场协调不得当影响工期，下发的监理通知单不闭合或闭合不及时的每发现一次扣1分。如造成较大质量安全隐患的，扣5分。</w:t>
            </w:r>
          </w:p>
        </w:tc>
        <w:tc>
          <w:tcPr>
            <w:tcW w:w="720" w:type="dxa"/>
            <w:tcBorders>
              <w:top w:val="single" w:color="auto" w:sz="4" w:space="0"/>
              <w:left w:val="single" w:color="auto" w:sz="4" w:space="0"/>
              <w:bottom w:val="single" w:color="auto" w:sz="4" w:space="0"/>
              <w:right w:val="single" w:color="auto" w:sz="4" w:space="0"/>
            </w:tcBorders>
            <w:vAlign w:val="center"/>
          </w:tcPr>
          <w:p w14:paraId="29A104A1">
            <w:pPr>
              <w:widowControl/>
              <w:spacing w:line="380" w:lineRule="exact"/>
              <w:jc w:val="center"/>
              <w:rPr>
                <w:rFonts w:ascii="宋体" w:hAnsi="宋体" w:cs="仿宋_GB2312"/>
                <w:kern w:val="0"/>
                <w:szCs w:val="21"/>
              </w:rPr>
            </w:pPr>
            <w:r>
              <w:rPr>
                <w:rFonts w:hint="eastAsia" w:ascii="宋体" w:hAnsi="宋体" w:cs="仿宋_GB2312"/>
                <w:kern w:val="0"/>
                <w:szCs w:val="21"/>
              </w:rPr>
              <w:t>5</w:t>
            </w:r>
          </w:p>
        </w:tc>
        <w:tc>
          <w:tcPr>
            <w:tcW w:w="756" w:type="dxa"/>
            <w:tcBorders>
              <w:top w:val="single" w:color="auto" w:sz="4" w:space="0"/>
              <w:left w:val="single" w:color="auto" w:sz="4" w:space="0"/>
              <w:bottom w:val="single" w:color="auto" w:sz="4" w:space="0"/>
              <w:right w:val="single" w:color="auto" w:sz="4" w:space="0"/>
            </w:tcBorders>
          </w:tcPr>
          <w:p w14:paraId="588230C4">
            <w:pPr>
              <w:spacing w:line="380" w:lineRule="exact"/>
              <w:rPr>
                <w:rFonts w:ascii="宋体" w:hAnsi="宋体" w:cs="仿宋_GB2312"/>
                <w:bCs/>
                <w:kern w:val="0"/>
                <w:szCs w:val="21"/>
              </w:rPr>
            </w:pPr>
          </w:p>
        </w:tc>
      </w:tr>
      <w:tr w14:paraId="0048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7435980B">
            <w:pPr>
              <w:spacing w:line="380" w:lineRule="exact"/>
              <w:jc w:val="center"/>
              <w:rPr>
                <w:rFonts w:ascii="宋体" w:hAnsi="宋体" w:cs="仿宋_GB2312"/>
                <w:bCs/>
                <w:kern w:val="0"/>
                <w:szCs w:val="21"/>
              </w:rPr>
            </w:pPr>
            <w:r>
              <w:rPr>
                <w:rFonts w:hint="eastAsia" w:ascii="宋体" w:hAnsi="宋体" w:cs="仿宋_GB2312"/>
                <w:bCs/>
                <w:kern w:val="0"/>
                <w:szCs w:val="21"/>
              </w:rPr>
              <w:t>14</w:t>
            </w:r>
          </w:p>
        </w:tc>
        <w:tc>
          <w:tcPr>
            <w:tcW w:w="8494" w:type="dxa"/>
            <w:tcBorders>
              <w:top w:val="single" w:color="auto" w:sz="4" w:space="0"/>
              <w:left w:val="single" w:color="auto" w:sz="4" w:space="0"/>
              <w:bottom w:val="single" w:color="auto" w:sz="4" w:space="0"/>
              <w:right w:val="single" w:color="auto" w:sz="4" w:space="0"/>
            </w:tcBorders>
            <w:vAlign w:val="center"/>
          </w:tcPr>
          <w:p w14:paraId="4F1F17E3">
            <w:pPr>
              <w:spacing w:line="380" w:lineRule="exact"/>
              <w:jc w:val="left"/>
              <w:rPr>
                <w:rFonts w:ascii="宋体" w:hAnsi="宋体" w:cs="仿宋_GB2312"/>
                <w:kern w:val="0"/>
                <w:szCs w:val="21"/>
              </w:rPr>
            </w:pPr>
            <w:r>
              <w:rPr>
                <w:rFonts w:hint="eastAsia" w:ascii="宋体" w:hAnsi="宋体" w:cs="仿宋_GB2312"/>
                <w:kern w:val="0"/>
                <w:szCs w:val="21"/>
              </w:rPr>
              <w:t>提出的本项目技术重点难点不够齐全、对本项目技术重点难点分析欠妥当、监理措施对本项目针对性差、监理措施落实不到位的，扣3分。</w:t>
            </w:r>
          </w:p>
        </w:tc>
        <w:tc>
          <w:tcPr>
            <w:tcW w:w="720" w:type="dxa"/>
            <w:tcBorders>
              <w:top w:val="single" w:color="auto" w:sz="4" w:space="0"/>
              <w:left w:val="single" w:color="auto" w:sz="4" w:space="0"/>
              <w:bottom w:val="single" w:color="auto" w:sz="4" w:space="0"/>
              <w:right w:val="single" w:color="auto" w:sz="4" w:space="0"/>
            </w:tcBorders>
            <w:vAlign w:val="center"/>
          </w:tcPr>
          <w:p w14:paraId="78970358">
            <w:pPr>
              <w:widowControl/>
              <w:spacing w:line="380" w:lineRule="exact"/>
              <w:jc w:val="center"/>
              <w:rPr>
                <w:rFonts w:ascii="宋体" w:hAnsi="宋体" w:cs="仿宋_GB2312"/>
                <w:kern w:val="0"/>
                <w:szCs w:val="21"/>
              </w:rPr>
            </w:pPr>
            <w:r>
              <w:rPr>
                <w:rFonts w:hint="eastAsia" w:ascii="宋体" w:hAnsi="宋体" w:cs="仿宋_GB2312"/>
                <w:kern w:val="0"/>
                <w:szCs w:val="21"/>
              </w:rPr>
              <w:t>3</w:t>
            </w:r>
          </w:p>
        </w:tc>
        <w:tc>
          <w:tcPr>
            <w:tcW w:w="756" w:type="dxa"/>
            <w:tcBorders>
              <w:top w:val="single" w:color="auto" w:sz="4" w:space="0"/>
              <w:left w:val="single" w:color="auto" w:sz="4" w:space="0"/>
              <w:bottom w:val="single" w:color="auto" w:sz="4" w:space="0"/>
              <w:right w:val="single" w:color="auto" w:sz="4" w:space="0"/>
            </w:tcBorders>
          </w:tcPr>
          <w:p w14:paraId="4DE62F4A">
            <w:pPr>
              <w:spacing w:line="380" w:lineRule="exact"/>
              <w:rPr>
                <w:rFonts w:ascii="宋体" w:hAnsi="宋体" w:cs="仿宋_GB2312"/>
                <w:bCs/>
                <w:kern w:val="0"/>
                <w:szCs w:val="21"/>
              </w:rPr>
            </w:pPr>
          </w:p>
        </w:tc>
      </w:tr>
      <w:tr w14:paraId="6065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1E0C59C3">
            <w:pPr>
              <w:spacing w:line="380" w:lineRule="exact"/>
              <w:jc w:val="center"/>
              <w:rPr>
                <w:rFonts w:ascii="宋体" w:hAnsi="宋体" w:cs="仿宋_GB2312"/>
                <w:bCs/>
                <w:kern w:val="0"/>
                <w:szCs w:val="21"/>
              </w:rPr>
            </w:pPr>
            <w:r>
              <w:rPr>
                <w:rFonts w:hint="eastAsia" w:ascii="宋体" w:hAnsi="宋体" w:cs="仿宋_GB2312"/>
                <w:bCs/>
                <w:kern w:val="0"/>
                <w:szCs w:val="21"/>
              </w:rPr>
              <w:t>15</w:t>
            </w:r>
          </w:p>
        </w:tc>
        <w:tc>
          <w:tcPr>
            <w:tcW w:w="8494" w:type="dxa"/>
            <w:tcBorders>
              <w:top w:val="single" w:color="auto" w:sz="4" w:space="0"/>
              <w:left w:val="single" w:color="auto" w:sz="4" w:space="0"/>
              <w:bottom w:val="single" w:color="auto" w:sz="4" w:space="0"/>
              <w:right w:val="single" w:color="auto" w:sz="4" w:space="0"/>
            </w:tcBorders>
            <w:vAlign w:val="center"/>
          </w:tcPr>
          <w:p w14:paraId="2D383703">
            <w:pPr>
              <w:spacing w:line="380" w:lineRule="exact"/>
              <w:jc w:val="left"/>
              <w:rPr>
                <w:rFonts w:ascii="宋体" w:hAnsi="宋体" w:cs="仿宋_GB2312"/>
                <w:kern w:val="0"/>
                <w:szCs w:val="21"/>
              </w:rPr>
            </w:pPr>
            <w:r>
              <w:rPr>
                <w:rFonts w:hint="eastAsia" w:ascii="宋体" w:hAnsi="宋体" w:cs="仿宋_GB2312"/>
                <w:kern w:val="0"/>
                <w:szCs w:val="21"/>
              </w:rPr>
              <w:t>上道工序未经验收签字实施下道工序的，发现一次扣2分；对施工单位上报签证不能及时予以办理的，发现一次扣2分。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47DE5429">
            <w:pPr>
              <w:widowControl/>
              <w:spacing w:line="380" w:lineRule="exact"/>
              <w:jc w:val="center"/>
              <w:rPr>
                <w:rFonts w:ascii="宋体" w:hAnsi="宋体" w:cs="仿宋_GB2312"/>
                <w:kern w:val="0"/>
                <w:szCs w:val="21"/>
              </w:rPr>
            </w:pPr>
            <w:r>
              <w:rPr>
                <w:rFonts w:hint="eastAsia" w:ascii="宋体" w:hAnsi="宋体" w:cs="仿宋_GB2312"/>
                <w:kern w:val="0"/>
                <w:szCs w:val="21"/>
              </w:rPr>
              <w:t>8</w:t>
            </w:r>
          </w:p>
        </w:tc>
        <w:tc>
          <w:tcPr>
            <w:tcW w:w="756" w:type="dxa"/>
            <w:tcBorders>
              <w:top w:val="single" w:color="auto" w:sz="4" w:space="0"/>
              <w:left w:val="single" w:color="auto" w:sz="4" w:space="0"/>
              <w:bottom w:val="single" w:color="auto" w:sz="4" w:space="0"/>
              <w:right w:val="single" w:color="auto" w:sz="4" w:space="0"/>
            </w:tcBorders>
          </w:tcPr>
          <w:p w14:paraId="77FA7A28">
            <w:pPr>
              <w:spacing w:line="380" w:lineRule="exact"/>
              <w:rPr>
                <w:rFonts w:ascii="宋体" w:hAnsi="宋体" w:cs="仿宋_GB2312"/>
                <w:bCs/>
                <w:kern w:val="0"/>
                <w:szCs w:val="21"/>
              </w:rPr>
            </w:pPr>
          </w:p>
        </w:tc>
      </w:tr>
      <w:tr w14:paraId="3F58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496FFE9C">
            <w:pPr>
              <w:spacing w:line="380" w:lineRule="exact"/>
              <w:jc w:val="center"/>
              <w:rPr>
                <w:rFonts w:ascii="宋体" w:hAnsi="宋体" w:cs="仿宋_GB2312"/>
                <w:bCs/>
                <w:kern w:val="0"/>
                <w:szCs w:val="21"/>
              </w:rPr>
            </w:pPr>
            <w:r>
              <w:rPr>
                <w:rFonts w:hint="eastAsia" w:ascii="宋体" w:hAnsi="宋体" w:cs="仿宋_GB2312"/>
                <w:bCs/>
                <w:kern w:val="0"/>
                <w:szCs w:val="21"/>
              </w:rPr>
              <w:t>16</w:t>
            </w:r>
          </w:p>
        </w:tc>
        <w:tc>
          <w:tcPr>
            <w:tcW w:w="8494" w:type="dxa"/>
            <w:tcBorders>
              <w:top w:val="single" w:color="auto" w:sz="4" w:space="0"/>
              <w:left w:val="single" w:color="auto" w:sz="4" w:space="0"/>
              <w:bottom w:val="single" w:color="auto" w:sz="4" w:space="0"/>
              <w:right w:val="single" w:color="auto" w:sz="4" w:space="0"/>
            </w:tcBorders>
            <w:vAlign w:val="center"/>
          </w:tcPr>
          <w:p w14:paraId="76E11521">
            <w:pPr>
              <w:spacing w:line="380" w:lineRule="exact"/>
              <w:jc w:val="left"/>
              <w:rPr>
                <w:rFonts w:ascii="宋体" w:hAnsi="宋体" w:cs="仿宋_GB2312"/>
                <w:kern w:val="0"/>
                <w:szCs w:val="21"/>
              </w:rPr>
            </w:pPr>
            <w:r>
              <w:rPr>
                <w:rFonts w:hint="eastAsia" w:ascii="宋体" w:hAnsi="宋体" w:cs="仿宋_GB2312"/>
                <w:kern w:val="0"/>
                <w:szCs w:val="21"/>
              </w:rPr>
              <w:t>有投诉现象，经核实属监理责任的，有一次扣2分。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7043BC21">
            <w:pPr>
              <w:widowControl/>
              <w:spacing w:line="380" w:lineRule="exact"/>
              <w:jc w:val="center"/>
              <w:rPr>
                <w:rFonts w:ascii="宋体" w:hAnsi="宋体" w:cs="仿宋_GB2312"/>
                <w:kern w:val="0"/>
                <w:szCs w:val="21"/>
              </w:rPr>
            </w:pPr>
            <w:r>
              <w:rPr>
                <w:rFonts w:hint="eastAsia" w:ascii="宋体" w:hAnsi="宋体" w:cs="仿宋_GB2312"/>
                <w:kern w:val="0"/>
                <w:szCs w:val="21"/>
              </w:rPr>
              <w:t>4</w:t>
            </w:r>
          </w:p>
        </w:tc>
        <w:tc>
          <w:tcPr>
            <w:tcW w:w="756" w:type="dxa"/>
            <w:tcBorders>
              <w:top w:val="single" w:color="auto" w:sz="4" w:space="0"/>
              <w:left w:val="single" w:color="auto" w:sz="4" w:space="0"/>
              <w:bottom w:val="single" w:color="auto" w:sz="4" w:space="0"/>
              <w:right w:val="single" w:color="auto" w:sz="4" w:space="0"/>
            </w:tcBorders>
          </w:tcPr>
          <w:p w14:paraId="3AAF0A3B">
            <w:pPr>
              <w:spacing w:line="380" w:lineRule="exact"/>
              <w:rPr>
                <w:rFonts w:ascii="宋体" w:hAnsi="宋体" w:cs="仿宋_GB2312"/>
                <w:bCs/>
                <w:kern w:val="0"/>
                <w:szCs w:val="21"/>
              </w:rPr>
            </w:pPr>
          </w:p>
        </w:tc>
      </w:tr>
      <w:tr w14:paraId="75CC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5AC85A62">
            <w:pPr>
              <w:spacing w:line="380" w:lineRule="exact"/>
              <w:jc w:val="center"/>
              <w:rPr>
                <w:rFonts w:ascii="宋体" w:hAnsi="宋体" w:cs="仿宋_GB2312"/>
                <w:bCs/>
                <w:kern w:val="0"/>
                <w:szCs w:val="21"/>
              </w:rPr>
            </w:pPr>
            <w:r>
              <w:rPr>
                <w:rFonts w:hint="eastAsia" w:ascii="宋体" w:hAnsi="宋体" w:cs="仿宋_GB2312"/>
                <w:bCs/>
                <w:kern w:val="0"/>
                <w:szCs w:val="21"/>
              </w:rPr>
              <w:t>17</w:t>
            </w:r>
          </w:p>
        </w:tc>
        <w:tc>
          <w:tcPr>
            <w:tcW w:w="8494" w:type="dxa"/>
            <w:tcBorders>
              <w:top w:val="single" w:color="auto" w:sz="4" w:space="0"/>
              <w:left w:val="single" w:color="auto" w:sz="4" w:space="0"/>
              <w:bottom w:val="single" w:color="auto" w:sz="4" w:space="0"/>
              <w:right w:val="single" w:color="auto" w:sz="4" w:space="0"/>
            </w:tcBorders>
            <w:vAlign w:val="center"/>
          </w:tcPr>
          <w:p w14:paraId="1B7553BA">
            <w:pPr>
              <w:spacing w:line="380" w:lineRule="exact"/>
              <w:jc w:val="left"/>
              <w:rPr>
                <w:rFonts w:ascii="宋体" w:hAnsi="宋体" w:cs="仿宋_GB2312"/>
                <w:kern w:val="0"/>
                <w:szCs w:val="21"/>
              </w:rPr>
            </w:pPr>
            <w:r>
              <w:rPr>
                <w:rFonts w:hint="eastAsia" w:ascii="宋体" w:hAnsi="宋体" w:cs="仿宋_GB2312"/>
                <w:kern w:val="0"/>
                <w:szCs w:val="21"/>
              </w:rPr>
              <w:t>在监理工程过程中未按工程进度配备相应专业监理人员的，少一专业人员扣1分。</w:t>
            </w:r>
          </w:p>
        </w:tc>
        <w:tc>
          <w:tcPr>
            <w:tcW w:w="720" w:type="dxa"/>
            <w:tcBorders>
              <w:top w:val="single" w:color="auto" w:sz="4" w:space="0"/>
              <w:left w:val="single" w:color="auto" w:sz="4" w:space="0"/>
              <w:bottom w:val="single" w:color="auto" w:sz="4" w:space="0"/>
              <w:right w:val="single" w:color="auto" w:sz="4" w:space="0"/>
            </w:tcBorders>
            <w:vAlign w:val="center"/>
          </w:tcPr>
          <w:p w14:paraId="57F48D33">
            <w:pPr>
              <w:widowControl/>
              <w:spacing w:line="380" w:lineRule="exact"/>
              <w:jc w:val="center"/>
              <w:rPr>
                <w:rFonts w:ascii="宋体" w:hAnsi="宋体" w:cs="仿宋_GB2312"/>
                <w:kern w:val="0"/>
                <w:szCs w:val="21"/>
              </w:rPr>
            </w:pPr>
            <w:r>
              <w:rPr>
                <w:rFonts w:hint="eastAsia" w:ascii="宋体" w:hAnsi="宋体" w:cs="仿宋_GB2312"/>
                <w:kern w:val="0"/>
                <w:szCs w:val="21"/>
              </w:rPr>
              <w:t>4</w:t>
            </w:r>
          </w:p>
        </w:tc>
        <w:tc>
          <w:tcPr>
            <w:tcW w:w="756" w:type="dxa"/>
            <w:tcBorders>
              <w:top w:val="single" w:color="auto" w:sz="4" w:space="0"/>
              <w:left w:val="single" w:color="auto" w:sz="4" w:space="0"/>
              <w:bottom w:val="single" w:color="auto" w:sz="4" w:space="0"/>
              <w:right w:val="single" w:color="auto" w:sz="4" w:space="0"/>
            </w:tcBorders>
          </w:tcPr>
          <w:p w14:paraId="52187FDA">
            <w:pPr>
              <w:spacing w:line="380" w:lineRule="exact"/>
              <w:rPr>
                <w:rFonts w:ascii="宋体" w:hAnsi="宋体" w:cs="仿宋_GB2312"/>
                <w:bCs/>
                <w:kern w:val="0"/>
                <w:szCs w:val="21"/>
              </w:rPr>
            </w:pPr>
          </w:p>
        </w:tc>
      </w:tr>
      <w:tr w14:paraId="5E78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14:paraId="25E8E149">
            <w:pPr>
              <w:spacing w:line="380" w:lineRule="exact"/>
              <w:jc w:val="center"/>
              <w:rPr>
                <w:rFonts w:ascii="宋体" w:hAnsi="宋体" w:cs="仿宋_GB2312"/>
                <w:bCs/>
                <w:kern w:val="0"/>
                <w:szCs w:val="21"/>
              </w:rPr>
            </w:pPr>
            <w:r>
              <w:rPr>
                <w:rFonts w:hint="eastAsia" w:ascii="宋体" w:hAnsi="宋体" w:cs="仿宋_GB2312"/>
                <w:bCs/>
                <w:kern w:val="0"/>
                <w:szCs w:val="21"/>
              </w:rPr>
              <w:t>18</w:t>
            </w:r>
          </w:p>
        </w:tc>
        <w:tc>
          <w:tcPr>
            <w:tcW w:w="8494" w:type="dxa"/>
            <w:tcBorders>
              <w:top w:val="single" w:color="auto" w:sz="4" w:space="0"/>
              <w:left w:val="single" w:color="auto" w:sz="4" w:space="0"/>
              <w:bottom w:val="single" w:color="auto" w:sz="4" w:space="0"/>
              <w:right w:val="single" w:color="auto" w:sz="4" w:space="0"/>
            </w:tcBorders>
            <w:vAlign w:val="center"/>
          </w:tcPr>
          <w:p w14:paraId="0C93B9A2">
            <w:pPr>
              <w:spacing w:line="380" w:lineRule="exact"/>
              <w:jc w:val="left"/>
              <w:rPr>
                <w:rFonts w:ascii="宋体" w:hAnsi="宋体" w:cs="仿宋_GB2312"/>
                <w:kern w:val="0"/>
                <w:szCs w:val="21"/>
              </w:rPr>
            </w:pPr>
            <w:r>
              <w:rPr>
                <w:rFonts w:hint="eastAsia" w:ascii="宋体" w:hAnsi="宋体" w:cs="仿宋_GB2312"/>
                <w:kern w:val="0"/>
                <w:szCs w:val="21"/>
              </w:rPr>
              <w:t xml:space="preserve">现场监理员不能持证上岗的，每有1人无证的扣1分，扣完为止。 </w:t>
            </w:r>
          </w:p>
        </w:tc>
        <w:tc>
          <w:tcPr>
            <w:tcW w:w="720" w:type="dxa"/>
            <w:tcBorders>
              <w:top w:val="single" w:color="auto" w:sz="4" w:space="0"/>
              <w:left w:val="single" w:color="auto" w:sz="4" w:space="0"/>
              <w:bottom w:val="single" w:color="auto" w:sz="4" w:space="0"/>
              <w:right w:val="single" w:color="auto" w:sz="4" w:space="0"/>
            </w:tcBorders>
            <w:vAlign w:val="center"/>
          </w:tcPr>
          <w:p w14:paraId="54F4F33E">
            <w:pPr>
              <w:widowControl/>
              <w:spacing w:line="380" w:lineRule="exact"/>
              <w:jc w:val="center"/>
              <w:rPr>
                <w:rFonts w:ascii="宋体" w:hAnsi="宋体" w:cs="仿宋_GB2312"/>
                <w:kern w:val="0"/>
                <w:szCs w:val="21"/>
              </w:rPr>
            </w:pPr>
            <w:r>
              <w:rPr>
                <w:rFonts w:hint="eastAsia" w:ascii="宋体" w:hAnsi="宋体" w:cs="仿宋_GB2312"/>
                <w:kern w:val="0"/>
                <w:szCs w:val="21"/>
              </w:rPr>
              <w:t>4</w:t>
            </w:r>
          </w:p>
        </w:tc>
        <w:tc>
          <w:tcPr>
            <w:tcW w:w="756" w:type="dxa"/>
            <w:tcBorders>
              <w:top w:val="single" w:color="auto" w:sz="4" w:space="0"/>
              <w:left w:val="single" w:color="auto" w:sz="4" w:space="0"/>
              <w:bottom w:val="single" w:color="auto" w:sz="4" w:space="0"/>
              <w:right w:val="single" w:color="auto" w:sz="4" w:space="0"/>
            </w:tcBorders>
          </w:tcPr>
          <w:p w14:paraId="4F1509F5">
            <w:pPr>
              <w:spacing w:line="380" w:lineRule="exact"/>
              <w:rPr>
                <w:rFonts w:ascii="宋体" w:hAnsi="宋体" w:cs="仿宋_GB2312"/>
                <w:bCs/>
                <w:kern w:val="0"/>
                <w:szCs w:val="21"/>
              </w:rPr>
            </w:pPr>
          </w:p>
        </w:tc>
      </w:tr>
      <w:tr w14:paraId="6F23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tcPr>
          <w:p w14:paraId="5FA64FD1">
            <w:pPr>
              <w:spacing w:line="380" w:lineRule="exact"/>
              <w:jc w:val="center"/>
              <w:rPr>
                <w:rFonts w:ascii="宋体" w:hAnsi="宋体" w:cs="仿宋_GB2312"/>
                <w:bCs/>
                <w:kern w:val="0"/>
                <w:szCs w:val="21"/>
              </w:rPr>
            </w:pPr>
            <w:r>
              <w:rPr>
                <w:rFonts w:hint="eastAsia" w:ascii="宋体" w:hAnsi="宋体" w:cs="仿宋_GB2312"/>
                <w:bCs/>
                <w:kern w:val="0"/>
                <w:szCs w:val="21"/>
              </w:rPr>
              <w:t>19</w:t>
            </w:r>
          </w:p>
        </w:tc>
        <w:tc>
          <w:tcPr>
            <w:tcW w:w="8494" w:type="dxa"/>
            <w:tcBorders>
              <w:top w:val="single" w:color="auto" w:sz="4" w:space="0"/>
              <w:left w:val="single" w:color="auto" w:sz="4" w:space="0"/>
              <w:bottom w:val="single" w:color="auto" w:sz="4" w:space="0"/>
              <w:right w:val="single" w:color="auto" w:sz="4" w:space="0"/>
            </w:tcBorders>
            <w:vAlign w:val="center"/>
          </w:tcPr>
          <w:p w14:paraId="3B0D890E">
            <w:pPr>
              <w:spacing w:line="380" w:lineRule="exact"/>
              <w:jc w:val="left"/>
              <w:rPr>
                <w:rFonts w:ascii="宋体" w:hAnsi="宋体" w:cs="仿宋_GB2312"/>
                <w:kern w:val="0"/>
                <w:szCs w:val="21"/>
              </w:rPr>
            </w:pPr>
            <w:r>
              <w:rPr>
                <w:rFonts w:hint="eastAsia" w:ascii="宋体" w:hAnsi="宋体" w:cs="仿宋_GB2312"/>
                <w:kern w:val="0"/>
                <w:szCs w:val="21"/>
              </w:rPr>
              <w:t>监理工作流程不得当，不能对施工单位上报的问题及时答复、批复、反映的，扣3分。</w:t>
            </w:r>
          </w:p>
        </w:tc>
        <w:tc>
          <w:tcPr>
            <w:tcW w:w="720" w:type="dxa"/>
            <w:tcBorders>
              <w:top w:val="single" w:color="auto" w:sz="4" w:space="0"/>
              <w:left w:val="single" w:color="auto" w:sz="4" w:space="0"/>
              <w:bottom w:val="single" w:color="auto" w:sz="4" w:space="0"/>
              <w:right w:val="single" w:color="auto" w:sz="4" w:space="0"/>
            </w:tcBorders>
            <w:vAlign w:val="center"/>
          </w:tcPr>
          <w:p w14:paraId="7626F969">
            <w:pPr>
              <w:widowControl/>
              <w:spacing w:line="380" w:lineRule="exact"/>
              <w:jc w:val="center"/>
              <w:rPr>
                <w:rFonts w:ascii="宋体" w:hAnsi="宋体" w:cs="仿宋_GB2312"/>
                <w:kern w:val="0"/>
                <w:szCs w:val="21"/>
              </w:rPr>
            </w:pPr>
            <w:r>
              <w:rPr>
                <w:rFonts w:hint="eastAsia" w:ascii="宋体" w:hAnsi="宋体" w:cs="仿宋_GB2312"/>
                <w:kern w:val="0"/>
                <w:szCs w:val="21"/>
              </w:rPr>
              <w:t>3</w:t>
            </w:r>
          </w:p>
        </w:tc>
        <w:tc>
          <w:tcPr>
            <w:tcW w:w="756" w:type="dxa"/>
            <w:tcBorders>
              <w:top w:val="single" w:color="auto" w:sz="4" w:space="0"/>
              <w:left w:val="single" w:color="auto" w:sz="4" w:space="0"/>
              <w:bottom w:val="single" w:color="auto" w:sz="4" w:space="0"/>
              <w:right w:val="single" w:color="auto" w:sz="4" w:space="0"/>
            </w:tcBorders>
          </w:tcPr>
          <w:p w14:paraId="6F3A8890">
            <w:pPr>
              <w:spacing w:line="380" w:lineRule="exact"/>
              <w:rPr>
                <w:rFonts w:ascii="宋体" w:hAnsi="宋体" w:cs="仿宋_GB2312"/>
                <w:bCs/>
                <w:kern w:val="0"/>
                <w:szCs w:val="21"/>
              </w:rPr>
            </w:pPr>
          </w:p>
        </w:tc>
      </w:tr>
      <w:tr w14:paraId="365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top w:val="single" w:color="auto" w:sz="4" w:space="0"/>
              <w:left w:val="single" w:color="auto" w:sz="4" w:space="0"/>
              <w:bottom w:val="single" w:color="auto" w:sz="4" w:space="0"/>
              <w:right w:val="single" w:color="auto" w:sz="4" w:space="0"/>
            </w:tcBorders>
          </w:tcPr>
          <w:p w14:paraId="4E4DBB0C">
            <w:pPr>
              <w:spacing w:line="380" w:lineRule="exact"/>
              <w:jc w:val="center"/>
              <w:rPr>
                <w:rFonts w:ascii="宋体" w:hAnsi="宋体" w:cs="仿宋_GB2312"/>
                <w:bCs/>
                <w:kern w:val="0"/>
                <w:szCs w:val="21"/>
              </w:rPr>
            </w:pPr>
            <w:r>
              <w:rPr>
                <w:rFonts w:hint="eastAsia" w:ascii="宋体" w:hAnsi="宋体" w:cs="仿宋_GB2312"/>
                <w:bCs/>
                <w:kern w:val="0"/>
                <w:szCs w:val="21"/>
              </w:rPr>
              <w:t>20</w:t>
            </w:r>
          </w:p>
        </w:tc>
        <w:tc>
          <w:tcPr>
            <w:tcW w:w="8494" w:type="dxa"/>
            <w:tcBorders>
              <w:top w:val="single" w:color="auto" w:sz="4" w:space="0"/>
              <w:left w:val="single" w:color="auto" w:sz="4" w:space="0"/>
              <w:bottom w:val="single" w:color="auto" w:sz="4" w:space="0"/>
              <w:right w:val="single" w:color="auto" w:sz="4" w:space="0"/>
            </w:tcBorders>
            <w:vAlign w:val="center"/>
          </w:tcPr>
          <w:p w14:paraId="196CBD19">
            <w:pPr>
              <w:spacing w:line="380" w:lineRule="exact"/>
              <w:jc w:val="left"/>
              <w:rPr>
                <w:rFonts w:ascii="宋体" w:hAnsi="宋体" w:cs="仿宋_GB2312"/>
                <w:kern w:val="0"/>
                <w:szCs w:val="21"/>
              </w:rPr>
            </w:pPr>
            <w:r>
              <w:rPr>
                <w:rFonts w:hint="eastAsia" w:ascii="宋体" w:hAnsi="宋体" w:cs="仿宋_GB2312"/>
                <w:kern w:val="0"/>
                <w:szCs w:val="21"/>
              </w:rPr>
              <w:t>未严格控制主材的质量、规格、品种，造成质量事故的，扣5分。</w:t>
            </w:r>
          </w:p>
        </w:tc>
        <w:tc>
          <w:tcPr>
            <w:tcW w:w="720" w:type="dxa"/>
            <w:tcBorders>
              <w:top w:val="single" w:color="auto" w:sz="4" w:space="0"/>
              <w:left w:val="single" w:color="auto" w:sz="4" w:space="0"/>
              <w:bottom w:val="single" w:color="auto" w:sz="4" w:space="0"/>
              <w:right w:val="single" w:color="auto" w:sz="4" w:space="0"/>
            </w:tcBorders>
            <w:vAlign w:val="center"/>
          </w:tcPr>
          <w:p w14:paraId="4987683C">
            <w:pPr>
              <w:widowControl/>
              <w:spacing w:line="380" w:lineRule="exact"/>
              <w:jc w:val="center"/>
              <w:rPr>
                <w:rFonts w:ascii="宋体" w:hAnsi="宋体" w:cs="仿宋_GB2312"/>
                <w:kern w:val="0"/>
                <w:szCs w:val="21"/>
              </w:rPr>
            </w:pPr>
            <w:r>
              <w:rPr>
                <w:rFonts w:hint="eastAsia" w:ascii="宋体" w:hAnsi="宋体" w:cs="仿宋_GB2312"/>
                <w:kern w:val="0"/>
                <w:szCs w:val="21"/>
              </w:rPr>
              <w:t>5</w:t>
            </w:r>
          </w:p>
        </w:tc>
        <w:tc>
          <w:tcPr>
            <w:tcW w:w="756" w:type="dxa"/>
            <w:tcBorders>
              <w:top w:val="single" w:color="auto" w:sz="4" w:space="0"/>
              <w:left w:val="single" w:color="auto" w:sz="4" w:space="0"/>
              <w:bottom w:val="single" w:color="auto" w:sz="4" w:space="0"/>
              <w:right w:val="single" w:color="auto" w:sz="4" w:space="0"/>
            </w:tcBorders>
          </w:tcPr>
          <w:p w14:paraId="285FBDBC">
            <w:pPr>
              <w:spacing w:line="380" w:lineRule="exact"/>
              <w:rPr>
                <w:rFonts w:ascii="宋体" w:hAnsi="宋体" w:cs="仿宋_GB2312"/>
                <w:bCs/>
                <w:kern w:val="0"/>
                <w:szCs w:val="21"/>
              </w:rPr>
            </w:pPr>
          </w:p>
        </w:tc>
      </w:tr>
      <w:tr w14:paraId="26FB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5" w:type="dxa"/>
            <w:tcBorders>
              <w:top w:val="single" w:color="auto" w:sz="4" w:space="0"/>
              <w:left w:val="single" w:color="auto" w:sz="4" w:space="0"/>
              <w:bottom w:val="single" w:color="auto" w:sz="4" w:space="0"/>
              <w:right w:val="single" w:color="auto" w:sz="4" w:space="0"/>
            </w:tcBorders>
          </w:tcPr>
          <w:p w14:paraId="0331E65B">
            <w:pPr>
              <w:spacing w:line="380" w:lineRule="exact"/>
              <w:rPr>
                <w:rFonts w:ascii="宋体" w:hAnsi="宋体" w:cs="仿宋_GB2312"/>
                <w:bCs/>
                <w:kern w:val="0"/>
                <w:szCs w:val="21"/>
              </w:rPr>
            </w:pPr>
          </w:p>
        </w:tc>
        <w:tc>
          <w:tcPr>
            <w:tcW w:w="8494" w:type="dxa"/>
            <w:tcBorders>
              <w:top w:val="single" w:color="auto" w:sz="4" w:space="0"/>
              <w:left w:val="single" w:color="auto" w:sz="4" w:space="0"/>
              <w:bottom w:val="single" w:color="auto" w:sz="4" w:space="0"/>
              <w:right w:val="single" w:color="auto" w:sz="4" w:space="0"/>
            </w:tcBorders>
            <w:vAlign w:val="center"/>
          </w:tcPr>
          <w:p w14:paraId="073EED93">
            <w:pPr>
              <w:spacing w:line="380" w:lineRule="exact"/>
              <w:jc w:val="center"/>
              <w:rPr>
                <w:rFonts w:ascii="宋体" w:hAnsi="宋体" w:cs="仿宋_GB2312"/>
                <w:kern w:val="0"/>
                <w:szCs w:val="21"/>
              </w:rPr>
            </w:pPr>
            <w:r>
              <w:rPr>
                <w:rFonts w:hint="eastAsia" w:ascii="宋体" w:hAnsi="宋体" w:cs="仿宋_GB2312"/>
                <w:kern w:val="0"/>
                <w:szCs w:val="21"/>
              </w:rPr>
              <w:t>合      计</w:t>
            </w:r>
          </w:p>
        </w:tc>
        <w:tc>
          <w:tcPr>
            <w:tcW w:w="720" w:type="dxa"/>
            <w:tcBorders>
              <w:top w:val="single" w:color="auto" w:sz="4" w:space="0"/>
              <w:left w:val="single" w:color="auto" w:sz="4" w:space="0"/>
              <w:bottom w:val="single" w:color="auto" w:sz="4" w:space="0"/>
              <w:right w:val="single" w:color="auto" w:sz="4" w:space="0"/>
            </w:tcBorders>
            <w:vAlign w:val="center"/>
          </w:tcPr>
          <w:p w14:paraId="43936959">
            <w:pPr>
              <w:widowControl/>
              <w:spacing w:line="380" w:lineRule="exact"/>
              <w:jc w:val="center"/>
              <w:rPr>
                <w:rFonts w:ascii="宋体" w:hAnsi="宋体" w:cs="仿宋_GB2312"/>
                <w:kern w:val="0"/>
                <w:szCs w:val="21"/>
              </w:rPr>
            </w:pPr>
            <w:r>
              <w:rPr>
                <w:rFonts w:hint="eastAsia" w:ascii="宋体" w:hAnsi="宋体" w:cs="仿宋_GB2312"/>
                <w:kern w:val="0"/>
                <w:szCs w:val="21"/>
              </w:rPr>
              <w:fldChar w:fldCharType="begin"/>
            </w:r>
            <w:r>
              <w:rPr>
                <w:rFonts w:hint="eastAsia" w:ascii="宋体" w:hAnsi="宋体" w:cs="仿宋_GB2312"/>
                <w:kern w:val="0"/>
                <w:szCs w:val="21"/>
              </w:rPr>
              <w:instrText xml:space="preserve"> =SUM(ABOVE) </w:instrText>
            </w:r>
            <w:r>
              <w:rPr>
                <w:rFonts w:hint="eastAsia" w:ascii="宋体" w:hAnsi="宋体" w:cs="仿宋_GB2312"/>
                <w:kern w:val="0"/>
                <w:szCs w:val="21"/>
              </w:rPr>
              <w:fldChar w:fldCharType="separate"/>
            </w:r>
            <w:r>
              <w:rPr>
                <w:rFonts w:hint="eastAsia" w:ascii="宋体" w:hAnsi="宋体" w:cs="仿宋_GB2312"/>
                <w:kern w:val="0"/>
                <w:szCs w:val="21"/>
              </w:rPr>
              <w:t>100</w:t>
            </w:r>
            <w:r>
              <w:rPr>
                <w:rFonts w:hint="eastAsia" w:ascii="宋体" w:hAnsi="宋体" w:cs="仿宋_GB2312"/>
                <w:kern w:val="0"/>
                <w:szCs w:val="21"/>
              </w:rPr>
              <w:fldChar w:fldCharType="end"/>
            </w:r>
          </w:p>
        </w:tc>
        <w:tc>
          <w:tcPr>
            <w:tcW w:w="756" w:type="dxa"/>
            <w:tcBorders>
              <w:top w:val="single" w:color="auto" w:sz="4" w:space="0"/>
              <w:left w:val="single" w:color="auto" w:sz="4" w:space="0"/>
              <w:bottom w:val="single" w:color="auto" w:sz="4" w:space="0"/>
              <w:right w:val="single" w:color="auto" w:sz="4" w:space="0"/>
            </w:tcBorders>
          </w:tcPr>
          <w:p w14:paraId="6C305156">
            <w:pPr>
              <w:spacing w:line="380" w:lineRule="exact"/>
              <w:rPr>
                <w:rFonts w:ascii="宋体" w:hAnsi="宋体" w:cs="仿宋_GB2312"/>
                <w:bCs/>
                <w:kern w:val="0"/>
                <w:szCs w:val="21"/>
              </w:rPr>
            </w:pPr>
          </w:p>
        </w:tc>
      </w:tr>
    </w:tbl>
    <w:p w14:paraId="09C72560">
      <w:pPr>
        <w:spacing w:line="560" w:lineRule="exact"/>
        <w:rPr>
          <w:rFonts w:ascii="宋体" w:hAnsi="宋体" w:cs="仿宋_GB2312"/>
          <w:sz w:val="28"/>
          <w:szCs w:val="28"/>
        </w:rPr>
      </w:pPr>
      <w:r>
        <w:rPr>
          <w:rFonts w:hint="eastAsia" w:ascii="宋体" w:hAnsi="宋体" w:cs="仿宋_GB2312"/>
          <w:sz w:val="28"/>
          <w:szCs w:val="28"/>
        </w:rPr>
        <w:t>总监理工程师签字：             业主代表签字：              考核时间：</w:t>
      </w:r>
    </w:p>
    <w:p w14:paraId="1608E855">
      <w:pPr>
        <w:spacing w:line="400" w:lineRule="exact"/>
        <w:rPr>
          <w:rFonts w:ascii="宋体" w:hAnsi="宋体" w:cs="仿宋_GB2312"/>
          <w:bCs/>
          <w:sz w:val="28"/>
          <w:szCs w:val="28"/>
        </w:rPr>
      </w:pPr>
    </w:p>
    <w:p w14:paraId="19B88F73">
      <w:pPr>
        <w:spacing w:line="400" w:lineRule="exact"/>
        <w:rPr>
          <w:rFonts w:ascii="宋体" w:hAnsi="宋体" w:cs="仿宋_GB2312"/>
          <w:bCs/>
          <w:sz w:val="28"/>
          <w:szCs w:val="28"/>
        </w:rPr>
      </w:pPr>
    </w:p>
    <w:p w14:paraId="65DF94AB">
      <w:pPr>
        <w:spacing w:line="400" w:lineRule="exact"/>
        <w:rPr>
          <w:rFonts w:ascii="宋体" w:hAnsi="宋体" w:cs="仿宋_GB2312"/>
          <w:bCs/>
          <w:sz w:val="28"/>
          <w:szCs w:val="28"/>
        </w:rPr>
      </w:pPr>
    </w:p>
    <w:p w14:paraId="4EA68B25">
      <w:pPr>
        <w:spacing w:line="400" w:lineRule="exact"/>
        <w:rPr>
          <w:rFonts w:ascii="宋体" w:hAnsi="宋体" w:cs="仿宋_GB2312"/>
          <w:bCs/>
          <w:sz w:val="28"/>
          <w:szCs w:val="28"/>
        </w:rPr>
      </w:pPr>
    </w:p>
    <w:p w14:paraId="3756C05A">
      <w:pPr>
        <w:pStyle w:val="3"/>
      </w:pPr>
    </w:p>
    <w:p w14:paraId="330DAEDB">
      <w:pPr>
        <w:pStyle w:val="3"/>
      </w:pPr>
      <w:r>
        <w:rPr>
          <w:rFonts w:hint="eastAsia"/>
        </w:rPr>
        <w:t xml:space="preserve">第四章  </w:t>
      </w:r>
      <w:bookmarkStart w:id="43" w:name="合同附件格式"/>
      <w:r>
        <w:rPr>
          <w:rFonts w:hint="eastAsia"/>
        </w:rPr>
        <w:t>合同附件格式（无）</w:t>
      </w:r>
      <w:bookmarkEnd w:id="25"/>
      <w:bookmarkEnd w:id="43"/>
    </w:p>
    <w:p w14:paraId="29B1AB05">
      <w:pPr>
        <w:rPr>
          <w:rFonts w:ascii="宋体" w:hAnsi="宋体"/>
          <w:color w:val="000000"/>
        </w:rPr>
      </w:pPr>
    </w:p>
    <w:p w14:paraId="3E14431F">
      <w:pPr>
        <w:rPr>
          <w:rFonts w:ascii="宋体" w:hAnsi="宋体"/>
          <w:color w:val="000000"/>
        </w:rPr>
      </w:pPr>
    </w:p>
    <w:p w14:paraId="3C776499">
      <w:pPr>
        <w:rPr>
          <w:rFonts w:ascii="宋体" w:hAnsi="宋体"/>
          <w:color w:val="000000"/>
        </w:rPr>
      </w:pPr>
    </w:p>
    <w:p w14:paraId="24910082">
      <w:pPr>
        <w:rPr>
          <w:rFonts w:ascii="宋体" w:hAnsi="宋体"/>
          <w:color w:val="000000"/>
        </w:rPr>
      </w:pPr>
    </w:p>
    <w:p w14:paraId="13D2CF11">
      <w:pPr>
        <w:rPr>
          <w:rFonts w:ascii="宋体" w:hAnsi="宋体"/>
          <w:color w:val="000000"/>
        </w:rPr>
      </w:pPr>
    </w:p>
    <w:p w14:paraId="207754C6">
      <w:pPr>
        <w:rPr>
          <w:rFonts w:ascii="宋体" w:hAnsi="宋体"/>
          <w:color w:val="000000"/>
        </w:rPr>
      </w:pPr>
    </w:p>
    <w:p w14:paraId="3D50B9F0">
      <w:pPr>
        <w:rPr>
          <w:rFonts w:ascii="宋体" w:hAnsi="宋体"/>
          <w:color w:val="000000"/>
        </w:rPr>
      </w:pPr>
    </w:p>
    <w:p w14:paraId="68125D2F">
      <w:pPr>
        <w:rPr>
          <w:rFonts w:ascii="宋体" w:hAnsi="宋体"/>
          <w:color w:val="000000"/>
        </w:rPr>
      </w:pPr>
    </w:p>
    <w:p w14:paraId="5A66148D">
      <w:pPr>
        <w:rPr>
          <w:rFonts w:ascii="宋体" w:hAnsi="宋体"/>
          <w:color w:val="000000"/>
        </w:rPr>
      </w:pPr>
    </w:p>
    <w:p w14:paraId="7161E8FC">
      <w:pPr>
        <w:rPr>
          <w:rFonts w:ascii="宋体" w:hAnsi="宋体"/>
          <w:color w:val="000000"/>
        </w:rPr>
      </w:pPr>
    </w:p>
    <w:p w14:paraId="28B707D2">
      <w:pPr>
        <w:rPr>
          <w:rFonts w:ascii="宋体" w:hAnsi="宋体"/>
          <w:color w:val="000000"/>
        </w:rPr>
      </w:pPr>
    </w:p>
    <w:p w14:paraId="51618C63">
      <w:pPr>
        <w:rPr>
          <w:rFonts w:ascii="宋体" w:hAnsi="宋体"/>
          <w:color w:val="000000"/>
        </w:rPr>
      </w:pPr>
    </w:p>
    <w:p w14:paraId="0DA61C0F">
      <w:pPr>
        <w:rPr>
          <w:rFonts w:ascii="宋体" w:hAnsi="宋体"/>
          <w:color w:val="000000"/>
        </w:rPr>
      </w:pPr>
    </w:p>
    <w:p w14:paraId="33552FE8">
      <w:pPr>
        <w:rPr>
          <w:rFonts w:ascii="宋体" w:hAnsi="宋体"/>
          <w:color w:val="000000"/>
        </w:rPr>
      </w:pPr>
    </w:p>
    <w:p w14:paraId="473B76FA">
      <w:pPr>
        <w:rPr>
          <w:rFonts w:ascii="宋体" w:hAnsi="宋体"/>
          <w:color w:val="000000"/>
        </w:rPr>
      </w:pPr>
    </w:p>
    <w:p w14:paraId="3C7FBEC1">
      <w:pPr>
        <w:rPr>
          <w:rFonts w:ascii="宋体" w:hAnsi="宋体"/>
          <w:color w:val="000000"/>
        </w:rPr>
      </w:pPr>
    </w:p>
    <w:p w14:paraId="3EC1E093">
      <w:pPr>
        <w:pStyle w:val="16"/>
        <w:rPr>
          <w:rFonts w:ascii="宋体" w:hAnsi="宋体"/>
          <w:color w:val="000000"/>
        </w:rPr>
      </w:pPr>
    </w:p>
    <w:p w14:paraId="5A5C4D5C">
      <w:pPr>
        <w:rPr>
          <w:rFonts w:ascii="宋体" w:hAnsi="宋体"/>
          <w:color w:val="000000"/>
        </w:rPr>
      </w:pPr>
    </w:p>
    <w:p w14:paraId="25598FE7">
      <w:pPr>
        <w:pStyle w:val="16"/>
        <w:rPr>
          <w:rFonts w:ascii="宋体" w:hAnsi="宋体"/>
          <w:color w:val="000000"/>
        </w:rPr>
      </w:pPr>
    </w:p>
    <w:p w14:paraId="5C96D75D">
      <w:pPr>
        <w:rPr>
          <w:rFonts w:ascii="宋体" w:hAnsi="宋体"/>
          <w:color w:val="000000"/>
        </w:rPr>
      </w:pPr>
    </w:p>
    <w:p w14:paraId="1933DDE7">
      <w:pPr>
        <w:rPr>
          <w:rFonts w:ascii="宋体" w:hAnsi="宋体"/>
          <w:color w:val="000000"/>
        </w:rPr>
      </w:pPr>
    </w:p>
    <w:p w14:paraId="71C39A47">
      <w:pPr>
        <w:widowControl/>
        <w:jc w:val="left"/>
        <w:rPr>
          <w:rFonts w:ascii="黑体" w:hAnsi="黑体" w:eastAsia="新宋体"/>
          <w:b/>
          <w:kern w:val="0"/>
          <w:sz w:val="32"/>
          <w:szCs w:val="20"/>
        </w:rPr>
      </w:pPr>
      <w:bookmarkStart w:id="44" w:name="_Toc84868041"/>
      <w:r>
        <w:br w:type="page"/>
      </w:r>
    </w:p>
    <w:p w14:paraId="15D7FCD7">
      <w:pPr>
        <w:pStyle w:val="3"/>
      </w:pPr>
      <w:r>
        <w:rPr>
          <w:rFonts w:hint="eastAsia"/>
        </w:rPr>
        <w:t xml:space="preserve">第五章  </w:t>
      </w:r>
      <w:bookmarkStart w:id="45" w:name="OLE_LINK31"/>
      <w:bookmarkStart w:id="46" w:name="OLE_LINK32"/>
      <w:r>
        <w:rPr>
          <w:rFonts w:hint="eastAsia"/>
        </w:rPr>
        <w:t>投标文件格式</w:t>
      </w:r>
      <w:bookmarkEnd w:id="44"/>
    </w:p>
    <w:p w14:paraId="10D09AC9">
      <w:pPr>
        <w:rPr>
          <w:rFonts w:ascii="宋体" w:hAnsi="宋体"/>
          <w:color w:val="000000"/>
        </w:rPr>
      </w:pPr>
    </w:p>
    <w:p w14:paraId="60F335DB">
      <w:pPr>
        <w:ind w:firstLine="158" w:firstLineChars="49"/>
        <w:jc w:val="center"/>
        <w:rPr>
          <w:rFonts w:ascii="宋体" w:hAnsi="宋体"/>
          <w:color w:val="000000"/>
          <w:w w:val="90"/>
          <w:sz w:val="36"/>
          <w:szCs w:val="36"/>
          <w:u w:val="single"/>
        </w:rPr>
      </w:pPr>
    </w:p>
    <w:p w14:paraId="31BC2908">
      <w:pPr>
        <w:ind w:firstLine="158" w:firstLineChars="49"/>
        <w:jc w:val="center"/>
        <w:rPr>
          <w:rFonts w:ascii="宋体" w:hAnsi="宋体"/>
          <w:color w:val="000000"/>
          <w:w w:val="90"/>
          <w:sz w:val="36"/>
          <w:szCs w:val="36"/>
          <w:u w:val="single"/>
        </w:rPr>
      </w:pPr>
    </w:p>
    <w:p w14:paraId="56A83003">
      <w:pPr>
        <w:ind w:firstLine="158" w:firstLineChars="49"/>
        <w:jc w:val="center"/>
        <w:rPr>
          <w:rFonts w:ascii="宋体" w:hAnsi="宋体"/>
          <w:color w:val="000000"/>
          <w:w w:val="90"/>
          <w:sz w:val="36"/>
          <w:szCs w:val="36"/>
          <w:u w:val="single"/>
        </w:rPr>
      </w:pPr>
      <w:r>
        <w:rPr>
          <w:rFonts w:hint="eastAsia" w:ascii="宋体" w:hAnsi="宋体"/>
          <w:color w:val="000000"/>
          <w:w w:val="90"/>
          <w:sz w:val="36"/>
          <w:szCs w:val="36"/>
          <w:u w:val="single"/>
        </w:rPr>
        <w:t xml:space="preserve">                       </w:t>
      </w:r>
      <w:r>
        <w:rPr>
          <w:rStyle w:val="44"/>
          <w:rFonts w:hint="eastAsia"/>
          <w:b/>
          <w:sz w:val="32"/>
          <w:szCs w:val="32"/>
        </w:rPr>
        <w:t>（项目名称）</w:t>
      </w:r>
    </w:p>
    <w:p w14:paraId="71E3E7B2">
      <w:pPr>
        <w:ind w:firstLine="158" w:firstLineChars="49"/>
        <w:jc w:val="center"/>
        <w:rPr>
          <w:rFonts w:ascii="宋体" w:hAnsi="宋体"/>
          <w:color w:val="000000"/>
          <w:w w:val="90"/>
          <w:sz w:val="36"/>
          <w:szCs w:val="36"/>
        </w:rPr>
      </w:pPr>
    </w:p>
    <w:p w14:paraId="388631FC">
      <w:pPr>
        <w:rPr>
          <w:rFonts w:ascii="宋体" w:hAnsi="宋体"/>
          <w:color w:val="000000"/>
          <w:w w:val="90"/>
          <w:sz w:val="36"/>
          <w:szCs w:val="36"/>
        </w:rPr>
      </w:pPr>
    </w:p>
    <w:p w14:paraId="72EBDCDC">
      <w:pPr>
        <w:jc w:val="center"/>
        <w:rPr>
          <w:rFonts w:ascii="宋体" w:hAnsi="宋体"/>
          <w:color w:val="000000"/>
          <w:sz w:val="52"/>
          <w:szCs w:val="52"/>
        </w:rPr>
      </w:pPr>
      <w:r>
        <w:rPr>
          <w:rFonts w:hint="eastAsia" w:ascii="宋体" w:hAnsi="宋体"/>
          <w:color w:val="000000"/>
          <w:sz w:val="52"/>
          <w:szCs w:val="52"/>
        </w:rPr>
        <w:t>投  标  文  件</w:t>
      </w:r>
    </w:p>
    <w:p w14:paraId="3EF35F83">
      <w:pPr>
        <w:rPr>
          <w:rFonts w:ascii="宋体" w:hAnsi="宋体"/>
          <w:color w:val="000000"/>
          <w:sz w:val="28"/>
          <w:szCs w:val="28"/>
        </w:rPr>
      </w:pPr>
    </w:p>
    <w:p w14:paraId="53F583EA">
      <w:pPr>
        <w:rPr>
          <w:rFonts w:ascii="宋体" w:hAnsi="宋体"/>
          <w:color w:val="000000"/>
          <w:sz w:val="28"/>
          <w:szCs w:val="28"/>
        </w:rPr>
      </w:pPr>
    </w:p>
    <w:p w14:paraId="638FA81D">
      <w:pPr>
        <w:rPr>
          <w:rFonts w:ascii="宋体" w:hAnsi="宋体"/>
          <w:color w:val="000000"/>
          <w:sz w:val="28"/>
          <w:szCs w:val="28"/>
        </w:rPr>
      </w:pPr>
    </w:p>
    <w:p w14:paraId="3F2430BE">
      <w:pPr>
        <w:rPr>
          <w:rFonts w:ascii="宋体" w:hAnsi="宋体"/>
          <w:color w:val="000000"/>
          <w:sz w:val="28"/>
          <w:szCs w:val="28"/>
        </w:rPr>
      </w:pPr>
    </w:p>
    <w:p w14:paraId="0F3C53C8">
      <w:pPr>
        <w:rPr>
          <w:rFonts w:ascii="宋体" w:hAnsi="宋体"/>
          <w:color w:val="000000"/>
          <w:sz w:val="28"/>
          <w:szCs w:val="28"/>
        </w:rPr>
      </w:pPr>
    </w:p>
    <w:p w14:paraId="0B9E654A">
      <w:pPr>
        <w:pStyle w:val="16"/>
      </w:pPr>
    </w:p>
    <w:p w14:paraId="607C3408">
      <w:pPr>
        <w:rPr>
          <w:rFonts w:ascii="宋体" w:hAnsi="宋体"/>
          <w:color w:val="000000"/>
          <w:sz w:val="28"/>
          <w:szCs w:val="28"/>
        </w:rPr>
      </w:pPr>
    </w:p>
    <w:p w14:paraId="2179919C">
      <w:pPr>
        <w:jc w:val="center"/>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（盖单位公章）</w:t>
      </w:r>
    </w:p>
    <w:p w14:paraId="2ABB5270">
      <w:pPr>
        <w:rPr>
          <w:rFonts w:ascii="宋体" w:hAnsi="宋体"/>
          <w:color w:val="000000"/>
          <w:sz w:val="28"/>
          <w:szCs w:val="28"/>
        </w:rPr>
      </w:pPr>
    </w:p>
    <w:p w14:paraId="3DA137A2">
      <w:pPr>
        <w:jc w:val="center"/>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4"/>
        </w:rPr>
        <w:t>签字或盖章</w:t>
      </w:r>
      <w:r>
        <w:rPr>
          <w:rFonts w:hint="eastAsia" w:ascii="宋体" w:hAnsi="宋体"/>
          <w:color w:val="000000"/>
          <w:sz w:val="28"/>
          <w:szCs w:val="28"/>
        </w:rPr>
        <w:t>）</w:t>
      </w:r>
    </w:p>
    <w:p w14:paraId="58E0D199">
      <w:pPr>
        <w:rPr>
          <w:rFonts w:ascii="宋体" w:hAnsi="宋体"/>
          <w:color w:val="000000"/>
          <w:sz w:val="28"/>
          <w:szCs w:val="28"/>
        </w:rPr>
      </w:pPr>
    </w:p>
    <w:p w14:paraId="6C11B00B">
      <w:pPr>
        <w:rPr>
          <w:rFonts w:ascii="宋体" w:hAnsi="宋体"/>
          <w:color w:val="000000"/>
          <w:sz w:val="28"/>
          <w:szCs w:val="28"/>
        </w:rPr>
      </w:pPr>
    </w:p>
    <w:p w14:paraId="10CA95EE">
      <w:pPr>
        <w:tabs>
          <w:tab w:val="left" w:pos="3815"/>
          <w:tab w:val="center" w:pos="4153"/>
        </w:tabs>
        <w:ind w:firstLine="2772" w:firstLineChars="990"/>
        <w:jc w:val="left"/>
        <w:rPr>
          <w:rFonts w:ascii="宋体" w:hAnsi="宋体"/>
          <w:color w:val="000000"/>
          <w:sz w:val="28"/>
          <w:szCs w:val="28"/>
        </w:rPr>
      </w:pPr>
      <w:r>
        <w:rPr>
          <w:rFonts w:ascii="宋体" w:hAnsi="宋体"/>
          <w:color w:val="000000"/>
          <w:sz w:val="28"/>
          <w:szCs w:val="28"/>
          <w:u w:val="single"/>
        </w:rPr>
        <w:tab/>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 xml:space="preserve">月 </w:t>
      </w:r>
      <w:r>
        <w:rPr>
          <w:rFonts w:hint="eastAsia" w:ascii="宋体" w:hAnsi="宋体"/>
          <w:color w:val="000000"/>
          <w:sz w:val="28"/>
          <w:szCs w:val="28"/>
          <w:u w:val="single"/>
        </w:rPr>
        <w:t xml:space="preserve">    </w:t>
      </w:r>
      <w:r>
        <w:rPr>
          <w:rFonts w:hint="eastAsia" w:ascii="宋体" w:hAnsi="宋体"/>
          <w:color w:val="000000"/>
          <w:sz w:val="28"/>
          <w:szCs w:val="28"/>
        </w:rPr>
        <w:t>日</w:t>
      </w:r>
    </w:p>
    <w:p w14:paraId="581C8C3A">
      <w:pPr>
        <w:spacing w:line="400" w:lineRule="exact"/>
        <w:jc w:val="center"/>
        <w:rPr>
          <w:rFonts w:ascii="宋体" w:hAnsi="宋体"/>
          <w:color w:val="000000"/>
          <w:sz w:val="28"/>
          <w:szCs w:val="28"/>
        </w:rPr>
      </w:pPr>
    </w:p>
    <w:p w14:paraId="091F4471">
      <w:pPr>
        <w:spacing w:line="400" w:lineRule="exact"/>
        <w:jc w:val="center"/>
        <w:rPr>
          <w:rFonts w:ascii="宋体" w:hAnsi="宋体"/>
          <w:color w:val="000000"/>
          <w:sz w:val="28"/>
          <w:szCs w:val="28"/>
        </w:rPr>
      </w:pPr>
    </w:p>
    <w:p w14:paraId="1BDC9618">
      <w:pPr>
        <w:spacing w:line="400" w:lineRule="exact"/>
        <w:jc w:val="center"/>
        <w:rPr>
          <w:rFonts w:ascii="宋体" w:hAnsi="宋体"/>
          <w:b/>
          <w:color w:val="000000"/>
          <w:sz w:val="32"/>
          <w:szCs w:val="32"/>
        </w:rPr>
      </w:pPr>
    </w:p>
    <w:p w14:paraId="024197D2">
      <w:pPr>
        <w:spacing w:line="400" w:lineRule="exact"/>
        <w:jc w:val="center"/>
        <w:rPr>
          <w:rFonts w:ascii="宋体" w:hAnsi="宋体"/>
          <w:b/>
          <w:color w:val="000000"/>
          <w:sz w:val="32"/>
          <w:szCs w:val="32"/>
        </w:rPr>
      </w:pPr>
      <w:r>
        <w:rPr>
          <w:rFonts w:hint="eastAsia" w:ascii="宋体" w:hAnsi="宋体"/>
          <w:b/>
          <w:color w:val="000000"/>
          <w:sz w:val="32"/>
          <w:szCs w:val="32"/>
        </w:rPr>
        <w:t>开标一览表（格式）</w:t>
      </w:r>
    </w:p>
    <w:p w14:paraId="38BA8B0D">
      <w:pPr>
        <w:spacing w:line="600" w:lineRule="exact"/>
        <w:jc w:val="center"/>
        <w:rPr>
          <w:rFonts w:hAnsi="宋体"/>
          <w:b/>
          <w:sz w:val="32"/>
          <w:szCs w:val="32"/>
        </w:rPr>
      </w:pPr>
    </w:p>
    <w:tbl>
      <w:tblPr>
        <w:tblStyle w:val="3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052"/>
      </w:tblGrid>
      <w:tr w14:paraId="30E7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exact"/>
        </w:trPr>
        <w:tc>
          <w:tcPr>
            <w:tcW w:w="2802" w:type="dxa"/>
            <w:vAlign w:val="center"/>
          </w:tcPr>
          <w:p w14:paraId="65292773">
            <w:pPr>
              <w:spacing w:line="480" w:lineRule="auto"/>
              <w:jc w:val="center"/>
              <w:rPr>
                <w:rFonts w:hAnsi="宋体"/>
                <w:color w:val="000000"/>
                <w:sz w:val="28"/>
                <w:szCs w:val="28"/>
              </w:rPr>
            </w:pPr>
            <w:r>
              <w:rPr>
                <w:rFonts w:hint="eastAsia" w:hAnsi="宋体"/>
                <w:color w:val="000000"/>
                <w:sz w:val="28"/>
                <w:szCs w:val="28"/>
              </w:rPr>
              <w:t>项目名称</w:t>
            </w:r>
          </w:p>
        </w:tc>
        <w:tc>
          <w:tcPr>
            <w:tcW w:w="7052" w:type="dxa"/>
            <w:vAlign w:val="center"/>
          </w:tcPr>
          <w:p w14:paraId="6857D7A7">
            <w:pPr>
              <w:spacing w:line="48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项目</w:t>
            </w:r>
          </w:p>
        </w:tc>
      </w:tr>
      <w:tr w14:paraId="01A3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2802" w:type="dxa"/>
            <w:vAlign w:val="center"/>
          </w:tcPr>
          <w:p w14:paraId="47768CA8">
            <w:pPr>
              <w:spacing w:line="480" w:lineRule="auto"/>
              <w:jc w:val="center"/>
              <w:rPr>
                <w:rFonts w:hAnsi="宋体"/>
                <w:color w:val="000000"/>
                <w:sz w:val="28"/>
                <w:szCs w:val="28"/>
              </w:rPr>
            </w:pPr>
            <w:r>
              <w:rPr>
                <w:rFonts w:hint="eastAsia" w:hAnsi="宋体"/>
                <w:color w:val="000000"/>
                <w:sz w:val="28"/>
                <w:szCs w:val="28"/>
              </w:rPr>
              <w:t>项目编号</w:t>
            </w:r>
          </w:p>
        </w:tc>
        <w:tc>
          <w:tcPr>
            <w:tcW w:w="7052" w:type="dxa"/>
            <w:vAlign w:val="center"/>
          </w:tcPr>
          <w:p w14:paraId="530B4DB2">
            <w:pPr>
              <w:spacing w:line="480" w:lineRule="auto"/>
              <w:jc w:val="center"/>
              <w:rPr>
                <w:rFonts w:ascii="宋体" w:hAnsi="宋体"/>
                <w:sz w:val="28"/>
                <w:szCs w:val="28"/>
              </w:rPr>
            </w:pPr>
          </w:p>
        </w:tc>
      </w:tr>
      <w:tr w14:paraId="5636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trPr>
        <w:tc>
          <w:tcPr>
            <w:tcW w:w="2802" w:type="dxa"/>
            <w:vAlign w:val="center"/>
          </w:tcPr>
          <w:p w14:paraId="63611166">
            <w:pPr>
              <w:spacing w:line="480" w:lineRule="auto"/>
              <w:jc w:val="center"/>
              <w:rPr>
                <w:rFonts w:hAnsi="宋体"/>
                <w:color w:val="000000"/>
                <w:sz w:val="28"/>
                <w:szCs w:val="28"/>
              </w:rPr>
            </w:pPr>
            <w:r>
              <w:rPr>
                <w:rFonts w:hint="eastAsia" w:hAnsi="宋体"/>
                <w:color w:val="000000"/>
                <w:sz w:val="28"/>
                <w:szCs w:val="28"/>
              </w:rPr>
              <w:t>投标人名称</w:t>
            </w:r>
          </w:p>
        </w:tc>
        <w:tc>
          <w:tcPr>
            <w:tcW w:w="7052" w:type="dxa"/>
            <w:vAlign w:val="center"/>
          </w:tcPr>
          <w:p w14:paraId="7FA07E10">
            <w:pPr>
              <w:pStyle w:val="20"/>
              <w:spacing w:line="480" w:lineRule="auto"/>
              <w:ind w:left="86" w:leftChars="41"/>
              <w:jc w:val="center"/>
              <w:rPr>
                <w:rFonts w:ascii="宋体" w:hAnsi="宋体"/>
                <w:sz w:val="28"/>
                <w:szCs w:val="28"/>
              </w:rPr>
            </w:pPr>
          </w:p>
        </w:tc>
      </w:tr>
      <w:tr w14:paraId="6E77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trPr>
        <w:tc>
          <w:tcPr>
            <w:tcW w:w="2802" w:type="dxa"/>
            <w:vAlign w:val="center"/>
          </w:tcPr>
          <w:p w14:paraId="762158DF">
            <w:pPr>
              <w:spacing w:line="480" w:lineRule="auto"/>
              <w:jc w:val="center"/>
              <w:rPr>
                <w:rFonts w:hAnsi="宋体"/>
                <w:color w:val="FF0000"/>
                <w:sz w:val="28"/>
                <w:szCs w:val="28"/>
              </w:rPr>
            </w:pPr>
            <w:r>
              <w:rPr>
                <w:rFonts w:hint="eastAsia" w:hAnsi="宋体"/>
                <w:color w:val="FF0000"/>
                <w:sz w:val="28"/>
                <w:szCs w:val="28"/>
              </w:rPr>
              <w:t>投标报价（人民币）</w:t>
            </w:r>
          </w:p>
        </w:tc>
        <w:tc>
          <w:tcPr>
            <w:tcW w:w="7052" w:type="dxa"/>
            <w:vAlign w:val="center"/>
          </w:tcPr>
          <w:p w14:paraId="5C5CFE45">
            <w:pPr>
              <w:spacing w:line="600" w:lineRule="exact"/>
              <w:rPr>
                <w:rFonts w:ascii="新宋体" w:hAnsi="新宋体" w:eastAsia="新宋体"/>
                <w:color w:val="FF0000"/>
                <w:szCs w:val="28"/>
              </w:rPr>
            </w:pPr>
            <w:r>
              <w:rPr>
                <w:rFonts w:hint="eastAsia" w:ascii="宋体" w:hAnsi="宋体" w:cs="宋体"/>
                <w:color w:val="FF0000"/>
                <w:kern w:val="0"/>
                <w:sz w:val="28"/>
                <w:szCs w:val="28"/>
              </w:rPr>
              <w:t>本项目</w:t>
            </w:r>
            <w:r>
              <w:rPr>
                <w:rFonts w:hint="eastAsia" w:ascii="宋体" w:hAnsi="宋体" w:cs="宋体"/>
                <w:color w:val="FF0000"/>
                <w:kern w:val="0"/>
                <w:sz w:val="28"/>
                <w:szCs w:val="28"/>
                <w:highlight w:val="yellow"/>
              </w:rPr>
              <w:t>监理费用</w:t>
            </w:r>
            <w:r>
              <w:rPr>
                <w:rFonts w:hint="eastAsia" w:ascii="宋体" w:hAnsi="宋体" w:cs="宋体"/>
                <w:color w:val="FF0000"/>
                <w:kern w:val="0"/>
                <w:sz w:val="28"/>
                <w:szCs w:val="28"/>
              </w:rPr>
              <w:t>投标报价为</w:t>
            </w:r>
            <w:r>
              <w:rPr>
                <w:rFonts w:hint="eastAsia" w:ascii="宋体" w:hAnsi="宋体" w:cs="宋体"/>
                <w:color w:val="FF0000"/>
                <w:kern w:val="0"/>
                <w:sz w:val="28"/>
                <w:szCs w:val="28"/>
                <w:u w:val="single"/>
              </w:rPr>
              <w:t xml:space="preserve">              </w:t>
            </w:r>
            <w:r>
              <w:rPr>
                <w:rFonts w:hint="eastAsia" w:ascii="宋体" w:hAnsi="宋体" w:cs="宋体"/>
                <w:color w:val="FF0000"/>
                <w:kern w:val="0"/>
                <w:sz w:val="28"/>
                <w:szCs w:val="28"/>
              </w:rPr>
              <w:t>元</w:t>
            </w:r>
          </w:p>
        </w:tc>
      </w:tr>
      <w:tr w14:paraId="5C53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exact"/>
        </w:trPr>
        <w:tc>
          <w:tcPr>
            <w:tcW w:w="2802" w:type="dxa"/>
            <w:vAlign w:val="center"/>
          </w:tcPr>
          <w:p w14:paraId="27748167">
            <w:pPr>
              <w:spacing w:line="480" w:lineRule="auto"/>
              <w:jc w:val="center"/>
              <w:rPr>
                <w:rFonts w:hAnsi="宋体"/>
                <w:color w:val="000000"/>
                <w:sz w:val="28"/>
                <w:szCs w:val="28"/>
              </w:rPr>
            </w:pPr>
            <w:r>
              <w:rPr>
                <w:rFonts w:hint="eastAsia" w:hAnsi="宋体"/>
                <w:color w:val="000000"/>
                <w:sz w:val="28"/>
                <w:szCs w:val="28"/>
              </w:rPr>
              <w:t>项目总监理工程师</w:t>
            </w:r>
          </w:p>
        </w:tc>
        <w:tc>
          <w:tcPr>
            <w:tcW w:w="7052" w:type="dxa"/>
            <w:vAlign w:val="center"/>
          </w:tcPr>
          <w:p w14:paraId="45DC2663">
            <w:pPr>
              <w:spacing w:line="600" w:lineRule="exact"/>
              <w:rPr>
                <w:rFonts w:ascii="新宋体" w:hAnsi="新宋体" w:eastAsia="新宋体"/>
                <w:sz w:val="28"/>
                <w:szCs w:val="28"/>
                <w:u w:val="single"/>
              </w:rPr>
            </w:pPr>
            <w:r>
              <w:rPr>
                <w:rFonts w:hint="eastAsia" w:ascii="新宋体" w:hAnsi="新宋体" w:eastAsia="新宋体"/>
                <w:sz w:val="28"/>
                <w:szCs w:val="28"/>
              </w:rPr>
              <w:t>姓名</w:t>
            </w:r>
            <w:r>
              <w:rPr>
                <w:rFonts w:hint="eastAsia" w:ascii="新宋体" w:hAnsi="新宋体" w:eastAsia="新宋体"/>
                <w:sz w:val="28"/>
                <w:szCs w:val="28"/>
                <w:u w:val="single"/>
              </w:rPr>
              <w:t xml:space="preserve">                </w:t>
            </w:r>
            <w:r>
              <w:rPr>
                <w:rFonts w:hint="eastAsia" w:ascii="新宋体" w:hAnsi="新宋体" w:eastAsia="新宋体"/>
                <w:sz w:val="28"/>
                <w:szCs w:val="28"/>
              </w:rPr>
              <w:t>专业</w:t>
            </w:r>
            <w:r>
              <w:rPr>
                <w:rFonts w:hint="eastAsia" w:ascii="新宋体" w:hAnsi="新宋体" w:eastAsia="新宋体"/>
                <w:sz w:val="28"/>
                <w:szCs w:val="28"/>
                <w:u w:val="single"/>
              </w:rPr>
              <w:t xml:space="preserve">             </w:t>
            </w:r>
          </w:p>
        </w:tc>
      </w:tr>
    </w:tbl>
    <w:p w14:paraId="0C7F61CD">
      <w:pPr>
        <w:spacing w:line="320" w:lineRule="exact"/>
        <w:ind w:firstLine="480" w:firstLineChars="200"/>
        <w:rPr>
          <w:rFonts w:hAnsi="宋体"/>
          <w:color w:val="000000"/>
          <w:sz w:val="24"/>
        </w:rPr>
      </w:pPr>
    </w:p>
    <w:p w14:paraId="185FCFE2">
      <w:pPr>
        <w:spacing w:line="320" w:lineRule="exact"/>
        <w:ind w:firstLine="480" w:firstLineChars="200"/>
        <w:rPr>
          <w:rFonts w:hAnsi="宋体"/>
          <w:color w:val="000000"/>
          <w:sz w:val="24"/>
        </w:rPr>
      </w:pPr>
    </w:p>
    <w:p w14:paraId="2584DBA5">
      <w:pPr>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hint="eastAsia" w:ascii="宋体" w:hAnsi="宋体"/>
          <w:color w:val="000000"/>
          <w:sz w:val="24"/>
        </w:rPr>
        <w:t>（盖单位公章）</w:t>
      </w:r>
    </w:p>
    <w:p w14:paraId="15751B13">
      <w:pPr>
        <w:rPr>
          <w:rFonts w:ascii="宋体" w:hAnsi="宋体"/>
          <w:color w:val="000000"/>
          <w:sz w:val="24"/>
        </w:rPr>
      </w:pPr>
    </w:p>
    <w:p w14:paraId="5932D582">
      <w:pPr>
        <w:rPr>
          <w:rFonts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（签字或盖章）</w:t>
      </w:r>
    </w:p>
    <w:p w14:paraId="30BFDB06">
      <w:pPr>
        <w:spacing w:line="400" w:lineRule="exact"/>
        <w:jc w:val="center"/>
        <w:rPr>
          <w:rFonts w:ascii="宋体" w:hAnsi="宋体"/>
          <w:b/>
          <w:color w:val="000000"/>
          <w:sz w:val="28"/>
          <w:szCs w:val="28"/>
        </w:rPr>
      </w:pPr>
    </w:p>
    <w:p w14:paraId="2643C4DE">
      <w:pPr>
        <w:spacing w:line="400" w:lineRule="exact"/>
        <w:jc w:val="center"/>
        <w:rPr>
          <w:rFonts w:ascii="宋体" w:hAnsi="宋体"/>
          <w:b/>
          <w:color w:val="000000"/>
          <w:sz w:val="28"/>
          <w:szCs w:val="28"/>
        </w:rPr>
      </w:pPr>
    </w:p>
    <w:p w14:paraId="7E649A91">
      <w:pPr>
        <w:spacing w:line="400" w:lineRule="exact"/>
        <w:jc w:val="center"/>
        <w:rPr>
          <w:rFonts w:ascii="宋体" w:hAnsi="宋体"/>
          <w:b/>
          <w:color w:val="000000"/>
          <w:sz w:val="28"/>
          <w:szCs w:val="28"/>
        </w:rPr>
      </w:pPr>
    </w:p>
    <w:p w14:paraId="307C21DD">
      <w:pPr>
        <w:spacing w:line="400" w:lineRule="exact"/>
        <w:jc w:val="center"/>
        <w:rPr>
          <w:rFonts w:ascii="宋体" w:hAnsi="宋体"/>
          <w:b/>
          <w:color w:val="000000"/>
          <w:sz w:val="28"/>
          <w:szCs w:val="28"/>
        </w:rPr>
      </w:pPr>
    </w:p>
    <w:p w14:paraId="664E2778">
      <w:pPr>
        <w:spacing w:line="400" w:lineRule="exact"/>
        <w:jc w:val="center"/>
        <w:rPr>
          <w:rFonts w:ascii="宋体" w:hAnsi="宋体"/>
          <w:b/>
          <w:color w:val="000000"/>
          <w:sz w:val="28"/>
          <w:szCs w:val="28"/>
        </w:rPr>
      </w:pPr>
    </w:p>
    <w:p w14:paraId="5B2EE998">
      <w:pPr>
        <w:spacing w:line="400" w:lineRule="exact"/>
        <w:jc w:val="center"/>
        <w:rPr>
          <w:rFonts w:ascii="宋体" w:hAnsi="宋体"/>
          <w:b/>
          <w:color w:val="000000"/>
          <w:sz w:val="28"/>
          <w:szCs w:val="28"/>
        </w:rPr>
      </w:pPr>
    </w:p>
    <w:p w14:paraId="190DCC4C">
      <w:pPr>
        <w:spacing w:line="400" w:lineRule="exact"/>
        <w:jc w:val="center"/>
        <w:rPr>
          <w:rFonts w:ascii="宋体" w:hAnsi="宋体"/>
          <w:b/>
          <w:color w:val="000000"/>
          <w:sz w:val="28"/>
          <w:szCs w:val="28"/>
        </w:rPr>
      </w:pPr>
    </w:p>
    <w:p w14:paraId="61BCDC27">
      <w:pPr>
        <w:spacing w:line="400" w:lineRule="exact"/>
        <w:jc w:val="center"/>
        <w:rPr>
          <w:rFonts w:ascii="宋体" w:hAnsi="宋体"/>
          <w:b/>
          <w:color w:val="000000"/>
          <w:sz w:val="28"/>
          <w:szCs w:val="28"/>
        </w:rPr>
      </w:pPr>
    </w:p>
    <w:p w14:paraId="7C02D347">
      <w:pPr>
        <w:spacing w:line="400" w:lineRule="exact"/>
        <w:jc w:val="center"/>
        <w:rPr>
          <w:rFonts w:ascii="宋体" w:hAnsi="宋体"/>
          <w:b/>
          <w:color w:val="000000"/>
          <w:sz w:val="28"/>
          <w:szCs w:val="28"/>
        </w:rPr>
      </w:pPr>
    </w:p>
    <w:p w14:paraId="55093DB0">
      <w:pPr>
        <w:spacing w:line="400" w:lineRule="exact"/>
        <w:jc w:val="center"/>
        <w:rPr>
          <w:rFonts w:ascii="宋体" w:hAnsi="宋体"/>
          <w:b/>
          <w:color w:val="000000"/>
          <w:sz w:val="28"/>
          <w:szCs w:val="28"/>
        </w:rPr>
      </w:pPr>
    </w:p>
    <w:p w14:paraId="54423F69">
      <w:pPr>
        <w:spacing w:line="400" w:lineRule="exact"/>
        <w:jc w:val="center"/>
        <w:rPr>
          <w:rFonts w:ascii="宋体" w:hAnsi="宋体"/>
          <w:b/>
          <w:color w:val="000000"/>
          <w:sz w:val="28"/>
          <w:szCs w:val="28"/>
        </w:rPr>
      </w:pPr>
    </w:p>
    <w:p w14:paraId="2456F415">
      <w:pPr>
        <w:spacing w:line="400" w:lineRule="exact"/>
        <w:jc w:val="center"/>
        <w:rPr>
          <w:rFonts w:ascii="宋体" w:hAnsi="宋体"/>
          <w:b/>
          <w:color w:val="000000"/>
          <w:sz w:val="28"/>
          <w:szCs w:val="28"/>
        </w:rPr>
      </w:pPr>
    </w:p>
    <w:p w14:paraId="0345F890">
      <w:pPr>
        <w:pStyle w:val="16"/>
      </w:pPr>
    </w:p>
    <w:p w14:paraId="0B3CBEE8"/>
    <w:p w14:paraId="09B4B22B">
      <w:pPr>
        <w:pStyle w:val="16"/>
      </w:pPr>
    </w:p>
    <w:p w14:paraId="6CAF2DD8">
      <w:pPr>
        <w:spacing w:line="400" w:lineRule="exact"/>
        <w:jc w:val="center"/>
        <w:rPr>
          <w:rFonts w:ascii="宋体" w:hAnsi="宋体"/>
          <w:b/>
          <w:color w:val="000000"/>
          <w:sz w:val="28"/>
          <w:szCs w:val="28"/>
        </w:rPr>
      </w:pPr>
      <w:r>
        <w:rPr>
          <w:rFonts w:hint="eastAsia" w:ascii="宋体" w:hAnsi="宋体"/>
          <w:b/>
          <w:color w:val="000000"/>
          <w:sz w:val="28"/>
          <w:szCs w:val="28"/>
        </w:rPr>
        <w:t>一、投标函及投标函附录</w:t>
      </w:r>
    </w:p>
    <w:p w14:paraId="6E0253BD">
      <w:pPr>
        <w:spacing w:line="400" w:lineRule="exact"/>
        <w:jc w:val="center"/>
        <w:rPr>
          <w:rFonts w:ascii="宋体" w:hAnsi="宋体"/>
          <w:b/>
          <w:color w:val="000000"/>
          <w:sz w:val="28"/>
          <w:szCs w:val="28"/>
        </w:rPr>
      </w:pPr>
    </w:p>
    <w:p w14:paraId="1D1CA43C">
      <w:pPr>
        <w:spacing w:line="400" w:lineRule="exact"/>
        <w:jc w:val="center"/>
        <w:rPr>
          <w:rFonts w:ascii="宋体" w:hAnsi="宋体"/>
          <w:b/>
          <w:color w:val="000000"/>
          <w:sz w:val="28"/>
          <w:szCs w:val="28"/>
        </w:rPr>
      </w:pPr>
      <w:r>
        <w:rPr>
          <w:rFonts w:hint="eastAsia" w:ascii="宋体" w:hAnsi="宋体"/>
          <w:b/>
          <w:color w:val="000000"/>
          <w:sz w:val="28"/>
          <w:szCs w:val="28"/>
        </w:rPr>
        <w:t>（一）投 标 函（格式）</w:t>
      </w:r>
    </w:p>
    <w:p w14:paraId="6C9D9FAD">
      <w:pPr>
        <w:spacing w:line="400" w:lineRule="exact"/>
        <w:jc w:val="center"/>
        <w:rPr>
          <w:rFonts w:ascii="宋体" w:hAnsi="宋体"/>
          <w:b/>
          <w:color w:val="000000"/>
          <w:sz w:val="28"/>
          <w:szCs w:val="28"/>
        </w:rPr>
      </w:pPr>
    </w:p>
    <w:p w14:paraId="2D5F8CE9">
      <w:pPr>
        <w:spacing w:line="360" w:lineRule="exact"/>
        <w:rPr>
          <w:rFonts w:ascii="宋体" w:hAnsi="宋体"/>
          <w:color w:val="000000"/>
          <w:sz w:val="24"/>
        </w:rPr>
      </w:pPr>
      <w:r>
        <w:rPr>
          <w:rFonts w:hint="eastAsia" w:ascii="宋体" w:hAnsi="宋体"/>
          <w:color w:val="000000"/>
          <w:sz w:val="24"/>
        </w:rPr>
        <w:t>致招标人：</w:t>
      </w:r>
      <w:r>
        <w:rPr>
          <w:rFonts w:hint="eastAsia" w:ascii="宋体" w:hAnsi="宋体"/>
          <w:color w:val="000000"/>
          <w:sz w:val="24"/>
          <w:u w:val="single"/>
        </w:rPr>
        <w:t xml:space="preserve">（单位名称）                     </w:t>
      </w:r>
    </w:p>
    <w:p w14:paraId="5309DFAF">
      <w:pPr>
        <w:spacing w:line="360" w:lineRule="exact"/>
        <w:ind w:firstLine="480" w:firstLineChars="200"/>
        <w:rPr>
          <w:rFonts w:ascii="宋体" w:hAnsi="宋体"/>
          <w:color w:val="000000"/>
          <w:sz w:val="24"/>
        </w:rPr>
      </w:pPr>
      <w:r>
        <w:rPr>
          <w:rFonts w:hint="eastAsia" w:ascii="宋体" w:hAnsi="宋体"/>
          <w:color w:val="000000"/>
          <w:sz w:val="24"/>
        </w:rPr>
        <w:t>1、根据</w:t>
      </w:r>
      <w:r>
        <w:rPr>
          <w:rFonts w:hint="eastAsia" w:ascii="宋体" w:hAnsi="宋体"/>
          <w:color w:val="000000"/>
          <w:sz w:val="24"/>
          <w:u w:val="single"/>
        </w:rPr>
        <w:t xml:space="preserve">                （项目名称）</w:t>
      </w:r>
      <w:r>
        <w:rPr>
          <w:rFonts w:hint="eastAsia" w:ascii="宋体" w:hAnsi="宋体"/>
          <w:color w:val="000000"/>
          <w:sz w:val="24"/>
        </w:rPr>
        <w:t>招标文件，经考察现场和认真研究上述招标文件后，我方愿以《开标一览表》中所报的投标报价进行投标，并按合同条款中规定的实际费用承担并完成上述工程服务任务。</w:t>
      </w:r>
    </w:p>
    <w:p w14:paraId="2975AB8E">
      <w:pPr>
        <w:spacing w:line="360" w:lineRule="exact"/>
        <w:ind w:firstLine="480"/>
        <w:rPr>
          <w:rFonts w:ascii="宋体" w:hAnsi="宋体"/>
          <w:color w:val="000000"/>
          <w:sz w:val="24"/>
        </w:rPr>
      </w:pPr>
      <w:r>
        <w:rPr>
          <w:rFonts w:hint="eastAsia" w:ascii="宋体" w:hAnsi="宋体"/>
          <w:color w:val="000000"/>
          <w:sz w:val="24"/>
        </w:rPr>
        <w:t>2、如果贵方接受我方投标，我方在接到中标通知书后将按中标通知书和招标文件的要求及时签订合同协议书。我方保证在投标须知中规定的期限内开始本工程的工作。</w:t>
      </w:r>
    </w:p>
    <w:p w14:paraId="10063C83">
      <w:pPr>
        <w:spacing w:line="360" w:lineRule="exact"/>
        <w:ind w:firstLine="480"/>
        <w:rPr>
          <w:rFonts w:ascii="宋体" w:hAnsi="宋体"/>
          <w:color w:val="000000"/>
          <w:sz w:val="24"/>
        </w:rPr>
      </w:pPr>
      <w:r>
        <w:rPr>
          <w:rFonts w:hint="eastAsia" w:ascii="宋体" w:hAnsi="宋体"/>
          <w:color w:val="000000"/>
          <w:sz w:val="24"/>
        </w:rPr>
        <w:t>3、我方同意在贵方招标文件规定的投标有效期内遵守本投标承诺。在该期限期满之前，本投标文件对我方始终具有约束力，并可随时被接受。</w:t>
      </w:r>
    </w:p>
    <w:p w14:paraId="5DA127E7">
      <w:pPr>
        <w:spacing w:line="360" w:lineRule="exact"/>
        <w:ind w:firstLine="480" w:firstLineChars="200"/>
        <w:rPr>
          <w:rFonts w:ascii="宋体" w:hAnsi="宋体"/>
          <w:color w:val="000000"/>
          <w:sz w:val="24"/>
        </w:rPr>
      </w:pPr>
      <w:r>
        <w:rPr>
          <w:rFonts w:hint="eastAsia" w:ascii="宋体" w:hAnsi="宋体"/>
          <w:color w:val="000000"/>
          <w:sz w:val="24"/>
        </w:rPr>
        <w:t>4、我方按照招标文件规定向你方递交履约担保。</w:t>
      </w:r>
    </w:p>
    <w:p w14:paraId="5121AF82">
      <w:pPr>
        <w:spacing w:line="360" w:lineRule="exact"/>
        <w:ind w:firstLine="480" w:firstLineChars="200"/>
        <w:rPr>
          <w:rFonts w:ascii="宋体" w:hAnsi="宋体"/>
          <w:sz w:val="24"/>
        </w:rPr>
      </w:pPr>
      <w:r>
        <w:rPr>
          <w:rFonts w:hint="eastAsia" w:ascii="宋体" w:hAnsi="宋体"/>
          <w:color w:val="000000"/>
          <w:sz w:val="24"/>
        </w:rPr>
        <w:t>5、</w:t>
      </w:r>
      <w:r>
        <w:rPr>
          <w:rFonts w:hint="eastAsia" w:ascii="宋体" w:hAnsi="宋体"/>
          <w:sz w:val="24"/>
        </w:rPr>
        <w:t>对属于实行约谈和履约承诺项目表的项目,我方严格按规定执行。</w:t>
      </w:r>
    </w:p>
    <w:p w14:paraId="06DC9D59">
      <w:pPr>
        <w:spacing w:line="360" w:lineRule="exact"/>
        <w:ind w:firstLine="480" w:firstLineChars="200"/>
        <w:rPr>
          <w:rFonts w:ascii="宋体" w:hAnsi="宋体"/>
          <w:color w:val="000000"/>
          <w:sz w:val="24"/>
        </w:rPr>
      </w:pPr>
      <w:r>
        <w:rPr>
          <w:rFonts w:hint="eastAsia" w:ascii="宋体" w:hAnsi="宋体"/>
          <w:color w:val="000000"/>
          <w:sz w:val="24"/>
        </w:rPr>
        <w:t>6、在正式签订监理合同协议书之前，本投标文件连同贵方中标通知书应成为约束贵方、我方的合同文件。</w:t>
      </w:r>
    </w:p>
    <w:p w14:paraId="3BBA49AA">
      <w:pPr>
        <w:spacing w:line="360" w:lineRule="exact"/>
        <w:ind w:firstLine="480"/>
        <w:rPr>
          <w:rFonts w:ascii="宋体" w:hAnsi="宋体"/>
          <w:color w:val="000000"/>
          <w:sz w:val="24"/>
        </w:rPr>
      </w:pPr>
      <w:r>
        <w:rPr>
          <w:rFonts w:hint="eastAsia" w:ascii="宋体" w:hAnsi="宋体"/>
          <w:color w:val="000000"/>
          <w:sz w:val="24"/>
        </w:rPr>
        <w:t>7、我方理解，贵方不一定接受最低标价的投标或可能接受其他任何投标，同时也理解，贵方不负担我单位的任何投标费用。</w:t>
      </w:r>
    </w:p>
    <w:p w14:paraId="79C5C037">
      <w:pPr>
        <w:spacing w:line="360" w:lineRule="exact"/>
        <w:ind w:firstLine="480"/>
        <w:rPr>
          <w:rFonts w:ascii="宋体" w:hAnsi="宋体"/>
          <w:color w:val="000000"/>
          <w:sz w:val="24"/>
        </w:rPr>
      </w:pPr>
      <w:r>
        <w:rPr>
          <w:rFonts w:hint="eastAsia" w:ascii="宋体" w:hAnsi="宋体"/>
          <w:color w:val="000000"/>
          <w:sz w:val="24"/>
        </w:rPr>
        <w:t>8、我方同意将金额为</w:t>
      </w:r>
      <w:r>
        <w:rPr>
          <w:rFonts w:hint="eastAsia" w:ascii="宋体" w:hAnsi="宋体"/>
          <w:color w:val="000000"/>
          <w:sz w:val="24"/>
          <w:highlight w:val="yellow"/>
        </w:rPr>
        <w:t>人民币</w:t>
      </w:r>
      <w:r>
        <w:rPr>
          <w:rFonts w:hint="eastAsia" w:ascii="宋体" w:hAnsi="宋体"/>
          <w:color w:val="000000"/>
          <w:sz w:val="24"/>
          <w:highlight w:val="yellow"/>
          <w:u w:val="single"/>
        </w:rPr>
        <w:t xml:space="preserve">   </w:t>
      </w:r>
      <w:r>
        <w:rPr>
          <w:rFonts w:hint="eastAsia" w:ascii="宋体" w:hAnsi="宋体"/>
          <w:color w:val="000000"/>
          <w:sz w:val="24"/>
          <w:highlight w:val="yellow"/>
        </w:rPr>
        <w:t>元的</w:t>
      </w:r>
      <w:r>
        <w:rPr>
          <w:rFonts w:hint="eastAsia" w:ascii="宋体" w:hAnsi="宋体"/>
          <w:b/>
          <w:color w:val="FF0000"/>
          <w:sz w:val="32"/>
          <w:szCs w:val="32"/>
          <w:highlight w:val="yellow"/>
        </w:rPr>
        <w:t>投标保证金</w:t>
      </w:r>
      <w:r>
        <w:rPr>
          <w:rFonts w:hint="eastAsia" w:ascii="宋体" w:hAnsi="宋体"/>
          <w:color w:val="000000"/>
          <w:sz w:val="24"/>
        </w:rPr>
        <w:t>提交贵方。</w:t>
      </w:r>
      <w:r>
        <w:rPr>
          <w:rFonts w:hint="eastAsia" w:ascii="宋体" w:hAnsi="宋体"/>
          <w:b/>
          <w:sz w:val="28"/>
          <w:szCs w:val="28"/>
        </w:rPr>
        <w:t>我方若中标,我方已知晓:将双方盖章签订的合同送至招标代理机构办理投标保证金退还手续</w:t>
      </w:r>
      <w:r>
        <w:rPr>
          <w:rFonts w:hint="eastAsia" w:ascii="宋体" w:hAnsi="宋体"/>
          <w:sz w:val="24"/>
          <w:szCs w:val="28"/>
          <w:highlight w:val="yellow"/>
        </w:rPr>
        <w:t>（</w:t>
      </w:r>
      <w:r>
        <w:rPr>
          <w:rFonts w:hint="eastAsia" w:ascii="宋体" w:hAnsi="宋体"/>
          <w:b/>
          <w:color w:val="FF0000"/>
          <w:sz w:val="24"/>
          <w:highlight w:val="yellow"/>
        </w:rPr>
        <w:t>采用非网银、非电汇、非转账方式递交投标保证金的，无需办理退还手续</w:t>
      </w:r>
      <w:r>
        <w:rPr>
          <w:rFonts w:hint="eastAsia" w:ascii="宋体" w:hAnsi="宋体"/>
          <w:sz w:val="24"/>
          <w:szCs w:val="28"/>
          <w:highlight w:val="yellow"/>
        </w:rPr>
        <w:t>）。</w:t>
      </w:r>
    </w:p>
    <w:p w14:paraId="4FC6E4AB">
      <w:pPr>
        <w:spacing w:line="360" w:lineRule="exact"/>
        <w:ind w:firstLine="480"/>
        <w:rPr>
          <w:rFonts w:ascii="宋体" w:hAnsi="宋体"/>
          <w:color w:val="000000"/>
          <w:sz w:val="24"/>
        </w:rPr>
      </w:pPr>
      <w:r>
        <w:rPr>
          <w:rFonts w:hint="eastAsia" w:ascii="宋体" w:hAnsi="宋体"/>
          <w:color w:val="000000"/>
          <w:sz w:val="24"/>
        </w:rPr>
        <w:t>9、若我方中标，项目总监理工程师以《开标一览表》中所报的总监理工程师为准。</w:t>
      </w:r>
    </w:p>
    <w:p w14:paraId="30BE11C1">
      <w:pPr>
        <w:spacing w:line="360" w:lineRule="exact"/>
        <w:ind w:firstLine="480"/>
        <w:rPr>
          <w:rFonts w:ascii="宋体" w:hAnsi="宋体"/>
          <w:color w:val="000000"/>
          <w:sz w:val="24"/>
        </w:rPr>
      </w:pPr>
      <w:r>
        <w:rPr>
          <w:rFonts w:hint="eastAsia" w:ascii="宋体" w:hAnsi="宋体"/>
          <w:color w:val="000000"/>
          <w:sz w:val="24"/>
        </w:rPr>
        <w:t>10、我方承诺在中标结果公示发布后3个工作日内，将招标代理服务费汇至招标代理机构指定账户。</w:t>
      </w:r>
    </w:p>
    <w:p w14:paraId="604D5255">
      <w:pPr>
        <w:spacing w:line="360" w:lineRule="exact"/>
        <w:ind w:firstLine="480"/>
        <w:rPr>
          <w:rFonts w:ascii="宋体" w:hAnsi="宋体" w:cs="宋体"/>
          <w:b/>
          <w:sz w:val="28"/>
          <w:szCs w:val="28"/>
        </w:rPr>
      </w:pPr>
      <w:r>
        <w:rPr>
          <w:rFonts w:hint="eastAsia" w:ascii="宋体" w:hAnsi="宋体"/>
          <w:color w:val="000000"/>
          <w:sz w:val="24"/>
        </w:rPr>
        <w:t>11、</w:t>
      </w:r>
      <w:r>
        <w:rPr>
          <w:rFonts w:ascii="宋体" w:hAnsi="宋体" w:cs="宋体"/>
          <w:b/>
          <w:sz w:val="28"/>
          <w:szCs w:val="28"/>
          <w:highlight w:val="yellow"/>
        </w:rPr>
        <w:t>我方承诺，我方在投标文件中为本项目配备的所有人员均为我方全职在岗人员，且在投标文件提交截止时间时与我方仍存在有效的劳动合同关系。</w:t>
      </w:r>
    </w:p>
    <w:p w14:paraId="2292F7A0">
      <w:pPr>
        <w:spacing w:line="360" w:lineRule="exact"/>
        <w:ind w:firstLine="480"/>
        <w:rPr>
          <w:rFonts w:ascii="宋体" w:hAnsi="宋体"/>
          <w:b/>
          <w:color w:val="FF0000"/>
          <w:sz w:val="28"/>
        </w:rPr>
      </w:pPr>
      <w:r>
        <w:rPr>
          <w:rFonts w:hint="eastAsia" w:ascii="宋体" w:hAnsi="宋体"/>
          <w:b/>
          <w:color w:val="FF0000"/>
          <w:sz w:val="28"/>
          <w:highlight w:val="yellow"/>
        </w:rPr>
        <w:t>12、</w:t>
      </w:r>
      <w:r>
        <w:rPr>
          <w:rFonts w:ascii="宋体" w:hAnsi="宋体"/>
          <w:b/>
          <w:color w:val="FF0000"/>
          <w:sz w:val="28"/>
          <w:highlight w:val="yellow"/>
        </w:rPr>
        <w:t>我方承诺，在你方和我方进行合同谈判之前，我方将按照投标文件中填报人员及招标文件提出的最低要求填报派驻本标段的其他管理和技术人员，经你方审批后作为派驻本标段的项目管理机构主要人员且不进行更换。</w:t>
      </w:r>
    </w:p>
    <w:p w14:paraId="3AB66AFF">
      <w:pPr>
        <w:spacing w:line="360" w:lineRule="exact"/>
        <w:ind w:firstLine="480"/>
        <w:rPr>
          <w:rFonts w:ascii="宋体" w:hAnsi="宋体"/>
          <w:color w:val="000000"/>
          <w:sz w:val="24"/>
        </w:rPr>
      </w:pPr>
      <w:r>
        <w:rPr>
          <w:rFonts w:hint="eastAsia" w:ascii="宋体" w:hAnsi="宋体"/>
          <w:color w:val="000000"/>
          <w:sz w:val="24"/>
        </w:rPr>
        <w:t>13、我方承诺，如对中标结果有异议，严格按照本招标文件投标人须知规定提交异议，并保证异议材料的真实性、合法性。</w:t>
      </w:r>
      <w:r>
        <w:rPr>
          <w:rFonts w:hint="eastAsia" w:ascii="宋体" w:hAnsi="宋体"/>
          <w:bCs/>
          <w:color w:val="000000"/>
          <w:sz w:val="24"/>
        </w:rPr>
        <w:t>如有不实，我方接受管理部门相关处罚</w:t>
      </w:r>
      <w:r>
        <w:rPr>
          <w:rFonts w:hint="eastAsia" w:ascii="宋体" w:hAnsi="宋体"/>
          <w:color w:val="000000"/>
          <w:sz w:val="24"/>
        </w:rPr>
        <w:t>。</w:t>
      </w:r>
    </w:p>
    <w:p w14:paraId="45DCB3A6">
      <w:pPr>
        <w:spacing w:line="360" w:lineRule="exact"/>
        <w:ind w:firstLine="480"/>
        <w:rPr>
          <w:rFonts w:ascii="宋体" w:hAnsi="宋体"/>
          <w:sz w:val="24"/>
        </w:rPr>
      </w:pPr>
      <w:r>
        <w:rPr>
          <w:rFonts w:hint="eastAsia" w:ascii="宋体" w:hAnsi="宋体"/>
          <w:color w:val="000000"/>
          <w:sz w:val="24"/>
        </w:rPr>
        <w:t>14、</w:t>
      </w:r>
      <w:r>
        <w:rPr>
          <w:rFonts w:hint="eastAsia" w:ascii="宋体" w:hAnsi="宋体"/>
          <w:color w:val="000000"/>
          <w:sz w:val="24"/>
          <w:highlight w:val="yellow"/>
        </w:rPr>
        <w:t>我方声明，所递交的投标文件及有关资料内容完整、真实和准确，</w:t>
      </w:r>
      <w:r>
        <w:rPr>
          <w:rFonts w:ascii="宋体" w:hAnsi="宋体" w:cs="宋体"/>
          <w:sz w:val="24"/>
        </w:rPr>
        <w:t>且</w:t>
      </w:r>
      <w:r>
        <w:rPr>
          <w:rFonts w:ascii="宋体" w:hAnsi="宋体"/>
          <w:color w:val="000000"/>
          <w:sz w:val="24"/>
        </w:rPr>
        <w:t>不存在招标文件第二章“投标人须知”1.4.</w:t>
      </w:r>
      <w:r>
        <w:rPr>
          <w:rFonts w:hint="eastAsia" w:ascii="宋体" w:hAnsi="宋体"/>
          <w:color w:val="000000"/>
          <w:sz w:val="24"/>
        </w:rPr>
        <w:t>2</w:t>
      </w:r>
      <w:r>
        <w:rPr>
          <w:rFonts w:ascii="宋体" w:hAnsi="宋体"/>
          <w:color w:val="000000"/>
          <w:sz w:val="24"/>
        </w:rPr>
        <w:t>条、1.4</w:t>
      </w:r>
      <w:r>
        <w:rPr>
          <w:rFonts w:hint="eastAsia" w:ascii="宋体" w:hAnsi="宋体"/>
          <w:color w:val="000000"/>
          <w:sz w:val="24"/>
        </w:rPr>
        <w:t>.3</w:t>
      </w:r>
      <w:r>
        <w:rPr>
          <w:rFonts w:ascii="宋体" w:hAnsi="宋体"/>
          <w:color w:val="000000"/>
          <w:sz w:val="24"/>
        </w:rPr>
        <w:t>条规定的任何一种情形。</w:t>
      </w:r>
    </w:p>
    <w:p w14:paraId="7D72E9E2">
      <w:pPr>
        <w:widowControl/>
        <w:spacing w:line="420" w:lineRule="exact"/>
        <w:ind w:firstLine="360" w:firstLineChars="150"/>
        <w:jc w:val="left"/>
        <w:rPr>
          <w:rFonts w:ascii="宋体" w:hAnsi="宋体"/>
          <w:color w:val="000000"/>
          <w:sz w:val="24"/>
        </w:rPr>
      </w:pPr>
      <w:r>
        <w:rPr>
          <w:rFonts w:hint="eastAsia" w:ascii="宋体" w:hAnsi="宋体"/>
          <w:color w:val="000000"/>
          <w:sz w:val="24"/>
        </w:rPr>
        <w:t>15、我方承诺，我方及我方法定代表人及拟派项目总监理工程师都没有行贿犯罪记录。</w:t>
      </w:r>
    </w:p>
    <w:p w14:paraId="42064003">
      <w:pPr>
        <w:pStyle w:val="16"/>
      </w:pPr>
    </w:p>
    <w:p w14:paraId="465451F0">
      <w:pPr>
        <w:spacing w:line="360" w:lineRule="exact"/>
        <w:ind w:firstLine="480"/>
        <w:rPr>
          <w:rFonts w:ascii="宋体" w:hAnsi="宋体"/>
          <w:color w:val="000000"/>
          <w:sz w:val="24"/>
        </w:rPr>
      </w:pPr>
      <w:r>
        <w:rPr>
          <w:rFonts w:hint="eastAsia" w:ascii="宋体" w:hAnsi="宋体"/>
          <w:color w:val="000000"/>
          <w:sz w:val="24"/>
        </w:rPr>
        <w:t>投标人：（盖单位公章）</w:t>
      </w:r>
      <w:r>
        <w:rPr>
          <w:rFonts w:hint="eastAsia" w:ascii="宋体" w:hAnsi="宋体"/>
          <w:color w:val="000000"/>
          <w:u w:val="single"/>
        </w:rPr>
        <w:t xml:space="preserve">             </w:t>
      </w:r>
    </w:p>
    <w:p w14:paraId="2E1EFF09">
      <w:pPr>
        <w:spacing w:line="360" w:lineRule="exact"/>
        <w:ind w:firstLine="480"/>
        <w:rPr>
          <w:rFonts w:ascii="宋体" w:hAnsi="宋体"/>
          <w:color w:val="000000"/>
          <w:sz w:val="24"/>
        </w:rPr>
      </w:pPr>
      <w:r>
        <w:rPr>
          <w:rFonts w:hint="eastAsia" w:ascii="宋体" w:hAnsi="宋体"/>
          <w:color w:val="000000"/>
          <w:sz w:val="24"/>
        </w:rPr>
        <w:t>法定代表人或授权代理人：（签字或盖章）</w:t>
      </w:r>
      <w:r>
        <w:rPr>
          <w:rFonts w:hint="eastAsia" w:ascii="宋体" w:hAnsi="宋体"/>
          <w:color w:val="000000"/>
          <w:u w:val="single"/>
        </w:rPr>
        <w:t xml:space="preserve">             </w:t>
      </w:r>
    </w:p>
    <w:p w14:paraId="1C158D29">
      <w:pPr>
        <w:spacing w:line="360" w:lineRule="exact"/>
        <w:ind w:firstLine="480"/>
        <w:rPr>
          <w:rFonts w:ascii="宋体" w:hAnsi="宋体"/>
          <w:color w:val="000000"/>
          <w:sz w:val="24"/>
        </w:rPr>
      </w:pPr>
      <w:r>
        <w:rPr>
          <w:rFonts w:hint="eastAsia" w:ascii="宋体" w:hAnsi="宋体"/>
          <w:color w:val="000000"/>
          <w:sz w:val="24"/>
        </w:rPr>
        <w:t>地址：</w:t>
      </w:r>
      <w:r>
        <w:rPr>
          <w:rFonts w:hint="eastAsia" w:ascii="宋体" w:hAnsi="宋体"/>
          <w:color w:val="000000"/>
          <w:u w:val="single"/>
        </w:rPr>
        <w:t xml:space="preserve">             </w:t>
      </w:r>
    </w:p>
    <w:p w14:paraId="41C93D45">
      <w:pPr>
        <w:spacing w:line="360" w:lineRule="exact"/>
        <w:ind w:firstLine="480"/>
        <w:rPr>
          <w:rFonts w:ascii="宋体" w:hAnsi="宋体"/>
          <w:color w:val="000000"/>
          <w:sz w:val="24"/>
        </w:rPr>
      </w:pPr>
      <w:r>
        <w:rPr>
          <w:rFonts w:hint="eastAsia" w:ascii="宋体" w:hAnsi="宋体"/>
          <w:color w:val="000000"/>
          <w:sz w:val="24"/>
        </w:rPr>
        <w:t>邮编：</w:t>
      </w:r>
      <w:r>
        <w:rPr>
          <w:rFonts w:hint="eastAsia" w:ascii="宋体" w:hAnsi="宋体"/>
          <w:color w:val="000000"/>
          <w:u w:val="single"/>
        </w:rPr>
        <w:t xml:space="preserve">             </w:t>
      </w:r>
    </w:p>
    <w:p w14:paraId="4C43421F">
      <w:pPr>
        <w:spacing w:line="360" w:lineRule="exact"/>
        <w:ind w:firstLine="480"/>
        <w:rPr>
          <w:rFonts w:ascii="宋体" w:hAnsi="宋体"/>
          <w:color w:val="000000"/>
          <w:sz w:val="24"/>
        </w:rPr>
      </w:pPr>
      <w:r>
        <w:rPr>
          <w:rFonts w:hint="eastAsia" w:ascii="宋体" w:hAnsi="宋体"/>
          <w:color w:val="000000"/>
          <w:sz w:val="24"/>
        </w:rPr>
        <w:t>电话：</w:t>
      </w:r>
      <w:r>
        <w:rPr>
          <w:rFonts w:hint="eastAsia" w:ascii="宋体" w:hAnsi="宋体"/>
          <w:color w:val="000000"/>
          <w:u w:val="single"/>
        </w:rPr>
        <w:t xml:space="preserve">             </w:t>
      </w:r>
    </w:p>
    <w:p w14:paraId="0AB02450">
      <w:pPr>
        <w:spacing w:line="360" w:lineRule="exact"/>
        <w:ind w:firstLine="480"/>
        <w:rPr>
          <w:rFonts w:ascii="宋体" w:hAnsi="宋体"/>
          <w:color w:val="000000"/>
          <w:sz w:val="24"/>
        </w:rPr>
      </w:pPr>
      <w:r>
        <w:rPr>
          <w:rFonts w:hint="eastAsia" w:ascii="宋体" w:hAnsi="宋体"/>
          <w:color w:val="000000"/>
          <w:sz w:val="24"/>
        </w:rPr>
        <w:t>传真：</w:t>
      </w:r>
      <w:r>
        <w:rPr>
          <w:rFonts w:hint="eastAsia" w:ascii="宋体" w:hAnsi="宋体"/>
          <w:color w:val="000000"/>
          <w:u w:val="single"/>
        </w:rPr>
        <w:t xml:space="preserve">             </w:t>
      </w:r>
    </w:p>
    <w:p w14:paraId="3D648A70">
      <w:pPr>
        <w:spacing w:line="360" w:lineRule="exact"/>
        <w:ind w:firstLine="480"/>
        <w:rPr>
          <w:rFonts w:ascii="宋体" w:hAnsi="宋体"/>
          <w:color w:val="000000"/>
          <w:sz w:val="24"/>
        </w:rPr>
      </w:pPr>
      <w:r>
        <w:rPr>
          <w:rFonts w:hint="eastAsia" w:ascii="宋体" w:hAnsi="宋体"/>
          <w:color w:val="000000"/>
          <w:sz w:val="24"/>
        </w:rPr>
        <w:t>开户银行名称：</w:t>
      </w:r>
      <w:r>
        <w:rPr>
          <w:rFonts w:hint="eastAsia" w:ascii="宋体" w:hAnsi="宋体"/>
          <w:color w:val="000000"/>
          <w:u w:val="single"/>
        </w:rPr>
        <w:t xml:space="preserve">             </w:t>
      </w:r>
    </w:p>
    <w:p w14:paraId="535FBDBF">
      <w:pPr>
        <w:spacing w:line="360" w:lineRule="exact"/>
        <w:ind w:firstLine="480"/>
        <w:rPr>
          <w:rFonts w:ascii="宋体" w:hAnsi="宋体"/>
          <w:color w:val="000000"/>
          <w:sz w:val="24"/>
        </w:rPr>
      </w:pPr>
      <w:r>
        <w:rPr>
          <w:rFonts w:hint="eastAsia" w:ascii="宋体" w:hAnsi="宋体"/>
          <w:color w:val="000000"/>
          <w:sz w:val="24"/>
        </w:rPr>
        <w:t>账号：</w:t>
      </w:r>
      <w:r>
        <w:rPr>
          <w:rFonts w:hint="eastAsia" w:ascii="宋体" w:hAnsi="宋体"/>
          <w:color w:val="000000"/>
          <w:u w:val="single"/>
        </w:rPr>
        <w:t xml:space="preserve">             </w:t>
      </w:r>
    </w:p>
    <w:p w14:paraId="54A87F2B">
      <w:pPr>
        <w:spacing w:line="360" w:lineRule="exact"/>
        <w:ind w:firstLine="480"/>
        <w:jc w:val="lef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88E7351">
      <w:pPr>
        <w:spacing w:line="360" w:lineRule="exact"/>
        <w:ind w:firstLine="480"/>
        <w:jc w:val="left"/>
        <w:rPr>
          <w:rFonts w:ascii="宋体" w:hAnsi="宋体"/>
          <w:color w:val="000000"/>
          <w:sz w:val="24"/>
        </w:rPr>
      </w:pPr>
    </w:p>
    <w:p w14:paraId="484C4CC0">
      <w:pPr>
        <w:spacing w:line="360" w:lineRule="exact"/>
        <w:ind w:firstLine="480"/>
        <w:jc w:val="left"/>
        <w:rPr>
          <w:rFonts w:ascii="宋体" w:hAnsi="宋体"/>
          <w:color w:val="000000"/>
          <w:sz w:val="24"/>
        </w:rPr>
      </w:pPr>
    </w:p>
    <w:p w14:paraId="40E19A41">
      <w:pPr>
        <w:spacing w:line="360" w:lineRule="exact"/>
        <w:ind w:firstLine="480"/>
        <w:jc w:val="left"/>
        <w:rPr>
          <w:rFonts w:ascii="宋体" w:hAnsi="宋体"/>
          <w:color w:val="000000"/>
          <w:sz w:val="24"/>
        </w:rPr>
      </w:pPr>
    </w:p>
    <w:p w14:paraId="18BFB798">
      <w:pPr>
        <w:spacing w:line="360" w:lineRule="exact"/>
        <w:ind w:firstLine="480"/>
        <w:jc w:val="left"/>
        <w:rPr>
          <w:rFonts w:ascii="宋体" w:hAnsi="宋体"/>
          <w:color w:val="000000"/>
          <w:sz w:val="24"/>
        </w:rPr>
      </w:pPr>
    </w:p>
    <w:p w14:paraId="33C50EA6">
      <w:pPr>
        <w:spacing w:line="360" w:lineRule="exact"/>
        <w:ind w:firstLine="480"/>
        <w:jc w:val="left"/>
        <w:rPr>
          <w:rFonts w:ascii="宋体" w:hAnsi="宋体"/>
          <w:color w:val="000000"/>
          <w:sz w:val="24"/>
        </w:rPr>
      </w:pPr>
    </w:p>
    <w:p w14:paraId="0FC34054">
      <w:pPr>
        <w:widowControl/>
        <w:jc w:val="left"/>
        <w:rPr>
          <w:rFonts w:ascii="宋体" w:hAnsi="宋体"/>
          <w:b/>
          <w:color w:val="000000"/>
          <w:sz w:val="28"/>
          <w:szCs w:val="28"/>
        </w:rPr>
      </w:pPr>
      <w:r>
        <w:rPr>
          <w:rFonts w:ascii="宋体" w:hAnsi="宋体"/>
          <w:b/>
          <w:color w:val="000000"/>
          <w:sz w:val="28"/>
          <w:szCs w:val="28"/>
        </w:rPr>
        <w:br w:type="page"/>
      </w:r>
    </w:p>
    <w:p w14:paraId="5AB61B5F">
      <w:pPr>
        <w:spacing w:line="360" w:lineRule="exact"/>
        <w:jc w:val="center"/>
        <w:rPr>
          <w:rFonts w:ascii="宋体" w:hAnsi="宋体"/>
          <w:b/>
          <w:color w:val="000000"/>
          <w:sz w:val="28"/>
          <w:szCs w:val="28"/>
        </w:rPr>
      </w:pPr>
      <w:r>
        <w:rPr>
          <w:rFonts w:hint="eastAsia" w:ascii="宋体" w:hAnsi="宋体"/>
          <w:b/>
          <w:color w:val="000000"/>
          <w:sz w:val="28"/>
          <w:szCs w:val="28"/>
        </w:rPr>
        <w:t>（二）投标文件附录</w:t>
      </w:r>
    </w:p>
    <w:p w14:paraId="624FA752">
      <w:pPr>
        <w:spacing w:line="360" w:lineRule="exact"/>
        <w:rPr>
          <w:rFonts w:ascii="宋体" w:hAnsi="宋体"/>
          <w:color w:val="000000"/>
          <w:szCs w:val="21"/>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828"/>
        <w:gridCol w:w="5865"/>
      </w:tblGrid>
      <w:tr w14:paraId="2707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1" w:type="dxa"/>
            <w:vAlign w:val="center"/>
          </w:tcPr>
          <w:p w14:paraId="2EBE2B46">
            <w:pPr>
              <w:spacing w:line="360" w:lineRule="exact"/>
              <w:jc w:val="center"/>
              <w:rPr>
                <w:rFonts w:ascii="宋体" w:hAnsi="宋体"/>
                <w:color w:val="000000"/>
                <w:szCs w:val="21"/>
              </w:rPr>
            </w:pPr>
            <w:r>
              <w:rPr>
                <w:rFonts w:hint="eastAsia" w:ascii="宋体" w:hAnsi="宋体"/>
                <w:color w:val="000000"/>
                <w:szCs w:val="21"/>
              </w:rPr>
              <w:t>序号</w:t>
            </w:r>
          </w:p>
        </w:tc>
        <w:tc>
          <w:tcPr>
            <w:tcW w:w="2828" w:type="dxa"/>
            <w:vAlign w:val="center"/>
          </w:tcPr>
          <w:p w14:paraId="41FE762E">
            <w:pPr>
              <w:spacing w:line="360" w:lineRule="exact"/>
              <w:jc w:val="center"/>
              <w:rPr>
                <w:rFonts w:ascii="宋体" w:hAnsi="宋体"/>
                <w:color w:val="000000"/>
                <w:szCs w:val="21"/>
              </w:rPr>
            </w:pPr>
            <w:r>
              <w:rPr>
                <w:rFonts w:hint="eastAsia" w:ascii="宋体" w:hAnsi="宋体"/>
                <w:color w:val="000000"/>
                <w:szCs w:val="21"/>
              </w:rPr>
              <w:t>项    目</w:t>
            </w:r>
          </w:p>
        </w:tc>
        <w:tc>
          <w:tcPr>
            <w:tcW w:w="5865" w:type="dxa"/>
            <w:vAlign w:val="center"/>
          </w:tcPr>
          <w:p w14:paraId="0EA10061">
            <w:pPr>
              <w:spacing w:line="360" w:lineRule="exact"/>
              <w:jc w:val="center"/>
              <w:rPr>
                <w:rFonts w:ascii="宋体" w:hAnsi="宋体"/>
                <w:color w:val="000000"/>
                <w:szCs w:val="21"/>
              </w:rPr>
            </w:pPr>
            <w:r>
              <w:rPr>
                <w:rFonts w:hint="eastAsia" w:ascii="宋体" w:hAnsi="宋体"/>
                <w:color w:val="000000"/>
                <w:szCs w:val="21"/>
              </w:rPr>
              <w:t>内    容</w:t>
            </w:r>
          </w:p>
        </w:tc>
      </w:tr>
      <w:tr w14:paraId="08B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1" w:type="dxa"/>
            <w:vAlign w:val="center"/>
          </w:tcPr>
          <w:p w14:paraId="733F3F9D">
            <w:pPr>
              <w:spacing w:line="360" w:lineRule="exact"/>
              <w:jc w:val="center"/>
              <w:rPr>
                <w:rFonts w:ascii="宋体" w:hAnsi="宋体"/>
                <w:color w:val="000000"/>
                <w:sz w:val="24"/>
              </w:rPr>
            </w:pPr>
            <w:r>
              <w:rPr>
                <w:rFonts w:hint="eastAsia" w:ascii="宋体" w:hAnsi="宋体"/>
                <w:color w:val="000000"/>
                <w:sz w:val="24"/>
              </w:rPr>
              <w:t>1</w:t>
            </w:r>
          </w:p>
        </w:tc>
        <w:tc>
          <w:tcPr>
            <w:tcW w:w="2828" w:type="dxa"/>
            <w:vAlign w:val="center"/>
          </w:tcPr>
          <w:p w14:paraId="1050DBD0">
            <w:pPr>
              <w:spacing w:line="360" w:lineRule="exact"/>
              <w:rPr>
                <w:rFonts w:ascii="宋体" w:hAnsi="宋体"/>
                <w:color w:val="000000"/>
                <w:sz w:val="24"/>
              </w:rPr>
            </w:pPr>
            <w:r>
              <w:rPr>
                <w:rFonts w:hint="eastAsia" w:ascii="宋体" w:hAnsi="宋体"/>
                <w:color w:val="000000"/>
                <w:sz w:val="24"/>
              </w:rPr>
              <w:t>履约保证金</w:t>
            </w:r>
          </w:p>
        </w:tc>
        <w:tc>
          <w:tcPr>
            <w:tcW w:w="5865" w:type="dxa"/>
            <w:vAlign w:val="center"/>
          </w:tcPr>
          <w:p w14:paraId="5CCDDA18">
            <w:pPr>
              <w:spacing w:line="360" w:lineRule="exact"/>
              <w:rPr>
                <w:rFonts w:ascii="宋体" w:hAnsi="宋体"/>
                <w:color w:val="000000"/>
                <w:sz w:val="24"/>
              </w:rPr>
            </w:pPr>
            <w:r>
              <w:rPr>
                <w:rFonts w:hint="eastAsia" w:ascii="宋体" w:hAnsi="宋体"/>
                <w:color w:val="000000"/>
                <w:sz w:val="24"/>
              </w:rPr>
              <w:t>见投标函</w:t>
            </w:r>
          </w:p>
        </w:tc>
      </w:tr>
      <w:tr w14:paraId="1EE8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1" w:type="dxa"/>
            <w:vAlign w:val="center"/>
          </w:tcPr>
          <w:p w14:paraId="63ADD57E">
            <w:pPr>
              <w:spacing w:line="360" w:lineRule="exact"/>
              <w:jc w:val="center"/>
              <w:rPr>
                <w:rFonts w:ascii="宋体" w:hAnsi="宋体"/>
                <w:color w:val="000000"/>
                <w:sz w:val="24"/>
              </w:rPr>
            </w:pPr>
            <w:r>
              <w:rPr>
                <w:rFonts w:hint="eastAsia" w:ascii="宋体" w:hAnsi="宋体"/>
                <w:color w:val="000000"/>
                <w:sz w:val="24"/>
              </w:rPr>
              <w:t>2</w:t>
            </w:r>
          </w:p>
        </w:tc>
        <w:tc>
          <w:tcPr>
            <w:tcW w:w="2828" w:type="dxa"/>
            <w:vAlign w:val="center"/>
          </w:tcPr>
          <w:p w14:paraId="0ABF12B1">
            <w:pPr>
              <w:spacing w:line="360" w:lineRule="exact"/>
              <w:rPr>
                <w:rFonts w:ascii="宋体" w:hAnsi="宋体"/>
                <w:color w:val="000000"/>
                <w:sz w:val="24"/>
              </w:rPr>
            </w:pPr>
            <w:r>
              <w:rPr>
                <w:rFonts w:hint="eastAsia" w:ascii="宋体" w:hAnsi="宋体"/>
                <w:color w:val="000000"/>
                <w:sz w:val="24"/>
              </w:rPr>
              <w:t>监理进场时间</w:t>
            </w:r>
          </w:p>
        </w:tc>
        <w:tc>
          <w:tcPr>
            <w:tcW w:w="5865" w:type="dxa"/>
            <w:vAlign w:val="center"/>
          </w:tcPr>
          <w:p w14:paraId="44718621">
            <w:pPr>
              <w:spacing w:line="360" w:lineRule="exact"/>
              <w:rPr>
                <w:rFonts w:ascii="宋体" w:hAnsi="宋体"/>
                <w:color w:val="000000"/>
                <w:sz w:val="24"/>
              </w:rPr>
            </w:pPr>
            <w:r>
              <w:rPr>
                <w:rFonts w:ascii="宋体" w:hAnsi="宋体" w:cs="宋体"/>
                <w:sz w:val="24"/>
              </w:rPr>
              <w:t>合同签订后，根据招标人要求按时进场</w:t>
            </w:r>
          </w:p>
        </w:tc>
      </w:tr>
      <w:tr w14:paraId="6997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161" w:type="dxa"/>
            <w:vAlign w:val="center"/>
          </w:tcPr>
          <w:p w14:paraId="705C2835">
            <w:pPr>
              <w:spacing w:line="360" w:lineRule="exact"/>
              <w:jc w:val="center"/>
              <w:rPr>
                <w:rFonts w:ascii="宋体" w:hAnsi="宋体"/>
                <w:color w:val="000000"/>
                <w:sz w:val="24"/>
              </w:rPr>
            </w:pPr>
            <w:r>
              <w:rPr>
                <w:rFonts w:hint="eastAsia" w:ascii="宋体" w:hAnsi="宋体"/>
                <w:color w:val="000000"/>
                <w:sz w:val="24"/>
              </w:rPr>
              <w:t>3</w:t>
            </w:r>
          </w:p>
        </w:tc>
        <w:tc>
          <w:tcPr>
            <w:tcW w:w="2828" w:type="dxa"/>
            <w:vAlign w:val="center"/>
          </w:tcPr>
          <w:p w14:paraId="5F565F06">
            <w:pPr>
              <w:spacing w:line="360" w:lineRule="exact"/>
              <w:rPr>
                <w:rFonts w:ascii="宋体" w:hAnsi="宋体" w:cs="宋体"/>
                <w:sz w:val="24"/>
              </w:rPr>
            </w:pPr>
            <w:r>
              <w:rPr>
                <w:rFonts w:hint="eastAsia" w:ascii="宋体" w:hAnsi="宋体" w:cs="宋体"/>
                <w:sz w:val="24"/>
              </w:rPr>
              <w:t>服务期</w:t>
            </w:r>
          </w:p>
        </w:tc>
        <w:tc>
          <w:tcPr>
            <w:tcW w:w="5865" w:type="dxa"/>
            <w:vAlign w:val="center"/>
          </w:tcPr>
          <w:p w14:paraId="4B3BA1AB">
            <w:pPr>
              <w:spacing w:line="360" w:lineRule="exact"/>
              <w:rPr>
                <w:rFonts w:hint="default" w:ascii="宋体" w:hAnsi="宋体" w:cs="宋体"/>
                <w:sz w:val="24"/>
                <w:lang w:val="en-US" w:eastAsia="zh-CN"/>
              </w:rPr>
            </w:pPr>
            <w:r>
              <w:rPr>
                <w:rFonts w:hint="eastAsia" w:ascii="宋体" w:hAnsi="宋体" w:cs="宋体"/>
                <w:sz w:val="24"/>
                <w:lang w:val="en-US" w:eastAsia="zh-CN"/>
              </w:rPr>
              <w:t>响应招标文件要求</w:t>
            </w:r>
          </w:p>
        </w:tc>
      </w:tr>
      <w:tr w14:paraId="7021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1" w:type="dxa"/>
            <w:vAlign w:val="center"/>
          </w:tcPr>
          <w:p w14:paraId="626B3BEE">
            <w:pPr>
              <w:spacing w:line="360" w:lineRule="exact"/>
              <w:jc w:val="center"/>
              <w:rPr>
                <w:rFonts w:ascii="宋体" w:hAnsi="宋体"/>
                <w:color w:val="000000"/>
                <w:sz w:val="24"/>
              </w:rPr>
            </w:pPr>
            <w:r>
              <w:rPr>
                <w:rFonts w:hint="eastAsia" w:ascii="宋体" w:hAnsi="宋体"/>
                <w:color w:val="000000"/>
                <w:sz w:val="24"/>
              </w:rPr>
              <w:t>4</w:t>
            </w:r>
          </w:p>
        </w:tc>
        <w:tc>
          <w:tcPr>
            <w:tcW w:w="2828" w:type="dxa"/>
            <w:vAlign w:val="center"/>
          </w:tcPr>
          <w:p w14:paraId="413E74D5">
            <w:pPr>
              <w:spacing w:line="360" w:lineRule="exact"/>
              <w:rPr>
                <w:rFonts w:ascii="宋体" w:hAnsi="宋体"/>
                <w:color w:val="000000"/>
                <w:sz w:val="24"/>
              </w:rPr>
            </w:pPr>
            <w:r>
              <w:rPr>
                <w:rFonts w:hint="eastAsia" w:ascii="宋体" w:hAnsi="宋体"/>
                <w:color w:val="000000"/>
                <w:sz w:val="24"/>
              </w:rPr>
              <w:t>记价货币</w:t>
            </w:r>
          </w:p>
        </w:tc>
        <w:tc>
          <w:tcPr>
            <w:tcW w:w="5865" w:type="dxa"/>
            <w:vAlign w:val="center"/>
          </w:tcPr>
          <w:p w14:paraId="65FBB8B7">
            <w:pPr>
              <w:spacing w:line="360" w:lineRule="exact"/>
              <w:rPr>
                <w:rFonts w:ascii="宋体" w:hAnsi="宋体"/>
                <w:color w:val="000000"/>
                <w:sz w:val="24"/>
              </w:rPr>
            </w:pPr>
            <w:r>
              <w:rPr>
                <w:rFonts w:hint="eastAsia" w:ascii="宋体" w:hAnsi="宋体"/>
                <w:color w:val="000000"/>
                <w:sz w:val="24"/>
              </w:rPr>
              <w:t>人民币</w:t>
            </w:r>
          </w:p>
        </w:tc>
      </w:tr>
      <w:tr w14:paraId="5752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1" w:type="dxa"/>
            <w:vAlign w:val="center"/>
          </w:tcPr>
          <w:p w14:paraId="3BD884EC">
            <w:pPr>
              <w:spacing w:line="360" w:lineRule="exact"/>
              <w:jc w:val="center"/>
              <w:rPr>
                <w:rFonts w:ascii="宋体" w:hAnsi="宋体"/>
                <w:color w:val="000000"/>
                <w:sz w:val="24"/>
              </w:rPr>
            </w:pPr>
            <w:r>
              <w:rPr>
                <w:rFonts w:hint="eastAsia" w:ascii="宋体" w:hAnsi="宋体"/>
                <w:color w:val="000000"/>
                <w:sz w:val="24"/>
              </w:rPr>
              <w:t>5</w:t>
            </w:r>
          </w:p>
        </w:tc>
        <w:tc>
          <w:tcPr>
            <w:tcW w:w="2828" w:type="dxa"/>
            <w:vAlign w:val="center"/>
          </w:tcPr>
          <w:p w14:paraId="4C6B3DC3">
            <w:pPr>
              <w:spacing w:line="360" w:lineRule="exact"/>
              <w:rPr>
                <w:rFonts w:ascii="宋体" w:hAnsi="宋体"/>
                <w:color w:val="000000"/>
                <w:sz w:val="24"/>
              </w:rPr>
            </w:pPr>
            <w:r>
              <w:rPr>
                <w:rFonts w:hint="eastAsia" w:ascii="宋体" w:hAnsi="宋体"/>
                <w:color w:val="000000"/>
                <w:sz w:val="24"/>
              </w:rPr>
              <w:t>预付款</w:t>
            </w:r>
          </w:p>
        </w:tc>
        <w:tc>
          <w:tcPr>
            <w:tcW w:w="5865" w:type="dxa"/>
            <w:vAlign w:val="center"/>
          </w:tcPr>
          <w:p w14:paraId="513E69F1">
            <w:pPr>
              <w:spacing w:line="360" w:lineRule="exact"/>
              <w:rPr>
                <w:rFonts w:ascii="宋体" w:hAnsi="宋体"/>
                <w:color w:val="000000"/>
                <w:sz w:val="24"/>
              </w:rPr>
            </w:pPr>
            <w:r>
              <w:rPr>
                <w:rFonts w:hint="eastAsia" w:ascii="宋体" w:hAnsi="宋体"/>
                <w:color w:val="000000"/>
                <w:sz w:val="24"/>
              </w:rPr>
              <w:t>合同价款的</w:t>
            </w:r>
            <w:r>
              <w:rPr>
                <w:rFonts w:hint="eastAsia" w:ascii="宋体" w:hAnsi="宋体"/>
                <w:color w:val="000000"/>
                <w:sz w:val="24"/>
                <w:u w:val="single"/>
              </w:rPr>
              <w:t>10</w:t>
            </w:r>
            <w:r>
              <w:rPr>
                <w:rFonts w:hint="eastAsia" w:ascii="宋体" w:hAnsi="宋体"/>
                <w:color w:val="000000"/>
                <w:sz w:val="24"/>
              </w:rPr>
              <w:t>%</w:t>
            </w:r>
          </w:p>
        </w:tc>
      </w:tr>
    </w:tbl>
    <w:p w14:paraId="6168BD43">
      <w:pPr>
        <w:spacing w:line="360" w:lineRule="exact"/>
        <w:jc w:val="center"/>
        <w:rPr>
          <w:rFonts w:ascii="宋体" w:hAnsi="宋体"/>
          <w:color w:val="000000"/>
          <w:sz w:val="28"/>
          <w:szCs w:val="28"/>
        </w:rPr>
      </w:pPr>
    </w:p>
    <w:p w14:paraId="7F19046A">
      <w:pPr>
        <w:spacing w:line="360" w:lineRule="exact"/>
        <w:jc w:val="center"/>
        <w:rPr>
          <w:rFonts w:ascii="宋体" w:hAnsi="宋体"/>
          <w:color w:val="000000"/>
          <w:sz w:val="28"/>
          <w:szCs w:val="28"/>
        </w:rPr>
      </w:pPr>
    </w:p>
    <w:p w14:paraId="321D9467">
      <w:pPr>
        <w:spacing w:line="360" w:lineRule="exact"/>
        <w:jc w:val="center"/>
        <w:rPr>
          <w:rFonts w:ascii="宋体" w:hAnsi="宋体"/>
          <w:color w:val="000000"/>
          <w:sz w:val="28"/>
          <w:szCs w:val="28"/>
        </w:rPr>
      </w:pPr>
    </w:p>
    <w:p w14:paraId="09FC5C37">
      <w:pPr>
        <w:spacing w:line="360" w:lineRule="exact"/>
        <w:jc w:val="center"/>
        <w:rPr>
          <w:rFonts w:ascii="宋体" w:hAnsi="宋体"/>
          <w:color w:val="000000"/>
          <w:sz w:val="28"/>
          <w:szCs w:val="28"/>
        </w:rPr>
      </w:pPr>
    </w:p>
    <w:p w14:paraId="126F4259">
      <w:pPr>
        <w:spacing w:line="360" w:lineRule="exact"/>
        <w:jc w:val="center"/>
        <w:rPr>
          <w:rFonts w:ascii="宋体" w:hAnsi="宋体"/>
          <w:color w:val="000000"/>
          <w:sz w:val="28"/>
          <w:szCs w:val="28"/>
        </w:rPr>
      </w:pPr>
    </w:p>
    <w:p w14:paraId="7FC0FB9C">
      <w:pPr>
        <w:pStyle w:val="16"/>
      </w:pPr>
    </w:p>
    <w:p w14:paraId="66490225">
      <w:pPr>
        <w:spacing w:line="360" w:lineRule="exact"/>
        <w:jc w:val="center"/>
        <w:rPr>
          <w:rFonts w:ascii="宋体" w:hAnsi="宋体"/>
          <w:color w:val="000000"/>
          <w:sz w:val="28"/>
          <w:szCs w:val="28"/>
        </w:rPr>
      </w:pPr>
    </w:p>
    <w:p w14:paraId="6010D507">
      <w:pPr>
        <w:spacing w:line="360" w:lineRule="exact"/>
        <w:jc w:val="center"/>
        <w:rPr>
          <w:rFonts w:ascii="宋体" w:hAnsi="宋体"/>
          <w:b/>
          <w:color w:val="000000"/>
          <w:sz w:val="28"/>
          <w:szCs w:val="28"/>
        </w:rPr>
      </w:pPr>
    </w:p>
    <w:p w14:paraId="30F8DE33">
      <w:pPr>
        <w:spacing w:line="360" w:lineRule="exact"/>
        <w:jc w:val="center"/>
        <w:rPr>
          <w:rFonts w:ascii="宋体" w:hAnsi="宋体"/>
          <w:b/>
          <w:color w:val="000000"/>
          <w:sz w:val="28"/>
          <w:szCs w:val="28"/>
        </w:rPr>
      </w:pPr>
    </w:p>
    <w:p w14:paraId="4BE17DF0">
      <w:pPr>
        <w:widowControl/>
        <w:jc w:val="left"/>
        <w:rPr>
          <w:rFonts w:ascii="宋体" w:hAnsi="宋体"/>
          <w:b/>
          <w:color w:val="000000"/>
          <w:sz w:val="28"/>
          <w:szCs w:val="28"/>
        </w:rPr>
      </w:pPr>
      <w:r>
        <w:rPr>
          <w:rFonts w:ascii="宋体" w:hAnsi="宋体"/>
          <w:b/>
          <w:color w:val="000000"/>
          <w:sz w:val="28"/>
          <w:szCs w:val="28"/>
        </w:rPr>
        <w:br w:type="page"/>
      </w:r>
    </w:p>
    <w:p w14:paraId="0F97186F">
      <w:pPr>
        <w:spacing w:line="360" w:lineRule="exact"/>
        <w:jc w:val="center"/>
        <w:rPr>
          <w:rFonts w:ascii="宋体" w:hAnsi="宋体"/>
          <w:b/>
          <w:color w:val="000000"/>
          <w:sz w:val="28"/>
          <w:szCs w:val="28"/>
        </w:rPr>
      </w:pPr>
      <w:r>
        <w:rPr>
          <w:rFonts w:hint="eastAsia" w:ascii="宋体" w:hAnsi="宋体"/>
          <w:b/>
          <w:color w:val="000000"/>
          <w:sz w:val="28"/>
          <w:szCs w:val="28"/>
        </w:rPr>
        <w:t>二、法人代表资格证明（格式）</w:t>
      </w:r>
    </w:p>
    <w:p w14:paraId="248A56F5">
      <w:pPr>
        <w:spacing w:line="360" w:lineRule="exact"/>
        <w:jc w:val="center"/>
        <w:rPr>
          <w:rFonts w:ascii="宋体" w:hAnsi="宋体"/>
          <w:b/>
          <w:color w:val="000000"/>
          <w:sz w:val="28"/>
          <w:szCs w:val="28"/>
        </w:rPr>
      </w:pPr>
    </w:p>
    <w:p w14:paraId="14CC0D74">
      <w:pPr>
        <w:spacing w:line="360" w:lineRule="exact"/>
        <w:jc w:val="center"/>
        <w:rPr>
          <w:rFonts w:ascii="宋体" w:hAnsi="宋体"/>
          <w:b/>
          <w:color w:val="000000"/>
          <w:sz w:val="28"/>
          <w:szCs w:val="28"/>
        </w:rPr>
      </w:pPr>
      <w:r>
        <w:rPr>
          <w:rFonts w:hint="eastAsia" w:ascii="宋体" w:hAnsi="宋体"/>
          <w:b/>
          <w:color w:val="000000"/>
          <w:sz w:val="28"/>
          <w:szCs w:val="28"/>
        </w:rPr>
        <w:t>（一）法定代表人资格证明书</w:t>
      </w:r>
    </w:p>
    <w:p w14:paraId="5E2083B2">
      <w:pPr>
        <w:spacing w:line="360" w:lineRule="exact"/>
        <w:jc w:val="center"/>
        <w:rPr>
          <w:rFonts w:ascii="宋体" w:hAnsi="宋体"/>
          <w:color w:val="000000"/>
          <w:szCs w:val="21"/>
        </w:rPr>
      </w:pPr>
    </w:p>
    <w:p w14:paraId="2BF56309">
      <w:pPr>
        <w:tabs>
          <w:tab w:val="left" w:pos="8640"/>
        </w:tabs>
        <w:spacing w:line="360" w:lineRule="exact"/>
        <w:ind w:firstLine="480" w:firstLineChars="200"/>
        <w:rPr>
          <w:rFonts w:ascii="宋体" w:hAnsi="宋体"/>
          <w:color w:val="000000"/>
          <w:sz w:val="24"/>
          <w:u w:val="single"/>
        </w:rPr>
      </w:pPr>
      <w:r>
        <w:rPr>
          <w:rFonts w:hint="eastAsia" w:ascii="宋体" w:hAnsi="宋体"/>
          <w:color w:val="000000"/>
          <w:sz w:val="24"/>
        </w:rPr>
        <w:t>单位名称：</w:t>
      </w:r>
      <w:r>
        <w:rPr>
          <w:rFonts w:hint="eastAsia" w:ascii="宋体" w:hAnsi="宋体"/>
          <w:color w:val="000000"/>
          <w:sz w:val="24"/>
          <w:u w:val="single"/>
        </w:rPr>
        <w:t xml:space="preserve">                                         </w:t>
      </w:r>
    </w:p>
    <w:p w14:paraId="03EFE3FA">
      <w:pPr>
        <w:tabs>
          <w:tab w:val="left" w:pos="8640"/>
        </w:tabs>
        <w:spacing w:line="360" w:lineRule="exact"/>
        <w:ind w:firstLine="480" w:firstLineChars="20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 xml:space="preserve">                                         </w:t>
      </w:r>
    </w:p>
    <w:p w14:paraId="2A216643">
      <w:pPr>
        <w:tabs>
          <w:tab w:val="left" w:pos="8640"/>
        </w:tabs>
        <w:spacing w:line="360" w:lineRule="exact"/>
        <w:ind w:firstLine="480" w:firstLineChars="200"/>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14:paraId="2E611AE3">
      <w:pPr>
        <w:tabs>
          <w:tab w:val="left" w:pos="8640"/>
        </w:tabs>
        <w:spacing w:line="360" w:lineRule="exact"/>
        <w:ind w:firstLine="480" w:firstLineChars="200"/>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0A83E285">
      <w:pPr>
        <w:tabs>
          <w:tab w:val="left" w:pos="8640"/>
        </w:tabs>
        <w:spacing w:line="360" w:lineRule="exact"/>
        <w:ind w:firstLine="480" w:firstLineChars="20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 xml:space="preserve">                                         </w:t>
      </w:r>
    </w:p>
    <w:p w14:paraId="2AAFDCAE">
      <w:pPr>
        <w:tabs>
          <w:tab w:val="left" w:pos="8640"/>
        </w:tabs>
        <w:spacing w:line="360" w:lineRule="exact"/>
        <w:ind w:firstLine="480" w:firstLineChars="200"/>
        <w:rPr>
          <w:rFonts w:ascii="宋体" w:hAnsi="宋体"/>
          <w:color w:val="000000"/>
          <w:sz w:val="24"/>
          <w:u w:val="single"/>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r>
        <w:rPr>
          <w:rFonts w:hint="eastAsia" w:ascii="宋体" w:hAnsi="宋体"/>
          <w:color w:val="000000"/>
          <w:sz w:val="24"/>
        </w:rPr>
        <w:t>年 龄：</w:t>
      </w:r>
      <w:r>
        <w:rPr>
          <w:rFonts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01181A6F">
      <w:pPr>
        <w:pStyle w:val="16"/>
        <w:spacing w:line="360" w:lineRule="exact"/>
        <w:ind w:firstLine="480" w:firstLineChars="200"/>
        <w:rPr>
          <w:rFonts w:ascii="宋体" w:hAnsi="宋体" w:eastAsia="宋体"/>
          <w:color w:val="000000"/>
          <w:sz w:val="24"/>
        </w:rPr>
      </w:pPr>
      <w:r>
        <w:rPr>
          <w:rFonts w:hint="eastAsia" w:ascii="宋体" w:hAnsi="宋体" w:eastAsia="宋体"/>
          <w:color w:val="000000"/>
          <w:sz w:val="24"/>
        </w:rPr>
        <w:t>系</w:t>
      </w:r>
      <w:r>
        <w:rPr>
          <w:rFonts w:hint="eastAsia" w:ascii="宋体" w:hAnsi="宋体" w:eastAsia="宋体"/>
          <w:color w:val="000000"/>
          <w:sz w:val="24"/>
          <w:u w:val="single"/>
        </w:rPr>
        <w:t xml:space="preserve">  （投标人名称）               </w:t>
      </w:r>
      <w:r>
        <w:rPr>
          <w:rFonts w:hint="eastAsia" w:ascii="宋体" w:hAnsi="宋体" w:eastAsia="宋体"/>
          <w:color w:val="000000"/>
          <w:sz w:val="24"/>
        </w:rPr>
        <w:t>的法定代表人。</w:t>
      </w:r>
    </w:p>
    <w:p w14:paraId="60945E9D">
      <w:pPr>
        <w:pStyle w:val="16"/>
        <w:spacing w:line="360" w:lineRule="exact"/>
        <w:ind w:left="2698" w:leftChars="1285"/>
        <w:rPr>
          <w:rFonts w:ascii="宋体" w:hAnsi="宋体" w:eastAsia="宋体"/>
          <w:color w:val="000000"/>
          <w:sz w:val="24"/>
        </w:rPr>
      </w:pPr>
    </w:p>
    <w:p w14:paraId="584F4586">
      <w:pPr>
        <w:spacing w:line="360" w:lineRule="exact"/>
        <w:ind w:firstLine="480" w:firstLineChars="200"/>
        <w:rPr>
          <w:rFonts w:ascii="宋体" w:hAnsi="宋体"/>
          <w:color w:val="000000"/>
          <w:sz w:val="24"/>
        </w:rPr>
      </w:pPr>
      <w:r>
        <w:rPr>
          <w:rFonts w:hint="eastAsia" w:ascii="宋体" w:hAnsi="宋体"/>
          <w:color w:val="000000"/>
          <w:sz w:val="24"/>
        </w:rPr>
        <w:t>特此证明。</w:t>
      </w:r>
    </w:p>
    <w:p w14:paraId="15D43C88">
      <w:pPr>
        <w:spacing w:line="360" w:lineRule="exact"/>
        <w:ind w:firstLine="480" w:firstLineChars="200"/>
        <w:rPr>
          <w:rFonts w:ascii="宋体" w:hAnsi="宋体"/>
          <w:color w:val="000000"/>
          <w:sz w:val="24"/>
        </w:rPr>
      </w:pPr>
    </w:p>
    <w:p w14:paraId="7A39E65B">
      <w:pPr>
        <w:spacing w:line="400" w:lineRule="exact"/>
        <w:ind w:firstLine="480" w:firstLineChars="200"/>
        <w:rPr>
          <w:rFonts w:ascii="宋体" w:hAnsi="宋体"/>
          <w:color w:val="000000"/>
          <w:sz w:val="24"/>
        </w:rPr>
      </w:pPr>
      <w:r>
        <w:rPr>
          <w:rFonts w:hint="eastAsia" w:ascii="宋体" w:hAnsi="宋体"/>
          <w:color w:val="000000"/>
          <w:sz w:val="24"/>
        </w:rPr>
        <w:t>附： 1、法定代表人有效期内居民身份证正、反面复印件（或影印件）</w:t>
      </w:r>
    </w:p>
    <w:p w14:paraId="52DD989C">
      <w:pPr>
        <w:spacing w:line="400" w:lineRule="exact"/>
        <w:ind w:firstLine="1080" w:firstLineChars="450"/>
        <w:rPr>
          <w:rFonts w:ascii="宋体" w:hAnsi="宋体"/>
          <w:color w:val="000000"/>
          <w:sz w:val="24"/>
          <w:u w:val="single"/>
        </w:rPr>
      </w:pPr>
      <w:r>
        <w:rPr>
          <w:rFonts w:hint="eastAsia" w:ascii="宋体" w:hAnsi="宋体"/>
          <w:color w:val="000000"/>
          <w:sz w:val="24"/>
        </w:rPr>
        <w:t xml:space="preserve">2、 </w:t>
      </w:r>
      <w:r>
        <w:rPr>
          <w:rFonts w:hint="eastAsia" w:ascii="宋体" w:hAnsi="宋体"/>
          <w:color w:val="000000"/>
          <w:sz w:val="24"/>
          <w:highlight w:val="yellow"/>
        </w:rPr>
        <w:t>法定代表人联系方式（手机）：</w:t>
      </w:r>
      <w:r>
        <w:rPr>
          <w:rFonts w:hint="eastAsia" w:ascii="宋体" w:hAnsi="宋体"/>
          <w:color w:val="000000"/>
          <w:sz w:val="24"/>
          <w:u w:val="single"/>
        </w:rPr>
        <w:t xml:space="preserve">               </w:t>
      </w:r>
    </w:p>
    <w:p w14:paraId="3D54F6F5">
      <w:pPr>
        <w:spacing w:line="360" w:lineRule="exact"/>
        <w:ind w:firstLine="560" w:firstLineChars="200"/>
        <w:rPr>
          <w:rFonts w:ascii="宋体" w:hAnsi="宋体"/>
          <w:sz w:val="28"/>
          <w:szCs w:val="28"/>
          <w:highlight w:val="yellow"/>
          <w:u w:val="single"/>
        </w:rPr>
      </w:pPr>
    </w:p>
    <w:p w14:paraId="43EF42DE">
      <w:pPr>
        <w:spacing w:line="360" w:lineRule="exact"/>
        <w:ind w:firstLine="560" w:firstLineChars="200"/>
        <w:rPr>
          <w:rFonts w:ascii="宋体" w:hAnsi="宋体"/>
          <w:sz w:val="28"/>
          <w:szCs w:val="28"/>
          <w:highlight w:val="yellow"/>
          <w:u w:val="single"/>
        </w:rPr>
      </w:pPr>
    </w:p>
    <w:p w14:paraId="66389EB5">
      <w:pPr>
        <w:spacing w:line="360" w:lineRule="exact"/>
        <w:ind w:firstLine="4560" w:firstLineChars="1900"/>
        <w:rPr>
          <w:rFonts w:ascii="宋体" w:hAnsi="宋体"/>
          <w:color w:val="000000"/>
          <w:sz w:val="24"/>
        </w:rPr>
      </w:pPr>
      <w:r>
        <w:rPr>
          <w:rFonts w:hint="eastAsia" w:ascii="宋体" w:hAnsi="宋体"/>
          <w:color w:val="000000"/>
          <w:sz w:val="24"/>
        </w:rPr>
        <w:t>投标人：（盖单位公章）</w:t>
      </w:r>
      <w:r>
        <w:rPr>
          <w:rFonts w:hint="eastAsia" w:ascii="宋体" w:hAnsi="宋体"/>
          <w:color w:val="000000"/>
          <w:u w:val="single"/>
        </w:rPr>
        <w:t xml:space="preserve">             </w:t>
      </w:r>
    </w:p>
    <w:p w14:paraId="355F5BB9">
      <w:pPr>
        <w:spacing w:line="360" w:lineRule="exact"/>
        <w:ind w:left="2698" w:leftChars="1285" w:firstLine="3120" w:firstLineChars="1300"/>
        <w:rPr>
          <w:rFonts w:ascii="宋体" w:hAnsi="宋体"/>
          <w:color w:val="000000"/>
          <w:sz w:val="24"/>
        </w:rPr>
      </w:pPr>
    </w:p>
    <w:p w14:paraId="4167FBBA">
      <w:pPr>
        <w:spacing w:line="360" w:lineRule="exact"/>
        <w:ind w:left="2698" w:leftChars="1285" w:firstLine="3120" w:firstLineChars="1300"/>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1F98A3D2">
      <w:pPr>
        <w:spacing w:line="360" w:lineRule="exact"/>
        <w:jc w:val="center"/>
        <w:rPr>
          <w:rFonts w:ascii="宋体" w:hAnsi="宋体"/>
          <w:b/>
          <w:color w:val="000000"/>
          <w:sz w:val="28"/>
          <w:szCs w:val="28"/>
        </w:rPr>
      </w:pPr>
      <w:r>
        <w:rPr>
          <w:rFonts w:ascii="宋体" w:hAnsi="宋体"/>
          <w:color w:val="000000"/>
          <w:sz w:val="24"/>
        </w:rPr>
        <w:br w:type="page"/>
      </w:r>
      <w:r>
        <w:rPr>
          <w:rFonts w:hint="eastAsia" w:ascii="宋体" w:hAnsi="宋体"/>
          <w:b/>
          <w:color w:val="000000"/>
          <w:sz w:val="28"/>
          <w:szCs w:val="28"/>
        </w:rPr>
        <w:t>（二）授权委托书（若无授权代理人，则不需提供）</w:t>
      </w:r>
    </w:p>
    <w:p w14:paraId="30EF21B4">
      <w:pPr>
        <w:spacing w:line="360" w:lineRule="exact"/>
        <w:rPr>
          <w:rFonts w:ascii="宋体" w:hAnsi="宋体"/>
          <w:color w:val="000000"/>
          <w:szCs w:val="21"/>
        </w:rPr>
      </w:pPr>
    </w:p>
    <w:p w14:paraId="3B4E9468">
      <w:pPr>
        <w:spacing w:line="360" w:lineRule="exact"/>
        <w:jc w:val="center"/>
        <w:rPr>
          <w:rFonts w:ascii="宋体" w:hAnsi="宋体"/>
          <w:color w:val="000000"/>
          <w:sz w:val="24"/>
        </w:rPr>
      </w:pPr>
    </w:p>
    <w:p w14:paraId="5660E33D">
      <w:pPr>
        <w:rPr>
          <w:rFonts w:ascii="宋体" w:hAnsi="宋体"/>
          <w:color w:val="000000"/>
          <w:sz w:val="24"/>
          <w:u w:val="single"/>
        </w:rPr>
      </w:pPr>
      <w:bookmarkStart w:id="47" w:name="_Toc207704593"/>
      <w:bookmarkStart w:id="48" w:name="_Toc306020570"/>
      <w:r>
        <w:rPr>
          <w:rFonts w:hint="eastAsia" w:ascii="宋体" w:hAnsi="宋体"/>
          <w:color w:val="000000"/>
          <w:sz w:val="24"/>
        </w:rPr>
        <w:t>（招标人名称）</w:t>
      </w:r>
      <w:bookmarkEnd w:id="47"/>
      <w:bookmarkEnd w:id="48"/>
      <w:r>
        <w:rPr>
          <w:rFonts w:hint="eastAsia" w:ascii="宋体" w:hAnsi="宋体"/>
          <w:color w:val="000000"/>
          <w:sz w:val="24"/>
          <w:u w:val="single"/>
        </w:rPr>
        <w:t xml:space="preserve">                    </w:t>
      </w:r>
    </w:p>
    <w:p w14:paraId="1BAD5AB4">
      <w:pPr>
        <w:spacing w:line="360" w:lineRule="auto"/>
        <w:ind w:firstLine="480"/>
        <w:rPr>
          <w:rFonts w:ascii="宋体" w:hAnsi="宋体"/>
          <w:color w:val="000000"/>
          <w:sz w:val="24"/>
        </w:rPr>
      </w:pPr>
      <w:r>
        <w:rPr>
          <w:rFonts w:hint="eastAsia" w:ascii="宋体" w:hAnsi="宋体"/>
          <w:color w:val="000000"/>
          <w:sz w:val="24"/>
        </w:rPr>
        <w:t>本授权委托书声明：</w:t>
      </w:r>
    </w:p>
    <w:p w14:paraId="3B3DFFA5">
      <w:pPr>
        <w:spacing w:line="360" w:lineRule="auto"/>
        <w:ind w:firstLine="480"/>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（姓名）</w:t>
      </w:r>
      <w:r>
        <w:rPr>
          <w:rFonts w:hint="eastAsia" w:ascii="宋体" w:hAnsi="宋体"/>
          <w:color w:val="000000"/>
          <w:sz w:val="24"/>
        </w:rPr>
        <w:t>，系</w:t>
      </w:r>
      <w:r>
        <w:rPr>
          <w:rFonts w:hint="eastAsia" w:ascii="宋体" w:hAnsi="宋体"/>
          <w:color w:val="000000"/>
          <w:sz w:val="24"/>
          <w:u w:val="single"/>
        </w:rPr>
        <w:t xml:space="preserve">            （投标人名称）</w:t>
      </w:r>
      <w:r>
        <w:rPr>
          <w:rFonts w:hint="eastAsia" w:ascii="宋体" w:hAnsi="宋体"/>
          <w:color w:val="000000"/>
          <w:sz w:val="24"/>
        </w:rPr>
        <w:t>的法定代表人，现授权委托</w:t>
      </w:r>
      <w:r>
        <w:rPr>
          <w:rFonts w:hint="eastAsia" w:ascii="宋体" w:hAnsi="宋体"/>
          <w:color w:val="000000"/>
          <w:sz w:val="24"/>
          <w:u w:val="single"/>
        </w:rPr>
        <w:t xml:space="preserve">         （姓名）</w:t>
      </w:r>
      <w:r>
        <w:rPr>
          <w:rFonts w:hint="eastAsia" w:ascii="宋体" w:hAnsi="宋体"/>
          <w:color w:val="000000"/>
          <w:sz w:val="24"/>
        </w:rPr>
        <w:t>为我公司授权代理人，以本公司的名义参加</w:t>
      </w:r>
      <w:r>
        <w:rPr>
          <w:rFonts w:hint="eastAsia" w:ascii="宋体" w:hAnsi="宋体"/>
          <w:i/>
          <w:iCs/>
          <w:color w:val="000000"/>
          <w:sz w:val="24"/>
          <w:u w:val="single"/>
        </w:rPr>
        <w:t xml:space="preserve">      </w:t>
      </w:r>
      <w:r>
        <w:rPr>
          <w:rFonts w:hint="eastAsia" w:ascii="宋体" w:hAnsi="宋体"/>
          <w:color w:val="000000"/>
          <w:sz w:val="24"/>
        </w:rPr>
        <w:t>监理投标活动。</w:t>
      </w:r>
    </w:p>
    <w:p w14:paraId="08108D2F">
      <w:pPr>
        <w:spacing w:line="360" w:lineRule="auto"/>
        <w:ind w:firstLine="480"/>
        <w:rPr>
          <w:rFonts w:ascii="宋体" w:hAnsi="宋体"/>
          <w:color w:val="000000"/>
          <w:sz w:val="24"/>
        </w:rPr>
      </w:pPr>
      <w:r>
        <w:rPr>
          <w:rFonts w:hint="eastAsia" w:ascii="宋体" w:hAnsi="宋体"/>
          <w:color w:val="000000"/>
          <w:sz w:val="24"/>
        </w:rPr>
        <w:t>授权代理人在开标、评标、合同谈判和合同签署过程中所签署的一切文件和处理与之有关的一切事务，我均予以承认。</w:t>
      </w:r>
    </w:p>
    <w:p w14:paraId="0833D636">
      <w:pPr>
        <w:spacing w:line="360" w:lineRule="auto"/>
        <w:ind w:firstLine="480"/>
        <w:rPr>
          <w:rFonts w:ascii="宋体" w:hAnsi="宋体"/>
          <w:color w:val="000000"/>
          <w:sz w:val="24"/>
        </w:rPr>
      </w:pPr>
      <w:r>
        <w:rPr>
          <w:rFonts w:hint="eastAsia" w:ascii="宋体" w:hAnsi="宋体"/>
          <w:color w:val="000000"/>
          <w:sz w:val="24"/>
        </w:rPr>
        <w:t>代理人无转委托权，特此委托。</w:t>
      </w:r>
    </w:p>
    <w:p w14:paraId="2E1D50AE">
      <w:pPr>
        <w:spacing w:line="360" w:lineRule="auto"/>
        <w:ind w:firstLine="480"/>
        <w:rPr>
          <w:rFonts w:ascii="宋体" w:hAnsi="宋体"/>
          <w:color w:val="000000"/>
          <w:sz w:val="24"/>
        </w:rPr>
      </w:pPr>
    </w:p>
    <w:p w14:paraId="088ECDA0">
      <w:pPr>
        <w:spacing w:line="360" w:lineRule="auto"/>
        <w:ind w:firstLine="480"/>
        <w:rPr>
          <w:rFonts w:ascii="宋体" w:hAnsi="宋体"/>
          <w:color w:val="000000"/>
          <w:sz w:val="24"/>
        </w:rPr>
      </w:pPr>
      <w:r>
        <w:rPr>
          <w:rFonts w:hint="eastAsia" w:ascii="宋体" w:hAnsi="宋体"/>
          <w:color w:val="000000"/>
          <w:sz w:val="24"/>
        </w:rPr>
        <w:t>授权代理人：</w:t>
      </w:r>
      <w:r>
        <w:rPr>
          <w:rFonts w:hint="eastAsia" w:ascii="宋体" w:hAnsi="宋体"/>
          <w:color w:val="000000"/>
          <w:sz w:val="24"/>
          <w:u w:val="single"/>
        </w:rPr>
        <w:t xml:space="preserve">             </w:t>
      </w:r>
    </w:p>
    <w:p w14:paraId="50774706">
      <w:pPr>
        <w:spacing w:line="360" w:lineRule="auto"/>
        <w:ind w:firstLine="480"/>
        <w:rPr>
          <w:rFonts w:ascii="宋体" w:hAnsi="宋体"/>
          <w:b/>
          <w:color w:val="000000"/>
          <w:sz w:val="24"/>
        </w:rPr>
      </w:pPr>
      <w:r>
        <w:rPr>
          <w:rFonts w:hint="eastAsia" w:ascii="宋体" w:hAnsi="宋体"/>
          <w:color w:val="000000"/>
          <w:sz w:val="24"/>
        </w:rPr>
        <w:t>性别：</w:t>
      </w:r>
      <w:r>
        <w:rPr>
          <w:rFonts w:hint="eastAsia" w:ascii="宋体" w:hAnsi="宋体"/>
          <w:color w:val="000000"/>
          <w:sz w:val="24"/>
          <w:u w:val="single"/>
        </w:rPr>
        <w:t xml:space="preserve">             </w:t>
      </w:r>
    </w:p>
    <w:p w14:paraId="20E8FBCF">
      <w:pPr>
        <w:spacing w:line="360" w:lineRule="auto"/>
        <w:ind w:firstLine="480"/>
        <w:rPr>
          <w:rFonts w:ascii="宋体" w:hAnsi="宋体"/>
          <w:color w:val="000000"/>
          <w:sz w:val="24"/>
        </w:rPr>
      </w:pPr>
      <w:r>
        <w:rPr>
          <w:rFonts w:hint="eastAsia" w:ascii="宋体" w:hAnsi="宋体"/>
          <w:color w:val="000000"/>
          <w:sz w:val="24"/>
        </w:rPr>
        <w:t>年龄：</w:t>
      </w:r>
      <w:r>
        <w:rPr>
          <w:rFonts w:hint="eastAsia" w:ascii="宋体" w:hAnsi="宋体"/>
          <w:color w:val="000000"/>
          <w:sz w:val="24"/>
          <w:u w:val="single"/>
        </w:rPr>
        <w:t xml:space="preserve">             </w:t>
      </w:r>
    </w:p>
    <w:p w14:paraId="79EA01E0">
      <w:pPr>
        <w:spacing w:line="360" w:lineRule="auto"/>
        <w:ind w:firstLine="480"/>
        <w:rPr>
          <w:rFonts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p>
    <w:p w14:paraId="017DD36C">
      <w:pPr>
        <w:spacing w:line="360" w:lineRule="auto"/>
        <w:ind w:firstLine="480"/>
        <w:rPr>
          <w:rFonts w:ascii="宋体" w:hAnsi="宋体"/>
          <w:color w:val="000000"/>
          <w:sz w:val="24"/>
          <w:u w:val="single"/>
        </w:rPr>
      </w:pPr>
      <w:r>
        <w:rPr>
          <w:rFonts w:hint="eastAsia" w:ascii="宋体" w:hAnsi="宋体"/>
          <w:color w:val="000000"/>
          <w:sz w:val="24"/>
        </w:rPr>
        <w:t>居民身份证号码：</w:t>
      </w:r>
      <w:r>
        <w:rPr>
          <w:rFonts w:hint="eastAsia" w:ascii="宋体" w:hAnsi="宋体"/>
          <w:color w:val="000000"/>
          <w:sz w:val="24"/>
          <w:u w:val="single"/>
        </w:rPr>
        <w:t xml:space="preserve">             </w:t>
      </w:r>
    </w:p>
    <w:p w14:paraId="7B8D0050">
      <w:pPr>
        <w:spacing w:line="360" w:lineRule="auto"/>
        <w:ind w:firstLine="480"/>
        <w:rPr>
          <w:rFonts w:ascii="宋体" w:hAnsi="宋体"/>
          <w:color w:val="000000"/>
          <w:sz w:val="24"/>
          <w:u w:val="single"/>
        </w:rPr>
      </w:pPr>
    </w:p>
    <w:p w14:paraId="12FF2D10">
      <w:pPr>
        <w:spacing w:line="360" w:lineRule="exact"/>
        <w:rPr>
          <w:rFonts w:ascii="宋体" w:hAnsi="宋体"/>
          <w:color w:val="000000"/>
          <w:sz w:val="24"/>
        </w:rPr>
      </w:pPr>
    </w:p>
    <w:p w14:paraId="73E34D17">
      <w:pPr>
        <w:spacing w:line="360" w:lineRule="exact"/>
        <w:rPr>
          <w:rFonts w:ascii="宋体" w:hAnsi="宋体"/>
          <w:color w:val="000000"/>
          <w:sz w:val="24"/>
        </w:rPr>
      </w:pPr>
    </w:p>
    <w:p w14:paraId="058ED388">
      <w:pPr>
        <w:spacing w:line="360" w:lineRule="exact"/>
        <w:rPr>
          <w:rFonts w:ascii="宋体" w:hAnsi="宋体"/>
          <w:color w:val="000000"/>
          <w:sz w:val="24"/>
        </w:rPr>
      </w:pPr>
    </w:p>
    <w:p w14:paraId="11563CCB">
      <w:pPr>
        <w:spacing w:line="360" w:lineRule="exact"/>
        <w:rPr>
          <w:rFonts w:ascii="宋体" w:hAnsi="宋体"/>
          <w:color w:val="000000"/>
          <w:sz w:val="24"/>
        </w:rPr>
      </w:pPr>
    </w:p>
    <w:p w14:paraId="480595AC">
      <w:pPr>
        <w:spacing w:line="360" w:lineRule="auto"/>
        <w:ind w:firstLine="480"/>
        <w:rPr>
          <w:rFonts w:ascii="宋体" w:hAnsi="宋体"/>
          <w:color w:val="000000"/>
          <w:sz w:val="24"/>
        </w:rPr>
      </w:pPr>
      <w:r>
        <w:rPr>
          <w:rFonts w:hint="eastAsia" w:ascii="宋体" w:hAnsi="宋体"/>
          <w:color w:val="000000"/>
          <w:sz w:val="24"/>
        </w:rPr>
        <w:t>投标人（盖单位公章）：</w:t>
      </w:r>
      <w:r>
        <w:rPr>
          <w:rFonts w:hint="eastAsia" w:ascii="宋体" w:hAnsi="宋体"/>
          <w:color w:val="000000"/>
          <w:sz w:val="24"/>
          <w:u w:val="single"/>
        </w:rPr>
        <w:t xml:space="preserve">             </w:t>
      </w:r>
    </w:p>
    <w:p w14:paraId="44E04E57">
      <w:pPr>
        <w:spacing w:line="360" w:lineRule="auto"/>
        <w:ind w:firstLine="480"/>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 xml:space="preserve">             </w:t>
      </w:r>
    </w:p>
    <w:p w14:paraId="78ECD878">
      <w:pPr>
        <w:spacing w:line="360" w:lineRule="auto"/>
        <w:ind w:firstLine="480"/>
        <w:rPr>
          <w:rFonts w:ascii="宋体" w:hAnsi="宋体"/>
          <w:color w:val="000000"/>
          <w:sz w:val="24"/>
        </w:rPr>
      </w:pPr>
      <w:r>
        <w:rPr>
          <w:rFonts w:hint="eastAsia" w:ascii="宋体" w:hAnsi="宋体"/>
          <w:color w:val="000000"/>
          <w:sz w:val="24"/>
        </w:rPr>
        <w:t>授权代理人：（签字或盖章）</w:t>
      </w:r>
      <w:r>
        <w:rPr>
          <w:rFonts w:hint="eastAsia" w:ascii="宋体" w:hAnsi="宋体"/>
          <w:color w:val="000000"/>
          <w:sz w:val="24"/>
          <w:u w:val="single"/>
        </w:rPr>
        <w:t xml:space="preserve">             </w:t>
      </w:r>
    </w:p>
    <w:p w14:paraId="1360A121">
      <w:pPr>
        <w:spacing w:line="360" w:lineRule="exact"/>
        <w:ind w:left="5445"/>
        <w:rPr>
          <w:rFonts w:ascii="宋体" w:hAnsi="宋体"/>
          <w:color w:val="000000"/>
          <w:sz w:val="24"/>
        </w:rPr>
      </w:pPr>
    </w:p>
    <w:p w14:paraId="5DF1B609">
      <w:pPr>
        <w:spacing w:line="360" w:lineRule="exact"/>
        <w:ind w:left="5445"/>
        <w:rPr>
          <w:rFonts w:ascii="宋体" w:hAnsi="宋体"/>
          <w:color w:val="000000"/>
          <w:sz w:val="24"/>
        </w:rPr>
      </w:pPr>
    </w:p>
    <w:p w14:paraId="6C75C79E">
      <w:pPr>
        <w:spacing w:line="360" w:lineRule="exact"/>
        <w:ind w:left="5445"/>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14D96A73">
      <w:pPr>
        <w:pStyle w:val="20"/>
        <w:spacing w:line="360" w:lineRule="exact"/>
        <w:rPr>
          <w:rFonts w:ascii="宋体" w:hAnsi="宋体"/>
          <w:bCs/>
          <w:color w:val="000000"/>
          <w:szCs w:val="24"/>
        </w:rPr>
      </w:pPr>
    </w:p>
    <w:p w14:paraId="277AA228">
      <w:pPr>
        <w:pStyle w:val="20"/>
        <w:spacing w:line="360" w:lineRule="exact"/>
        <w:rPr>
          <w:rFonts w:ascii="宋体" w:hAnsi="宋体"/>
          <w:bCs/>
          <w:color w:val="000000"/>
          <w:szCs w:val="24"/>
        </w:rPr>
      </w:pPr>
    </w:p>
    <w:p w14:paraId="4251B254">
      <w:pPr>
        <w:pStyle w:val="20"/>
        <w:spacing w:line="360" w:lineRule="exact"/>
        <w:rPr>
          <w:rFonts w:ascii="宋体" w:hAnsi="宋体"/>
          <w:bCs/>
          <w:color w:val="000000"/>
          <w:szCs w:val="24"/>
        </w:rPr>
      </w:pPr>
    </w:p>
    <w:p w14:paraId="7E5953BD">
      <w:pPr>
        <w:pStyle w:val="20"/>
        <w:spacing w:line="360" w:lineRule="exact"/>
        <w:rPr>
          <w:rFonts w:ascii="宋体" w:hAnsi="宋体"/>
          <w:bCs/>
          <w:color w:val="000000"/>
          <w:szCs w:val="24"/>
        </w:rPr>
      </w:pPr>
    </w:p>
    <w:p w14:paraId="070DC910">
      <w:pPr>
        <w:spacing w:line="400" w:lineRule="exact"/>
        <w:rPr>
          <w:rFonts w:ascii="宋体" w:hAnsi="宋体"/>
          <w:color w:val="000000"/>
          <w:sz w:val="24"/>
        </w:rPr>
      </w:pPr>
      <w:r>
        <w:rPr>
          <w:rFonts w:hint="eastAsia" w:ascii="宋体" w:hAnsi="宋体"/>
          <w:color w:val="000000"/>
          <w:sz w:val="24"/>
        </w:rPr>
        <w:t>附： 1、委托代理人有效期内居民身份证正、反面复印件（或影印件）</w:t>
      </w:r>
    </w:p>
    <w:p w14:paraId="50E5B3A7">
      <w:pPr>
        <w:spacing w:line="400" w:lineRule="exact"/>
        <w:ind w:firstLine="480" w:firstLineChars="200"/>
        <w:rPr>
          <w:rFonts w:ascii="宋体" w:hAnsi="宋体"/>
          <w:color w:val="000000"/>
          <w:sz w:val="24"/>
          <w:u w:val="single"/>
        </w:rPr>
      </w:pPr>
      <w:r>
        <w:rPr>
          <w:rFonts w:hint="eastAsia" w:ascii="宋体" w:hAnsi="宋体"/>
          <w:color w:val="000000"/>
          <w:sz w:val="24"/>
        </w:rPr>
        <w:t xml:space="preserve"> 2、</w:t>
      </w:r>
      <w:r>
        <w:rPr>
          <w:rFonts w:hint="eastAsia" w:ascii="宋体" w:hAnsi="宋体"/>
          <w:color w:val="000000"/>
          <w:sz w:val="24"/>
          <w:highlight w:val="yellow"/>
        </w:rPr>
        <w:t>委托代理人联系方式（手机）：</w:t>
      </w:r>
      <w:r>
        <w:rPr>
          <w:rFonts w:hint="eastAsia" w:ascii="宋体" w:hAnsi="宋体"/>
          <w:color w:val="000000"/>
          <w:sz w:val="24"/>
          <w:u w:val="single"/>
        </w:rPr>
        <w:t xml:space="preserve">               </w:t>
      </w:r>
    </w:p>
    <w:p w14:paraId="30F47C68">
      <w:pPr>
        <w:spacing w:line="360" w:lineRule="exact"/>
        <w:rPr>
          <w:rFonts w:ascii="宋体" w:hAnsi="宋体"/>
          <w:bCs/>
          <w:color w:val="000000"/>
          <w:szCs w:val="21"/>
        </w:rPr>
      </w:pPr>
    </w:p>
    <w:p w14:paraId="4F2A8BCC">
      <w:pPr>
        <w:widowControl/>
        <w:jc w:val="left"/>
        <w:rPr>
          <w:rFonts w:ascii="宋体" w:hAnsi="宋体"/>
          <w:b/>
          <w:color w:val="000000"/>
          <w:sz w:val="28"/>
          <w:szCs w:val="28"/>
        </w:rPr>
      </w:pPr>
    </w:p>
    <w:p w14:paraId="5EA55D00">
      <w:pPr>
        <w:spacing w:line="360" w:lineRule="exact"/>
        <w:jc w:val="center"/>
        <w:rPr>
          <w:rFonts w:ascii="宋体" w:hAnsi="宋体"/>
          <w:color w:val="000000"/>
          <w:sz w:val="28"/>
          <w:szCs w:val="28"/>
        </w:rPr>
      </w:pPr>
      <w:r>
        <w:rPr>
          <w:rFonts w:hint="eastAsia" w:ascii="宋体" w:hAnsi="宋体"/>
          <w:b/>
          <w:color w:val="000000"/>
          <w:sz w:val="28"/>
          <w:szCs w:val="28"/>
        </w:rPr>
        <w:t>三、资格证明及辅助资料表</w:t>
      </w:r>
    </w:p>
    <w:p w14:paraId="54412545">
      <w:pPr>
        <w:spacing w:line="360" w:lineRule="exact"/>
        <w:jc w:val="center"/>
        <w:rPr>
          <w:rFonts w:ascii="宋体" w:hAnsi="宋体"/>
          <w:color w:val="000000"/>
          <w:szCs w:val="21"/>
        </w:rPr>
      </w:pPr>
    </w:p>
    <w:p w14:paraId="1BB3EDFC">
      <w:pPr>
        <w:spacing w:line="360" w:lineRule="exact"/>
        <w:jc w:val="center"/>
        <w:rPr>
          <w:rFonts w:ascii="宋体" w:hAnsi="宋体"/>
          <w:color w:val="000000"/>
          <w:szCs w:val="21"/>
        </w:rPr>
      </w:pPr>
    </w:p>
    <w:p w14:paraId="047E27CA">
      <w:pPr>
        <w:spacing w:line="360" w:lineRule="exact"/>
        <w:rPr>
          <w:rFonts w:ascii="宋体" w:hAnsi="宋体"/>
          <w:color w:val="000000"/>
          <w:sz w:val="24"/>
        </w:rPr>
      </w:pPr>
      <w:r>
        <w:rPr>
          <w:rFonts w:hint="eastAsia" w:ascii="宋体" w:hAnsi="宋体"/>
          <w:color w:val="000000"/>
          <w:sz w:val="24"/>
        </w:rPr>
        <w:t>资格证明和辅助资料表包括</w:t>
      </w:r>
    </w:p>
    <w:p w14:paraId="5B5A71D7">
      <w:pPr>
        <w:spacing w:line="360" w:lineRule="exact"/>
        <w:rPr>
          <w:rFonts w:ascii="宋体" w:hAnsi="宋体"/>
          <w:color w:val="000000"/>
          <w:sz w:val="24"/>
        </w:rPr>
      </w:pPr>
      <w:r>
        <w:rPr>
          <w:rFonts w:hint="eastAsia" w:ascii="宋体" w:hAnsi="宋体"/>
          <w:color w:val="000000"/>
          <w:sz w:val="24"/>
        </w:rPr>
        <w:t>表1  组织机构</w:t>
      </w:r>
    </w:p>
    <w:p w14:paraId="1F5488DD">
      <w:pPr>
        <w:spacing w:line="360" w:lineRule="exact"/>
        <w:rPr>
          <w:rFonts w:ascii="宋体" w:hAnsi="宋体"/>
          <w:color w:val="000000"/>
          <w:sz w:val="24"/>
        </w:rPr>
      </w:pPr>
      <w:r>
        <w:rPr>
          <w:rFonts w:hint="eastAsia" w:ascii="宋体" w:hAnsi="宋体"/>
          <w:color w:val="000000"/>
          <w:sz w:val="24"/>
        </w:rPr>
        <w:t>表2  已完成类似工程监理项目情况汇总表</w:t>
      </w:r>
    </w:p>
    <w:p w14:paraId="1EB1FBE8">
      <w:pPr>
        <w:spacing w:line="360" w:lineRule="exact"/>
        <w:rPr>
          <w:rFonts w:ascii="宋体" w:hAnsi="宋体"/>
          <w:color w:val="000000"/>
          <w:sz w:val="24"/>
        </w:rPr>
      </w:pPr>
      <w:r>
        <w:rPr>
          <w:rFonts w:hint="eastAsia" w:ascii="宋体" w:hAnsi="宋体"/>
          <w:color w:val="000000"/>
          <w:sz w:val="24"/>
        </w:rPr>
        <w:t>表3  已完成类似工程监理项目情况表</w:t>
      </w:r>
    </w:p>
    <w:p w14:paraId="39B45F25">
      <w:pPr>
        <w:spacing w:line="360" w:lineRule="exact"/>
        <w:rPr>
          <w:rFonts w:ascii="宋体" w:hAnsi="宋体"/>
          <w:color w:val="000000"/>
          <w:sz w:val="24"/>
        </w:rPr>
      </w:pPr>
      <w:r>
        <w:rPr>
          <w:rFonts w:hint="eastAsia" w:ascii="宋体" w:hAnsi="宋体"/>
          <w:color w:val="000000"/>
          <w:sz w:val="24"/>
        </w:rPr>
        <w:t>表4  正在监理类似工程监理项目情况汇总表</w:t>
      </w:r>
    </w:p>
    <w:p w14:paraId="2D5150E1">
      <w:pPr>
        <w:spacing w:line="360" w:lineRule="exact"/>
        <w:rPr>
          <w:rFonts w:ascii="宋体" w:hAnsi="宋体"/>
          <w:color w:val="000000"/>
          <w:sz w:val="24"/>
        </w:rPr>
      </w:pPr>
      <w:r>
        <w:rPr>
          <w:rFonts w:hint="eastAsia" w:ascii="宋体" w:hAnsi="宋体"/>
          <w:color w:val="000000"/>
          <w:sz w:val="24"/>
        </w:rPr>
        <w:t>表5  正在监理类似工程监理项目情况表</w:t>
      </w:r>
    </w:p>
    <w:p w14:paraId="117E76E2">
      <w:pPr>
        <w:spacing w:line="360" w:lineRule="exact"/>
        <w:rPr>
          <w:rFonts w:ascii="宋体" w:hAnsi="宋体"/>
          <w:color w:val="000000"/>
          <w:sz w:val="24"/>
        </w:rPr>
      </w:pPr>
      <w:r>
        <w:rPr>
          <w:rFonts w:hint="eastAsia" w:ascii="宋体" w:hAnsi="宋体"/>
          <w:color w:val="000000"/>
          <w:sz w:val="24"/>
        </w:rPr>
        <w:t>表6  监理人员资质表</w:t>
      </w:r>
    </w:p>
    <w:p w14:paraId="40FA1E8A">
      <w:pPr>
        <w:spacing w:line="360" w:lineRule="exact"/>
        <w:rPr>
          <w:rFonts w:ascii="宋体" w:hAnsi="宋体"/>
          <w:color w:val="000000"/>
          <w:sz w:val="24"/>
        </w:rPr>
      </w:pPr>
      <w:r>
        <w:rPr>
          <w:rFonts w:hint="eastAsia" w:ascii="宋体" w:hAnsi="宋体"/>
          <w:color w:val="000000"/>
          <w:sz w:val="24"/>
        </w:rPr>
        <w:t>表7  监理机构监理人员配备表</w:t>
      </w:r>
    </w:p>
    <w:p w14:paraId="3C0E0187">
      <w:pPr>
        <w:spacing w:line="360" w:lineRule="exact"/>
        <w:rPr>
          <w:rFonts w:ascii="宋体" w:hAnsi="宋体"/>
          <w:color w:val="000000"/>
          <w:sz w:val="24"/>
        </w:rPr>
      </w:pPr>
      <w:r>
        <w:rPr>
          <w:rFonts w:hint="eastAsia" w:ascii="宋体" w:hAnsi="宋体"/>
          <w:color w:val="000000"/>
          <w:sz w:val="24"/>
        </w:rPr>
        <w:t>表8  拟投入监理人员简历表</w:t>
      </w:r>
    </w:p>
    <w:p w14:paraId="35592351">
      <w:pPr>
        <w:spacing w:line="360" w:lineRule="exact"/>
        <w:rPr>
          <w:rFonts w:ascii="宋体" w:hAnsi="宋体"/>
          <w:color w:val="000000"/>
          <w:sz w:val="24"/>
        </w:rPr>
      </w:pPr>
      <w:r>
        <w:rPr>
          <w:rFonts w:hint="eastAsia" w:ascii="宋体" w:hAnsi="宋体"/>
          <w:color w:val="000000"/>
          <w:sz w:val="24"/>
        </w:rPr>
        <w:t>表9  现场监理机构配备仪器设备表</w:t>
      </w:r>
    </w:p>
    <w:p w14:paraId="609BEDB2">
      <w:pPr>
        <w:spacing w:line="360" w:lineRule="exact"/>
        <w:rPr>
          <w:rFonts w:ascii="宋体" w:hAnsi="宋体"/>
          <w:color w:val="000000"/>
          <w:sz w:val="24"/>
        </w:rPr>
      </w:pPr>
      <w:r>
        <w:rPr>
          <w:rFonts w:hint="eastAsia" w:ascii="宋体" w:hAnsi="宋体"/>
          <w:color w:val="000000"/>
          <w:sz w:val="24"/>
        </w:rPr>
        <w:t>表10 其他资料（如各种奖励和处罚）表</w:t>
      </w:r>
    </w:p>
    <w:p w14:paraId="66123599">
      <w:pPr>
        <w:spacing w:line="360" w:lineRule="exact"/>
        <w:rPr>
          <w:rFonts w:ascii="宋体" w:hAnsi="宋体"/>
          <w:color w:val="000000"/>
          <w:sz w:val="24"/>
        </w:rPr>
      </w:pPr>
      <w:r>
        <w:rPr>
          <w:rFonts w:hint="eastAsia" w:ascii="宋体" w:hAnsi="宋体"/>
          <w:color w:val="000000"/>
          <w:sz w:val="24"/>
        </w:rPr>
        <w:br w:type="page"/>
      </w:r>
      <w:r>
        <w:rPr>
          <w:rFonts w:hint="eastAsia" w:ascii="宋体" w:hAnsi="宋体"/>
          <w:color w:val="000000"/>
          <w:sz w:val="24"/>
        </w:rPr>
        <w:t>附表</w:t>
      </w:r>
      <w:r>
        <w:rPr>
          <w:rFonts w:ascii="宋体" w:hAnsi="宋体"/>
          <w:color w:val="000000"/>
          <w:sz w:val="24"/>
        </w:rPr>
        <w:t>1:</w:t>
      </w:r>
    </w:p>
    <w:p w14:paraId="2B8D6E83">
      <w:pPr>
        <w:spacing w:line="360" w:lineRule="exact"/>
        <w:jc w:val="center"/>
        <w:rPr>
          <w:rFonts w:ascii="宋体" w:hAnsi="宋体"/>
          <w:bCs/>
          <w:color w:val="000000"/>
          <w:spacing w:val="40"/>
          <w:sz w:val="24"/>
        </w:rPr>
      </w:pPr>
      <w:r>
        <w:rPr>
          <w:rFonts w:hint="eastAsia" w:ascii="宋体" w:hAnsi="宋体"/>
          <w:bCs/>
          <w:color w:val="000000"/>
          <w:spacing w:val="40"/>
          <w:sz w:val="24"/>
        </w:rPr>
        <w:t>组 织 机 构</w:t>
      </w:r>
    </w:p>
    <w:p w14:paraId="0B3ECDCC">
      <w:pPr>
        <w:spacing w:line="360" w:lineRule="exact"/>
        <w:rPr>
          <w:rFonts w:ascii="宋体" w:hAnsi="宋体"/>
          <w:color w:val="000000"/>
          <w:sz w:val="24"/>
        </w:rPr>
      </w:pPr>
    </w:p>
    <w:tbl>
      <w:tblPr>
        <w:tblStyle w:val="32"/>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4"/>
        <w:gridCol w:w="1474"/>
        <w:gridCol w:w="1023"/>
        <w:gridCol w:w="1665"/>
        <w:gridCol w:w="2081"/>
        <w:gridCol w:w="2237"/>
      </w:tblGrid>
      <w:tr w14:paraId="45F50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14:paraId="7C947D59">
            <w:pPr>
              <w:spacing w:line="360" w:lineRule="exact"/>
              <w:jc w:val="center"/>
              <w:rPr>
                <w:rFonts w:ascii="宋体" w:hAnsi="宋体"/>
                <w:color w:val="000000"/>
                <w:sz w:val="24"/>
              </w:rPr>
            </w:pPr>
            <w:r>
              <w:rPr>
                <w:rFonts w:hint="eastAsia" w:ascii="宋体" w:hAnsi="宋体"/>
                <w:color w:val="000000"/>
                <w:sz w:val="24"/>
              </w:rPr>
              <w:t>企业名称</w:t>
            </w:r>
          </w:p>
        </w:tc>
        <w:tc>
          <w:tcPr>
            <w:tcW w:w="4162" w:type="dxa"/>
            <w:gridSpan w:val="3"/>
            <w:tcBorders>
              <w:top w:val="single" w:color="auto" w:sz="4" w:space="0"/>
              <w:left w:val="single" w:color="auto" w:sz="4" w:space="0"/>
              <w:bottom w:val="single" w:color="auto" w:sz="4" w:space="0"/>
              <w:right w:val="single" w:color="auto" w:sz="4" w:space="0"/>
            </w:tcBorders>
            <w:vAlign w:val="center"/>
          </w:tcPr>
          <w:p w14:paraId="0392C7C6">
            <w:pPr>
              <w:spacing w:line="360" w:lineRule="exact"/>
              <w:jc w:val="center"/>
              <w:rPr>
                <w:rFonts w:ascii="宋体" w:hAnsi="宋体"/>
                <w:bCs/>
                <w:color w:val="000000"/>
                <w:sz w:val="24"/>
              </w:rPr>
            </w:pPr>
          </w:p>
        </w:tc>
        <w:tc>
          <w:tcPr>
            <w:tcW w:w="2081" w:type="dxa"/>
            <w:tcBorders>
              <w:top w:val="single" w:color="auto" w:sz="4" w:space="0"/>
              <w:left w:val="single" w:color="auto" w:sz="4" w:space="0"/>
              <w:bottom w:val="single" w:color="auto" w:sz="4" w:space="0"/>
              <w:right w:val="single" w:color="auto" w:sz="4" w:space="0"/>
            </w:tcBorders>
            <w:vAlign w:val="center"/>
          </w:tcPr>
          <w:p w14:paraId="2D87336B">
            <w:pPr>
              <w:spacing w:line="360" w:lineRule="exact"/>
              <w:jc w:val="center"/>
              <w:rPr>
                <w:rFonts w:ascii="宋体" w:hAnsi="宋体"/>
                <w:color w:val="000000"/>
                <w:sz w:val="24"/>
              </w:rPr>
            </w:pPr>
            <w:r>
              <w:rPr>
                <w:rFonts w:hint="eastAsia" w:ascii="宋体" w:hAnsi="宋体"/>
                <w:color w:val="000000"/>
                <w:sz w:val="24"/>
              </w:rPr>
              <w:t>法定代表人</w:t>
            </w:r>
          </w:p>
        </w:tc>
        <w:tc>
          <w:tcPr>
            <w:tcW w:w="2237" w:type="dxa"/>
            <w:tcBorders>
              <w:top w:val="single" w:color="auto" w:sz="4" w:space="0"/>
              <w:left w:val="single" w:color="auto" w:sz="4" w:space="0"/>
              <w:bottom w:val="single" w:color="auto" w:sz="4" w:space="0"/>
              <w:right w:val="single" w:color="auto" w:sz="4" w:space="0"/>
            </w:tcBorders>
            <w:vAlign w:val="center"/>
          </w:tcPr>
          <w:p w14:paraId="2C042F0B">
            <w:pPr>
              <w:spacing w:line="360" w:lineRule="exact"/>
              <w:jc w:val="center"/>
              <w:rPr>
                <w:rFonts w:ascii="宋体" w:hAnsi="宋体"/>
                <w:bCs/>
                <w:color w:val="000000"/>
                <w:sz w:val="24"/>
              </w:rPr>
            </w:pPr>
          </w:p>
        </w:tc>
      </w:tr>
      <w:tr w14:paraId="607B5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14:paraId="51846353">
            <w:pPr>
              <w:spacing w:line="360" w:lineRule="exact"/>
              <w:jc w:val="center"/>
              <w:rPr>
                <w:rFonts w:ascii="宋体" w:hAnsi="宋体"/>
                <w:color w:val="000000"/>
                <w:sz w:val="24"/>
              </w:rPr>
            </w:pPr>
            <w:r>
              <w:rPr>
                <w:rFonts w:hint="eastAsia" w:ascii="宋体" w:hAnsi="宋体"/>
                <w:color w:val="000000"/>
                <w:sz w:val="24"/>
              </w:rPr>
              <w:t>注册地址</w:t>
            </w:r>
          </w:p>
        </w:tc>
        <w:tc>
          <w:tcPr>
            <w:tcW w:w="4162" w:type="dxa"/>
            <w:gridSpan w:val="3"/>
            <w:tcBorders>
              <w:top w:val="single" w:color="auto" w:sz="4" w:space="0"/>
              <w:left w:val="single" w:color="auto" w:sz="4" w:space="0"/>
              <w:bottom w:val="single" w:color="auto" w:sz="4" w:space="0"/>
              <w:right w:val="single" w:color="auto" w:sz="4" w:space="0"/>
            </w:tcBorders>
            <w:vAlign w:val="center"/>
          </w:tcPr>
          <w:p w14:paraId="4B52CBD7">
            <w:pPr>
              <w:spacing w:line="360" w:lineRule="exact"/>
              <w:jc w:val="center"/>
              <w:rPr>
                <w:rFonts w:ascii="宋体" w:hAnsi="宋体"/>
                <w:bCs/>
                <w:color w:val="000000"/>
                <w:sz w:val="24"/>
              </w:rPr>
            </w:pPr>
          </w:p>
        </w:tc>
        <w:tc>
          <w:tcPr>
            <w:tcW w:w="2081" w:type="dxa"/>
            <w:tcBorders>
              <w:top w:val="single" w:color="auto" w:sz="4" w:space="0"/>
              <w:left w:val="single" w:color="auto" w:sz="4" w:space="0"/>
              <w:bottom w:val="single" w:color="auto" w:sz="4" w:space="0"/>
              <w:right w:val="single" w:color="auto" w:sz="4" w:space="0"/>
            </w:tcBorders>
            <w:vAlign w:val="center"/>
          </w:tcPr>
          <w:p w14:paraId="527E137E">
            <w:pPr>
              <w:spacing w:line="360" w:lineRule="exact"/>
              <w:jc w:val="center"/>
              <w:rPr>
                <w:rFonts w:ascii="宋体" w:hAnsi="宋体"/>
                <w:color w:val="000000"/>
                <w:sz w:val="24"/>
              </w:rPr>
            </w:pPr>
            <w:r>
              <w:rPr>
                <w:rFonts w:hint="eastAsia" w:ascii="宋体" w:hAnsi="宋体"/>
                <w:color w:val="000000"/>
                <w:sz w:val="24"/>
              </w:rPr>
              <w:t>邮编</w:t>
            </w:r>
          </w:p>
        </w:tc>
        <w:tc>
          <w:tcPr>
            <w:tcW w:w="2237" w:type="dxa"/>
            <w:tcBorders>
              <w:top w:val="single" w:color="auto" w:sz="4" w:space="0"/>
              <w:left w:val="single" w:color="auto" w:sz="4" w:space="0"/>
              <w:bottom w:val="single" w:color="auto" w:sz="4" w:space="0"/>
              <w:right w:val="single" w:color="auto" w:sz="4" w:space="0"/>
            </w:tcBorders>
            <w:vAlign w:val="center"/>
          </w:tcPr>
          <w:p w14:paraId="4AD4EBDA">
            <w:pPr>
              <w:spacing w:line="360" w:lineRule="exact"/>
              <w:jc w:val="center"/>
              <w:rPr>
                <w:rFonts w:ascii="宋体" w:hAnsi="宋体"/>
                <w:bCs/>
                <w:color w:val="000000"/>
                <w:sz w:val="24"/>
              </w:rPr>
            </w:pPr>
          </w:p>
        </w:tc>
      </w:tr>
      <w:tr w14:paraId="7565D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14:paraId="2845585F">
            <w:pPr>
              <w:spacing w:line="360" w:lineRule="exact"/>
              <w:jc w:val="center"/>
              <w:rPr>
                <w:rFonts w:ascii="宋体" w:hAnsi="宋体"/>
                <w:color w:val="000000"/>
                <w:sz w:val="24"/>
              </w:rPr>
            </w:pPr>
            <w:r>
              <w:rPr>
                <w:rFonts w:hint="eastAsia" w:ascii="宋体" w:hAnsi="宋体"/>
                <w:color w:val="000000"/>
                <w:sz w:val="24"/>
              </w:rPr>
              <w:t>成立时间</w:t>
            </w:r>
          </w:p>
        </w:tc>
        <w:tc>
          <w:tcPr>
            <w:tcW w:w="1474" w:type="dxa"/>
            <w:tcBorders>
              <w:top w:val="single" w:color="auto" w:sz="4" w:space="0"/>
              <w:left w:val="single" w:color="auto" w:sz="4" w:space="0"/>
              <w:bottom w:val="single" w:color="auto" w:sz="4" w:space="0"/>
              <w:right w:val="single" w:color="auto" w:sz="4" w:space="0"/>
            </w:tcBorders>
            <w:vAlign w:val="center"/>
          </w:tcPr>
          <w:p w14:paraId="08B8E305">
            <w:pPr>
              <w:spacing w:line="360" w:lineRule="exact"/>
              <w:jc w:val="center"/>
              <w:rPr>
                <w:rFonts w:ascii="宋体" w:hAnsi="宋体"/>
                <w:bCs/>
                <w:color w:val="000000"/>
                <w:sz w:val="24"/>
              </w:rPr>
            </w:pPr>
          </w:p>
        </w:tc>
        <w:tc>
          <w:tcPr>
            <w:tcW w:w="1023" w:type="dxa"/>
            <w:tcBorders>
              <w:top w:val="single" w:color="auto" w:sz="4" w:space="0"/>
              <w:left w:val="single" w:color="auto" w:sz="4" w:space="0"/>
              <w:bottom w:val="single" w:color="auto" w:sz="4" w:space="0"/>
              <w:right w:val="single" w:color="auto" w:sz="4" w:space="0"/>
            </w:tcBorders>
            <w:vAlign w:val="center"/>
          </w:tcPr>
          <w:p w14:paraId="44785CF8">
            <w:pPr>
              <w:spacing w:line="360" w:lineRule="exact"/>
              <w:jc w:val="center"/>
              <w:rPr>
                <w:rFonts w:ascii="宋体" w:hAnsi="宋体"/>
                <w:color w:val="000000"/>
                <w:sz w:val="24"/>
              </w:rPr>
            </w:pPr>
            <w:r>
              <w:rPr>
                <w:rFonts w:hint="eastAsia" w:ascii="宋体" w:hAnsi="宋体"/>
                <w:color w:val="000000"/>
                <w:sz w:val="24"/>
              </w:rPr>
              <w:t>电话</w:t>
            </w:r>
          </w:p>
        </w:tc>
        <w:tc>
          <w:tcPr>
            <w:tcW w:w="1665" w:type="dxa"/>
            <w:tcBorders>
              <w:top w:val="single" w:color="auto" w:sz="4" w:space="0"/>
              <w:left w:val="single" w:color="auto" w:sz="4" w:space="0"/>
              <w:bottom w:val="single" w:color="auto" w:sz="4" w:space="0"/>
              <w:right w:val="single" w:color="auto" w:sz="4" w:space="0"/>
            </w:tcBorders>
            <w:vAlign w:val="center"/>
          </w:tcPr>
          <w:p w14:paraId="50B431E9">
            <w:pPr>
              <w:spacing w:line="360" w:lineRule="exact"/>
              <w:jc w:val="center"/>
              <w:rPr>
                <w:rFonts w:ascii="宋体" w:hAnsi="宋体"/>
                <w:bCs/>
                <w:color w:val="000000"/>
                <w:sz w:val="24"/>
              </w:rPr>
            </w:pPr>
          </w:p>
        </w:tc>
        <w:tc>
          <w:tcPr>
            <w:tcW w:w="2081" w:type="dxa"/>
            <w:tcBorders>
              <w:top w:val="single" w:color="auto" w:sz="4" w:space="0"/>
              <w:left w:val="single" w:color="auto" w:sz="4" w:space="0"/>
              <w:bottom w:val="single" w:color="auto" w:sz="4" w:space="0"/>
              <w:right w:val="single" w:color="auto" w:sz="4" w:space="0"/>
            </w:tcBorders>
            <w:vAlign w:val="center"/>
          </w:tcPr>
          <w:p w14:paraId="0F7CCFCB">
            <w:pPr>
              <w:spacing w:line="360" w:lineRule="exact"/>
              <w:jc w:val="center"/>
              <w:rPr>
                <w:rFonts w:ascii="宋体" w:hAnsi="宋体"/>
                <w:color w:val="000000"/>
                <w:sz w:val="24"/>
              </w:rPr>
            </w:pPr>
            <w:r>
              <w:rPr>
                <w:rFonts w:hint="eastAsia" w:ascii="宋体" w:hAnsi="宋体"/>
                <w:color w:val="000000"/>
                <w:sz w:val="24"/>
              </w:rPr>
              <w:t>传真</w:t>
            </w:r>
          </w:p>
        </w:tc>
        <w:tc>
          <w:tcPr>
            <w:tcW w:w="2237" w:type="dxa"/>
            <w:tcBorders>
              <w:top w:val="single" w:color="auto" w:sz="4" w:space="0"/>
              <w:left w:val="single" w:color="auto" w:sz="4" w:space="0"/>
              <w:bottom w:val="single" w:color="auto" w:sz="4" w:space="0"/>
              <w:right w:val="single" w:color="auto" w:sz="4" w:space="0"/>
            </w:tcBorders>
            <w:vAlign w:val="center"/>
          </w:tcPr>
          <w:p w14:paraId="4451BDC3">
            <w:pPr>
              <w:spacing w:line="360" w:lineRule="exact"/>
              <w:jc w:val="center"/>
              <w:rPr>
                <w:rFonts w:ascii="宋体" w:hAnsi="宋体"/>
                <w:bCs/>
                <w:color w:val="000000"/>
                <w:sz w:val="24"/>
              </w:rPr>
            </w:pPr>
          </w:p>
        </w:tc>
      </w:tr>
      <w:tr w14:paraId="1CBED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14:paraId="7D1703A1">
            <w:pPr>
              <w:spacing w:line="360" w:lineRule="exact"/>
              <w:jc w:val="center"/>
              <w:rPr>
                <w:rFonts w:ascii="宋体" w:hAnsi="宋体"/>
                <w:color w:val="000000"/>
                <w:sz w:val="24"/>
              </w:rPr>
            </w:pPr>
            <w:r>
              <w:rPr>
                <w:rFonts w:hint="eastAsia" w:ascii="宋体" w:hAnsi="宋体"/>
                <w:color w:val="000000"/>
                <w:sz w:val="24"/>
              </w:rPr>
              <w:t>企业资质</w:t>
            </w:r>
          </w:p>
        </w:tc>
        <w:tc>
          <w:tcPr>
            <w:tcW w:w="4162" w:type="dxa"/>
            <w:gridSpan w:val="3"/>
            <w:tcBorders>
              <w:top w:val="single" w:color="auto" w:sz="4" w:space="0"/>
              <w:left w:val="single" w:color="auto" w:sz="4" w:space="0"/>
              <w:bottom w:val="single" w:color="auto" w:sz="4" w:space="0"/>
              <w:right w:val="single" w:color="auto" w:sz="4" w:space="0"/>
            </w:tcBorders>
            <w:vAlign w:val="center"/>
          </w:tcPr>
          <w:p w14:paraId="594B3FFE">
            <w:pPr>
              <w:spacing w:line="360" w:lineRule="exact"/>
              <w:jc w:val="center"/>
              <w:rPr>
                <w:rFonts w:ascii="宋体" w:hAnsi="宋体"/>
                <w:bCs/>
                <w:color w:val="000000"/>
                <w:sz w:val="24"/>
              </w:rPr>
            </w:pPr>
          </w:p>
        </w:tc>
        <w:tc>
          <w:tcPr>
            <w:tcW w:w="2081" w:type="dxa"/>
            <w:tcBorders>
              <w:top w:val="single" w:color="auto" w:sz="4" w:space="0"/>
              <w:left w:val="single" w:color="auto" w:sz="4" w:space="0"/>
              <w:bottom w:val="single" w:color="auto" w:sz="4" w:space="0"/>
              <w:right w:val="single" w:color="auto" w:sz="4" w:space="0"/>
            </w:tcBorders>
            <w:vAlign w:val="center"/>
          </w:tcPr>
          <w:p w14:paraId="3B56937B">
            <w:pPr>
              <w:spacing w:line="360" w:lineRule="exact"/>
              <w:jc w:val="center"/>
              <w:rPr>
                <w:rFonts w:ascii="宋体" w:hAnsi="宋体"/>
                <w:color w:val="000000"/>
                <w:sz w:val="24"/>
              </w:rPr>
            </w:pPr>
            <w:r>
              <w:rPr>
                <w:rFonts w:hint="eastAsia" w:ascii="宋体" w:hAnsi="宋体"/>
                <w:color w:val="000000"/>
                <w:sz w:val="24"/>
              </w:rPr>
              <w:t>营业执照</w:t>
            </w:r>
          </w:p>
        </w:tc>
        <w:tc>
          <w:tcPr>
            <w:tcW w:w="2237" w:type="dxa"/>
            <w:tcBorders>
              <w:top w:val="single" w:color="auto" w:sz="4" w:space="0"/>
              <w:left w:val="single" w:color="auto" w:sz="4" w:space="0"/>
              <w:bottom w:val="single" w:color="auto" w:sz="4" w:space="0"/>
              <w:right w:val="single" w:color="auto" w:sz="4" w:space="0"/>
            </w:tcBorders>
            <w:vAlign w:val="center"/>
          </w:tcPr>
          <w:p w14:paraId="0CD39F74">
            <w:pPr>
              <w:spacing w:line="360" w:lineRule="exact"/>
              <w:jc w:val="center"/>
              <w:rPr>
                <w:rFonts w:ascii="宋体" w:hAnsi="宋体"/>
                <w:bCs/>
                <w:color w:val="000000"/>
                <w:sz w:val="24"/>
              </w:rPr>
            </w:pPr>
          </w:p>
        </w:tc>
      </w:tr>
      <w:tr w14:paraId="1D41D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14:paraId="247B9F3C">
            <w:pPr>
              <w:spacing w:line="360" w:lineRule="exact"/>
              <w:jc w:val="center"/>
              <w:rPr>
                <w:rFonts w:ascii="宋体" w:hAnsi="宋体"/>
                <w:color w:val="000000"/>
                <w:sz w:val="24"/>
              </w:rPr>
            </w:pPr>
            <w:r>
              <w:rPr>
                <w:rFonts w:hint="eastAsia" w:ascii="宋体" w:hAnsi="宋体"/>
                <w:color w:val="000000"/>
                <w:sz w:val="24"/>
              </w:rPr>
              <w:t>监理经历</w:t>
            </w:r>
          </w:p>
        </w:tc>
        <w:tc>
          <w:tcPr>
            <w:tcW w:w="8480" w:type="dxa"/>
            <w:gridSpan w:val="5"/>
            <w:tcBorders>
              <w:top w:val="single" w:color="auto" w:sz="4" w:space="0"/>
              <w:left w:val="single" w:color="auto" w:sz="4" w:space="0"/>
              <w:bottom w:val="single" w:color="auto" w:sz="4" w:space="0"/>
              <w:right w:val="single" w:color="auto" w:sz="4" w:space="0"/>
            </w:tcBorders>
            <w:vAlign w:val="center"/>
          </w:tcPr>
          <w:p w14:paraId="06B965AD">
            <w:pPr>
              <w:spacing w:line="360" w:lineRule="exact"/>
              <w:jc w:val="left"/>
              <w:rPr>
                <w:rFonts w:ascii="宋体" w:hAnsi="宋体"/>
                <w:color w:val="000000"/>
                <w:sz w:val="24"/>
              </w:rPr>
            </w:pPr>
            <w:r>
              <w:rPr>
                <w:rFonts w:hint="eastAsia" w:ascii="宋体" w:hAnsi="宋体"/>
                <w:color w:val="000000"/>
                <w:sz w:val="24"/>
              </w:rPr>
              <w:t>（国内）   年        （国际）    年</w:t>
            </w:r>
          </w:p>
        </w:tc>
      </w:tr>
      <w:tr w14:paraId="752DB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14:paraId="4907B29B">
            <w:pPr>
              <w:spacing w:line="360" w:lineRule="exact"/>
              <w:jc w:val="center"/>
              <w:rPr>
                <w:rFonts w:ascii="宋体" w:hAnsi="宋体"/>
                <w:color w:val="000000"/>
                <w:sz w:val="24"/>
              </w:rPr>
            </w:pPr>
            <w:r>
              <w:rPr>
                <w:rFonts w:hint="eastAsia" w:ascii="宋体" w:hAnsi="宋体"/>
                <w:color w:val="000000"/>
                <w:sz w:val="24"/>
              </w:rPr>
              <w:t>职工人数</w:t>
            </w:r>
          </w:p>
        </w:tc>
        <w:tc>
          <w:tcPr>
            <w:tcW w:w="8480" w:type="dxa"/>
            <w:gridSpan w:val="5"/>
            <w:tcBorders>
              <w:top w:val="single" w:color="auto" w:sz="4" w:space="0"/>
              <w:left w:val="single" w:color="auto" w:sz="4" w:space="0"/>
              <w:bottom w:val="single" w:color="auto" w:sz="4" w:space="0"/>
              <w:right w:val="single" w:color="auto" w:sz="4" w:space="0"/>
            </w:tcBorders>
            <w:vAlign w:val="center"/>
          </w:tcPr>
          <w:p w14:paraId="55AF8AC2">
            <w:pPr>
              <w:spacing w:line="360" w:lineRule="exact"/>
              <w:rPr>
                <w:rFonts w:ascii="宋体" w:hAnsi="宋体"/>
                <w:color w:val="000000"/>
                <w:sz w:val="24"/>
              </w:rPr>
            </w:pPr>
            <w:r>
              <w:rPr>
                <w:rFonts w:hint="eastAsia" w:ascii="宋体" w:hAnsi="宋体"/>
                <w:color w:val="000000"/>
                <w:sz w:val="24"/>
              </w:rPr>
              <w:t>总人数：      技术人员：     管理人员：</w:t>
            </w:r>
          </w:p>
        </w:tc>
      </w:tr>
      <w:tr w14:paraId="3F2DE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7" w:hRule="atLeast"/>
          <w:jc w:val="center"/>
        </w:trPr>
        <w:tc>
          <w:tcPr>
            <w:tcW w:w="9854" w:type="dxa"/>
            <w:gridSpan w:val="6"/>
            <w:tcBorders>
              <w:top w:val="single" w:color="auto" w:sz="4" w:space="0"/>
              <w:left w:val="single" w:color="auto" w:sz="4" w:space="0"/>
              <w:bottom w:val="single" w:color="auto" w:sz="4" w:space="0"/>
              <w:right w:val="single" w:color="auto" w:sz="4" w:space="0"/>
            </w:tcBorders>
          </w:tcPr>
          <w:p w14:paraId="3BBB6554">
            <w:pPr>
              <w:spacing w:line="360" w:lineRule="exact"/>
              <w:jc w:val="center"/>
              <w:rPr>
                <w:rFonts w:ascii="宋体" w:hAnsi="宋体"/>
                <w:color w:val="000000"/>
                <w:sz w:val="24"/>
              </w:rPr>
            </w:pPr>
            <w:r>
              <w:rPr>
                <w:rFonts w:hint="eastAsia" w:ascii="宋体" w:hAnsi="宋体"/>
                <w:color w:val="000000"/>
                <w:sz w:val="24"/>
              </w:rPr>
              <w:t>组织机构框图</w:t>
            </w:r>
          </w:p>
          <w:p w14:paraId="1F74CA91">
            <w:pPr>
              <w:spacing w:line="360" w:lineRule="exact"/>
              <w:jc w:val="center"/>
              <w:rPr>
                <w:rFonts w:ascii="宋体" w:hAnsi="宋体"/>
                <w:color w:val="000000"/>
                <w:sz w:val="24"/>
              </w:rPr>
            </w:pPr>
            <w:r>
              <w:rPr>
                <w:rFonts w:hint="eastAsia" w:ascii="宋体" w:hAnsi="宋体"/>
                <w:color w:val="000000"/>
                <w:sz w:val="24"/>
              </w:rPr>
              <w:t>（包括结构、领导成员、主要技术人员、管理人员及数量等）</w:t>
            </w:r>
          </w:p>
        </w:tc>
      </w:tr>
    </w:tbl>
    <w:p w14:paraId="73633242">
      <w:pPr>
        <w:spacing w:line="400" w:lineRule="exact"/>
        <w:rPr>
          <w:rFonts w:ascii="宋体" w:hAnsi="宋体"/>
          <w:color w:val="000000"/>
          <w:sz w:val="24"/>
        </w:rPr>
      </w:pPr>
      <w:r>
        <w:rPr>
          <w:rFonts w:hint="eastAsia" w:ascii="宋体" w:hAnsi="宋体"/>
          <w:color w:val="000000"/>
          <w:sz w:val="24"/>
        </w:rPr>
        <w:t>注：附企业简介、企业资质证书</w:t>
      </w:r>
      <w:r>
        <w:rPr>
          <w:rFonts w:hint="eastAsia" w:ascii="宋体" w:hAnsi="宋体" w:cs="宋体"/>
          <w:sz w:val="24"/>
        </w:rPr>
        <w:t>复印件(或影印件)</w:t>
      </w:r>
      <w:r>
        <w:rPr>
          <w:rFonts w:hint="eastAsia" w:ascii="宋体" w:hAnsi="宋体"/>
          <w:color w:val="000000"/>
          <w:sz w:val="24"/>
        </w:rPr>
        <w:t>、企业营业执照</w:t>
      </w:r>
      <w:r>
        <w:rPr>
          <w:rFonts w:hint="eastAsia" w:ascii="宋体" w:hAnsi="宋体" w:cs="宋体"/>
          <w:sz w:val="24"/>
        </w:rPr>
        <w:t>复印件(或影印件)</w:t>
      </w:r>
      <w:r>
        <w:rPr>
          <w:rFonts w:hint="eastAsia" w:ascii="宋体" w:hAnsi="宋体"/>
          <w:color w:val="000000"/>
          <w:sz w:val="24"/>
        </w:rPr>
        <w:t>、</w:t>
      </w:r>
      <w:r>
        <w:rPr>
          <w:rFonts w:hint="eastAsia" w:ascii="宋体" w:hAnsi="宋体"/>
          <w:sz w:val="24"/>
          <w:highlight w:val="yellow"/>
        </w:rPr>
        <w:t>投标保证金材料（按招标文件及投标文件格式要求提供）</w:t>
      </w:r>
      <w:r>
        <w:rPr>
          <w:rFonts w:hint="eastAsia" w:ascii="宋体" w:hAnsi="宋体"/>
          <w:b/>
          <w:color w:val="000000"/>
          <w:sz w:val="24"/>
          <w:highlight w:val="yellow"/>
        </w:rPr>
        <w:t>、</w:t>
      </w:r>
      <w:r>
        <w:rPr>
          <w:rFonts w:hint="eastAsia" w:ascii="宋体" w:hAnsi="宋体"/>
          <w:color w:val="000000"/>
          <w:sz w:val="24"/>
          <w:highlight w:val="yellow"/>
        </w:rPr>
        <w:t>总监理工程师符合招标文件要求的证书复印件(或影印件)，或国家、省对相关证书有规定的电子证书。</w:t>
      </w:r>
    </w:p>
    <w:p w14:paraId="21B1768C">
      <w:pPr>
        <w:spacing w:line="3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附表2：</w:t>
      </w:r>
    </w:p>
    <w:p w14:paraId="12C14ABD">
      <w:pPr>
        <w:spacing w:line="360" w:lineRule="exact"/>
        <w:jc w:val="center"/>
        <w:rPr>
          <w:rFonts w:ascii="宋体" w:hAnsi="宋体"/>
          <w:bCs/>
          <w:color w:val="000000"/>
          <w:spacing w:val="40"/>
          <w:sz w:val="24"/>
        </w:rPr>
      </w:pPr>
      <w:r>
        <w:rPr>
          <w:rFonts w:hint="eastAsia" w:ascii="宋体" w:hAnsi="宋体"/>
          <w:bCs/>
          <w:color w:val="000000"/>
          <w:spacing w:val="40"/>
          <w:sz w:val="24"/>
        </w:rPr>
        <w:t>已完类似工程监理项目情况汇总表</w:t>
      </w:r>
    </w:p>
    <w:p w14:paraId="6777B53B">
      <w:pPr>
        <w:spacing w:line="360" w:lineRule="exact"/>
        <w:jc w:val="center"/>
        <w:rPr>
          <w:rFonts w:ascii="宋体" w:hAnsi="宋体"/>
          <w:bCs/>
          <w:color w:val="000000"/>
          <w:spacing w:val="20"/>
          <w:sz w:val="24"/>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42"/>
        <w:gridCol w:w="1987"/>
        <w:gridCol w:w="1376"/>
        <w:gridCol w:w="1703"/>
        <w:gridCol w:w="2134"/>
      </w:tblGrid>
      <w:tr w14:paraId="3A33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2" w:type="dxa"/>
            <w:vAlign w:val="center"/>
          </w:tcPr>
          <w:p w14:paraId="6DCE5FFD">
            <w:pPr>
              <w:spacing w:line="360" w:lineRule="exact"/>
              <w:jc w:val="center"/>
              <w:rPr>
                <w:rFonts w:ascii="宋体" w:hAnsi="宋体"/>
                <w:color w:val="000000"/>
                <w:sz w:val="24"/>
              </w:rPr>
            </w:pPr>
            <w:r>
              <w:rPr>
                <w:rFonts w:hint="eastAsia" w:ascii="宋体" w:hAnsi="宋体"/>
                <w:color w:val="000000"/>
                <w:sz w:val="24"/>
              </w:rPr>
              <w:t>序号</w:t>
            </w:r>
          </w:p>
        </w:tc>
        <w:tc>
          <w:tcPr>
            <w:tcW w:w="1942" w:type="dxa"/>
            <w:vAlign w:val="center"/>
          </w:tcPr>
          <w:p w14:paraId="64ED11B9">
            <w:pPr>
              <w:spacing w:line="360" w:lineRule="exact"/>
              <w:jc w:val="center"/>
              <w:rPr>
                <w:rFonts w:ascii="宋体" w:hAnsi="宋体"/>
                <w:color w:val="000000"/>
                <w:sz w:val="24"/>
              </w:rPr>
            </w:pPr>
            <w:r>
              <w:rPr>
                <w:rFonts w:hint="eastAsia" w:ascii="宋体" w:hAnsi="宋体"/>
                <w:color w:val="000000"/>
                <w:sz w:val="24"/>
              </w:rPr>
              <w:t>业主名称</w:t>
            </w:r>
          </w:p>
        </w:tc>
        <w:tc>
          <w:tcPr>
            <w:tcW w:w="1987" w:type="dxa"/>
            <w:vAlign w:val="center"/>
          </w:tcPr>
          <w:p w14:paraId="7F06B173">
            <w:pPr>
              <w:spacing w:line="360" w:lineRule="exact"/>
              <w:jc w:val="center"/>
              <w:rPr>
                <w:rFonts w:ascii="宋体" w:hAnsi="宋体"/>
                <w:color w:val="000000"/>
                <w:sz w:val="24"/>
              </w:rPr>
            </w:pPr>
            <w:r>
              <w:rPr>
                <w:rFonts w:hint="eastAsia" w:ascii="宋体" w:hAnsi="宋体"/>
                <w:color w:val="000000"/>
                <w:sz w:val="24"/>
              </w:rPr>
              <w:t>项目名称、所在地及类别</w:t>
            </w:r>
          </w:p>
        </w:tc>
        <w:tc>
          <w:tcPr>
            <w:tcW w:w="1376" w:type="dxa"/>
            <w:vAlign w:val="center"/>
          </w:tcPr>
          <w:p w14:paraId="4B152055">
            <w:pPr>
              <w:spacing w:line="360" w:lineRule="exact"/>
              <w:jc w:val="center"/>
              <w:rPr>
                <w:rFonts w:ascii="宋体" w:hAnsi="宋体"/>
                <w:color w:val="000000"/>
                <w:sz w:val="24"/>
              </w:rPr>
            </w:pPr>
            <w:r>
              <w:rPr>
                <w:rFonts w:hint="eastAsia" w:ascii="宋体" w:hAnsi="宋体"/>
                <w:color w:val="000000"/>
                <w:sz w:val="24"/>
              </w:rPr>
              <w:t>施工单位</w:t>
            </w:r>
          </w:p>
        </w:tc>
        <w:tc>
          <w:tcPr>
            <w:tcW w:w="1703" w:type="dxa"/>
            <w:vAlign w:val="center"/>
          </w:tcPr>
          <w:p w14:paraId="43940A12">
            <w:pPr>
              <w:spacing w:line="360" w:lineRule="exact"/>
              <w:jc w:val="center"/>
              <w:rPr>
                <w:rFonts w:ascii="宋体" w:hAnsi="宋体"/>
                <w:color w:val="000000"/>
                <w:sz w:val="24"/>
              </w:rPr>
            </w:pPr>
            <w:r>
              <w:rPr>
                <w:rFonts w:hint="eastAsia" w:ascii="宋体" w:hAnsi="宋体"/>
                <w:color w:val="000000"/>
                <w:sz w:val="24"/>
              </w:rPr>
              <w:t>施工合同</w:t>
            </w:r>
          </w:p>
          <w:p w14:paraId="1BD9E80A">
            <w:pPr>
              <w:spacing w:line="360" w:lineRule="exact"/>
              <w:jc w:val="center"/>
              <w:rPr>
                <w:rFonts w:ascii="宋体" w:hAnsi="宋体"/>
                <w:color w:val="000000"/>
                <w:sz w:val="24"/>
              </w:rPr>
            </w:pPr>
            <w:r>
              <w:rPr>
                <w:rFonts w:hint="eastAsia" w:ascii="宋体" w:hAnsi="宋体"/>
                <w:color w:val="000000"/>
                <w:sz w:val="24"/>
              </w:rPr>
              <w:t>金   额</w:t>
            </w:r>
          </w:p>
        </w:tc>
        <w:tc>
          <w:tcPr>
            <w:tcW w:w="2134" w:type="dxa"/>
            <w:vAlign w:val="center"/>
          </w:tcPr>
          <w:p w14:paraId="7EB032FA">
            <w:pPr>
              <w:spacing w:line="360" w:lineRule="exact"/>
              <w:jc w:val="center"/>
              <w:rPr>
                <w:rFonts w:ascii="宋体" w:hAnsi="宋体"/>
                <w:color w:val="000000"/>
                <w:sz w:val="24"/>
              </w:rPr>
            </w:pPr>
            <w:r>
              <w:rPr>
                <w:rFonts w:hint="eastAsia" w:ascii="宋体" w:hAnsi="宋体"/>
                <w:color w:val="000000"/>
                <w:sz w:val="24"/>
              </w:rPr>
              <w:t>合同履行</w:t>
            </w:r>
          </w:p>
          <w:p w14:paraId="6559A751">
            <w:pPr>
              <w:spacing w:line="360" w:lineRule="exact"/>
              <w:jc w:val="center"/>
              <w:rPr>
                <w:rFonts w:ascii="宋体" w:hAnsi="宋体"/>
                <w:color w:val="000000"/>
                <w:sz w:val="24"/>
              </w:rPr>
            </w:pPr>
            <w:r>
              <w:rPr>
                <w:rFonts w:hint="eastAsia" w:ascii="宋体" w:hAnsi="宋体"/>
                <w:color w:val="000000"/>
                <w:sz w:val="24"/>
              </w:rPr>
              <w:t>起止时间</w:t>
            </w:r>
          </w:p>
        </w:tc>
      </w:tr>
      <w:tr w14:paraId="3BB9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12" w:type="dxa"/>
            <w:vAlign w:val="center"/>
          </w:tcPr>
          <w:p w14:paraId="390F3CCD">
            <w:pPr>
              <w:spacing w:line="360" w:lineRule="exact"/>
              <w:jc w:val="center"/>
              <w:rPr>
                <w:rFonts w:ascii="宋体" w:hAnsi="宋体"/>
                <w:color w:val="000000"/>
                <w:sz w:val="24"/>
              </w:rPr>
            </w:pPr>
            <w:r>
              <w:rPr>
                <w:rFonts w:hint="eastAsia" w:ascii="宋体" w:hAnsi="宋体"/>
                <w:color w:val="000000"/>
                <w:sz w:val="24"/>
              </w:rPr>
              <w:t>1</w:t>
            </w:r>
          </w:p>
        </w:tc>
        <w:tc>
          <w:tcPr>
            <w:tcW w:w="1942" w:type="dxa"/>
            <w:vAlign w:val="center"/>
          </w:tcPr>
          <w:p w14:paraId="6EA36D59">
            <w:pPr>
              <w:spacing w:line="360" w:lineRule="exact"/>
              <w:jc w:val="center"/>
              <w:rPr>
                <w:rFonts w:ascii="宋体" w:hAnsi="宋体"/>
                <w:color w:val="000000"/>
                <w:sz w:val="24"/>
              </w:rPr>
            </w:pPr>
          </w:p>
        </w:tc>
        <w:tc>
          <w:tcPr>
            <w:tcW w:w="1987" w:type="dxa"/>
            <w:vAlign w:val="center"/>
          </w:tcPr>
          <w:p w14:paraId="0E8DE5BE">
            <w:pPr>
              <w:spacing w:line="360" w:lineRule="exact"/>
              <w:jc w:val="center"/>
              <w:rPr>
                <w:rFonts w:ascii="宋体" w:hAnsi="宋体"/>
                <w:color w:val="000000"/>
                <w:sz w:val="24"/>
              </w:rPr>
            </w:pPr>
          </w:p>
        </w:tc>
        <w:tc>
          <w:tcPr>
            <w:tcW w:w="1376" w:type="dxa"/>
            <w:vAlign w:val="center"/>
          </w:tcPr>
          <w:p w14:paraId="3E167B0D">
            <w:pPr>
              <w:spacing w:line="360" w:lineRule="exact"/>
              <w:jc w:val="center"/>
              <w:rPr>
                <w:rFonts w:ascii="宋体" w:hAnsi="宋体"/>
                <w:color w:val="000000"/>
                <w:sz w:val="24"/>
              </w:rPr>
            </w:pPr>
          </w:p>
        </w:tc>
        <w:tc>
          <w:tcPr>
            <w:tcW w:w="1703" w:type="dxa"/>
            <w:vAlign w:val="center"/>
          </w:tcPr>
          <w:p w14:paraId="7BF1E3DD">
            <w:pPr>
              <w:spacing w:line="360" w:lineRule="exact"/>
              <w:jc w:val="center"/>
              <w:rPr>
                <w:rFonts w:ascii="宋体" w:hAnsi="宋体"/>
                <w:color w:val="000000"/>
                <w:sz w:val="24"/>
              </w:rPr>
            </w:pPr>
          </w:p>
        </w:tc>
        <w:tc>
          <w:tcPr>
            <w:tcW w:w="2134" w:type="dxa"/>
            <w:vAlign w:val="center"/>
          </w:tcPr>
          <w:p w14:paraId="0485B991">
            <w:pPr>
              <w:spacing w:line="360" w:lineRule="exact"/>
              <w:jc w:val="center"/>
              <w:rPr>
                <w:rFonts w:ascii="宋体" w:hAnsi="宋体"/>
                <w:color w:val="000000"/>
                <w:sz w:val="24"/>
              </w:rPr>
            </w:pPr>
          </w:p>
        </w:tc>
      </w:tr>
      <w:tr w14:paraId="357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12" w:type="dxa"/>
            <w:vAlign w:val="center"/>
          </w:tcPr>
          <w:p w14:paraId="1869A1B4">
            <w:pPr>
              <w:spacing w:line="360" w:lineRule="exact"/>
              <w:jc w:val="center"/>
              <w:rPr>
                <w:rFonts w:ascii="宋体" w:hAnsi="宋体"/>
                <w:color w:val="000000"/>
                <w:sz w:val="24"/>
              </w:rPr>
            </w:pPr>
            <w:r>
              <w:rPr>
                <w:rFonts w:hint="eastAsia" w:ascii="宋体" w:hAnsi="宋体"/>
                <w:color w:val="000000"/>
                <w:sz w:val="24"/>
              </w:rPr>
              <w:t>2</w:t>
            </w:r>
          </w:p>
        </w:tc>
        <w:tc>
          <w:tcPr>
            <w:tcW w:w="1942" w:type="dxa"/>
            <w:vAlign w:val="center"/>
          </w:tcPr>
          <w:p w14:paraId="49BCF84D">
            <w:pPr>
              <w:spacing w:line="360" w:lineRule="exact"/>
              <w:jc w:val="center"/>
              <w:rPr>
                <w:rFonts w:ascii="宋体" w:hAnsi="宋体"/>
                <w:color w:val="000000"/>
                <w:sz w:val="24"/>
              </w:rPr>
            </w:pPr>
          </w:p>
        </w:tc>
        <w:tc>
          <w:tcPr>
            <w:tcW w:w="1987" w:type="dxa"/>
            <w:vAlign w:val="center"/>
          </w:tcPr>
          <w:p w14:paraId="69C09168">
            <w:pPr>
              <w:spacing w:line="360" w:lineRule="exact"/>
              <w:jc w:val="center"/>
              <w:rPr>
                <w:rFonts w:ascii="宋体" w:hAnsi="宋体"/>
                <w:color w:val="000000"/>
                <w:sz w:val="24"/>
              </w:rPr>
            </w:pPr>
          </w:p>
        </w:tc>
        <w:tc>
          <w:tcPr>
            <w:tcW w:w="1376" w:type="dxa"/>
            <w:vAlign w:val="center"/>
          </w:tcPr>
          <w:p w14:paraId="4D97B25B">
            <w:pPr>
              <w:spacing w:line="360" w:lineRule="exact"/>
              <w:jc w:val="center"/>
              <w:rPr>
                <w:rFonts w:ascii="宋体" w:hAnsi="宋体"/>
                <w:color w:val="000000"/>
                <w:sz w:val="24"/>
              </w:rPr>
            </w:pPr>
          </w:p>
        </w:tc>
        <w:tc>
          <w:tcPr>
            <w:tcW w:w="1703" w:type="dxa"/>
            <w:vAlign w:val="center"/>
          </w:tcPr>
          <w:p w14:paraId="22BD4C66">
            <w:pPr>
              <w:spacing w:line="360" w:lineRule="exact"/>
              <w:jc w:val="center"/>
              <w:rPr>
                <w:rFonts w:ascii="宋体" w:hAnsi="宋体"/>
                <w:color w:val="000000"/>
                <w:sz w:val="24"/>
              </w:rPr>
            </w:pPr>
          </w:p>
        </w:tc>
        <w:tc>
          <w:tcPr>
            <w:tcW w:w="2134" w:type="dxa"/>
            <w:vAlign w:val="center"/>
          </w:tcPr>
          <w:p w14:paraId="7CB3BC10">
            <w:pPr>
              <w:spacing w:line="360" w:lineRule="exact"/>
              <w:jc w:val="center"/>
              <w:rPr>
                <w:rFonts w:ascii="宋体" w:hAnsi="宋体"/>
                <w:color w:val="000000"/>
                <w:sz w:val="24"/>
              </w:rPr>
            </w:pPr>
          </w:p>
        </w:tc>
      </w:tr>
      <w:tr w14:paraId="5B08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12" w:type="dxa"/>
            <w:vAlign w:val="center"/>
          </w:tcPr>
          <w:p w14:paraId="2EDA0679">
            <w:pPr>
              <w:spacing w:line="360" w:lineRule="exact"/>
              <w:jc w:val="center"/>
              <w:rPr>
                <w:rFonts w:ascii="宋体" w:hAnsi="宋体"/>
                <w:color w:val="000000"/>
                <w:sz w:val="24"/>
              </w:rPr>
            </w:pPr>
            <w:r>
              <w:rPr>
                <w:rFonts w:hint="eastAsia" w:ascii="宋体" w:hAnsi="宋体"/>
                <w:color w:val="000000"/>
                <w:sz w:val="24"/>
              </w:rPr>
              <w:t>3</w:t>
            </w:r>
          </w:p>
        </w:tc>
        <w:tc>
          <w:tcPr>
            <w:tcW w:w="1942" w:type="dxa"/>
            <w:vAlign w:val="center"/>
          </w:tcPr>
          <w:p w14:paraId="2500050E">
            <w:pPr>
              <w:spacing w:line="360" w:lineRule="exact"/>
              <w:jc w:val="center"/>
              <w:rPr>
                <w:rFonts w:ascii="宋体" w:hAnsi="宋体"/>
                <w:color w:val="000000"/>
                <w:sz w:val="24"/>
              </w:rPr>
            </w:pPr>
          </w:p>
        </w:tc>
        <w:tc>
          <w:tcPr>
            <w:tcW w:w="1987" w:type="dxa"/>
            <w:vAlign w:val="center"/>
          </w:tcPr>
          <w:p w14:paraId="7D40D108">
            <w:pPr>
              <w:spacing w:line="360" w:lineRule="exact"/>
              <w:jc w:val="center"/>
              <w:rPr>
                <w:rFonts w:ascii="宋体" w:hAnsi="宋体"/>
                <w:color w:val="000000"/>
                <w:sz w:val="24"/>
              </w:rPr>
            </w:pPr>
          </w:p>
        </w:tc>
        <w:tc>
          <w:tcPr>
            <w:tcW w:w="1376" w:type="dxa"/>
            <w:vAlign w:val="center"/>
          </w:tcPr>
          <w:p w14:paraId="0069447D">
            <w:pPr>
              <w:spacing w:line="360" w:lineRule="exact"/>
              <w:jc w:val="center"/>
              <w:rPr>
                <w:rFonts w:ascii="宋体" w:hAnsi="宋体"/>
                <w:color w:val="000000"/>
                <w:sz w:val="24"/>
              </w:rPr>
            </w:pPr>
          </w:p>
        </w:tc>
        <w:tc>
          <w:tcPr>
            <w:tcW w:w="1703" w:type="dxa"/>
            <w:vAlign w:val="center"/>
          </w:tcPr>
          <w:p w14:paraId="70A9769F">
            <w:pPr>
              <w:spacing w:line="360" w:lineRule="exact"/>
              <w:jc w:val="center"/>
              <w:rPr>
                <w:rFonts w:ascii="宋体" w:hAnsi="宋体"/>
                <w:color w:val="000000"/>
                <w:sz w:val="24"/>
              </w:rPr>
            </w:pPr>
          </w:p>
        </w:tc>
        <w:tc>
          <w:tcPr>
            <w:tcW w:w="2134" w:type="dxa"/>
            <w:vAlign w:val="center"/>
          </w:tcPr>
          <w:p w14:paraId="2EE2008D">
            <w:pPr>
              <w:spacing w:line="360" w:lineRule="exact"/>
              <w:jc w:val="center"/>
              <w:rPr>
                <w:rFonts w:ascii="宋体" w:hAnsi="宋体"/>
                <w:color w:val="000000"/>
                <w:sz w:val="24"/>
              </w:rPr>
            </w:pPr>
          </w:p>
        </w:tc>
      </w:tr>
      <w:tr w14:paraId="0463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12" w:type="dxa"/>
            <w:vAlign w:val="center"/>
          </w:tcPr>
          <w:p w14:paraId="6BCAEFC9">
            <w:pPr>
              <w:spacing w:line="360" w:lineRule="exact"/>
              <w:jc w:val="center"/>
              <w:rPr>
                <w:rFonts w:ascii="宋体" w:hAnsi="宋体"/>
                <w:color w:val="000000"/>
                <w:sz w:val="24"/>
              </w:rPr>
            </w:pPr>
            <w:r>
              <w:rPr>
                <w:rFonts w:hint="eastAsia" w:ascii="宋体" w:hAnsi="宋体"/>
                <w:color w:val="000000"/>
                <w:sz w:val="24"/>
              </w:rPr>
              <w:t>4</w:t>
            </w:r>
          </w:p>
        </w:tc>
        <w:tc>
          <w:tcPr>
            <w:tcW w:w="1942" w:type="dxa"/>
            <w:vAlign w:val="center"/>
          </w:tcPr>
          <w:p w14:paraId="0E8724E1">
            <w:pPr>
              <w:spacing w:line="360" w:lineRule="exact"/>
              <w:jc w:val="center"/>
              <w:rPr>
                <w:rFonts w:ascii="宋体" w:hAnsi="宋体"/>
                <w:color w:val="000000"/>
                <w:sz w:val="24"/>
              </w:rPr>
            </w:pPr>
          </w:p>
        </w:tc>
        <w:tc>
          <w:tcPr>
            <w:tcW w:w="1987" w:type="dxa"/>
            <w:vAlign w:val="center"/>
          </w:tcPr>
          <w:p w14:paraId="7F48A74A">
            <w:pPr>
              <w:spacing w:line="360" w:lineRule="exact"/>
              <w:jc w:val="center"/>
              <w:rPr>
                <w:rFonts w:ascii="宋体" w:hAnsi="宋体"/>
                <w:color w:val="000000"/>
                <w:sz w:val="24"/>
              </w:rPr>
            </w:pPr>
          </w:p>
        </w:tc>
        <w:tc>
          <w:tcPr>
            <w:tcW w:w="1376" w:type="dxa"/>
            <w:vAlign w:val="center"/>
          </w:tcPr>
          <w:p w14:paraId="26F187B2">
            <w:pPr>
              <w:spacing w:line="360" w:lineRule="exact"/>
              <w:jc w:val="center"/>
              <w:rPr>
                <w:rFonts w:ascii="宋体" w:hAnsi="宋体"/>
                <w:color w:val="000000"/>
                <w:sz w:val="24"/>
              </w:rPr>
            </w:pPr>
          </w:p>
        </w:tc>
        <w:tc>
          <w:tcPr>
            <w:tcW w:w="1703" w:type="dxa"/>
            <w:vAlign w:val="center"/>
          </w:tcPr>
          <w:p w14:paraId="1DC55476">
            <w:pPr>
              <w:spacing w:line="360" w:lineRule="exact"/>
              <w:jc w:val="center"/>
              <w:rPr>
                <w:rFonts w:ascii="宋体" w:hAnsi="宋体"/>
                <w:color w:val="000000"/>
                <w:sz w:val="24"/>
              </w:rPr>
            </w:pPr>
          </w:p>
        </w:tc>
        <w:tc>
          <w:tcPr>
            <w:tcW w:w="2134" w:type="dxa"/>
            <w:vAlign w:val="center"/>
          </w:tcPr>
          <w:p w14:paraId="4CF5EF30">
            <w:pPr>
              <w:spacing w:line="360" w:lineRule="exact"/>
              <w:jc w:val="center"/>
              <w:rPr>
                <w:rFonts w:ascii="宋体" w:hAnsi="宋体"/>
                <w:color w:val="000000"/>
                <w:sz w:val="24"/>
              </w:rPr>
            </w:pPr>
          </w:p>
        </w:tc>
      </w:tr>
      <w:tr w14:paraId="46A9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12" w:type="dxa"/>
            <w:vAlign w:val="center"/>
          </w:tcPr>
          <w:p w14:paraId="511CD019">
            <w:pPr>
              <w:spacing w:line="360" w:lineRule="exact"/>
              <w:jc w:val="center"/>
              <w:rPr>
                <w:rFonts w:ascii="宋体" w:hAnsi="宋体"/>
                <w:color w:val="000000"/>
                <w:sz w:val="24"/>
              </w:rPr>
            </w:pPr>
            <w:r>
              <w:rPr>
                <w:rFonts w:hint="eastAsia" w:ascii="宋体" w:hAnsi="宋体"/>
                <w:color w:val="000000"/>
                <w:sz w:val="24"/>
              </w:rPr>
              <w:t>5</w:t>
            </w:r>
          </w:p>
        </w:tc>
        <w:tc>
          <w:tcPr>
            <w:tcW w:w="1942" w:type="dxa"/>
            <w:vAlign w:val="center"/>
          </w:tcPr>
          <w:p w14:paraId="6D4B80A5">
            <w:pPr>
              <w:spacing w:line="360" w:lineRule="exact"/>
              <w:jc w:val="center"/>
              <w:rPr>
                <w:rFonts w:ascii="宋体" w:hAnsi="宋体"/>
                <w:color w:val="000000"/>
                <w:sz w:val="24"/>
              </w:rPr>
            </w:pPr>
          </w:p>
        </w:tc>
        <w:tc>
          <w:tcPr>
            <w:tcW w:w="1987" w:type="dxa"/>
            <w:vAlign w:val="center"/>
          </w:tcPr>
          <w:p w14:paraId="4196432E">
            <w:pPr>
              <w:spacing w:line="360" w:lineRule="exact"/>
              <w:jc w:val="center"/>
              <w:rPr>
                <w:rFonts w:ascii="宋体" w:hAnsi="宋体"/>
                <w:color w:val="000000"/>
                <w:sz w:val="24"/>
              </w:rPr>
            </w:pPr>
          </w:p>
        </w:tc>
        <w:tc>
          <w:tcPr>
            <w:tcW w:w="1376" w:type="dxa"/>
            <w:vAlign w:val="center"/>
          </w:tcPr>
          <w:p w14:paraId="7EEEC25B">
            <w:pPr>
              <w:spacing w:line="360" w:lineRule="exact"/>
              <w:jc w:val="center"/>
              <w:rPr>
                <w:rFonts w:ascii="宋体" w:hAnsi="宋体"/>
                <w:color w:val="000000"/>
                <w:sz w:val="24"/>
              </w:rPr>
            </w:pPr>
          </w:p>
        </w:tc>
        <w:tc>
          <w:tcPr>
            <w:tcW w:w="1703" w:type="dxa"/>
            <w:vAlign w:val="center"/>
          </w:tcPr>
          <w:p w14:paraId="5CCEE143">
            <w:pPr>
              <w:spacing w:line="360" w:lineRule="exact"/>
              <w:jc w:val="center"/>
              <w:rPr>
                <w:rFonts w:ascii="宋体" w:hAnsi="宋体"/>
                <w:color w:val="000000"/>
                <w:sz w:val="24"/>
              </w:rPr>
            </w:pPr>
          </w:p>
        </w:tc>
        <w:tc>
          <w:tcPr>
            <w:tcW w:w="2134" w:type="dxa"/>
            <w:vAlign w:val="center"/>
          </w:tcPr>
          <w:p w14:paraId="6F283F9E">
            <w:pPr>
              <w:spacing w:line="360" w:lineRule="exact"/>
              <w:jc w:val="center"/>
              <w:rPr>
                <w:rFonts w:ascii="宋体" w:hAnsi="宋体"/>
                <w:color w:val="000000"/>
                <w:sz w:val="24"/>
              </w:rPr>
            </w:pPr>
          </w:p>
        </w:tc>
      </w:tr>
      <w:tr w14:paraId="6642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12" w:type="dxa"/>
            <w:vAlign w:val="center"/>
          </w:tcPr>
          <w:p w14:paraId="0618EA21">
            <w:pPr>
              <w:spacing w:line="360" w:lineRule="exact"/>
              <w:jc w:val="center"/>
              <w:rPr>
                <w:rFonts w:ascii="宋体" w:hAnsi="宋体"/>
                <w:color w:val="000000"/>
                <w:sz w:val="24"/>
              </w:rPr>
            </w:pPr>
            <w:r>
              <w:rPr>
                <w:rFonts w:hint="eastAsia" w:ascii="宋体" w:hAnsi="宋体"/>
                <w:color w:val="000000"/>
                <w:sz w:val="24"/>
              </w:rPr>
              <w:t>6</w:t>
            </w:r>
          </w:p>
        </w:tc>
        <w:tc>
          <w:tcPr>
            <w:tcW w:w="1942" w:type="dxa"/>
            <w:vAlign w:val="center"/>
          </w:tcPr>
          <w:p w14:paraId="2C612971">
            <w:pPr>
              <w:spacing w:line="360" w:lineRule="exact"/>
              <w:jc w:val="center"/>
              <w:rPr>
                <w:rFonts w:ascii="宋体" w:hAnsi="宋体"/>
                <w:color w:val="000000"/>
                <w:sz w:val="24"/>
              </w:rPr>
            </w:pPr>
          </w:p>
        </w:tc>
        <w:tc>
          <w:tcPr>
            <w:tcW w:w="1987" w:type="dxa"/>
            <w:vAlign w:val="center"/>
          </w:tcPr>
          <w:p w14:paraId="1F1F6923">
            <w:pPr>
              <w:spacing w:line="360" w:lineRule="exact"/>
              <w:jc w:val="center"/>
              <w:rPr>
                <w:rFonts w:ascii="宋体" w:hAnsi="宋体"/>
                <w:color w:val="000000"/>
                <w:sz w:val="24"/>
              </w:rPr>
            </w:pPr>
          </w:p>
        </w:tc>
        <w:tc>
          <w:tcPr>
            <w:tcW w:w="1376" w:type="dxa"/>
            <w:vAlign w:val="center"/>
          </w:tcPr>
          <w:p w14:paraId="60D275D2">
            <w:pPr>
              <w:spacing w:line="360" w:lineRule="exact"/>
              <w:jc w:val="center"/>
              <w:rPr>
                <w:rFonts w:ascii="宋体" w:hAnsi="宋体"/>
                <w:color w:val="000000"/>
                <w:sz w:val="24"/>
              </w:rPr>
            </w:pPr>
          </w:p>
        </w:tc>
        <w:tc>
          <w:tcPr>
            <w:tcW w:w="1703" w:type="dxa"/>
            <w:vAlign w:val="center"/>
          </w:tcPr>
          <w:p w14:paraId="76FD9754">
            <w:pPr>
              <w:spacing w:line="360" w:lineRule="exact"/>
              <w:jc w:val="center"/>
              <w:rPr>
                <w:rFonts w:ascii="宋体" w:hAnsi="宋体"/>
                <w:color w:val="000000"/>
                <w:sz w:val="24"/>
              </w:rPr>
            </w:pPr>
          </w:p>
        </w:tc>
        <w:tc>
          <w:tcPr>
            <w:tcW w:w="2134" w:type="dxa"/>
            <w:vAlign w:val="center"/>
          </w:tcPr>
          <w:p w14:paraId="167C6480">
            <w:pPr>
              <w:spacing w:line="360" w:lineRule="exact"/>
              <w:jc w:val="center"/>
              <w:rPr>
                <w:rFonts w:ascii="宋体" w:hAnsi="宋体"/>
                <w:color w:val="000000"/>
                <w:sz w:val="24"/>
              </w:rPr>
            </w:pPr>
          </w:p>
        </w:tc>
      </w:tr>
      <w:tr w14:paraId="690A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12" w:type="dxa"/>
            <w:vAlign w:val="center"/>
          </w:tcPr>
          <w:p w14:paraId="6DD3082A">
            <w:pPr>
              <w:spacing w:line="360" w:lineRule="exact"/>
              <w:jc w:val="center"/>
              <w:rPr>
                <w:rFonts w:ascii="宋体" w:hAnsi="宋体"/>
                <w:color w:val="000000"/>
                <w:sz w:val="24"/>
              </w:rPr>
            </w:pPr>
            <w:r>
              <w:rPr>
                <w:rFonts w:hint="eastAsia" w:ascii="宋体" w:hAnsi="宋体"/>
                <w:color w:val="000000"/>
                <w:sz w:val="24"/>
              </w:rPr>
              <w:t>...</w:t>
            </w:r>
          </w:p>
        </w:tc>
        <w:tc>
          <w:tcPr>
            <w:tcW w:w="1942" w:type="dxa"/>
            <w:vAlign w:val="center"/>
          </w:tcPr>
          <w:p w14:paraId="07BBCBB6">
            <w:pPr>
              <w:spacing w:line="360" w:lineRule="exact"/>
              <w:jc w:val="center"/>
              <w:rPr>
                <w:rFonts w:ascii="宋体" w:hAnsi="宋体"/>
                <w:color w:val="000000"/>
                <w:sz w:val="24"/>
              </w:rPr>
            </w:pPr>
          </w:p>
        </w:tc>
        <w:tc>
          <w:tcPr>
            <w:tcW w:w="1987" w:type="dxa"/>
            <w:vAlign w:val="center"/>
          </w:tcPr>
          <w:p w14:paraId="7BCC432B">
            <w:pPr>
              <w:spacing w:line="360" w:lineRule="exact"/>
              <w:jc w:val="center"/>
              <w:rPr>
                <w:rFonts w:ascii="宋体" w:hAnsi="宋体"/>
                <w:color w:val="000000"/>
                <w:sz w:val="24"/>
              </w:rPr>
            </w:pPr>
          </w:p>
        </w:tc>
        <w:tc>
          <w:tcPr>
            <w:tcW w:w="1376" w:type="dxa"/>
            <w:vAlign w:val="center"/>
          </w:tcPr>
          <w:p w14:paraId="02437B10">
            <w:pPr>
              <w:spacing w:line="360" w:lineRule="exact"/>
              <w:jc w:val="center"/>
              <w:rPr>
                <w:rFonts w:ascii="宋体" w:hAnsi="宋体"/>
                <w:color w:val="000000"/>
                <w:sz w:val="24"/>
              </w:rPr>
            </w:pPr>
          </w:p>
        </w:tc>
        <w:tc>
          <w:tcPr>
            <w:tcW w:w="1703" w:type="dxa"/>
            <w:vAlign w:val="center"/>
          </w:tcPr>
          <w:p w14:paraId="4AA340E6">
            <w:pPr>
              <w:spacing w:line="360" w:lineRule="exact"/>
              <w:jc w:val="center"/>
              <w:rPr>
                <w:rFonts w:ascii="宋体" w:hAnsi="宋体"/>
                <w:color w:val="000000"/>
                <w:sz w:val="24"/>
              </w:rPr>
            </w:pPr>
          </w:p>
        </w:tc>
        <w:tc>
          <w:tcPr>
            <w:tcW w:w="2134" w:type="dxa"/>
            <w:vAlign w:val="center"/>
          </w:tcPr>
          <w:p w14:paraId="6973EC3B">
            <w:pPr>
              <w:spacing w:line="360" w:lineRule="exact"/>
              <w:jc w:val="center"/>
              <w:rPr>
                <w:rFonts w:ascii="宋体" w:hAnsi="宋体"/>
                <w:color w:val="000000"/>
                <w:sz w:val="24"/>
              </w:rPr>
            </w:pPr>
          </w:p>
        </w:tc>
      </w:tr>
    </w:tbl>
    <w:p w14:paraId="2F2CAF20">
      <w:pPr>
        <w:spacing w:line="360" w:lineRule="exact"/>
        <w:rPr>
          <w:rFonts w:ascii="宋体" w:hAnsi="宋体"/>
          <w:color w:val="000000"/>
          <w:sz w:val="24"/>
        </w:rPr>
      </w:pPr>
      <w:r>
        <w:rPr>
          <w:rFonts w:hint="eastAsia" w:ascii="宋体" w:hAnsi="宋体"/>
          <w:color w:val="000000"/>
          <w:sz w:val="24"/>
        </w:rPr>
        <w:t>注：本表根据申请人的情况可以延续和扩展。</w:t>
      </w:r>
    </w:p>
    <w:p w14:paraId="25AE230B">
      <w:pPr>
        <w:spacing w:line="3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附表3：</w:t>
      </w:r>
    </w:p>
    <w:p w14:paraId="4FC9C801">
      <w:pPr>
        <w:spacing w:line="360" w:lineRule="exact"/>
        <w:jc w:val="center"/>
        <w:rPr>
          <w:rFonts w:ascii="宋体" w:hAnsi="宋体"/>
          <w:bCs/>
          <w:color w:val="000000"/>
          <w:spacing w:val="40"/>
          <w:sz w:val="24"/>
        </w:rPr>
      </w:pPr>
      <w:r>
        <w:rPr>
          <w:rFonts w:hint="eastAsia" w:ascii="宋体" w:hAnsi="宋体"/>
          <w:bCs/>
          <w:color w:val="000000"/>
          <w:spacing w:val="40"/>
          <w:sz w:val="24"/>
        </w:rPr>
        <w:t>已完类似工程监理项目情况表</w:t>
      </w:r>
    </w:p>
    <w:p w14:paraId="0E02AC1D">
      <w:pPr>
        <w:spacing w:line="360" w:lineRule="exact"/>
        <w:rPr>
          <w:rFonts w:ascii="宋体" w:hAnsi="宋体"/>
          <w:color w:val="000000"/>
          <w:sz w:val="24"/>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3120"/>
        <w:gridCol w:w="1663"/>
        <w:gridCol w:w="3069"/>
      </w:tblGrid>
      <w:tr w14:paraId="0E13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2" w:type="dxa"/>
            <w:vAlign w:val="center"/>
          </w:tcPr>
          <w:p w14:paraId="569E93DC">
            <w:pPr>
              <w:spacing w:line="360" w:lineRule="exact"/>
              <w:jc w:val="center"/>
              <w:rPr>
                <w:rFonts w:ascii="宋体" w:hAnsi="宋体"/>
                <w:color w:val="000000"/>
                <w:sz w:val="24"/>
              </w:rPr>
            </w:pPr>
            <w:r>
              <w:rPr>
                <w:rFonts w:hint="eastAsia" w:ascii="宋体" w:hAnsi="宋体"/>
                <w:color w:val="000000"/>
                <w:sz w:val="24"/>
              </w:rPr>
              <w:t>业主单位</w:t>
            </w:r>
          </w:p>
        </w:tc>
        <w:tc>
          <w:tcPr>
            <w:tcW w:w="3120" w:type="dxa"/>
            <w:vAlign w:val="center"/>
          </w:tcPr>
          <w:p w14:paraId="07EA69F1">
            <w:pPr>
              <w:spacing w:line="360" w:lineRule="exact"/>
              <w:jc w:val="center"/>
              <w:rPr>
                <w:rFonts w:ascii="宋体" w:hAnsi="宋体"/>
                <w:bCs/>
                <w:color w:val="000000"/>
                <w:sz w:val="24"/>
              </w:rPr>
            </w:pPr>
          </w:p>
        </w:tc>
        <w:tc>
          <w:tcPr>
            <w:tcW w:w="1663" w:type="dxa"/>
            <w:vAlign w:val="center"/>
          </w:tcPr>
          <w:p w14:paraId="65A7B583">
            <w:pPr>
              <w:spacing w:line="360" w:lineRule="exact"/>
              <w:jc w:val="center"/>
              <w:rPr>
                <w:rFonts w:ascii="宋体" w:hAnsi="宋体"/>
                <w:color w:val="000000"/>
                <w:sz w:val="24"/>
              </w:rPr>
            </w:pPr>
            <w:r>
              <w:rPr>
                <w:rFonts w:hint="eastAsia" w:ascii="宋体" w:hAnsi="宋体"/>
                <w:color w:val="000000"/>
                <w:sz w:val="24"/>
              </w:rPr>
              <w:t>工程名称</w:t>
            </w:r>
          </w:p>
        </w:tc>
        <w:tc>
          <w:tcPr>
            <w:tcW w:w="3069" w:type="dxa"/>
            <w:vAlign w:val="center"/>
          </w:tcPr>
          <w:p w14:paraId="5B44F386">
            <w:pPr>
              <w:spacing w:line="360" w:lineRule="exact"/>
              <w:jc w:val="center"/>
              <w:rPr>
                <w:rFonts w:ascii="宋体" w:hAnsi="宋体"/>
                <w:bCs/>
                <w:color w:val="000000"/>
                <w:sz w:val="24"/>
              </w:rPr>
            </w:pPr>
          </w:p>
        </w:tc>
      </w:tr>
      <w:tr w14:paraId="47ED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2" w:type="dxa"/>
            <w:vAlign w:val="center"/>
          </w:tcPr>
          <w:p w14:paraId="129E9DE4">
            <w:pPr>
              <w:spacing w:line="360" w:lineRule="exact"/>
              <w:jc w:val="center"/>
              <w:rPr>
                <w:rFonts w:ascii="宋体" w:hAnsi="宋体"/>
                <w:color w:val="000000"/>
                <w:sz w:val="24"/>
              </w:rPr>
            </w:pPr>
            <w:r>
              <w:rPr>
                <w:rFonts w:hint="eastAsia" w:ascii="宋体" w:hAnsi="宋体"/>
                <w:color w:val="000000"/>
                <w:sz w:val="24"/>
              </w:rPr>
              <w:t>开工及完工日</w:t>
            </w:r>
          </w:p>
        </w:tc>
        <w:tc>
          <w:tcPr>
            <w:tcW w:w="3120" w:type="dxa"/>
            <w:vAlign w:val="center"/>
          </w:tcPr>
          <w:p w14:paraId="7634E6B8">
            <w:pPr>
              <w:spacing w:line="360" w:lineRule="exact"/>
              <w:jc w:val="center"/>
              <w:rPr>
                <w:rFonts w:ascii="宋体" w:hAnsi="宋体"/>
                <w:bCs/>
                <w:color w:val="000000"/>
                <w:sz w:val="24"/>
              </w:rPr>
            </w:pPr>
          </w:p>
        </w:tc>
        <w:tc>
          <w:tcPr>
            <w:tcW w:w="1663" w:type="dxa"/>
            <w:vAlign w:val="center"/>
          </w:tcPr>
          <w:p w14:paraId="7A095B92">
            <w:pPr>
              <w:spacing w:line="360" w:lineRule="exact"/>
              <w:jc w:val="center"/>
              <w:rPr>
                <w:rFonts w:ascii="宋体" w:hAnsi="宋体"/>
                <w:color w:val="000000"/>
                <w:sz w:val="24"/>
              </w:rPr>
            </w:pPr>
            <w:r>
              <w:rPr>
                <w:rFonts w:hint="eastAsia" w:ascii="宋体" w:hAnsi="宋体"/>
                <w:color w:val="000000"/>
                <w:sz w:val="24"/>
              </w:rPr>
              <w:t>监理服务期</w:t>
            </w:r>
          </w:p>
        </w:tc>
        <w:tc>
          <w:tcPr>
            <w:tcW w:w="3069" w:type="dxa"/>
            <w:vAlign w:val="center"/>
          </w:tcPr>
          <w:p w14:paraId="763F8F9A">
            <w:pPr>
              <w:spacing w:line="360" w:lineRule="exact"/>
              <w:jc w:val="center"/>
              <w:rPr>
                <w:rFonts w:ascii="宋体" w:hAnsi="宋体"/>
                <w:bCs/>
                <w:color w:val="000000"/>
                <w:sz w:val="24"/>
              </w:rPr>
            </w:pPr>
          </w:p>
        </w:tc>
      </w:tr>
      <w:tr w14:paraId="1C32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2" w:type="dxa"/>
            <w:vAlign w:val="center"/>
          </w:tcPr>
          <w:p w14:paraId="33376F82">
            <w:pPr>
              <w:spacing w:line="360" w:lineRule="exact"/>
              <w:jc w:val="center"/>
              <w:rPr>
                <w:rFonts w:ascii="宋体" w:hAnsi="宋体"/>
                <w:color w:val="000000"/>
                <w:sz w:val="24"/>
              </w:rPr>
            </w:pPr>
            <w:r>
              <w:rPr>
                <w:rFonts w:hint="eastAsia" w:ascii="宋体" w:hAnsi="宋体"/>
                <w:color w:val="000000"/>
                <w:sz w:val="24"/>
              </w:rPr>
              <w:t>施工合同金额</w:t>
            </w:r>
          </w:p>
        </w:tc>
        <w:tc>
          <w:tcPr>
            <w:tcW w:w="3120" w:type="dxa"/>
            <w:vAlign w:val="center"/>
          </w:tcPr>
          <w:p w14:paraId="38941A4D">
            <w:pPr>
              <w:spacing w:line="360" w:lineRule="exact"/>
              <w:jc w:val="center"/>
              <w:rPr>
                <w:rFonts w:ascii="宋体" w:hAnsi="宋体"/>
                <w:bCs/>
                <w:color w:val="000000"/>
                <w:sz w:val="24"/>
              </w:rPr>
            </w:pPr>
          </w:p>
        </w:tc>
        <w:tc>
          <w:tcPr>
            <w:tcW w:w="1663" w:type="dxa"/>
            <w:vAlign w:val="center"/>
          </w:tcPr>
          <w:p w14:paraId="6D31A00D">
            <w:pPr>
              <w:spacing w:line="360" w:lineRule="exact"/>
              <w:jc w:val="center"/>
              <w:rPr>
                <w:rFonts w:ascii="宋体" w:hAnsi="宋体"/>
                <w:color w:val="000000"/>
                <w:sz w:val="24"/>
              </w:rPr>
            </w:pPr>
            <w:r>
              <w:rPr>
                <w:rFonts w:hint="eastAsia" w:ascii="宋体" w:hAnsi="宋体"/>
                <w:color w:val="000000"/>
                <w:sz w:val="24"/>
              </w:rPr>
              <w:t>施工单位</w:t>
            </w:r>
          </w:p>
        </w:tc>
        <w:tc>
          <w:tcPr>
            <w:tcW w:w="3069" w:type="dxa"/>
            <w:vAlign w:val="center"/>
          </w:tcPr>
          <w:p w14:paraId="393E2DC6">
            <w:pPr>
              <w:spacing w:line="360" w:lineRule="exact"/>
              <w:jc w:val="center"/>
              <w:rPr>
                <w:rFonts w:ascii="宋体" w:hAnsi="宋体"/>
                <w:color w:val="000000"/>
                <w:sz w:val="24"/>
              </w:rPr>
            </w:pPr>
          </w:p>
        </w:tc>
      </w:tr>
      <w:tr w14:paraId="7183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002" w:type="dxa"/>
            <w:vMerge w:val="restart"/>
            <w:vAlign w:val="center"/>
          </w:tcPr>
          <w:p w14:paraId="0F393F7C">
            <w:pPr>
              <w:spacing w:line="360" w:lineRule="exact"/>
              <w:jc w:val="center"/>
              <w:rPr>
                <w:rFonts w:ascii="宋体" w:hAnsi="宋体"/>
                <w:color w:val="000000"/>
                <w:sz w:val="24"/>
              </w:rPr>
            </w:pPr>
            <w:r>
              <w:rPr>
                <w:rFonts w:hint="eastAsia" w:ascii="宋体" w:hAnsi="宋体"/>
                <w:color w:val="000000"/>
                <w:sz w:val="24"/>
              </w:rPr>
              <w:t>派出的监理</w:t>
            </w:r>
          </w:p>
          <w:p w14:paraId="728170F8">
            <w:pPr>
              <w:spacing w:line="360" w:lineRule="exact"/>
              <w:jc w:val="center"/>
              <w:rPr>
                <w:rFonts w:ascii="宋体" w:hAnsi="宋体"/>
                <w:color w:val="000000"/>
                <w:sz w:val="24"/>
              </w:rPr>
            </w:pPr>
            <w:r>
              <w:rPr>
                <w:rFonts w:hint="eastAsia" w:ascii="宋体" w:hAnsi="宋体"/>
                <w:color w:val="000000"/>
                <w:sz w:val="24"/>
              </w:rPr>
              <w:t>人员</w:t>
            </w:r>
          </w:p>
        </w:tc>
        <w:tc>
          <w:tcPr>
            <w:tcW w:w="3120" w:type="dxa"/>
            <w:vAlign w:val="center"/>
          </w:tcPr>
          <w:p w14:paraId="4D1107BF">
            <w:pPr>
              <w:spacing w:line="360" w:lineRule="exact"/>
              <w:jc w:val="center"/>
              <w:rPr>
                <w:rFonts w:ascii="宋体" w:hAnsi="宋体"/>
                <w:color w:val="000000"/>
                <w:sz w:val="24"/>
              </w:rPr>
            </w:pPr>
            <w:r>
              <w:rPr>
                <w:rFonts w:hint="eastAsia" w:ascii="宋体" w:hAnsi="宋体"/>
                <w:color w:val="000000"/>
                <w:sz w:val="24"/>
              </w:rPr>
              <w:t>人员数量</w:t>
            </w:r>
          </w:p>
        </w:tc>
        <w:tc>
          <w:tcPr>
            <w:tcW w:w="4732" w:type="dxa"/>
            <w:gridSpan w:val="2"/>
            <w:vAlign w:val="center"/>
          </w:tcPr>
          <w:p w14:paraId="5856D198">
            <w:pPr>
              <w:spacing w:line="360" w:lineRule="exact"/>
              <w:rPr>
                <w:rFonts w:ascii="宋体" w:hAnsi="宋体"/>
                <w:bCs/>
                <w:color w:val="000000"/>
                <w:sz w:val="24"/>
              </w:rPr>
            </w:pPr>
          </w:p>
        </w:tc>
      </w:tr>
      <w:tr w14:paraId="527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2002" w:type="dxa"/>
            <w:vMerge w:val="continue"/>
            <w:vAlign w:val="center"/>
          </w:tcPr>
          <w:p w14:paraId="13FF4463">
            <w:pPr>
              <w:spacing w:line="360" w:lineRule="exact"/>
              <w:jc w:val="center"/>
              <w:rPr>
                <w:rFonts w:ascii="宋体" w:hAnsi="宋体"/>
                <w:color w:val="000000"/>
                <w:sz w:val="24"/>
              </w:rPr>
            </w:pPr>
          </w:p>
        </w:tc>
        <w:tc>
          <w:tcPr>
            <w:tcW w:w="3120" w:type="dxa"/>
            <w:vAlign w:val="center"/>
          </w:tcPr>
          <w:p w14:paraId="0304194E">
            <w:pPr>
              <w:spacing w:line="360" w:lineRule="exact"/>
              <w:jc w:val="center"/>
              <w:rPr>
                <w:rFonts w:ascii="宋体" w:hAnsi="宋体"/>
                <w:color w:val="000000"/>
                <w:sz w:val="24"/>
              </w:rPr>
            </w:pPr>
            <w:r>
              <w:rPr>
                <w:rFonts w:hint="eastAsia" w:ascii="宋体" w:hAnsi="宋体"/>
                <w:color w:val="000000"/>
                <w:sz w:val="24"/>
              </w:rPr>
              <w:t>总监理工程师姓名</w:t>
            </w:r>
          </w:p>
        </w:tc>
        <w:tc>
          <w:tcPr>
            <w:tcW w:w="4732" w:type="dxa"/>
            <w:gridSpan w:val="2"/>
            <w:vAlign w:val="center"/>
          </w:tcPr>
          <w:p w14:paraId="5D9D9019">
            <w:pPr>
              <w:spacing w:line="360" w:lineRule="exact"/>
              <w:rPr>
                <w:rFonts w:ascii="宋体" w:hAnsi="宋体"/>
                <w:bCs/>
                <w:color w:val="000000"/>
                <w:sz w:val="24"/>
              </w:rPr>
            </w:pPr>
          </w:p>
        </w:tc>
      </w:tr>
      <w:tr w14:paraId="077A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2002" w:type="dxa"/>
            <w:vAlign w:val="center"/>
          </w:tcPr>
          <w:p w14:paraId="62EB3706">
            <w:pPr>
              <w:spacing w:line="360" w:lineRule="exact"/>
              <w:jc w:val="center"/>
              <w:rPr>
                <w:rFonts w:ascii="宋体" w:hAnsi="宋体"/>
                <w:color w:val="000000"/>
                <w:sz w:val="24"/>
              </w:rPr>
            </w:pPr>
            <w:r>
              <w:rPr>
                <w:rFonts w:hint="eastAsia" w:ascii="宋体" w:hAnsi="宋体"/>
                <w:color w:val="000000"/>
                <w:sz w:val="24"/>
              </w:rPr>
              <w:t>工程概况</w:t>
            </w:r>
          </w:p>
        </w:tc>
        <w:tc>
          <w:tcPr>
            <w:tcW w:w="7852" w:type="dxa"/>
            <w:gridSpan w:val="3"/>
          </w:tcPr>
          <w:p w14:paraId="7304C07A">
            <w:pPr>
              <w:spacing w:line="360" w:lineRule="exact"/>
              <w:rPr>
                <w:rFonts w:ascii="宋体" w:hAnsi="宋体"/>
                <w:color w:val="000000"/>
                <w:sz w:val="24"/>
              </w:rPr>
            </w:pPr>
          </w:p>
        </w:tc>
      </w:tr>
      <w:tr w14:paraId="72D4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2002" w:type="dxa"/>
            <w:vAlign w:val="center"/>
          </w:tcPr>
          <w:p w14:paraId="3DA84CF9">
            <w:pPr>
              <w:spacing w:line="360" w:lineRule="exact"/>
              <w:jc w:val="center"/>
              <w:rPr>
                <w:rFonts w:ascii="宋体" w:hAnsi="宋体"/>
                <w:color w:val="000000"/>
                <w:sz w:val="24"/>
              </w:rPr>
            </w:pPr>
            <w:r>
              <w:rPr>
                <w:rFonts w:hint="eastAsia" w:ascii="宋体" w:hAnsi="宋体"/>
                <w:color w:val="000000"/>
                <w:sz w:val="24"/>
              </w:rPr>
              <w:t>提供监理服务</w:t>
            </w:r>
          </w:p>
          <w:p w14:paraId="75AD8AF0">
            <w:pPr>
              <w:spacing w:line="360" w:lineRule="exact"/>
              <w:jc w:val="center"/>
              <w:rPr>
                <w:rFonts w:ascii="宋体" w:hAnsi="宋体"/>
                <w:color w:val="000000"/>
                <w:sz w:val="24"/>
              </w:rPr>
            </w:pPr>
            <w:r>
              <w:rPr>
                <w:rFonts w:hint="eastAsia" w:ascii="宋体" w:hAnsi="宋体"/>
                <w:color w:val="000000"/>
                <w:sz w:val="24"/>
              </w:rPr>
              <w:t>的情况介绍</w:t>
            </w:r>
          </w:p>
        </w:tc>
        <w:tc>
          <w:tcPr>
            <w:tcW w:w="7852" w:type="dxa"/>
            <w:gridSpan w:val="3"/>
            <w:vAlign w:val="center"/>
          </w:tcPr>
          <w:p w14:paraId="5DDFE5E2">
            <w:pPr>
              <w:spacing w:line="360" w:lineRule="exact"/>
              <w:jc w:val="center"/>
              <w:rPr>
                <w:rFonts w:ascii="宋体" w:hAnsi="宋体"/>
                <w:color w:val="000000"/>
                <w:sz w:val="24"/>
              </w:rPr>
            </w:pPr>
          </w:p>
        </w:tc>
      </w:tr>
      <w:tr w14:paraId="6706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2002" w:type="dxa"/>
            <w:vAlign w:val="center"/>
          </w:tcPr>
          <w:p w14:paraId="12F142AB">
            <w:pPr>
              <w:spacing w:line="360" w:lineRule="exact"/>
              <w:rPr>
                <w:rFonts w:ascii="宋体" w:hAnsi="宋体"/>
                <w:color w:val="000000"/>
                <w:sz w:val="24"/>
              </w:rPr>
            </w:pPr>
            <w:r>
              <w:rPr>
                <w:rFonts w:hint="eastAsia" w:ascii="宋体" w:hAnsi="宋体"/>
                <w:color w:val="000000"/>
                <w:sz w:val="24"/>
              </w:rPr>
              <w:t>业主的地址、联系人员与部门、联系电话、传真等。</w:t>
            </w:r>
          </w:p>
        </w:tc>
        <w:tc>
          <w:tcPr>
            <w:tcW w:w="7852" w:type="dxa"/>
            <w:gridSpan w:val="3"/>
          </w:tcPr>
          <w:p w14:paraId="2DD59696">
            <w:pPr>
              <w:spacing w:line="360" w:lineRule="exact"/>
              <w:rPr>
                <w:rFonts w:ascii="宋体" w:hAnsi="宋体"/>
                <w:color w:val="000000"/>
                <w:sz w:val="24"/>
              </w:rPr>
            </w:pPr>
          </w:p>
        </w:tc>
      </w:tr>
    </w:tbl>
    <w:p w14:paraId="322A3AEE">
      <w:pPr>
        <w:spacing w:line="360" w:lineRule="exact"/>
        <w:ind w:firstLine="720" w:firstLineChars="300"/>
        <w:rPr>
          <w:rFonts w:ascii="宋体" w:hAnsi="宋体"/>
          <w:color w:val="000000"/>
          <w:sz w:val="24"/>
        </w:rPr>
      </w:pPr>
      <w:r>
        <w:rPr>
          <w:rFonts w:hint="eastAsia" w:ascii="宋体" w:hAnsi="宋体"/>
          <w:color w:val="000000"/>
          <w:sz w:val="24"/>
        </w:rPr>
        <w:t>注：1、本表根据申请人的情况可以延续和扩展；</w:t>
      </w:r>
    </w:p>
    <w:p w14:paraId="4806F3D0">
      <w:pPr>
        <w:spacing w:line="400" w:lineRule="exact"/>
        <w:ind w:firstLine="1200" w:firstLineChars="500"/>
        <w:jc w:val="left"/>
        <w:rPr>
          <w:rFonts w:ascii="宋体" w:hAnsi="宋体"/>
          <w:color w:val="000000"/>
          <w:sz w:val="24"/>
        </w:rPr>
      </w:pPr>
      <w:r>
        <w:rPr>
          <w:rFonts w:hint="eastAsia" w:ascii="宋体" w:hAnsi="宋体"/>
          <w:color w:val="000000"/>
          <w:sz w:val="24"/>
        </w:rPr>
        <w:t>2</w:t>
      </w:r>
      <w:r>
        <w:rPr>
          <w:rFonts w:hint="eastAsia" w:ascii="宋体" w:hAnsi="宋体"/>
          <w:color w:val="000000"/>
          <w:sz w:val="24"/>
          <w:highlight w:val="yellow"/>
        </w:rPr>
        <w:t>、本表附合同附件和合同甲方证明材料（如有）；</w:t>
      </w:r>
    </w:p>
    <w:p w14:paraId="42E0E9A4">
      <w:pPr>
        <w:spacing w:line="360" w:lineRule="exact"/>
        <w:ind w:firstLine="720" w:firstLineChars="300"/>
        <w:rPr>
          <w:rFonts w:ascii="宋体" w:hAnsi="宋体"/>
          <w:color w:val="000000"/>
          <w:sz w:val="24"/>
        </w:rPr>
      </w:pPr>
      <w:r>
        <w:rPr>
          <w:rFonts w:hint="eastAsia" w:ascii="宋体" w:hAnsi="宋体"/>
          <w:color w:val="000000"/>
          <w:sz w:val="24"/>
        </w:rPr>
        <w:t xml:space="preserve">    3、工程概况中应包括工程范围、工程地质条件、结构类型、施工方法等。</w:t>
      </w:r>
    </w:p>
    <w:p w14:paraId="24D255CE">
      <w:pPr>
        <w:spacing w:line="360" w:lineRule="exact"/>
        <w:rPr>
          <w:rFonts w:ascii="宋体" w:hAnsi="宋体"/>
          <w:color w:val="000000"/>
          <w:sz w:val="24"/>
        </w:rPr>
      </w:pPr>
    </w:p>
    <w:p w14:paraId="7E901D7C">
      <w:pPr>
        <w:spacing w:line="3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附表4：</w:t>
      </w:r>
    </w:p>
    <w:p w14:paraId="5522465C">
      <w:pPr>
        <w:spacing w:line="360" w:lineRule="exact"/>
        <w:jc w:val="center"/>
        <w:rPr>
          <w:rFonts w:ascii="宋体" w:hAnsi="宋体"/>
          <w:bCs/>
          <w:color w:val="000000"/>
          <w:spacing w:val="40"/>
          <w:sz w:val="24"/>
        </w:rPr>
      </w:pPr>
      <w:r>
        <w:rPr>
          <w:rFonts w:hint="eastAsia" w:ascii="宋体" w:hAnsi="宋体"/>
          <w:bCs/>
          <w:color w:val="000000"/>
          <w:spacing w:val="40"/>
          <w:sz w:val="24"/>
        </w:rPr>
        <w:t>正在监理类似工程监理项目情况汇总表</w:t>
      </w:r>
    </w:p>
    <w:p w14:paraId="486E7456">
      <w:pPr>
        <w:spacing w:line="360" w:lineRule="exact"/>
        <w:rPr>
          <w:rFonts w:ascii="宋体" w:hAnsi="宋体"/>
          <w:color w:val="000000"/>
          <w:sz w:val="24"/>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36"/>
        <w:gridCol w:w="1795"/>
        <w:gridCol w:w="1756"/>
        <w:gridCol w:w="1766"/>
        <w:gridCol w:w="2065"/>
      </w:tblGrid>
      <w:tr w14:paraId="2207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36" w:type="dxa"/>
            <w:vAlign w:val="center"/>
          </w:tcPr>
          <w:p w14:paraId="727D0EAA">
            <w:pPr>
              <w:spacing w:line="360" w:lineRule="exact"/>
              <w:jc w:val="center"/>
              <w:rPr>
                <w:rFonts w:ascii="宋体" w:hAnsi="宋体"/>
                <w:color w:val="000000"/>
                <w:sz w:val="24"/>
              </w:rPr>
            </w:pPr>
            <w:r>
              <w:rPr>
                <w:rFonts w:hint="eastAsia" w:ascii="宋体" w:hAnsi="宋体"/>
                <w:color w:val="000000"/>
                <w:sz w:val="24"/>
              </w:rPr>
              <w:t>序</w:t>
            </w:r>
          </w:p>
          <w:p w14:paraId="21992A67">
            <w:pPr>
              <w:spacing w:line="360" w:lineRule="exact"/>
              <w:jc w:val="center"/>
              <w:rPr>
                <w:rFonts w:ascii="宋体" w:hAnsi="宋体"/>
                <w:color w:val="000000"/>
                <w:sz w:val="24"/>
              </w:rPr>
            </w:pPr>
            <w:r>
              <w:rPr>
                <w:rFonts w:hint="eastAsia" w:ascii="宋体" w:hAnsi="宋体"/>
                <w:color w:val="000000"/>
                <w:sz w:val="24"/>
              </w:rPr>
              <w:t>号</w:t>
            </w:r>
          </w:p>
        </w:tc>
        <w:tc>
          <w:tcPr>
            <w:tcW w:w="1736" w:type="dxa"/>
            <w:vAlign w:val="center"/>
          </w:tcPr>
          <w:p w14:paraId="270930BD">
            <w:pPr>
              <w:spacing w:line="360" w:lineRule="exact"/>
              <w:jc w:val="center"/>
              <w:rPr>
                <w:rFonts w:ascii="宋体" w:hAnsi="宋体"/>
                <w:color w:val="000000"/>
                <w:sz w:val="24"/>
              </w:rPr>
            </w:pPr>
            <w:r>
              <w:rPr>
                <w:rFonts w:hint="eastAsia" w:ascii="宋体" w:hAnsi="宋体"/>
                <w:color w:val="000000"/>
                <w:sz w:val="24"/>
              </w:rPr>
              <w:t>业主名称</w:t>
            </w:r>
          </w:p>
        </w:tc>
        <w:tc>
          <w:tcPr>
            <w:tcW w:w="1795" w:type="dxa"/>
            <w:vAlign w:val="center"/>
          </w:tcPr>
          <w:p w14:paraId="07D2C1FB">
            <w:pPr>
              <w:spacing w:line="360" w:lineRule="exact"/>
              <w:jc w:val="center"/>
              <w:rPr>
                <w:rFonts w:ascii="宋体" w:hAnsi="宋体"/>
                <w:color w:val="000000"/>
                <w:sz w:val="24"/>
              </w:rPr>
            </w:pPr>
            <w:r>
              <w:rPr>
                <w:rFonts w:hint="eastAsia" w:ascii="宋体" w:hAnsi="宋体"/>
                <w:color w:val="000000"/>
                <w:sz w:val="24"/>
              </w:rPr>
              <w:t>项目名称、所在地及类别</w:t>
            </w:r>
          </w:p>
        </w:tc>
        <w:tc>
          <w:tcPr>
            <w:tcW w:w="1756" w:type="dxa"/>
            <w:vAlign w:val="center"/>
          </w:tcPr>
          <w:p w14:paraId="1B827F81">
            <w:pPr>
              <w:spacing w:line="360" w:lineRule="exact"/>
              <w:jc w:val="center"/>
              <w:rPr>
                <w:rFonts w:ascii="宋体" w:hAnsi="宋体"/>
                <w:color w:val="000000"/>
                <w:sz w:val="24"/>
              </w:rPr>
            </w:pPr>
            <w:r>
              <w:rPr>
                <w:rFonts w:hint="eastAsia" w:ascii="宋体" w:hAnsi="宋体"/>
                <w:color w:val="000000"/>
                <w:sz w:val="24"/>
              </w:rPr>
              <w:t>施工单位</w:t>
            </w:r>
          </w:p>
        </w:tc>
        <w:tc>
          <w:tcPr>
            <w:tcW w:w="1766" w:type="dxa"/>
            <w:vAlign w:val="center"/>
          </w:tcPr>
          <w:p w14:paraId="1E180EDB">
            <w:pPr>
              <w:spacing w:line="360" w:lineRule="exact"/>
              <w:jc w:val="center"/>
              <w:rPr>
                <w:rFonts w:ascii="宋体" w:hAnsi="宋体"/>
                <w:color w:val="000000"/>
                <w:sz w:val="24"/>
              </w:rPr>
            </w:pPr>
            <w:r>
              <w:rPr>
                <w:rFonts w:hint="eastAsia" w:ascii="宋体" w:hAnsi="宋体"/>
                <w:color w:val="000000"/>
                <w:sz w:val="24"/>
              </w:rPr>
              <w:t>施工合同</w:t>
            </w:r>
          </w:p>
          <w:p w14:paraId="7E3F1CCA">
            <w:pPr>
              <w:spacing w:line="360" w:lineRule="exact"/>
              <w:jc w:val="center"/>
              <w:rPr>
                <w:rFonts w:ascii="宋体" w:hAnsi="宋体"/>
                <w:color w:val="000000"/>
                <w:sz w:val="24"/>
              </w:rPr>
            </w:pPr>
            <w:r>
              <w:rPr>
                <w:rFonts w:hint="eastAsia" w:ascii="宋体" w:hAnsi="宋体"/>
                <w:color w:val="000000"/>
                <w:sz w:val="24"/>
              </w:rPr>
              <w:t>金额（万元）</w:t>
            </w:r>
          </w:p>
        </w:tc>
        <w:tc>
          <w:tcPr>
            <w:tcW w:w="2065" w:type="dxa"/>
            <w:vAlign w:val="center"/>
          </w:tcPr>
          <w:p w14:paraId="4F29F3F2">
            <w:pPr>
              <w:spacing w:line="360" w:lineRule="exact"/>
              <w:jc w:val="center"/>
              <w:rPr>
                <w:rFonts w:ascii="宋体" w:hAnsi="宋体"/>
                <w:color w:val="000000"/>
                <w:sz w:val="24"/>
              </w:rPr>
            </w:pPr>
            <w:r>
              <w:rPr>
                <w:rFonts w:hint="eastAsia" w:ascii="宋体" w:hAnsi="宋体"/>
                <w:color w:val="000000"/>
                <w:sz w:val="24"/>
              </w:rPr>
              <w:t>合同履行</w:t>
            </w:r>
          </w:p>
          <w:p w14:paraId="37BE80D2">
            <w:pPr>
              <w:spacing w:line="360" w:lineRule="exact"/>
              <w:jc w:val="center"/>
              <w:rPr>
                <w:rFonts w:ascii="宋体" w:hAnsi="宋体"/>
                <w:color w:val="000000"/>
                <w:sz w:val="24"/>
              </w:rPr>
            </w:pPr>
            <w:r>
              <w:rPr>
                <w:rFonts w:hint="eastAsia" w:ascii="宋体" w:hAnsi="宋体"/>
                <w:color w:val="000000"/>
                <w:sz w:val="24"/>
              </w:rPr>
              <w:t>起止时间</w:t>
            </w:r>
          </w:p>
        </w:tc>
      </w:tr>
      <w:tr w14:paraId="7B40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6" w:type="dxa"/>
            <w:vAlign w:val="center"/>
          </w:tcPr>
          <w:p w14:paraId="2B350BD1">
            <w:pPr>
              <w:spacing w:line="360" w:lineRule="exact"/>
              <w:jc w:val="center"/>
              <w:rPr>
                <w:rFonts w:ascii="宋体" w:hAnsi="宋体"/>
                <w:color w:val="000000"/>
                <w:sz w:val="24"/>
              </w:rPr>
            </w:pPr>
            <w:r>
              <w:rPr>
                <w:rFonts w:hint="eastAsia" w:ascii="宋体" w:hAnsi="宋体"/>
                <w:color w:val="000000"/>
                <w:sz w:val="24"/>
              </w:rPr>
              <w:t>1</w:t>
            </w:r>
          </w:p>
        </w:tc>
        <w:tc>
          <w:tcPr>
            <w:tcW w:w="1736" w:type="dxa"/>
            <w:vAlign w:val="center"/>
          </w:tcPr>
          <w:p w14:paraId="2229BBDB">
            <w:pPr>
              <w:spacing w:line="360" w:lineRule="exact"/>
              <w:jc w:val="center"/>
              <w:rPr>
                <w:rFonts w:ascii="宋体" w:hAnsi="宋体"/>
                <w:color w:val="000000"/>
                <w:sz w:val="24"/>
              </w:rPr>
            </w:pPr>
          </w:p>
        </w:tc>
        <w:tc>
          <w:tcPr>
            <w:tcW w:w="1795" w:type="dxa"/>
            <w:vAlign w:val="center"/>
          </w:tcPr>
          <w:p w14:paraId="005883DA">
            <w:pPr>
              <w:spacing w:line="360" w:lineRule="exact"/>
              <w:jc w:val="center"/>
              <w:rPr>
                <w:rFonts w:ascii="宋体" w:hAnsi="宋体"/>
                <w:color w:val="000000"/>
                <w:sz w:val="24"/>
              </w:rPr>
            </w:pPr>
          </w:p>
        </w:tc>
        <w:tc>
          <w:tcPr>
            <w:tcW w:w="1756" w:type="dxa"/>
            <w:vAlign w:val="center"/>
          </w:tcPr>
          <w:p w14:paraId="1BCD8141">
            <w:pPr>
              <w:spacing w:line="360" w:lineRule="exact"/>
              <w:jc w:val="center"/>
              <w:rPr>
                <w:rFonts w:ascii="宋体" w:hAnsi="宋体"/>
                <w:color w:val="000000"/>
                <w:sz w:val="24"/>
              </w:rPr>
            </w:pPr>
          </w:p>
        </w:tc>
        <w:tc>
          <w:tcPr>
            <w:tcW w:w="1766" w:type="dxa"/>
            <w:vAlign w:val="center"/>
          </w:tcPr>
          <w:p w14:paraId="0BEEC2E0">
            <w:pPr>
              <w:spacing w:line="360" w:lineRule="exact"/>
              <w:jc w:val="center"/>
              <w:rPr>
                <w:rFonts w:ascii="宋体" w:hAnsi="宋体"/>
                <w:color w:val="000000"/>
                <w:sz w:val="24"/>
              </w:rPr>
            </w:pPr>
          </w:p>
        </w:tc>
        <w:tc>
          <w:tcPr>
            <w:tcW w:w="2065" w:type="dxa"/>
            <w:vAlign w:val="center"/>
          </w:tcPr>
          <w:p w14:paraId="18AB3879">
            <w:pPr>
              <w:spacing w:line="360" w:lineRule="exact"/>
              <w:jc w:val="center"/>
              <w:rPr>
                <w:rFonts w:ascii="宋体" w:hAnsi="宋体"/>
                <w:color w:val="000000"/>
                <w:sz w:val="24"/>
              </w:rPr>
            </w:pPr>
          </w:p>
        </w:tc>
      </w:tr>
      <w:tr w14:paraId="3BB1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6" w:type="dxa"/>
            <w:vAlign w:val="center"/>
          </w:tcPr>
          <w:p w14:paraId="488F2074">
            <w:pPr>
              <w:spacing w:line="360" w:lineRule="exact"/>
              <w:jc w:val="center"/>
              <w:rPr>
                <w:rFonts w:ascii="宋体" w:hAnsi="宋体"/>
                <w:color w:val="000000"/>
                <w:sz w:val="24"/>
              </w:rPr>
            </w:pPr>
            <w:r>
              <w:rPr>
                <w:rFonts w:hint="eastAsia" w:ascii="宋体" w:hAnsi="宋体"/>
                <w:color w:val="000000"/>
                <w:sz w:val="24"/>
              </w:rPr>
              <w:t>2</w:t>
            </w:r>
          </w:p>
        </w:tc>
        <w:tc>
          <w:tcPr>
            <w:tcW w:w="1736" w:type="dxa"/>
            <w:vAlign w:val="center"/>
          </w:tcPr>
          <w:p w14:paraId="1A3FFF25">
            <w:pPr>
              <w:spacing w:line="360" w:lineRule="exact"/>
              <w:jc w:val="center"/>
              <w:rPr>
                <w:rFonts w:ascii="宋体" w:hAnsi="宋体"/>
                <w:color w:val="000000"/>
                <w:sz w:val="24"/>
              </w:rPr>
            </w:pPr>
          </w:p>
        </w:tc>
        <w:tc>
          <w:tcPr>
            <w:tcW w:w="1795" w:type="dxa"/>
            <w:vAlign w:val="center"/>
          </w:tcPr>
          <w:p w14:paraId="4701EA05">
            <w:pPr>
              <w:spacing w:line="360" w:lineRule="exact"/>
              <w:jc w:val="center"/>
              <w:rPr>
                <w:rFonts w:ascii="宋体" w:hAnsi="宋体"/>
                <w:color w:val="000000"/>
                <w:sz w:val="24"/>
              </w:rPr>
            </w:pPr>
          </w:p>
        </w:tc>
        <w:tc>
          <w:tcPr>
            <w:tcW w:w="1756" w:type="dxa"/>
            <w:vAlign w:val="center"/>
          </w:tcPr>
          <w:p w14:paraId="2F204C0F">
            <w:pPr>
              <w:spacing w:line="360" w:lineRule="exact"/>
              <w:jc w:val="center"/>
              <w:rPr>
                <w:rFonts w:ascii="宋体" w:hAnsi="宋体"/>
                <w:color w:val="000000"/>
                <w:sz w:val="24"/>
              </w:rPr>
            </w:pPr>
          </w:p>
        </w:tc>
        <w:tc>
          <w:tcPr>
            <w:tcW w:w="1766" w:type="dxa"/>
            <w:vAlign w:val="center"/>
          </w:tcPr>
          <w:p w14:paraId="3B12E5F3">
            <w:pPr>
              <w:spacing w:line="360" w:lineRule="exact"/>
              <w:jc w:val="center"/>
              <w:rPr>
                <w:rFonts w:ascii="宋体" w:hAnsi="宋体"/>
                <w:color w:val="000000"/>
                <w:sz w:val="24"/>
              </w:rPr>
            </w:pPr>
          </w:p>
        </w:tc>
        <w:tc>
          <w:tcPr>
            <w:tcW w:w="2065" w:type="dxa"/>
            <w:vAlign w:val="center"/>
          </w:tcPr>
          <w:p w14:paraId="5A53C1B8">
            <w:pPr>
              <w:spacing w:line="360" w:lineRule="exact"/>
              <w:jc w:val="center"/>
              <w:rPr>
                <w:rFonts w:ascii="宋体" w:hAnsi="宋体"/>
                <w:color w:val="000000"/>
                <w:sz w:val="24"/>
              </w:rPr>
            </w:pPr>
          </w:p>
        </w:tc>
      </w:tr>
      <w:tr w14:paraId="71F0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6" w:type="dxa"/>
            <w:vAlign w:val="center"/>
          </w:tcPr>
          <w:p w14:paraId="4F6C634F">
            <w:pPr>
              <w:spacing w:line="360" w:lineRule="exact"/>
              <w:jc w:val="center"/>
              <w:rPr>
                <w:rFonts w:ascii="宋体" w:hAnsi="宋体"/>
                <w:color w:val="000000"/>
                <w:sz w:val="24"/>
              </w:rPr>
            </w:pPr>
            <w:r>
              <w:rPr>
                <w:rFonts w:hint="eastAsia" w:ascii="宋体" w:hAnsi="宋体"/>
                <w:color w:val="000000"/>
                <w:sz w:val="24"/>
              </w:rPr>
              <w:t>3</w:t>
            </w:r>
          </w:p>
        </w:tc>
        <w:tc>
          <w:tcPr>
            <w:tcW w:w="1736" w:type="dxa"/>
            <w:vAlign w:val="center"/>
          </w:tcPr>
          <w:p w14:paraId="46D89873">
            <w:pPr>
              <w:spacing w:line="360" w:lineRule="exact"/>
              <w:jc w:val="center"/>
              <w:rPr>
                <w:rFonts w:ascii="宋体" w:hAnsi="宋体"/>
                <w:color w:val="000000"/>
                <w:sz w:val="24"/>
              </w:rPr>
            </w:pPr>
          </w:p>
        </w:tc>
        <w:tc>
          <w:tcPr>
            <w:tcW w:w="1795" w:type="dxa"/>
            <w:vAlign w:val="center"/>
          </w:tcPr>
          <w:p w14:paraId="33753CA4">
            <w:pPr>
              <w:spacing w:line="360" w:lineRule="exact"/>
              <w:jc w:val="center"/>
              <w:rPr>
                <w:rFonts w:ascii="宋体" w:hAnsi="宋体"/>
                <w:color w:val="000000"/>
                <w:sz w:val="24"/>
              </w:rPr>
            </w:pPr>
          </w:p>
        </w:tc>
        <w:tc>
          <w:tcPr>
            <w:tcW w:w="1756" w:type="dxa"/>
            <w:vAlign w:val="center"/>
          </w:tcPr>
          <w:p w14:paraId="66FDC278">
            <w:pPr>
              <w:spacing w:line="360" w:lineRule="exact"/>
              <w:jc w:val="center"/>
              <w:rPr>
                <w:rFonts w:ascii="宋体" w:hAnsi="宋体"/>
                <w:color w:val="000000"/>
                <w:sz w:val="24"/>
              </w:rPr>
            </w:pPr>
          </w:p>
        </w:tc>
        <w:tc>
          <w:tcPr>
            <w:tcW w:w="1766" w:type="dxa"/>
            <w:vAlign w:val="center"/>
          </w:tcPr>
          <w:p w14:paraId="0AB7FB21">
            <w:pPr>
              <w:spacing w:line="360" w:lineRule="exact"/>
              <w:jc w:val="center"/>
              <w:rPr>
                <w:rFonts w:ascii="宋体" w:hAnsi="宋体"/>
                <w:color w:val="000000"/>
                <w:sz w:val="24"/>
              </w:rPr>
            </w:pPr>
          </w:p>
        </w:tc>
        <w:tc>
          <w:tcPr>
            <w:tcW w:w="2065" w:type="dxa"/>
            <w:vAlign w:val="center"/>
          </w:tcPr>
          <w:p w14:paraId="14991CF0">
            <w:pPr>
              <w:spacing w:line="360" w:lineRule="exact"/>
              <w:jc w:val="center"/>
              <w:rPr>
                <w:rFonts w:ascii="宋体" w:hAnsi="宋体"/>
                <w:color w:val="000000"/>
                <w:sz w:val="24"/>
              </w:rPr>
            </w:pPr>
          </w:p>
        </w:tc>
      </w:tr>
      <w:tr w14:paraId="32EA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6" w:type="dxa"/>
            <w:vAlign w:val="center"/>
          </w:tcPr>
          <w:p w14:paraId="17D5FD5E">
            <w:pPr>
              <w:spacing w:line="360" w:lineRule="exact"/>
              <w:jc w:val="center"/>
              <w:rPr>
                <w:rFonts w:ascii="宋体" w:hAnsi="宋体"/>
                <w:color w:val="000000"/>
                <w:sz w:val="24"/>
              </w:rPr>
            </w:pPr>
            <w:r>
              <w:rPr>
                <w:rFonts w:hint="eastAsia" w:ascii="宋体" w:hAnsi="宋体"/>
                <w:color w:val="000000"/>
                <w:sz w:val="24"/>
              </w:rPr>
              <w:t>4</w:t>
            </w:r>
          </w:p>
        </w:tc>
        <w:tc>
          <w:tcPr>
            <w:tcW w:w="1736" w:type="dxa"/>
            <w:vAlign w:val="center"/>
          </w:tcPr>
          <w:p w14:paraId="06FDD74D">
            <w:pPr>
              <w:spacing w:line="360" w:lineRule="exact"/>
              <w:jc w:val="center"/>
              <w:rPr>
                <w:rFonts w:ascii="宋体" w:hAnsi="宋体"/>
                <w:color w:val="000000"/>
                <w:sz w:val="24"/>
              </w:rPr>
            </w:pPr>
          </w:p>
        </w:tc>
        <w:tc>
          <w:tcPr>
            <w:tcW w:w="1795" w:type="dxa"/>
            <w:vAlign w:val="center"/>
          </w:tcPr>
          <w:p w14:paraId="245D68EF">
            <w:pPr>
              <w:spacing w:line="360" w:lineRule="exact"/>
              <w:jc w:val="center"/>
              <w:rPr>
                <w:rFonts w:ascii="宋体" w:hAnsi="宋体"/>
                <w:color w:val="000000"/>
                <w:sz w:val="24"/>
              </w:rPr>
            </w:pPr>
          </w:p>
        </w:tc>
        <w:tc>
          <w:tcPr>
            <w:tcW w:w="1756" w:type="dxa"/>
            <w:vAlign w:val="center"/>
          </w:tcPr>
          <w:p w14:paraId="7DC90660">
            <w:pPr>
              <w:spacing w:line="360" w:lineRule="exact"/>
              <w:jc w:val="center"/>
              <w:rPr>
                <w:rFonts w:ascii="宋体" w:hAnsi="宋体"/>
                <w:color w:val="000000"/>
                <w:sz w:val="24"/>
              </w:rPr>
            </w:pPr>
          </w:p>
        </w:tc>
        <w:tc>
          <w:tcPr>
            <w:tcW w:w="1766" w:type="dxa"/>
            <w:vAlign w:val="center"/>
          </w:tcPr>
          <w:p w14:paraId="385AD1EB">
            <w:pPr>
              <w:spacing w:line="360" w:lineRule="exact"/>
              <w:jc w:val="center"/>
              <w:rPr>
                <w:rFonts w:ascii="宋体" w:hAnsi="宋体"/>
                <w:color w:val="000000"/>
                <w:sz w:val="24"/>
              </w:rPr>
            </w:pPr>
          </w:p>
        </w:tc>
        <w:tc>
          <w:tcPr>
            <w:tcW w:w="2065" w:type="dxa"/>
            <w:vAlign w:val="center"/>
          </w:tcPr>
          <w:p w14:paraId="7829E5B3">
            <w:pPr>
              <w:spacing w:line="360" w:lineRule="exact"/>
              <w:jc w:val="center"/>
              <w:rPr>
                <w:rFonts w:ascii="宋体" w:hAnsi="宋体"/>
                <w:color w:val="000000"/>
                <w:sz w:val="24"/>
              </w:rPr>
            </w:pPr>
          </w:p>
        </w:tc>
      </w:tr>
      <w:tr w14:paraId="463F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6" w:type="dxa"/>
            <w:vAlign w:val="center"/>
          </w:tcPr>
          <w:p w14:paraId="2C816646">
            <w:pPr>
              <w:spacing w:line="360" w:lineRule="exact"/>
              <w:jc w:val="center"/>
              <w:rPr>
                <w:rFonts w:ascii="宋体" w:hAnsi="宋体"/>
                <w:color w:val="000000"/>
                <w:sz w:val="24"/>
              </w:rPr>
            </w:pPr>
            <w:r>
              <w:rPr>
                <w:rFonts w:hint="eastAsia" w:ascii="宋体" w:hAnsi="宋体"/>
                <w:color w:val="000000"/>
                <w:sz w:val="24"/>
              </w:rPr>
              <w:t>5</w:t>
            </w:r>
          </w:p>
        </w:tc>
        <w:tc>
          <w:tcPr>
            <w:tcW w:w="1736" w:type="dxa"/>
            <w:vAlign w:val="center"/>
          </w:tcPr>
          <w:p w14:paraId="0E57BC6F">
            <w:pPr>
              <w:spacing w:line="360" w:lineRule="exact"/>
              <w:jc w:val="center"/>
              <w:rPr>
                <w:rFonts w:ascii="宋体" w:hAnsi="宋体"/>
                <w:color w:val="000000"/>
                <w:sz w:val="24"/>
              </w:rPr>
            </w:pPr>
          </w:p>
        </w:tc>
        <w:tc>
          <w:tcPr>
            <w:tcW w:w="1795" w:type="dxa"/>
            <w:vAlign w:val="center"/>
          </w:tcPr>
          <w:p w14:paraId="2A8EC03F">
            <w:pPr>
              <w:spacing w:line="360" w:lineRule="exact"/>
              <w:jc w:val="center"/>
              <w:rPr>
                <w:rFonts w:ascii="宋体" w:hAnsi="宋体"/>
                <w:color w:val="000000"/>
                <w:sz w:val="24"/>
              </w:rPr>
            </w:pPr>
          </w:p>
        </w:tc>
        <w:tc>
          <w:tcPr>
            <w:tcW w:w="1756" w:type="dxa"/>
            <w:vAlign w:val="center"/>
          </w:tcPr>
          <w:p w14:paraId="31FF670F">
            <w:pPr>
              <w:spacing w:line="360" w:lineRule="exact"/>
              <w:jc w:val="center"/>
              <w:rPr>
                <w:rFonts w:ascii="宋体" w:hAnsi="宋体"/>
                <w:color w:val="000000"/>
                <w:sz w:val="24"/>
              </w:rPr>
            </w:pPr>
          </w:p>
        </w:tc>
        <w:tc>
          <w:tcPr>
            <w:tcW w:w="1766" w:type="dxa"/>
            <w:vAlign w:val="center"/>
          </w:tcPr>
          <w:p w14:paraId="3D3B2972">
            <w:pPr>
              <w:spacing w:line="360" w:lineRule="exact"/>
              <w:jc w:val="center"/>
              <w:rPr>
                <w:rFonts w:ascii="宋体" w:hAnsi="宋体"/>
                <w:color w:val="000000"/>
                <w:sz w:val="24"/>
              </w:rPr>
            </w:pPr>
          </w:p>
        </w:tc>
        <w:tc>
          <w:tcPr>
            <w:tcW w:w="2065" w:type="dxa"/>
            <w:vAlign w:val="center"/>
          </w:tcPr>
          <w:p w14:paraId="49175115">
            <w:pPr>
              <w:spacing w:line="360" w:lineRule="exact"/>
              <w:jc w:val="center"/>
              <w:rPr>
                <w:rFonts w:ascii="宋体" w:hAnsi="宋体"/>
                <w:color w:val="000000"/>
                <w:sz w:val="24"/>
              </w:rPr>
            </w:pPr>
          </w:p>
        </w:tc>
      </w:tr>
      <w:tr w14:paraId="4B17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6" w:type="dxa"/>
            <w:vAlign w:val="center"/>
          </w:tcPr>
          <w:p w14:paraId="0174CE08">
            <w:pPr>
              <w:spacing w:line="360" w:lineRule="exact"/>
              <w:jc w:val="center"/>
              <w:rPr>
                <w:rFonts w:ascii="宋体" w:hAnsi="宋体"/>
                <w:color w:val="000000"/>
                <w:sz w:val="24"/>
              </w:rPr>
            </w:pPr>
            <w:r>
              <w:rPr>
                <w:rFonts w:hint="eastAsia" w:ascii="宋体" w:hAnsi="宋体"/>
                <w:color w:val="000000"/>
                <w:sz w:val="24"/>
              </w:rPr>
              <w:t>……</w:t>
            </w:r>
          </w:p>
        </w:tc>
        <w:tc>
          <w:tcPr>
            <w:tcW w:w="1736" w:type="dxa"/>
            <w:vAlign w:val="center"/>
          </w:tcPr>
          <w:p w14:paraId="26CAEAB6">
            <w:pPr>
              <w:spacing w:line="360" w:lineRule="exact"/>
              <w:jc w:val="center"/>
              <w:rPr>
                <w:rFonts w:ascii="宋体" w:hAnsi="宋体"/>
                <w:color w:val="000000"/>
                <w:sz w:val="24"/>
              </w:rPr>
            </w:pPr>
          </w:p>
        </w:tc>
        <w:tc>
          <w:tcPr>
            <w:tcW w:w="1795" w:type="dxa"/>
            <w:vAlign w:val="center"/>
          </w:tcPr>
          <w:p w14:paraId="2AAEB556">
            <w:pPr>
              <w:spacing w:line="360" w:lineRule="exact"/>
              <w:jc w:val="center"/>
              <w:rPr>
                <w:rFonts w:ascii="宋体" w:hAnsi="宋体"/>
                <w:color w:val="000000"/>
                <w:sz w:val="24"/>
              </w:rPr>
            </w:pPr>
          </w:p>
        </w:tc>
        <w:tc>
          <w:tcPr>
            <w:tcW w:w="1756" w:type="dxa"/>
            <w:vAlign w:val="center"/>
          </w:tcPr>
          <w:p w14:paraId="40BEA67A">
            <w:pPr>
              <w:spacing w:line="360" w:lineRule="exact"/>
              <w:jc w:val="center"/>
              <w:rPr>
                <w:rFonts w:ascii="宋体" w:hAnsi="宋体"/>
                <w:color w:val="000000"/>
                <w:sz w:val="24"/>
              </w:rPr>
            </w:pPr>
          </w:p>
        </w:tc>
        <w:tc>
          <w:tcPr>
            <w:tcW w:w="1766" w:type="dxa"/>
            <w:vAlign w:val="center"/>
          </w:tcPr>
          <w:p w14:paraId="6D637040">
            <w:pPr>
              <w:spacing w:line="360" w:lineRule="exact"/>
              <w:jc w:val="center"/>
              <w:rPr>
                <w:rFonts w:ascii="宋体" w:hAnsi="宋体"/>
                <w:color w:val="000000"/>
                <w:sz w:val="24"/>
              </w:rPr>
            </w:pPr>
          </w:p>
        </w:tc>
        <w:tc>
          <w:tcPr>
            <w:tcW w:w="2065" w:type="dxa"/>
            <w:vAlign w:val="center"/>
          </w:tcPr>
          <w:p w14:paraId="4E22F7BC">
            <w:pPr>
              <w:spacing w:line="360" w:lineRule="exact"/>
              <w:jc w:val="center"/>
              <w:rPr>
                <w:rFonts w:ascii="宋体" w:hAnsi="宋体"/>
                <w:color w:val="000000"/>
                <w:sz w:val="24"/>
              </w:rPr>
            </w:pPr>
          </w:p>
        </w:tc>
      </w:tr>
      <w:tr w14:paraId="30C7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6" w:type="dxa"/>
            <w:vAlign w:val="center"/>
          </w:tcPr>
          <w:p w14:paraId="6F560BF3">
            <w:pPr>
              <w:spacing w:line="360" w:lineRule="exact"/>
              <w:jc w:val="center"/>
              <w:rPr>
                <w:rFonts w:ascii="宋体" w:hAnsi="宋体"/>
                <w:color w:val="000000"/>
                <w:sz w:val="24"/>
              </w:rPr>
            </w:pPr>
          </w:p>
        </w:tc>
        <w:tc>
          <w:tcPr>
            <w:tcW w:w="1736" w:type="dxa"/>
            <w:vAlign w:val="center"/>
          </w:tcPr>
          <w:p w14:paraId="75C61CB1">
            <w:pPr>
              <w:spacing w:line="360" w:lineRule="exact"/>
              <w:jc w:val="center"/>
              <w:rPr>
                <w:rFonts w:ascii="宋体" w:hAnsi="宋体"/>
                <w:color w:val="000000"/>
                <w:sz w:val="24"/>
              </w:rPr>
            </w:pPr>
          </w:p>
        </w:tc>
        <w:tc>
          <w:tcPr>
            <w:tcW w:w="1795" w:type="dxa"/>
            <w:vAlign w:val="center"/>
          </w:tcPr>
          <w:p w14:paraId="7B02E505">
            <w:pPr>
              <w:spacing w:line="360" w:lineRule="exact"/>
              <w:jc w:val="center"/>
              <w:rPr>
                <w:rFonts w:ascii="宋体" w:hAnsi="宋体"/>
                <w:color w:val="000000"/>
                <w:sz w:val="24"/>
              </w:rPr>
            </w:pPr>
          </w:p>
        </w:tc>
        <w:tc>
          <w:tcPr>
            <w:tcW w:w="1756" w:type="dxa"/>
            <w:vAlign w:val="center"/>
          </w:tcPr>
          <w:p w14:paraId="7C095143">
            <w:pPr>
              <w:spacing w:line="360" w:lineRule="exact"/>
              <w:jc w:val="center"/>
              <w:rPr>
                <w:rFonts w:ascii="宋体" w:hAnsi="宋体"/>
                <w:color w:val="000000"/>
                <w:sz w:val="24"/>
              </w:rPr>
            </w:pPr>
          </w:p>
        </w:tc>
        <w:tc>
          <w:tcPr>
            <w:tcW w:w="1766" w:type="dxa"/>
            <w:vAlign w:val="center"/>
          </w:tcPr>
          <w:p w14:paraId="403A4504">
            <w:pPr>
              <w:spacing w:line="360" w:lineRule="exact"/>
              <w:jc w:val="center"/>
              <w:rPr>
                <w:rFonts w:ascii="宋体" w:hAnsi="宋体"/>
                <w:color w:val="000000"/>
                <w:sz w:val="24"/>
              </w:rPr>
            </w:pPr>
          </w:p>
        </w:tc>
        <w:tc>
          <w:tcPr>
            <w:tcW w:w="2065" w:type="dxa"/>
            <w:vAlign w:val="center"/>
          </w:tcPr>
          <w:p w14:paraId="4A96DB55">
            <w:pPr>
              <w:spacing w:line="360" w:lineRule="exact"/>
              <w:jc w:val="center"/>
              <w:rPr>
                <w:rFonts w:ascii="宋体" w:hAnsi="宋体"/>
                <w:color w:val="000000"/>
                <w:sz w:val="24"/>
              </w:rPr>
            </w:pPr>
          </w:p>
        </w:tc>
      </w:tr>
    </w:tbl>
    <w:p w14:paraId="13B94DEC">
      <w:pPr>
        <w:spacing w:line="360" w:lineRule="exact"/>
        <w:rPr>
          <w:rFonts w:ascii="宋体" w:hAnsi="宋体"/>
          <w:color w:val="000000"/>
          <w:sz w:val="24"/>
        </w:rPr>
      </w:pPr>
    </w:p>
    <w:p w14:paraId="6646606D">
      <w:pPr>
        <w:spacing w:line="3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附表5：</w:t>
      </w:r>
    </w:p>
    <w:p w14:paraId="6F8741A2">
      <w:pPr>
        <w:spacing w:line="360" w:lineRule="exact"/>
        <w:jc w:val="center"/>
        <w:rPr>
          <w:rFonts w:ascii="宋体" w:hAnsi="宋体"/>
          <w:bCs/>
          <w:color w:val="000000"/>
          <w:spacing w:val="40"/>
          <w:sz w:val="24"/>
        </w:rPr>
      </w:pPr>
      <w:r>
        <w:rPr>
          <w:rFonts w:hint="eastAsia" w:ascii="宋体" w:hAnsi="宋体"/>
          <w:bCs/>
          <w:color w:val="000000"/>
          <w:spacing w:val="40"/>
          <w:sz w:val="24"/>
        </w:rPr>
        <w:t>正在监理类似工程监理项目情况表</w:t>
      </w:r>
    </w:p>
    <w:p w14:paraId="092173AC">
      <w:pPr>
        <w:spacing w:line="360" w:lineRule="exact"/>
        <w:rPr>
          <w:rFonts w:ascii="宋体" w:hAnsi="宋体"/>
          <w:color w:val="000000"/>
          <w:sz w:val="24"/>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720"/>
        <w:gridCol w:w="1858"/>
        <w:gridCol w:w="3071"/>
      </w:tblGrid>
      <w:tr w14:paraId="012A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05" w:type="dxa"/>
            <w:vAlign w:val="center"/>
          </w:tcPr>
          <w:p w14:paraId="663F11AE">
            <w:pPr>
              <w:spacing w:line="360" w:lineRule="exact"/>
              <w:jc w:val="center"/>
              <w:rPr>
                <w:rFonts w:ascii="宋体" w:hAnsi="宋体"/>
                <w:color w:val="000000"/>
                <w:sz w:val="24"/>
              </w:rPr>
            </w:pPr>
            <w:r>
              <w:rPr>
                <w:rFonts w:hint="eastAsia" w:ascii="宋体" w:hAnsi="宋体"/>
                <w:color w:val="000000"/>
                <w:sz w:val="24"/>
              </w:rPr>
              <w:t>业主单位</w:t>
            </w:r>
          </w:p>
        </w:tc>
        <w:tc>
          <w:tcPr>
            <w:tcW w:w="2720" w:type="dxa"/>
            <w:vAlign w:val="center"/>
          </w:tcPr>
          <w:p w14:paraId="6A2B8704">
            <w:pPr>
              <w:spacing w:line="360" w:lineRule="exact"/>
              <w:jc w:val="center"/>
              <w:rPr>
                <w:rFonts w:ascii="宋体" w:hAnsi="宋体"/>
                <w:bCs/>
                <w:color w:val="000000"/>
                <w:sz w:val="24"/>
              </w:rPr>
            </w:pPr>
          </w:p>
        </w:tc>
        <w:tc>
          <w:tcPr>
            <w:tcW w:w="1858" w:type="dxa"/>
            <w:vAlign w:val="center"/>
          </w:tcPr>
          <w:p w14:paraId="7D459974">
            <w:pPr>
              <w:spacing w:line="360" w:lineRule="exact"/>
              <w:jc w:val="center"/>
              <w:rPr>
                <w:rFonts w:ascii="宋体" w:hAnsi="宋体"/>
                <w:color w:val="000000"/>
                <w:sz w:val="24"/>
              </w:rPr>
            </w:pPr>
            <w:r>
              <w:rPr>
                <w:rFonts w:hint="eastAsia" w:ascii="宋体" w:hAnsi="宋体"/>
                <w:color w:val="000000"/>
                <w:sz w:val="24"/>
              </w:rPr>
              <w:t>工程名称</w:t>
            </w:r>
          </w:p>
        </w:tc>
        <w:tc>
          <w:tcPr>
            <w:tcW w:w="3071" w:type="dxa"/>
            <w:vAlign w:val="center"/>
          </w:tcPr>
          <w:p w14:paraId="7BB8138D">
            <w:pPr>
              <w:spacing w:line="360" w:lineRule="exact"/>
              <w:jc w:val="center"/>
              <w:rPr>
                <w:rFonts w:ascii="宋体" w:hAnsi="宋体"/>
                <w:bCs/>
                <w:color w:val="000000"/>
                <w:sz w:val="24"/>
              </w:rPr>
            </w:pPr>
          </w:p>
        </w:tc>
      </w:tr>
      <w:tr w14:paraId="5A86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05" w:type="dxa"/>
            <w:vAlign w:val="center"/>
          </w:tcPr>
          <w:p w14:paraId="5F6318A5">
            <w:pPr>
              <w:spacing w:line="360" w:lineRule="exact"/>
              <w:jc w:val="center"/>
              <w:rPr>
                <w:rFonts w:ascii="宋体" w:hAnsi="宋体"/>
                <w:color w:val="000000"/>
                <w:sz w:val="24"/>
              </w:rPr>
            </w:pPr>
            <w:r>
              <w:rPr>
                <w:rFonts w:hint="eastAsia" w:ascii="宋体" w:hAnsi="宋体"/>
                <w:color w:val="000000"/>
                <w:sz w:val="24"/>
              </w:rPr>
              <w:t>开工及完工日</w:t>
            </w:r>
          </w:p>
        </w:tc>
        <w:tc>
          <w:tcPr>
            <w:tcW w:w="2720" w:type="dxa"/>
            <w:vAlign w:val="center"/>
          </w:tcPr>
          <w:p w14:paraId="6853D540">
            <w:pPr>
              <w:spacing w:line="360" w:lineRule="exact"/>
              <w:jc w:val="center"/>
              <w:rPr>
                <w:rFonts w:ascii="宋体" w:hAnsi="宋体"/>
                <w:bCs/>
                <w:color w:val="000000"/>
                <w:sz w:val="24"/>
              </w:rPr>
            </w:pPr>
          </w:p>
        </w:tc>
        <w:tc>
          <w:tcPr>
            <w:tcW w:w="1858" w:type="dxa"/>
            <w:vAlign w:val="center"/>
          </w:tcPr>
          <w:p w14:paraId="119A4957">
            <w:pPr>
              <w:spacing w:line="360" w:lineRule="exact"/>
              <w:jc w:val="center"/>
              <w:rPr>
                <w:rFonts w:ascii="宋体" w:hAnsi="宋体"/>
                <w:color w:val="000000"/>
                <w:sz w:val="24"/>
              </w:rPr>
            </w:pPr>
            <w:r>
              <w:rPr>
                <w:rFonts w:hint="eastAsia" w:ascii="宋体" w:hAnsi="宋体"/>
                <w:color w:val="000000"/>
                <w:sz w:val="24"/>
              </w:rPr>
              <w:t>监理服务期</w:t>
            </w:r>
          </w:p>
        </w:tc>
        <w:tc>
          <w:tcPr>
            <w:tcW w:w="3071" w:type="dxa"/>
            <w:vAlign w:val="center"/>
          </w:tcPr>
          <w:p w14:paraId="6392A8A6">
            <w:pPr>
              <w:spacing w:line="360" w:lineRule="exact"/>
              <w:jc w:val="center"/>
              <w:rPr>
                <w:rFonts w:ascii="宋体" w:hAnsi="宋体"/>
                <w:bCs/>
                <w:color w:val="000000"/>
                <w:sz w:val="24"/>
              </w:rPr>
            </w:pPr>
          </w:p>
        </w:tc>
      </w:tr>
      <w:tr w14:paraId="6BB8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05" w:type="dxa"/>
            <w:vAlign w:val="center"/>
          </w:tcPr>
          <w:p w14:paraId="6BAA3FCC">
            <w:pPr>
              <w:spacing w:line="360" w:lineRule="exact"/>
              <w:jc w:val="center"/>
              <w:rPr>
                <w:rFonts w:ascii="宋体" w:hAnsi="宋体"/>
                <w:color w:val="000000"/>
                <w:sz w:val="24"/>
              </w:rPr>
            </w:pPr>
            <w:r>
              <w:rPr>
                <w:rFonts w:hint="eastAsia" w:ascii="宋体" w:hAnsi="宋体"/>
                <w:color w:val="000000"/>
                <w:sz w:val="24"/>
              </w:rPr>
              <w:t>施工合同金额</w:t>
            </w:r>
          </w:p>
        </w:tc>
        <w:tc>
          <w:tcPr>
            <w:tcW w:w="2720" w:type="dxa"/>
            <w:vAlign w:val="center"/>
          </w:tcPr>
          <w:p w14:paraId="762CEEBE">
            <w:pPr>
              <w:spacing w:line="360" w:lineRule="exact"/>
              <w:jc w:val="center"/>
              <w:rPr>
                <w:rFonts w:ascii="宋体" w:hAnsi="宋体"/>
                <w:bCs/>
                <w:color w:val="000000"/>
                <w:sz w:val="24"/>
              </w:rPr>
            </w:pPr>
          </w:p>
        </w:tc>
        <w:tc>
          <w:tcPr>
            <w:tcW w:w="1858" w:type="dxa"/>
            <w:vAlign w:val="center"/>
          </w:tcPr>
          <w:p w14:paraId="34ED234A">
            <w:pPr>
              <w:spacing w:line="360" w:lineRule="exact"/>
              <w:jc w:val="center"/>
              <w:rPr>
                <w:rFonts w:ascii="宋体" w:hAnsi="宋体"/>
                <w:color w:val="000000"/>
                <w:sz w:val="24"/>
              </w:rPr>
            </w:pPr>
            <w:r>
              <w:rPr>
                <w:rFonts w:hint="eastAsia" w:ascii="宋体" w:hAnsi="宋体"/>
                <w:color w:val="000000"/>
                <w:sz w:val="24"/>
              </w:rPr>
              <w:t>施工单位</w:t>
            </w:r>
          </w:p>
        </w:tc>
        <w:tc>
          <w:tcPr>
            <w:tcW w:w="3071" w:type="dxa"/>
            <w:vAlign w:val="center"/>
          </w:tcPr>
          <w:p w14:paraId="72831840">
            <w:pPr>
              <w:spacing w:line="360" w:lineRule="exact"/>
              <w:jc w:val="center"/>
              <w:rPr>
                <w:rFonts w:ascii="宋体" w:hAnsi="宋体"/>
                <w:bCs/>
                <w:color w:val="000000"/>
                <w:sz w:val="24"/>
              </w:rPr>
            </w:pPr>
          </w:p>
        </w:tc>
      </w:tr>
      <w:tr w14:paraId="6490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05" w:type="dxa"/>
            <w:vMerge w:val="restart"/>
            <w:vAlign w:val="center"/>
          </w:tcPr>
          <w:p w14:paraId="2EF57DA2">
            <w:pPr>
              <w:spacing w:line="360" w:lineRule="exact"/>
              <w:jc w:val="center"/>
              <w:rPr>
                <w:rFonts w:ascii="宋体" w:hAnsi="宋体"/>
                <w:color w:val="000000"/>
                <w:sz w:val="24"/>
              </w:rPr>
            </w:pPr>
            <w:r>
              <w:rPr>
                <w:rFonts w:hint="eastAsia" w:ascii="宋体" w:hAnsi="宋体"/>
                <w:color w:val="000000"/>
                <w:sz w:val="24"/>
              </w:rPr>
              <w:t>派出的监理人员</w:t>
            </w:r>
          </w:p>
        </w:tc>
        <w:tc>
          <w:tcPr>
            <w:tcW w:w="2720" w:type="dxa"/>
            <w:vAlign w:val="center"/>
          </w:tcPr>
          <w:p w14:paraId="2A9CC7C5">
            <w:pPr>
              <w:spacing w:line="360" w:lineRule="exact"/>
              <w:jc w:val="center"/>
              <w:rPr>
                <w:rFonts w:ascii="宋体" w:hAnsi="宋体"/>
                <w:color w:val="000000"/>
                <w:sz w:val="24"/>
              </w:rPr>
            </w:pPr>
            <w:r>
              <w:rPr>
                <w:rFonts w:hint="eastAsia" w:ascii="宋体" w:hAnsi="宋体"/>
                <w:color w:val="000000"/>
                <w:sz w:val="24"/>
              </w:rPr>
              <w:t>人员数量</w:t>
            </w:r>
          </w:p>
        </w:tc>
        <w:tc>
          <w:tcPr>
            <w:tcW w:w="4929" w:type="dxa"/>
            <w:gridSpan w:val="2"/>
            <w:vAlign w:val="center"/>
          </w:tcPr>
          <w:p w14:paraId="0468AF61">
            <w:pPr>
              <w:spacing w:line="360" w:lineRule="exact"/>
              <w:rPr>
                <w:rFonts w:ascii="宋体" w:hAnsi="宋体"/>
                <w:bCs/>
                <w:color w:val="000000"/>
                <w:sz w:val="24"/>
              </w:rPr>
            </w:pPr>
          </w:p>
        </w:tc>
      </w:tr>
      <w:tr w14:paraId="39DA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05" w:type="dxa"/>
            <w:vMerge w:val="continue"/>
            <w:vAlign w:val="center"/>
          </w:tcPr>
          <w:p w14:paraId="45A3AB96">
            <w:pPr>
              <w:spacing w:line="360" w:lineRule="exact"/>
              <w:jc w:val="center"/>
              <w:rPr>
                <w:rFonts w:ascii="宋体" w:hAnsi="宋体"/>
                <w:color w:val="000000"/>
                <w:sz w:val="24"/>
              </w:rPr>
            </w:pPr>
          </w:p>
        </w:tc>
        <w:tc>
          <w:tcPr>
            <w:tcW w:w="2720" w:type="dxa"/>
            <w:vAlign w:val="center"/>
          </w:tcPr>
          <w:p w14:paraId="327633F1">
            <w:pPr>
              <w:spacing w:line="360" w:lineRule="exact"/>
              <w:jc w:val="center"/>
              <w:rPr>
                <w:rFonts w:ascii="宋体" w:hAnsi="宋体"/>
                <w:color w:val="000000"/>
                <w:sz w:val="24"/>
              </w:rPr>
            </w:pPr>
            <w:r>
              <w:rPr>
                <w:rFonts w:hint="eastAsia" w:ascii="宋体" w:hAnsi="宋体"/>
                <w:color w:val="000000"/>
                <w:sz w:val="24"/>
              </w:rPr>
              <w:t>总监理工程师姓名</w:t>
            </w:r>
          </w:p>
        </w:tc>
        <w:tc>
          <w:tcPr>
            <w:tcW w:w="4929" w:type="dxa"/>
            <w:gridSpan w:val="2"/>
            <w:vAlign w:val="center"/>
          </w:tcPr>
          <w:p w14:paraId="78ED15A7">
            <w:pPr>
              <w:spacing w:line="360" w:lineRule="exact"/>
              <w:rPr>
                <w:rFonts w:ascii="宋体" w:hAnsi="宋体"/>
                <w:bCs/>
                <w:color w:val="000000"/>
                <w:sz w:val="24"/>
              </w:rPr>
            </w:pPr>
          </w:p>
        </w:tc>
      </w:tr>
      <w:tr w14:paraId="2476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2205" w:type="dxa"/>
            <w:vAlign w:val="center"/>
          </w:tcPr>
          <w:p w14:paraId="2C8EDC86">
            <w:pPr>
              <w:spacing w:line="360" w:lineRule="exact"/>
              <w:jc w:val="center"/>
              <w:rPr>
                <w:rFonts w:ascii="宋体" w:hAnsi="宋体"/>
                <w:color w:val="000000"/>
                <w:sz w:val="24"/>
              </w:rPr>
            </w:pPr>
            <w:r>
              <w:rPr>
                <w:rFonts w:hint="eastAsia" w:ascii="宋体" w:hAnsi="宋体"/>
                <w:color w:val="000000"/>
                <w:sz w:val="24"/>
              </w:rPr>
              <w:t>工程概况</w:t>
            </w:r>
          </w:p>
        </w:tc>
        <w:tc>
          <w:tcPr>
            <w:tcW w:w="7649" w:type="dxa"/>
            <w:gridSpan w:val="3"/>
          </w:tcPr>
          <w:p w14:paraId="39465939">
            <w:pPr>
              <w:spacing w:line="360" w:lineRule="exact"/>
              <w:rPr>
                <w:rFonts w:ascii="宋体" w:hAnsi="宋体"/>
                <w:color w:val="000000"/>
                <w:sz w:val="24"/>
              </w:rPr>
            </w:pPr>
          </w:p>
        </w:tc>
      </w:tr>
      <w:tr w14:paraId="183F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2205" w:type="dxa"/>
            <w:vAlign w:val="center"/>
          </w:tcPr>
          <w:p w14:paraId="54826011">
            <w:pPr>
              <w:spacing w:line="360" w:lineRule="exact"/>
              <w:jc w:val="center"/>
              <w:rPr>
                <w:rFonts w:ascii="宋体" w:hAnsi="宋体"/>
                <w:color w:val="000000"/>
                <w:sz w:val="24"/>
              </w:rPr>
            </w:pPr>
            <w:r>
              <w:rPr>
                <w:rFonts w:hint="eastAsia" w:ascii="宋体" w:hAnsi="宋体"/>
                <w:color w:val="000000"/>
                <w:sz w:val="24"/>
              </w:rPr>
              <w:t>提供监理服务</w:t>
            </w:r>
          </w:p>
          <w:p w14:paraId="66220754">
            <w:pPr>
              <w:spacing w:line="360" w:lineRule="exact"/>
              <w:jc w:val="center"/>
              <w:rPr>
                <w:rFonts w:ascii="宋体" w:hAnsi="宋体"/>
                <w:color w:val="000000"/>
                <w:sz w:val="24"/>
              </w:rPr>
            </w:pPr>
            <w:r>
              <w:rPr>
                <w:rFonts w:hint="eastAsia" w:ascii="宋体" w:hAnsi="宋体"/>
                <w:color w:val="000000"/>
                <w:sz w:val="24"/>
              </w:rPr>
              <w:t>的情况介绍</w:t>
            </w:r>
          </w:p>
        </w:tc>
        <w:tc>
          <w:tcPr>
            <w:tcW w:w="7649" w:type="dxa"/>
            <w:gridSpan w:val="3"/>
          </w:tcPr>
          <w:p w14:paraId="05609B45">
            <w:pPr>
              <w:spacing w:line="360" w:lineRule="exact"/>
              <w:rPr>
                <w:rFonts w:ascii="宋体" w:hAnsi="宋体"/>
                <w:color w:val="000000"/>
                <w:sz w:val="24"/>
              </w:rPr>
            </w:pPr>
          </w:p>
        </w:tc>
      </w:tr>
      <w:tr w14:paraId="1A7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2205" w:type="dxa"/>
            <w:vAlign w:val="center"/>
          </w:tcPr>
          <w:p w14:paraId="5AD83B14">
            <w:pPr>
              <w:spacing w:line="360" w:lineRule="exact"/>
              <w:jc w:val="center"/>
              <w:rPr>
                <w:rFonts w:ascii="宋体" w:hAnsi="宋体"/>
                <w:color w:val="000000"/>
                <w:sz w:val="24"/>
              </w:rPr>
            </w:pPr>
            <w:r>
              <w:rPr>
                <w:rFonts w:hint="eastAsia" w:ascii="宋体" w:hAnsi="宋体"/>
                <w:color w:val="000000"/>
                <w:sz w:val="24"/>
              </w:rPr>
              <w:t>业主的地址、联系人员与部门、联系电话、传真等。</w:t>
            </w:r>
          </w:p>
        </w:tc>
        <w:tc>
          <w:tcPr>
            <w:tcW w:w="7649" w:type="dxa"/>
            <w:gridSpan w:val="3"/>
          </w:tcPr>
          <w:p w14:paraId="25DEDAAD">
            <w:pPr>
              <w:spacing w:line="360" w:lineRule="exact"/>
              <w:rPr>
                <w:rFonts w:ascii="宋体" w:hAnsi="宋体"/>
                <w:color w:val="000000"/>
                <w:sz w:val="24"/>
              </w:rPr>
            </w:pPr>
          </w:p>
        </w:tc>
      </w:tr>
    </w:tbl>
    <w:p w14:paraId="40D5DD12">
      <w:pPr>
        <w:spacing w:line="360" w:lineRule="exact"/>
        <w:ind w:firstLine="720" w:firstLineChars="300"/>
        <w:rPr>
          <w:rFonts w:ascii="宋体" w:hAnsi="宋体"/>
          <w:color w:val="000000"/>
          <w:sz w:val="24"/>
        </w:rPr>
      </w:pPr>
      <w:r>
        <w:rPr>
          <w:rFonts w:hint="eastAsia" w:ascii="宋体" w:hAnsi="宋体"/>
          <w:color w:val="000000"/>
          <w:sz w:val="24"/>
        </w:rPr>
        <w:t>注：1、本表根据申请人的情况可以延续和扩展；</w:t>
      </w:r>
    </w:p>
    <w:p w14:paraId="5D1ACA1F">
      <w:pPr>
        <w:spacing w:line="360" w:lineRule="exact"/>
        <w:ind w:firstLine="720" w:firstLineChars="300"/>
        <w:rPr>
          <w:rFonts w:ascii="宋体" w:hAnsi="宋体"/>
          <w:color w:val="000000"/>
          <w:sz w:val="24"/>
        </w:rPr>
      </w:pPr>
      <w:r>
        <w:rPr>
          <w:rFonts w:hint="eastAsia" w:ascii="宋体" w:hAnsi="宋体"/>
          <w:color w:val="000000"/>
          <w:sz w:val="24"/>
        </w:rPr>
        <w:t xml:space="preserve">    2、本表附合同协议书附件和业主证明材料；</w:t>
      </w:r>
    </w:p>
    <w:p w14:paraId="72A8721C">
      <w:pPr>
        <w:spacing w:line="360" w:lineRule="exact"/>
        <w:ind w:firstLine="720" w:firstLineChars="300"/>
        <w:rPr>
          <w:rFonts w:ascii="宋体" w:hAnsi="宋体"/>
          <w:color w:val="000000"/>
          <w:sz w:val="24"/>
        </w:rPr>
      </w:pPr>
      <w:r>
        <w:rPr>
          <w:rFonts w:hint="eastAsia" w:ascii="宋体" w:hAnsi="宋体"/>
          <w:color w:val="000000"/>
          <w:sz w:val="24"/>
        </w:rPr>
        <w:t xml:space="preserve">    3、工程概况中应包括工程范围、工程地质条件、施工方法等。</w:t>
      </w:r>
    </w:p>
    <w:p w14:paraId="7602FCD1">
      <w:pPr>
        <w:spacing w:line="360" w:lineRule="exact"/>
        <w:rPr>
          <w:rFonts w:ascii="宋体" w:hAnsi="宋体"/>
          <w:color w:val="000000"/>
          <w:sz w:val="24"/>
        </w:rPr>
      </w:pPr>
    </w:p>
    <w:p w14:paraId="03F76216">
      <w:pPr>
        <w:spacing w:line="3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附表6：</w:t>
      </w:r>
    </w:p>
    <w:p w14:paraId="67A29A15">
      <w:pPr>
        <w:spacing w:line="360" w:lineRule="exact"/>
        <w:jc w:val="center"/>
        <w:rPr>
          <w:rFonts w:ascii="宋体" w:hAnsi="宋体"/>
          <w:bCs/>
          <w:color w:val="000000"/>
          <w:spacing w:val="40"/>
          <w:sz w:val="24"/>
        </w:rPr>
      </w:pPr>
      <w:r>
        <w:rPr>
          <w:rFonts w:ascii="宋体" w:hAnsi="宋体"/>
          <w:bCs/>
          <w:color w:val="000000"/>
          <w:spacing w:val="40"/>
          <w:sz w:val="24"/>
        </w:rPr>
        <w:t>监理</w:t>
      </w:r>
      <w:r>
        <w:rPr>
          <w:rFonts w:hint="eastAsia" w:ascii="宋体" w:hAnsi="宋体"/>
          <w:bCs/>
          <w:color w:val="000000"/>
          <w:spacing w:val="40"/>
          <w:sz w:val="24"/>
        </w:rPr>
        <w:t>人员</w:t>
      </w:r>
      <w:r>
        <w:rPr>
          <w:rFonts w:ascii="宋体" w:hAnsi="宋体"/>
          <w:bCs/>
          <w:color w:val="000000"/>
          <w:spacing w:val="40"/>
          <w:sz w:val="24"/>
        </w:rPr>
        <w:t>资质表</w:t>
      </w:r>
    </w:p>
    <w:tbl>
      <w:tblPr>
        <w:tblStyle w:val="32"/>
        <w:tblW w:w="10480" w:type="dxa"/>
        <w:jc w:val="center"/>
        <w:tblLayout w:type="fixed"/>
        <w:tblCellMar>
          <w:top w:w="0" w:type="dxa"/>
          <w:left w:w="0" w:type="dxa"/>
          <w:bottom w:w="0" w:type="dxa"/>
          <w:right w:w="0" w:type="dxa"/>
        </w:tblCellMar>
      </w:tblPr>
      <w:tblGrid>
        <w:gridCol w:w="9"/>
        <w:gridCol w:w="2401"/>
        <w:gridCol w:w="886"/>
        <w:gridCol w:w="6344"/>
        <w:gridCol w:w="840"/>
      </w:tblGrid>
      <w:tr w14:paraId="6D2A8C70">
        <w:tblPrEx>
          <w:tblCellMar>
            <w:top w:w="0" w:type="dxa"/>
            <w:left w:w="0" w:type="dxa"/>
            <w:bottom w:w="0" w:type="dxa"/>
            <w:right w:w="0" w:type="dxa"/>
          </w:tblCellMar>
        </w:tblPrEx>
        <w:trPr>
          <w:gridBefore w:val="1"/>
          <w:wBefore w:w="9" w:type="dxa"/>
          <w:trHeight w:val="760" w:hRule="atLeast"/>
          <w:jc w:val="center"/>
        </w:trPr>
        <w:tc>
          <w:tcPr>
            <w:tcW w:w="2401"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0D1CB45E">
            <w:pPr>
              <w:widowControl/>
              <w:spacing w:line="320" w:lineRule="exact"/>
              <w:jc w:val="center"/>
              <w:rPr>
                <w:rFonts w:ascii="宋体" w:hAnsi="宋体" w:cs="宋体"/>
                <w:color w:val="000000"/>
                <w:kern w:val="0"/>
                <w:sz w:val="28"/>
                <w:szCs w:val="28"/>
              </w:rPr>
            </w:pPr>
            <w:r>
              <w:rPr>
                <w:rFonts w:ascii="宋体" w:hAnsi="宋体" w:cs="宋体"/>
                <w:color w:val="000000"/>
                <w:kern w:val="0"/>
                <w:sz w:val="28"/>
                <w:szCs w:val="28"/>
              </w:rPr>
              <w:t>人员</w:t>
            </w:r>
          </w:p>
        </w:tc>
        <w:tc>
          <w:tcPr>
            <w:tcW w:w="886"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16B9132C">
            <w:pPr>
              <w:widowControl/>
              <w:spacing w:line="320" w:lineRule="exact"/>
              <w:jc w:val="center"/>
              <w:rPr>
                <w:rFonts w:ascii="宋体" w:hAnsi="宋体" w:cs="宋体"/>
                <w:color w:val="000000"/>
                <w:kern w:val="0"/>
                <w:sz w:val="28"/>
                <w:szCs w:val="28"/>
              </w:rPr>
            </w:pPr>
            <w:r>
              <w:rPr>
                <w:rFonts w:ascii="宋体" w:hAnsi="宋体" w:cs="宋体"/>
                <w:color w:val="000000"/>
                <w:kern w:val="0"/>
                <w:sz w:val="28"/>
                <w:szCs w:val="28"/>
              </w:rPr>
              <w:t>数量</w:t>
            </w:r>
          </w:p>
        </w:tc>
        <w:tc>
          <w:tcPr>
            <w:tcW w:w="6344"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0F285827">
            <w:pPr>
              <w:widowControl/>
              <w:spacing w:line="320" w:lineRule="exact"/>
              <w:jc w:val="center"/>
              <w:rPr>
                <w:rFonts w:ascii="宋体" w:hAnsi="宋体" w:cs="宋体"/>
                <w:color w:val="000000"/>
                <w:kern w:val="0"/>
                <w:sz w:val="28"/>
                <w:szCs w:val="28"/>
              </w:rPr>
            </w:pPr>
            <w:r>
              <w:rPr>
                <w:rFonts w:ascii="宋体" w:hAnsi="宋体" w:cs="宋体"/>
                <w:color w:val="000000"/>
                <w:kern w:val="0"/>
                <w:sz w:val="28"/>
                <w:szCs w:val="28"/>
              </w:rPr>
              <w:t>资质</w:t>
            </w:r>
            <w:r>
              <w:rPr>
                <w:rFonts w:hint="eastAsia" w:ascii="宋体" w:hAnsi="宋体" w:cs="宋体"/>
                <w:color w:val="000000"/>
                <w:kern w:val="0"/>
                <w:sz w:val="28"/>
                <w:szCs w:val="28"/>
              </w:rPr>
              <w:t>及相关</w:t>
            </w:r>
            <w:r>
              <w:rPr>
                <w:rFonts w:ascii="宋体" w:hAnsi="宋体" w:cs="宋体"/>
                <w:color w:val="000000"/>
                <w:kern w:val="0"/>
                <w:sz w:val="28"/>
                <w:szCs w:val="28"/>
              </w:rPr>
              <w:t>要求</w:t>
            </w:r>
          </w:p>
        </w:tc>
        <w:tc>
          <w:tcPr>
            <w:tcW w:w="84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4509CC24">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投标</w:t>
            </w:r>
            <w:r>
              <w:rPr>
                <w:rFonts w:ascii="宋体" w:hAnsi="宋体" w:cs="宋体"/>
                <w:color w:val="000000"/>
                <w:kern w:val="0"/>
                <w:sz w:val="24"/>
              </w:rPr>
              <w:t>人达到程度的详述</w:t>
            </w:r>
          </w:p>
        </w:tc>
      </w:tr>
      <w:tr w14:paraId="3BD85580">
        <w:tblPrEx>
          <w:tblCellMar>
            <w:top w:w="0" w:type="dxa"/>
            <w:left w:w="0" w:type="dxa"/>
            <w:bottom w:w="0" w:type="dxa"/>
            <w:right w:w="0" w:type="dxa"/>
          </w:tblCellMar>
        </w:tblPrEx>
        <w:trPr>
          <w:gridBefore w:val="1"/>
          <w:wBefore w:w="9" w:type="dxa"/>
          <w:trHeight w:val="1472" w:hRule="atLeast"/>
          <w:jc w:val="center"/>
        </w:trPr>
        <w:tc>
          <w:tcPr>
            <w:tcW w:w="2401"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1A223E48">
            <w:pPr>
              <w:spacing w:line="360" w:lineRule="exact"/>
              <w:jc w:val="center"/>
              <w:rPr>
                <w:rFonts w:ascii="宋体" w:hAnsi="宋体"/>
                <w:color w:val="000000"/>
                <w:sz w:val="24"/>
              </w:rPr>
            </w:pPr>
            <w:r>
              <w:rPr>
                <w:rFonts w:hint="eastAsia" w:ascii="宋体" w:hAnsi="宋体"/>
                <w:color w:val="000000"/>
                <w:sz w:val="24"/>
              </w:rPr>
              <w:t>项目总监理工程师</w:t>
            </w:r>
          </w:p>
        </w:tc>
        <w:tc>
          <w:tcPr>
            <w:tcW w:w="886"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2E463DB9">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u w:val="single"/>
              </w:rPr>
              <w:t>1</w:t>
            </w:r>
            <w:r>
              <w:rPr>
                <w:rFonts w:hint="eastAsia" w:ascii="宋体" w:hAnsi="宋体" w:cs="宋体"/>
                <w:b/>
                <w:color w:val="000000"/>
                <w:kern w:val="0"/>
                <w:sz w:val="24"/>
              </w:rPr>
              <w:t>名</w:t>
            </w:r>
          </w:p>
        </w:tc>
        <w:tc>
          <w:tcPr>
            <w:tcW w:w="6344"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70EA3650">
            <w:pPr>
              <w:spacing w:line="400" w:lineRule="exact"/>
              <w:rPr>
                <w:rFonts w:ascii="宋体" w:hAnsi="宋体"/>
                <w:color w:val="000000"/>
                <w:sz w:val="24"/>
              </w:rPr>
            </w:pPr>
            <w:r>
              <w:rPr>
                <w:rFonts w:hint="eastAsia" w:ascii="宋体" w:hAnsi="宋体"/>
                <w:color w:val="000000"/>
                <w:sz w:val="24"/>
              </w:rPr>
              <w:t>项目总监理工程师须具有</w:t>
            </w:r>
            <w:r>
              <w:rPr>
                <w:rFonts w:hint="eastAsia" w:ascii="宋体" w:hAnsi="宋体"/>
                <w:color w:val="000000"/>
                <w:sz w:val="24"/>
                <w:highlight w:val="yellow"/>
              </w:rPr>
              <w:t>房屋建筑工程专业</w:t>
            </w:r>
            <w:r>
              <w:rPr>
                <w:rFonts w:hint="eastAsia" w:ascii="宋体" w:hAnsi="宋体"/>
                <w:b/>
                <w:bCs/>
                <w:color w:val="FF0000"/>
                <w:sz w:val="24"/>
              </w:rPr>
              <w:t>全国注册监理工程师且在投标人单位注册，</w:t>
            </w:r>
            <w:r>
              <w:rPr>
                <w:rFonts w:hint="eastAsia" w:ascii="宋体" w:hAnsi="宋体"/>
                <w:color w:val="000000"/>
                <w:sz w:val="24"/>
              </w:rPr>
              <w:t>业绩要求（如有）见招标公告。</w:t>
            </w:r>
          </w:p>
        </w:tc>
        <w:tc>
          <w:tcPr>
            <w:tcW w:w="84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tcPr>
          <w:p w14:paraId="762DE381">
            <w:pPr>
              <w:widowControl/>
              <w:spacing w:line="240" w:lineRule="atLeast"/>
              <w:jc w:val="left"/>
              <w:rPr>
                <w:rFonts w:ascii="宋体" w:hAnsi="宋体" w:cs="宋体"/>
                <w:color w:val="000000"/>
                <w:kern w:val="0"/>
                <w:sz w:val="28"/>
                <w:szCs w:val="28"/>
              </w:rPr>
            </w:pPr>
          </w:p>
        </w:tc>
      </w:tr>
      <w:tr w14:paraId="42268375">
        <w:tblPrEx>
          <w:tblCellMar>
            <w:top w:w="0" w:type="dxa"/>
            <w:left w:w="0" w:type="dxa"/>
            <w:bottom w:w="0" w:type="dxa"/>
            <w:right w:w="0" w:type="dxa"/>
          </w:tblCellMar>
        </w:tblPrEx>
        <w:trPr>
          <w:gridBefore w:val="1"/>
          <w:wBefore w:w="9" w:type="dxa"/>
          <w:trHeight w:val="1470" w:hRule="atLeast"/>
          <w:jc w:val="center"/>
        </w:trPr>
        <w:tc>
          <w:tcPr>
            <w:tcW w:w="2401"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6178ED33">
            <w:pPr>
              <w:spacing w:line="280" w:lineRule="exact"/>
              <w:jc w:val="center"/>
              <w:rPr>
                <w:rFonts w:ascii="宋体" w:hAnsi="宋体"/>
                <w:color w:val="000000"/>
                <w:sz w:val="24"/>
              </w:rPr>
            </w:pPr>
            <w:r>
              <w:rPr>
                <w:rFonts w:hint="eastAsia" w:ascii="宋体" w:hAnsi="宋体"/>
                <w:color w:val="000000"/>
                <w:sz w:val="24"/>
              </w:rPr>
              <w:t>专业监理工程师</w:t>
            </w:r>
          </w:p>
          <w:p w14:paraId="3D928FE4">
            <w:pPr>
              <w:spacing w:line="280" w:lineRule="exact"/>
              <w:jc w:val="center"/>
              <w:rPr>
                <w:rFonts w:ascii="宋体" w:hAnsi="宋体"/>
                <w:b/>
                <w:color w:val="FF0000"/>
                <w:sz w:val="24"/>
              </w:rPr>
            </w:pPr>
            <w:r>
              <w:rPr>
                <w:rFonts w:hint="eastAsia" w:ascii="宋体" w:hAnsi="宋体"/>
                <w:b/>
                <w:color w:val="FF0000"/>
                <w:sz w:val="24"/>
              </w:rPr>
              <w:t>（建筑专监）</w:t>
            </w:r>
          </w:p>
        </w:tc>
        <w:tc>
          <w:tcPr>
            <w:tcW w:w="886"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7D6E8F5A">
            <w:pPr>
              <w:widowControl/>
              <w:spacing w:line="240" w:lineRule="atLeast"/>
              <w:jc w:val="center"/>
              <w:rPr>
                <w:rFonts w:ascii="宋体" w:hAnsi="宋体" w:cs="宋体"/>
                <w:b/>
                <w:kern w:val="0"/>
                <w:sz w:val="24"/>
                <w:u w:val="single"/>
              </w:rPr>
            </w:pPr>
            <w:r>
              <w:rPr>
                <w:rFonts w:hint="eastAsia" w:ascii="宋体" w:hAnsi="宋体" w:cs="宋体"/>
                <w:b/>
                <w:color w:val="000000"/>
                <w:kern w:val="0"/>
                <w:sz w:val="24"/>
                <w:u w:val="single"/>
                <w:lang w:val="en-US" w:eastAsia="zh-CN"/>
              </w:rPr>
              <w:t>2</w:t>
            </w:r>
            <w:r>
              <w:rPr>
                <w:rFonts w:hint="eastAsia" w:ascii="宋体" w:hAnsi="宋体" w:cs="宋体"/>
                <w:b/>
                <w:color w:val="000000"/>
                <w:kern w:val="0"/>
                <w:sz w:val="24"/>
              </w:rPr>
              <w:t>名</w:t>
            </w:r>
          </w:p>
        </w:tc>
        <w:tc>
          <w:tcPr>
            <w:tcW w:w="6344"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70B9D344">
            <w:pPr>
              <w:spacing w:line="400" w:lineRule="exact"/>
              <w:rPr>
                <w:rFonts w:ascii="宋体" w:hAnsi="宋体"/>
                <w:color w:val="000000"/>
                <w:sz w:val="24"/>
              </w:rPr>
            </w:pPr>
            <w:r>
              <w:rPr>
                <w:rFonts w:ascii="宋体" w:hAnsi="宋体"/>
                <w:color w:val="000000"/>
                <w:sz w:val="24"/>
              </w:rPr>
              <w:t>持有全国注册监理工程师（房屋建筑工程专业）注册执业证书（且在投标人单位注册）；或持有省级监理工程师岗位证书或省级监理工程师从业水平能力证书（专业应为：</w:t>
            </w:r>
            <w:r>
              <w:rPr>
                <w:rFonts w:hint="eastAsia" w:ascii="宋体" w:hAnsi="宋体"/>
                <w:color w:val="000000"/>
                <w:sz w:val="24"/>
              </w:rPr>
              <w:t>房屋建筑工程专业</w:t>
            </w:r>
            <w:r>
              <w:rPr>
                <w:rFonts w:ascii="宋体" w:hAnsi="宋体"/>
                <w:color w:val="000000"/>
                <w:sz w:val="24"/>
              </w:rPr>
              <w:t>）。</w:t>
            </w:r>
          </w:p>
          <w:p w14:paraId="220183CD">
            <w:pPr>
              <w:spacing w:line="400" w:lineRule="exact"/>
              <w:rPr>
                <w:rFonts w:hint="eastAsia" w:ascii="宋体" w:hAnsi="宋体" w:eastAsia="宋体"/>
                <w:color w:val="000000"/>
                <w:sz w:val="24"/>
                <w:lang w:val="en-US" w:eastAsia="zh-CN"/>
              </w:rPr>
            </w:pPr>
            <w:r>
              <w:rPr>
                <w:rFonts w:hint="eastAsia" w:ascii="宋体" w:hAnsi="宋体"/>
                <w:color w:val="FF0000"/>
                <w:sz w:val="24"/>
                <w:lang w:val="en-US" w:eastAsia="zh-CN"/>
              </w:rPr>
              <w:t>注：</w:t>
            </w:r>
          </w:p>
          <w:p w14:paraId="7A5D29A5">
            <w:pPr>
              <w:spacing w:line="400" w:lineRule="exact"/>
              <w:rPr>
                <w:rFonts w:ascii="宋体" w:hAnsi="宋体"/>
                <w:color w:val="FF0000"/>
                <w:sz w:val="24"/>
              </w:rPr>
            </w:pPr>
            <w:r>
              <w:rPr>
                <w:rFonts w:hint="eastAsia" w:ascii="宋体" w:hAnsi="宋体"/>
                <w:color w:val="FF0000"/>
                <w:sz w:val="24"/>
              </w:rPr>
              <w:t>（1)若投标文件中提供的上述证书未能体现所要求的专业，则投标文件中另须附相应的职称证书或学历证书证明其符合要求；</w:t>
            </w:r>
          </w:p>
          <w:p w14:paraId="5F3D3CFF">
            <w:pPr>
              <w:spacing w:line="400" w:lineRule="exact"/>
              <w:rPr>
                <w:rFonts w:ascii="宋体" w:hAnsi="宋体"/>
                <w:color w:val="000000"/>
                <w:sz w:val="24"/>
              </w:rPr>
            </w:pPr>
            <w:r>
              <w:rPr>
                <w:rFonts w:hint="eastAsia" w:ascii="宋体" w:hAnsi="宋体"/>
                <w:color w:val="FF0000"/>
                <w:sz w:val="24"/>
              </w:rPr>
              <w:t>(2)若投标文件中提供的省（含直辖市、自治区）监理工程师岗位证书或省（含直辖市、自治区）监理工程师从业水平能力证书未能体现所要求的专业及注册单位，则投标文件中可另附省（含直辖市、自治区）及以上人民政府建设行政主管部门或省（含直辖市、自治区）及以上行业协会（如建筑业协会或建设监理协会或建设工程监理管理协会或建设工程咨询行业协会或全过程工程咨询与监理管理协会等）网站查询结果的截图证明其符合要求。</w:t>
            </w:r>
          </w:p>
        </w:tc>
        <w:tc>
          <w:tcPr>
            <w:tcW w:w="84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tcPr>
          <w:p w14:paraId="16E0EAE4">
            <w:pPr>
              <w:widowControl/>
              <w:spacing w:line="240" w:lineRule="atLeast"/>
              <w:jc w:val="left"/>
              <w:rPr>
                <w:rFonts w:ascii="宋体" w:hAnsi="宋体" w:cs="宋体"/>
                <w:color w:val="000000"/>
                <w:kern w:val="0"/>
                <w:sz w:val="28"/>
                <w:szCs w:val="28"/>
              </w:rPr>
            </w:pPr>
          </w:p>
        </w:tc>
      </w:tr>
      <w:tr w14:paraId="2E5878A0">
        <w:tblPrEx>
          <w:tblCellMar>
            <w:top w:w="0" w:type="dxa"/>
            <w:left w:w="0" w:type="dxa"/>
            <w:bottom w:w="0" w:type="dxa"/>
            <w:right w:w="0" w:type="dxa"/>
          </w:tblCellMar>
        </w:tblPrEx>
        <w:trPr>
          <w:gridBefore w:val="1"/>
          <w:wBefore w:w="9" w:type="dxa"/>
          <w:trHeight w:val="1470" w:hRule="atLeast"/>
          <w:jc w:val="center"/>
        </w:trPr>
        <w:tc>
          <w:tcPr>
            <w:tcW w:w="2401"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44C9F957">
            <w:pPr>
              <w:spacing w:line="400" w:lineRule="exact"/>
              <w:jc w:val="center"/>
              <w:rPr>
                <w:rFonts w:ascii="宋体" w:hAnsi="宋体" w:cs="宋体"/>
                <w:color w:val="000000"/>
                <w:sz w:val="24"/>
              </w:rPr>
            </w:pPr>
            <w:r>
              <w:rPr>
                <w:rFonts w:hint="eastAsia" w:ascii="宋体" w:hAnsi="宋体" w:cs="宋体"/>
                <w:color w:val="000000"/>
                <w:sz w:val="24"/>
              </w:rPr>
              <w:t>专业监理工程师</w:t>
            </w:r>
          </w:p>
          <w:p w14:paraId="4423B909">
            <w:pPr>
              <w:spacing w:line="280" w:lineRule="exact"/>
              <w:jc w:val="center"/>
              <w:rPr>
                <w:rFonts w:ascii="宋体" w:hAnsi="宋体"/>
                <w:color w:val="000000"/>
                <w:sz w:val="24"/>
              </w:rPr>
            </w:pPr>
            <w:r>
              <w:rPr>
                <w:rFonts w:hint="eastAsia" w:ascii="宋体" w:hAnsi="宋体"/>
                <w:color w:val="000000"/>
                <w:sz w:val="24"/>
              </w:rPr>
              <w:t>（安装专监）</w:t>
            </w:r>
          </w:p>
        </w:tc>
        <w:tc>
          <w:tcPr>
            <w:tcW w:w="886"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30109B17">
            <w:pPr>
              <w:widowControl/>
              <w:spacing w:line="240" w:lineRule="atLeast"/>
              <w:jc w:val="center"/>
              <w:rPr>
                <w:rFonts w:ascii="宋体" w:hAnsi="宋体" w:cs="宋体"/>
                <w:b/>
                <w:color w:val="000000"/>
                <w:kern w:val="0"/>
                <w:sz w:val="24"/>
                <w:u w:val="single"/>
              </w:rPr>
            </w:pPr>
            <w:r>
              <w:rPr>
                <w:rFonts w:hint="eastAsia" w:ascii="宋体" w:hAnsi="宋体" w:cs="宋体"/>
                <w:b/>
                <w:bCs/>
                <w:color w:val="000000"/>
                <w:kern w:val="0"/>
                <w:sz w:val="24"/>
                <w:u w:val="single"/>
              </w:rPr>
              <w:t>1</w:t>
            </w:r>
            <w:r>
              <w:rPr>
                <w:rFonts w:hint="eastAsia" w:ascii="宋体" w:hAnsi="宋体" w:cs="宋体"/>
                <w:b/>
                <w:bCs/>
                <w:color w:val="000000"/>
                <w:kern w:val="0"/>
                <w:sz w:val="24"/>
              </w:rPr>
              <w:t>名</w:t>
            </w:r>
          </w:p>
        </w:tc>
        <w:tc>
          <w:tcPr>
            <w:tcW w:w="6344"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0ED2F8BF">
            <w:pPr>
              <w:spacing w:line="400" w:lineRule="exact"/>
              <w:rPr>
                <w:rFonts w:ascii="宋体" w:hAnsi="宋体"/>
                <w:color w:val="000000"/>
                <w:sz w:val="24"/>
              </w:rPr>
            </w:pPr>
            <w:r>
              <w:rPr>
                <w:rFonts w:ascii="宋体" w:hAnsi="宋体"/>
                <w:color w:val="000000"/>
                <w:sz w:val="24"/>
              </w:rPr>
              <w:t>持有全国注册监理工程师（机电安装专业）注册执业证书（且在投标人单位注册）；或持有省级监理工程师岗位证书或省级监理工程师从业水平</w:t>
            </w:r>
            <w:bookmarkStart w:id="56" w:name="_GoBack"/>
            <w:bookmarkEnd w:id="56"/>
            <w:r>
              <w:rPr>
                <w:rFonts w:ascii="宋体" w:hAnsi="宋体"/>
                <w:color w:val="000000"/>
                <w:sz w:val="24"/>
              </w:rPr>
              <w:t>能力证书（专业应为：</w:t>
            </w:r>
            <w:r>
              <w:rPr>
                <w:rFonts w:hint="eastAsia" w:ascii="宋体" w:hAnsi="宋体"/>
                <w:color w:val="000000"/>
                <w:sz w:val="24"/>
              </w:rPr>
              <w:t>机电安装专业</w:t>
            </w:r>
            <w:r>
              <w:rPr>
                <w:rFonts w:ascii="宋体" w:hAnsi="宋体"/>
                <w:color w:val="000000"/>
                <w:sz w:val="24"/>
              </w:rPr>
              <w:t>）。</w:t>
            </w:r>
          </w:p>
          <w:p w14:paraId="2D4D047D">
            <w:pPr>
              <w:pStyle w:val="28"/>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b w:val="0"/>
                <w:bCs w:val="0"/>
                <w:i w:val="0"/>
                <w:iCs w:val="0"/>
                <w:color w:val="FF0000"/>
                <w:spacing w:val="0"/>
                <w:w w:val="100"/>
                <w:sz w:val="24"/>
                <w:szCs w:val="24"/>
                <w:vertAlign w:val="baseline"/>
              </w:rPr>
              <w:t>注：</w:t>
            </w:r>
          </w:p>
          <w:p w14:paraId="29B07548">
            <w:pPr>
              <w:pStyle w:val="28"/>
              <w:keepNext w:val="0"/>
              <w:keepLines w:val="0"/>
              <w:widowControl/>
              <w:numPr>
                <w:numId w:val="0"/>
              </w:numPr>
              <w:suppressLineNumbers w:val="0"/>
              <w:spacing w:before="0" w:beforeAutospacing="0" w:after="0" w:afterAutospacing="0" w:line="400" w:lineRule="exact"/>
              <w:ind w:right="0" w:rightChars="0"/>
              <w:jc w:val="both"/>
            </w:pPr>
            <w:r>
              <w:rPr>
                <w:rFonts w:hint="eastAsia" w:ascii="宋体" w:hAnsi="宋体" w:eastAsia="宋体" w:cs="宋体"/>
                <w:b w:val="0"/>
                <w:bCs w:val="0"/>
                <w:i w:val="0"/>
                <w:iCs w:val="0"/>
                <w:color w:val="FF0000"/>
                <w:spacing w:val="0"/>
                <w:w w:val="100"/>
                <w:sz w:val="24"/>
                <w:szCs w:val="24"/>
                <w:vertAlign w:val="baseline"/>
                <w:lang w:eastAsia="zh-CN"/>
              </w:rPr>
              <w:t>（</w:t>
            </w:r>
            <w:r>
              <w:rPr>
                <w:rFonts w:hint="eastAsia" w:ascii="宋体" w:hAnsi="宋体" w:eastAsia="宋体" w:cs="宋体"/>
                <w:b w:val="0"/>
                <w:bCs w:val="0"/>
                <w:i w:val="0"/>
                <w:iCs w:val="0"/>
                <w:color w:val="FF0000"/>
                <w:spacing w:val="0"/>
                <w:w w:val="100"/>
                <w:sz w:val="24"/>
                <w:szCs w:val="24"/>
                <w:vertAlign w:val="baseline"/>
                <w:lang w:val="en-US" w:eastAsia="zh-CN"/>
              </w:rPr>
              <w:t>1</w:t>
            </w:r>
            <w:r>
              <w:rPr>
                <w:rFonts w:hint="eastAsia" w:ascii="宋体" w:hAnsi="宋体" w:eastAsia="宋体" w:cs="宋体"/>
                <w:b w:val="0"/>
                <w:bCs w:val="0"/>
                <w:i w:val="0"/>
                <w:iCs w:val="0"/>
                <w:color w:val="FF0000"/>
                <w:spacing w:val="0"/>
                <w:w w:val="100"/>
                <w:sz w:val="24"/>
                <w:szCs w:val="24"/>
                <w:vertAlign w:val="baseline"/>
                <w:lang w:eastAsia="zh-CN"/>
              </w:rPr>
              <w:t>）</w:t>
            </w:r>
            <w:r>
              <w:rPr>
                <w:rFonts w:hint="eastAsia" w:ascii="宋体" w:hAnsi="宋体" w:eastAsia="宋体" w:cs="宋体"/>
                <w:b w:val="0"/>
                <w:bCs w:val="0"/>
                <w:i w:val="0"/>
                <w:iCs w:val="0"/>
                <w:color w:val="FF0000"/>
                <w:spacing w:val="0"/>
                <w:w w:val="100"/>
                <w:sz w:val="24"/>
                <w:szCs w:val="24"/>
                <w:vertAlign w:val="baseline"/>
              </w:rPr>
              <w:t>若投标文件中提供全国注册监理工程师注册执业证书，则注册专业须为</w:t>
            </w:r>
            <w:r>
              <w:rPr>
                <w:rFonts w:hint="eastAsia" w:ascii="宋体" w:hAnsi="宋体" w:eastAsia="宋体" w:cs="宋体"/>
                <w:b w:val="0"/>
                <w:bCs w:val="0"/>
                <w:i w:val="0"/>
                <w:iCs w:val="0"/>
                <w:color w:val="FF0000"/>
                <w:spacing w:val="0"/>
                <w:w w:val="100"/>
                <w:sz w:val="24"/>
                <w:szCs w:val="24"/>
                <w:shd w:val="clear" w:fill="FFFF00"/>
                <w:vertAlign w:val="baseline"/>
              </w:rPr>
              <w:t>机电安装专业</w:t>
            </w:r>
            <w:r>
              <w:rPr>
                <w:rFonts w:hint="eastAsia" w:ascii="宋体" w:hAnsi="宋体" w:eastAsia="宋体" w:cs="宋体"/>
                <w:b w:val="0"/>
                <w:bCs w:val="0"/>
                <w:i w:val="0"/>
                <w:iCs w:val="0"/>
                <w:color w:val="FF0000"/>
                <w:spacing w:val="0"/>
                <w:w w:val="100"/>
                <w:sz w:val="24"/>
                <w:szCs w:val="24"/>
                <w:vertAlign w:val="baseline"/>
              </w:rPr>
              <w:t>；若投标文件中提供省（含直辖市、自治区）监理工程师岗位证书或省（含直辖市、自治区）监理工程师从业水平能力证书，省（含直辖市、自治区）监理工程师岗位证书或省（含直辖市、自治区）监理工程师从业水平能力证书应为</w:t>
            </w:r>
            <w:r>
              <w:rPr>
                <w:rFonts w:hint="eastAsia" w:ascii="宋体" w:hAnsi="宋体" w:eastAsia="宋体" w:cs="宋体"/>
                <w:b w:val="0"/>
                <w:bCs w:val="0"/>
                <w:i w:val="0"/>
                <w:iCs w:val="0"/>
                <w:color w:val="FF0000"/>
                <w:spacing w:val="0"/>
                <w:w w:val="100"/>
                <w:sz w:val="24"/>
                <w:szCs w:val="24"/>
                <w:shd w:val="clear" w:fill="FFFF00"/>
                <w:vertAlign w:val="baseline"/>
              </w:rPr>
              <w:t>安装专业或机电安装专业</w:t>
            </w:r>
            <w:r>
              <w:rPr>
                <w:rFonts w:hint="eastAsia" w:ascii="宋体" w:hAnsi="宋体" w:eastAsia="宋体" w:cs="宋体"/>
                <w:b w:val="0"/>
                <w:bCs w:val="0"/>
                <w:i w:val="0"/>
                <w:iCs w:val="0"/>
                <w:color w:val="FF0000"/>
                <w:spacing w:val="0"/>
                <w:w w:val="100"/>
                <w:sz w:val="24"/>
                <w:szCs w:val="24"/>
                <w:vertAlign w:val="baseline"/>
              </w:rPr>
              <w:t>。</w:t>
            </w:r>
          </w:p>
          <w:p w14:paraId="7798FA51">
            <w:pPr>
              <w:pStyle w:val="28"/>
              <w:keepNext w:val="0"/>
              <w:keepLines w:val="0"/>
              <w:widowControl/>
              <w:suppressLineNumbers w:val="0"/>
              <w:spacing w:before="0" w:beforeAutospacing="0" w:after="0" w:afterAutospacing="0" w:line="400" w:lineRule="exact"/>
              <w:ind w:left="0" w:right="0"/>
              <w:jc w:val="both"/>
              <w:rPr>
                <w:rFonts w:ascii="宋体" w:hAnsi="宋体"/>
                <w:color w:val="000000"/>
                <w:sz w:val="24"/>
              </w:rPr>
            </w:pPr>
            <w:r>
              <w:rPr>
                <w:rFonts w:hint="eastAsia" w:ascii="宋体" w:hAnsi="宋体" w:eastAsia="宋体" w:cs="宋体"/>
                <w:b w:val="0"/>
                <w:bCs w:val="0"/>
                <w:i w:val="0"/>
                <w:iCs w:val="0"/>
                <w:color w:val="FF0000"/>
                <w:spacing w:val="0"/>
                <w:w w:val="100"/>
                <w:sz w:val="24"/>
                <w:szCs w:val="24"/>
                <w:vertAlign w:val="baseline"/>
              </w:rPr>
              <w:t>(</w:t>
            </w:r>
            <w:r>
              <w:rPr>
                <w:rFonts w:hint="eastAsia" w:ascii="宋体" w:hAnsi="宋体" w:eastAsia="宋体" w:cs="宋体"/>
                <w:b w:val="0"/>
                <w:bCs w:val="0"/>
                <w:i w:val="0"/>
                <w:iCs w:val="0"/>
                <w:color w:val="FF0000"/>
                <w:spacing w:val="0"/>
                <w:w w:val="100"/>
                <w:sz w:val="24"/>
                <w:szCs w:val="24"/>
                <w:vertAlign w:val="baseline"/>
                <w:lang w:val="en-US" w:eastAsia="zh-CN"/>
              </w:rPr>
              <w:t>2</w:t>
            </w:r>
            <w:r>
              <w:rPr>
                <w:rFonts w:hint="eastAsia" w:ascii="宋体" w:hAnsi="宋体" w:eastAsia="宋体" w:cs="宋体"/>
                <w:b w:val="0"/>
                <w:bCs w:val="0"/>
                <w:i w:val="0"/>
                <w:iCs w:val="0"/>
                <w:color w:val="FF0000"/>
                <w:spacing w:val="0"/>
                <w:w w:val="100"/>
                <w:sz w:val="24"/>
                <w:szCs w:val="24"/>
                <w:vertAlign w:val="baseline"/>
              </w:rPr>
              <w:t>)若投标文件中提供的省（含直辖市、自治区）监理工程师岗位证书或省（含直辖市、自治区）监理工程师从业水平能力证书未能体现所要求的专业及注册单位，则投标文件中可另附省（含直辖市、自治区）及以上人民政府建设行政主管部门或省（含直辖市、自治区）及以上行业协会（如建筑业协会或建设监理协会或建设工程监理管理协会或建设工程咨询行业协会或全过程工程咨询与监理管理协会等）网站查询截图证明其符合要求。</w:t>
            </w:r>
          </w:p>
        </w:tc>
        <w:tc>
          <w:tcPr>
            <w:tcW w:w="84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tcPr>
          <w:p w14:paraId="6459E9C7">
            <w:pPr>
              <w:widowControl/>
              <w:spacing w:line="240" w:lineRule="atLeast"/>
              <w:jc w:val="left"/>
              <w:rPr>
                <w:rFonts w:ascii="宋体" w:hAnsi="宋体" w:cs="宋体"/>
                <w:color w:val="000000"/>
                <w:kern w:val="0"/>
                <w:sz w:val="28"/>
                <w:szCs w:val="28"/>
              </w:rPr>
            </w:pPr>
          </w:p>
        </w:tc>
      </w:tr>
      <w:tr w14:paraId="5D1C4438">
        <w:tblPrEx>
          <w:tblCellMar>
            <w:top w:w="0" w:type="dxa"/>
            <w:left w:w="0" w:type="dxa"/>
            <w:bottom w:w="0" w:type="dxa"/>
            <w:right w:w="0" w:type="dxa"/>
          </w:tblCellMar>
        </w:tblPrEx>
        <w:trPr>
          <w:trHeight w:val="1470" w:hRule="atLeast"/>
          <w:jc w:val="center"/>
        </w:trPr>
        <w:tc>
          <w:tcPr>
            <w:tcW w:w="241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30246BD2">
            <w:pPr>
              <w:spacing w:line="440" w:lineRule="exact"/>
              <w:jc w:val="center"/>
              <w:rPr>
                <w:rFonts w:ascii="宋体" w:hAnsi="宋体"/>
                <w:sz w:val="24"/>
              </w:rPr>
            </w:pPr>
            <w:r>
              <w:rPr>
                <w:rFonts w:hint="eastAsia" w:ascii="宋体" w:hAnsi="宋体"/>
                <w:sz w:val="24"/>
              </w:rPr>
              <w:t>监理员</w:t>
            </w:r>
          </w:p>
        </w:tc>
        <w:tc>
          <w:tcPr>
            <w:tcW w:w="886"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3EF25DD5">
            <w:pPr>
              <w:widowControl/>
              <w:spacing w:line="240" w:lineRule="atLeast"/>
              <w:jc w:val="center"/>
              <w:rPr>
                <w:rFonts w:ascii="宋体" w:hAnsi="宋体" w:cs="宋体"/>
                <w:b/>
                <w:kern w:val="0"/>
                <w:sz w:val="24"/>
              </w:rPr>
            </w:pPr>
            <w:r>
              <w:rPr>
                <w:rFonts w:hint="eastAsia" w:ascii="宋体" w:hAnsi="宋体" w:cs="宋体"/>
                <w:b/>
                <w:kern w:val="0"/>
                <w:sz w:val="24"/>
                <w:u w:val="single"/>
                <w:lang w:val="en-US" w:eastAsia="zh-CN"/>
              </w:rPr>
              <w:t>4</w:t>
            </w:r>
            <w:r>
              <w:rPr>
                <w:rFonts w:hint="eastAsia" w:ascii="宋体" w:hAnsi="宋体" w:cs="宋体"/>
                <w:b/>
                <w:kern w:val="0"/>
                <w:sz w:val="24"/>
              </w:rPr>
              <w:t>名</w:t>
            </w:r>
          </w:p>
        </w:tc>
        <w:tc>
          <w:tcPr>
            <w:tcW w:w="6344"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7B0E3A6D">
            <w:pPr>
              <w:spacing w:line="400" w:lineRule="exact"/>
              <w:rPr>
                <w:rFonts w:ascii="宋体" w:hAnsi="宋体"/>
                <w:sz w:val="24"/>
              </w:rPr>
            </w:pPr>
            <w:r>
              <w:rPr>
                <w:rFonts w:hint="eastAsia" w:ascii="宋体" w:hAnsi="宋体"/>
                <w:sz w:val="24"/>
              </w:rPr>
              <w:t>持有监理员以上（含监理员）注册（或岗位）证书</w:t>
            </w:r>
          </w:p>
        </w:tc>
        <w:tc>
          <w:tcPr>
            <w:tcW w:w="84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tcPr>
          <w:p w14:paraId="1F77B55A">
            <w:pPr>
              <w:widowControl/>
              <w:spacing w:line="240" w:lineRule="atLeast"/>
              <w:jc w:val="left"/>
              <w:rPr>
                <w:rFonts w:ascii="宋体" w:hAnsi="宋体" w:cs="宋体"/>
                <w:color w:val="000000"/>
                <w:kern w:val="0"/>
                <w:sz w:val="28"/>
                <w:szCs w:val="28"/>
              </w:rPr>
            </w:pPr>
          </w:p>
        </w:tc>
      </w:tr>
      <w:tr w14:paraId="2B582D52">
        <w:tblPrEx>
          <w:tblCellMar>
            <w:top w:w="0" w:type="dxa"/>
            <w:left w:w="0" w:type="dxa"/>
            <w:bottom w:w="0" w:type="dxa"/>
            <w:right w:w="0" w:type="dxa"/>
          </w:tblCellMar>
        </w:tblPrEx>
        <w:trPr>
          <w:trHeight w:val="960" w:hRule="atLeast"/>
          <w:jc w:val="center"/>
        </w:trPr>
        <w:tc>
          <w:tcPr>
            <w:tcW w:w="1048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14:paraId="5FC54818">
            <w:pPr>
              <w:spacing w:line="440" w:lineRule="exact"/>
              <w:ind w:firstLine="420" w:firstLineChars="200"/>
              <w:rPr>
                <w:rFonts w:ascii="宋体" w:hAnsi="宋体" w:cs="宋体"/>
                <w:color w:val="000000"/>
                <w:kern w:val="0"/>
              </w:rPr>
            </w:pPr>
            <w:r>
              <w:rPr>
                <w:rFonts w:hint="eastAsia" w:ascii="宋体" w:hAnsi="宋体" w:cs="宋体"/>
                <w:color w:val="000000"/>
                <w:kern w:val="0"/>
              </w:rPr>
              <w:t>注：</w:t>
            </w:r>
          </w:p>
          <w:p w14:paraId="2EE2CDAA">
            <w:pPr>
              <w:spacing w:line="440" w:lineRule="exact"/>
              <w:ind w:firstLine="480" w:firstLineChars="200"/>
              <w:rPr>
                <w:rFonts w:ascii="宋体" w:hAnsi="宋体" w:cs="宋体"/>
                <w:b/>
                <w:color w:val="FF0000"/>
                <w:kern w:val="0"/>
                <w:sz w:val="24"/>
              </w:rPr>
            </w:pPr>
            <w:r>
              <w:rPr>
                <w:rFonts w:hint="eastAsia" w:ascii="宋体" w:hAnsi="宋体" w:cs="宋体"/>
                <w:color w:val="000000"/>
                <w:kern w:val="0"/>
                <w:sz w:val="24"/>
              </w:rPr>
              <w:t>1、</w:t>
            </w:r>
            <w:r>
              <w:rPr>
                <w:rFonts w:hint="eastAsia" w:ascii="宋体" w:hAnsi="宋体" w:cs="宋体"/>
                <w:b/>
                <w:color w:val="FF0000"/>
                <w:kern w:val="0"/>
                <w:sz w:val="24"/>
                <w:highlight w:val="yellow"/>
              </w:rPr>
              <w:t>投标人的监理人员配备须符合本表要求，投标文件中仅须提供项目总监理工程师姓名及证书，其余人员的岗位资格和人员数量配备满足本表要求，其余人员证书合同签订前</w:t>
            </w:r>
            <w:r>
              <w:rPr>
                <w:rFonts w:ascii="宋体" w:hAnsi="宋体" w:cs="宋体"/>
                <w:b/>
                <w:color w:val="FF0000"/>
                <w:kern w:val="0"/>
                <w:sz w:val="24"/>
                <w:highlight w:val="yellow"/>
              </w:rPr>
              <w:t>交予招标人核查</w:t>
            </w:r>
            <w:r>
              <w:rPr>
                <w:rFonts w:hint="eastAsia" w:ascii="宋体" w:hAnsi="宋体" w:cs="宋体"/>
                <w:b/>
                <w:color w:val="FF0000"/>
                <w:kern w:val="0"/>
                <w:sz w:val="24"/>
                <w:highlight w:val="yellow"/>
              </w:rPr>
              <w:t>。投标文件中须提供拟派本项目总监理工程师有效的证书扫描件，否则评委审查后作资格审查不通过处理。</w:t>
            </w:r>
          </w:p>
          <w:p w14:paraId="6F347B9F">
            <w:pPr>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b/>
                <w:color w:val="FF0000"/>
                <w:kern w:val="0"/>
                <w:sz w:val="24"/>
              </w:rPr>
              <w:t>投标文件中须提供承诺，格式详见第五章投标文件格式投标函。合同签订前招标人核查，若不符合招标文件要求或提供虚假材料</w:t>
            </w:r>
            <w:r>
              <w:rPr>
                <w:rFonts w:ascii="宋体" w:hAnsi="宋体" w:cs="宋体"/>
                <w:b/>
                <w:color w:val="FF0000"/>
                <w:kern w:val="0"/>
                <w:sz w:val="24"/>
              </w:rPr>
              <w:t>,</w:t>
            </w:r>
            <w:r>
              <w:rPr>
                <w:rFonts w:hint="eastAsia" w:ascii="宋体" w:hAnsi="宋体" w:cs="宋体"/>
                <w:b/>
                <w:color w:val="FF0000"/>
                <w:kern w:val="0"/>
                <w:sz w:val="24"/>
              </w:rPr>
              <w:t>招标人有权要求中标人调整更换至满足要求为止，招标人也有权不与中标人签订合同，并视为虚假承诺，报相关部门处理。</w:t>
            </w:r>
          </w:p>
          <w:p w14:paraId="5E9CC405">
            <w:pPr>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3、施工过程中，中标单位可根据实际工作需要及时增加人员，业主有权根据具体情况要求监理人增加或更换监理人员。</w:t>
            </w:r>
          </w:p>
          <w:p w14:paraId="0C940512">
            <w:pPr>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b/>
                <w:color w:val="FF0000"/>
                <w:sz w:val="24"/>
                <w:highlight w:val="yellow"/>
                <w:u w:val="single"/>
              </w:rPr>
              <w:t>除另有规定外，</w:t>
            </w:r>
            <w:r>
              <w:rPr>
                <w:rFonts w:hint="eastAsia" w:ascii="宋体" w:hAnsi="宋体"/>
                <w:b/>
                <w:color w:val="FF0000"/>
                <w:sz w:val="24"/>
                <w:highlight w:val="yellow"/>
                <w:u w:val="single"/>
              </w:rPr>
              <w:t>以上配备的人员不允许相互兼职</w:t>
            </w:r>
            <w:r>
              <w:rPr>
                <w:rFonts w:hint="eastAsia" w:ascii="宋体" w:hAnsi="宋体" w:cs="宋体"/>
                <w:color w:val="000000"/>
                <w:kern w:val="0"/>
                <w:sz w:val="24"/>
              </w:rPr>
              <w:t>。</w:t>
            </w:r>
          </w:p>
        </w:tc>
      </w:tr>
    </w:tbl>
    <w:p w14:paraId="2ECE2153">
      <w:pPr>
        <w:spacing w:line="360" w:lineRule="exact"/>
        <w:rPr>
          <w:rFonts w:ascii="宋体" w:hAnsi="宋体"/>
          <w:color w:val="000000"/>
          <w:sz w:val="24"/>
        </w:rPr>
      </w:pPr>
    </w:p>
    <w:p w14:paraId="21FCFA06">
      <w:pPr>
        <w:spacing w:line="360" w:lineRule="exact"/>
        <w:rPr>
          <w:rFonts w:ascii="宋体" w:hAnsi="宋体"/>
          <w:color w:val="000000"/>
          <w:sz w:val="24"/>
        </w:rPr>
      </w:pPr>
    </w:p>
    <w:p w14:paraId="14859BE2">
      <w:pPr>
        <w:widowControl/>
        <w:jc w:val="left"/>
        <w:rPr>
          <w:rFonts w:ascii="宋体" w:hAnsi="宋体"/>
          <w:color w:val="000000"/>
          <w:sz w:val="24"/>
        </w:rPr>
      </w:pPr>
      <w:r>
        <w:rPr>
          <w:rFonts w:ascii="宋体" w:hAnsi="宋体"/>
          <w:color w:val="000000"/>
          <w:sz w:val="24"/>
        </w:rPr>
        <w:br w:type="page"/>
      </w:r>
    </w:p>
    <w:p w14:paraId="1D921C35">
      <w:pPr>
        <w:spacing w:line="360" w:lineRule="exact"/>
        <w:rPr>
          <w:rFonts w:ascii="宋体" w:hAnsi="宋体"/>
          <w:color w:val="000000"/>
          <w:sz w:val="24"/>
        </w:rPr>
      </w:pPr>
      <w:r>
        <w:rPr>
          <w:rFonts w:hint="eastAsia" w:ascii="宋体" w:hAnsi="宋体"/>
          <w:color w:val="000000"/>
          <w:sz w:val="24"/>
        </w:rPr>
        <w:t>附表7：</w:t>
      </w:r>
    </w:p>
    <w:p w14:paraId="028CC933">
      <w:pPr>
        <w:spacing w:line="360" w:lineRule="exact"/>
        <w:jc w:val="center"/>
        <w:rPr>
          <w:rFonts w:ascii="宋体" w:hAnsi="宋体"/>
          <w:bCs/>
          <w:color w:val="000000"/>
          <w:spacing w:val="40"/>
          <w:w w:val="90"/>
          <w:sz w:val="28"/>
          <w:szCs w:val="28"/>
        </w:rPr>
      </w:pPr>
    </w:p>
    <w:p w14:paraId="528FC8A3">
      <w:pPr>
        <w:spacing w:line="360" w:lineRule="exact"/>
        <w:jc w:val="center"/>
        <w:rPr>
          <w:rFonts w:ascii="宋体" w:hAnsi="宋体"/>
          <w:bCs/>
          <w:color w:val="000000"/>
          <w:spacing w:val="40"/>
          <w:sz w:val="24"/>
        </w:rPr>
      </w:pPr>
      <w:r>
        <w:rPr>
          <w:rFonts w:hint="eastAsia" w:ascii="宋体" w:hAnsi="宋体"/>
          <w:bCs/>
          <w:color w:val="000000"/>
          <w:spacing w:val="40"/>
          <w:sz w:val="24"/>
        </w:rPr>
        <w:t>监理机构监理人员配备表</w:t>
      </w:r>
    </w:p>
    <w:p w14:paraId="68D1F755">
      <w:pPr>
        <w:spacing w:line="360" w:lineRule="exact"/>
        <w:jc w:val="center"/>
        <w:rPr>
          <w:rFonts w:ascii="宋体" w:hAnsi="宋体"/>
          <w:color w:val="000000"/>
          <w:szCs w:val="21"/>
        </w:rPr>
      </w:pPr>
    </w:p>
    <w:p w14:paraId="0A22D924">
      <w:pPr>
        <w:spacing w:line="360" w:lineRule="exact"/>
        <w:jc w:val="center"/>
        <w:rPr>
          <w:rFonts w:ascii="宋体" w:hAnsi="宋体"/>
          <w:color w:val="000000"/>
          <w:szCs w:val="21"/>
        </w:rPr>
      </w:pPr>
    </w:p>
    <w:tbl>
      <w:tblPr>
        <w:tblStyle w:val="32"/>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22"/>
        <w:gridCol w:w="916"/>
        <w:gridCol w:w="916"/>
        <w:gridCol w:w="1052"/>
        <w:gridCol w:w="1298"/>
        <w:gridCol w:w="1755"/>
        <w:gridCol w:w="955"/>
        <w:gridCol w:w="916"/>
      </w:tblGrid>
      <w:tr w14:paraId="2584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6" w:type="dxa"/>
            <w:vAlign w:val="center"/>
          </w:tcPr>
          <w:p w14:paraId="0193E0D2">
            <w:pPr>
              <w:spacing w:line="360" w:lineRule="exact"/>
              <w:jc w:val="center"/>
              <w:rPr>
                <w:rFonts w:ascii="宋体" w:hAnsi="宋体"/>
                <w:color w:val="000000"/>
                <w:sz w:val="28"/>
                <w:szCs w:val="28"/>
              </w:rPr>
            </w:pPr>
            <w:r>
              <w:rPr>
                <w:rFonts w:hint="eastAsia" w:ascii="宋体" w:hAnsi="宋体"/>
                <w:color w:val="000000"/>
                <w:sz w:val="28"/>
                <w:szCs w:val="28"/>
              </w:rPr>
              <w:t>序号</w:t>
            </w:r>
          </w:p>
        </w:tc>
        <w:tc>
          <w:tcPr>
            <w:tcW w:w="1122" w:type="dxa"/>
            <w:vAlign w:val="center"/>
          </w:tcPr>
          <w:p w14:paraId="41FBF8EE">
            <w:pPr>
              <w:spacing w:line="360" w:lineRule="exact"/>
              <w:jc w:val="center"/>
              <w:rPr>
                <w:rFonts w:ascii="宋体" w:hAnsi="宋体"/>
                <w:color w:val="000000"/>
                <w:sz w:val="28"/>
                <w:szCs w:val="28"/>
              </w:rPr>
            </w:pPr>
            <w:r>
              <w:rPr>
                <w:rFonts w:hint="eastAsia" w:ascii="宋体" w:hAnsi="宋体"/>
                <w:color w:val="000000"/>
                <w:sz w:val="28"/>
                <w:szCs w:val="28"/>
              </w:rPr>
              <w:t>姓 名</w:t>
            </w:r>
          </w:p>
        </w:tc>
        <w:tc>
          <w:tcPr>
            <w:tcW w:w="916" w:type="dxa"/>
            <w:vAlign w:val="center"/>
          </w:tcPr>
          <w:p w14:paraId="2C28473D">
            <w:pPr>
              <w:spacing w:line="360" w:lineRule="exact"/>
              <w:jc w:val="center"/>
              <w:rPr>
                <w:rFonts w:ascii="宋体" w:hAnsi="宋体"/>
                <w:color w:val="000000"/>
                <w:sz w:val="28"/>
                <w:szCs w:val="28"/>
              </w:rPr>
            </w:pPr>
            <w:r>
              <w:rPr>
                <w:rFonts w:hint="eastAsia" w:ascii="宋体" w:hAnsi="宋体"/>
                <w:color w:val="000000"/>
                <w:sz w:val="28"/>
                <w:szCs w:val="28"/>
              </w:rPr>
              <w:t>年 龄</w:t>
            </w:r>
          </w:p>
        </w:tc>
        <w:tc>
          <w:tcPr>
            <w:tcW w:w="916" w:type="dxa"/>
            <w:vAlign w:val="center"/>
          </w:tcPr>
          <w:p w14:paraId="3D67825D">
            <w:pPr>
              <w:spacing w:line="360" w:lineRule="exact"/>
              <w:jc w:val="center"/>
              <w:rPr>
                <w:rFonts w:ascii="宋体" w:hAnsi="宋体"/>
                <w:color w:val="000000"/>
                <w:sz w:val="28"/>
                <w:szCs w:val="28"/>
              </w:rPr>
            </w:pPr>
            <w:r>
              <w:rPr>
                <w:rFonts w:hint="eastAsia" w:ascii="宋体" w:hAnsi="宋体"/>
                <w:color w:val="000000"/>
                <w:sz w:val="28"/>
                <w:szCs w:val="28"/>
              </w:rPr>
              <w:t>学 历</w:t>
            </w:r>
          </w:p>
        </w:tc>
        <w:tc>
          <w:tcPr>
            <w:tcW w:w="1052" w:type="dxa"/>
            <w:vAlign w:val="center"/>
          </w:tcPr>
          <w:p w14:paraId="4818FC3C">
            <w:pPr>
              <w:spacing w:line="360" w:lineRule="exact"/>
              <w:jc w:val="center"/>
              <w:rPr>
                <w:rFonts w:ascii="宋体" w:hAnsi="宋体"/>
                <w:color w:val="000000"/>
                <w:sz w:val="28"/>
                <w:szCs w:val="28"/>
              </w:rPr>
            </w:pPr>
            <w:r>
              <w:rPr>
                <w:rFonts w:hint="eastAsia" w:ascii="宋体" w:hAnsi="宋体"/>
                <w:color w:val="000000"/>
                <w:sz w:val="28"/>
                <w:szCs w:val="28"/>
              </w:rPr>
              <w:t>专 业</w:t>
            </w:r>
          </w:p>
        </w:tc>
        <w:tc>
          <w:tcPr>
            <w:tcW w:w="1298" w:type="dxa"/>
            <w:vAlign w:val="center"/>
          </w:tcPr>
          <w:p w14:paraId="062EF08A">
            <w:pPr>
              <w:spacing w:line="360" w:lineRule="exact"/>
              <w:jc w:val="center"/>
              <w:rPr>
                <w:rFonts w:ascii="宋体" w:hAnsi="宋体"/>
                <w:color w:val="000000"/>
                <w:sz w:val="28"/>
                <w:szCs w:val="28"/>
              </w:rPr>
            </w:pPr>
            <w:r>
              <w:rPr>
                <w:rFonts w:hint="eastAsia" w:ascii="宋体" w:hAnsi="宋体"/>
                <w:color w:val="000000"/>
                <w:sz w:val="28"/>
                <w:szCs w:val="28"/>
              </w:rPr>
              <w:t>职 称</w:t>
            </w:r>
          </w:p>
        </w:tc>
        <w:tc>
          <w:tcPr>
            <w:tcW w:w="1755" w:type="dxa"/>
            <w:vAlign w:val="center"/>
          </w:tcPr>
          <w:p w14:paraId="7977D766">
            <w:pPr>
              <w:spacing w:line="360" w:lineRule="exact"/>
              <w:jc w:val="center"/>
              <w:rPr>
                <w:rFonts w:ascii="宋体" w:hAnsi="宋体"/>
                <w:color w:val="000000"/>
                <w:sz w:val="28"/>
                <w:szCs w:val="28"/>
              </w:rPr>
            </w:pPr>
            <w:r>
              <w:rPr>
                <w:rFonts w:hint="eastAsia" w:ascii="宋体" w:hAnsi="宋体"/>
                <w:color w:val="000000"/>
                <w:sz w:val="28"/>
                <w:szCs w:val="28"/>
              </w:rPr>
              <w:t>项目职务</w:t>
            </w:r>
          </w:p>
        </w:tc>
        <w:tc>
          <w:tcPr>
            <w:tcW w:w="955" w:type="dxa"/>
            <w:vAlign w:val="center"/>
          </w:tcPr>
          <w:p w14:paraId="46A8B132">
            <w:pPr>
              <w:spacing w:line="360" w:lineRule="exact"/>
              <w:jc w:val="center"/>
              <w:rPr>
                <w:rFonts w:ascii="宋体" w:hAnsi="宋体"/>
                <w:color w:val="000000"/>
                <w:sz w:val="28"/>
                <w:szCs w:val="28"/>
              </w:rPr>
            </w:pPr>
            <w:r>
              <w:rPr>
                <w:rFonts w:hint="eastAsia" w:ascii="宋体" w:hAnsi="宋体"/>
                <w:color w:val="000000"/>
                <w:sz w:val="28"/>
                <w:szCs w:val="28"/>
              </w:rPr>
              <w:t>监理</w:t>
            </w:r>
          </w:p>
          <w:p w14:paraId="5E7EF227">
            <w:pPr>
              <w:spacing w:line="360" w:lineRule="exact"/>
              <w:jc w:val="center"/>
              <w:rPr>
                <w:rFonts w:ascii="宋体" w:hAnsi="宋体"/>
                <w:color w:val="000000"/>
                <w:sz w:val="28"/>
                <w:szCs w:val="28"/>
              </w:rPr>
            </w:pPr>
            <w:r>
              <w:rPr>
                <w:rFonts w:hint="eastAsia" w:ascii="宋体" w:hAnsi="宋体"/>
                <w:color w:val="000000"/>
                <w:sz w:val="28"/>
                <w:szCs w:val="28"/>
              </w:rPr>
              <w:t>时段</w:t>
            </w:r>
          </w:p>
        </w:tc>
        <w:tc>
          <w:tcPr>
            <w:tcW w:w="916" w:type="dxa"/>
            <w:vAlign w:val="center"/>
          </w:tcPr>
          <w:p w14:paraId="0B0F0A15">
            <w:pPr>
              <w:spacing w:line="360" w:lineRule="exact"/>
              <w:jc w:val="center"/>
              <w:rPr>
                <w:rFonts w:ascii="宋体" w:hAnsi="宋体"/>
                <w:color w:val="000000"/>
                <w:sz w:val="28"/>
                <w:szCs w:val="28"/>
              </w:rPr>
            </w:pPr>
            <w:r>
              <w:rPr>
                <w:rFonts w:hint="eastAsia" w:ascii="宋体" w:hAnsi="宋体"/>
                <w:color w:val="000000"/>
                <w:sz w:val="28"/>
                <w:szCs w:val="28"/>
              </w:rPr>
              <w:t>备 注</w:t>
            </w:r>
          </w:p>
        </w:tc>
      </w:tr>
      <w:tr w14:paraId="14BB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6" w:type="dxa"/>
            <w:vAlign w:val="center"/>
          </w:tcPr>
          <w:p w14:paraId="4B4BE821">
            <w:pPr>
              <w:spacing w:line="360" w:lineRule="exact"/>
              <w:jc w:val="center"/>
              <w:rPr>
                <w:rFonts w:ascii="宋体" w:hAnsi="宋体"/>
                <w:color w:val="000000"/>
                <w:sz w:val="28"/>
                <w:szCs w:val="28"/>
              </w:rPr>
            </w:pPr>
            <w:r>
              <w:rPr>
                <w:rFonts w:ascii="宋体" w:hAnsi="宋体"/>
                <w:color w:val="000000"/>
                <w:sz w:val="28"/>
                <w:szCs w:val="28"/>
              </w:rPr>
              <w:t>1</w:t>
            </w:r>
          </w:p>
        </w:tc>
        <w:tc>
          <w:tcPr>
            <w:tcW w:w="1122" w:type="dxa"/>
            <w:vAlign w:val="center"/>
          </w:tcPr>
          <w:p w14:paraId="2E8E05F8">
            <w:pPr>
              <w:spacing w:line="360" w:lineRule="exact"/>
              <w:jc w:val="center"/>
              <w:rPr>
                <w:rFonts w:ascii="宋体" w:hAnsi="宋体"/>
                <w:color w:val="000000"/>
                <w:sz w:val="28"/>
                <w:szCs w:val="28"/>
              </w:rPr>
            </w:pPr>
          </w:p>
        </w:tc>
        <w:tc>
          <w:tcPr>
            <w:tcW w:w="916" w:type="dxa"/>
            <w:vAlign w:val="center"/>
          </w:tcPr>
          <w:p w14:paraId="6E04D796">
            <w:pPr>
              <w:spacing w:line="360" w:lineRule="exact"/>
              <w:jc w:val="center"/>
              <w:rPr>
                <w:rFonts w:ascii="宋体" w:hAnsi="宋体"/>
                <w:color w:val="000000"/>
                <w:sz w:val="28"/>
                <w:szCs w:val="28"/>
              </w:rPr>
            </w:pPr>
          </w:p>
        </w:tc>
        <w:tc>
          <w:tcPr>
            <w:tcW w:w="916" w:type="dxa"/>
            <w:vAlign w:val="center"/>
          </w:tcPr>
          <w:p w14:paraId="4F0F5175">
            <w:pPr>
              <w:spacing w:line="360" w:lineRule="exact"/>
              <w:jc w:val="center"/>
              <w:rPr>
                <w:rFonts w:ascii="宋体" w:hAnsi="宋体"/>
                <w:color w:val="000000"/>
                <w:sz w:val="28"/>
                <w:szCs w:val="28"/>
              </w:rPr>
            </w:pPr>
          </w:p>
        </w:tc>
        <w:tc>
          <w:tcPr>
            <w:tcW w:w="1052" w:type="dxa"/>
            <w:vAlign w:val="center"/>
          </w:tcPr>
          <w:p w14:paraId="2DCFA87D">
            <w:pPr>
              <w:spacing w:line="360" w:lineRule="exact"/>
              <w:jc w:val="center"/>
              <w:rPr>
                <w:rFonts w:ascii="宋体" w:hAnsi="宋体"/>
                <w:color w:val="000000"/>
                <w:sz w:val="28"/>
                <w:szCs w:val="28"/>
              </w:rPr>
            </w:pPr>
          </w:p>
        </w:tc>
        <w:tc>
          <w:tcPr>
            <w:tcW w:w="1298" w:type="dxa"/>
            <w:vAlign w:val="center"/>
          </w:tcPr>
          <w:p w14:paraId="35F8976B">
            <w:pPr>
              <w:spacing w:line="360" w:lineRule="exact"/>
              <w:jc w:val="center"/>
              <w:rPr>
                <w:rFonts w:ascii="宋体" w:hAnsi="宋体"/>
                <w:color w:val="000000"/>
                <w:sz w:val="28"/>
                <w:szCs w:val="28"/>
              </w:rPr>
            </w:pPr>
          </w:p>
        </w:tc>
        <w:tc>
          <w:tcPr>
            <w:tcW w:w="1755" w:type="dxa"/>
            <w:vAlign w:val="center"/>
          </w:tcPr>
          <w:p w14:paraId="411F3AE1">
            <w:pPr>
              <w:spacing w:line="360" w:lineRule="exact"/>
              <w:jc w:val="center"/>
              <w:rPr>
                <w:rFonts w:ascii="宋体" w:hAnsi="宋体"/>
                <w:color w:val="000000"/>
                <w:sz w:val="28"/>
                <w:szCs w:val="28"/>
              </w:rPr>
            </w:pPr>
          </w:p>
        </w:tc>
        <w:tc>
          <w:tcPr>
            <w:tcW w:w="955" w:type="dxa"/>
            <w:vAlign w:val="center"/>
          </w:tcPr>
          <w:p w14:paraId="1F4629D2">
            <w:pPr>
              <w:spacing w:line="360" w:lineRule="exact"/>
              <w:jc w:val="center"/>
              <w:rPr>
                <w:rFonts w:ascii="宋体" w:hAnsi="宋体"/>
                <w:color w:val="000000"/>
                <w:sz w:val="28"/>
                <w:szCs w:val="28"/>
              </w:rPr>
            </w:pPr>
          </w:p>
        </w:tc>
        <w:tc>
          <w:tcPr>
            <w:tcW w:w="916" w:type="dxa"/>
            <w:vAlign w:val="center"/>
          </w:tcPr>
          <w:p w14:paraId="254E83B3">
            <w:pPr>
              <w:spacing w:line="360" w:lineRule="exact"/>
              <w:jc w:val="center"/>
              <w:rPr>
                <w:rFonts w:ascii="宋体" w:hAnsi="宋体"/>
                <w:color w:val="000000"/>
                <w:sz w:val="28"/>
                <w:szCs w:val="28"/>
              </w:rPr>
            </w:pPr>
          </w:p>
        </w:tc>
      </w:tr>
      <w:tr w14:paraId="193C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6" w:type="dxa"/>
            <w:vAlign w:val="center"/>
          </w:tcPr>
          <w:p w14:paraId="111F5986">
            <w:pPr>
              <w:spacing w:line="360" w:lineRule="exact"/>
              <w:jc w:val="center"/>
              <w:rPr>
                <w:rFonts w:ascii="宋体" w:hAnsi="宋体"/>
                <w:color w:val="000000"/>
                <w:sz w:val="28"/>
                <w:szCs w:val="28"/>
              </w:rPr>
            </w:pPr>
            <w:r>
              <w:rPr>
                <w:rFonts w:ascii="宋体" w:hAnsi="宋体"/>
                <w:color w:val="000000"/>
                <w:sz w:val="28"/>
                <w:szCs w:val="28"/>
              </w:rPr>
              <w:t>2</w:t>
            </w:r>
          </w:p>
        </w:tc>
        <w:tc>
          <w:tcPr>
            <w:tcW w:w="1122" w:type="dxa"/>
            <w:vAlign w:val="center"/>
          </w:tcPr>
          <w:p w14:paraId="5ED86B62">
            <w:pPr>
              <w:spacing w:line="360" w:lineRule="exact"/>
              <w:jc w:val="center"/>
              <w:rPr>
                <w:rFonts w:ascii="宋体" w:hAnsi="宋体"/>
                <w:color w:val="000000"/>
                <w:sz w:val="28"/>
                <w:szCs w:val="28"/>
              </w:rPr>
            </w:pPr>
          </w:p>
        </w:tc>
        <w:tc>
          <w:tcPr>
            <w:tcW w:w="916" w:type="dxa"/>
            <w:vAlign w:val="center"/>
          </w:tcPr>
          <w:p w14:paraId="47D243BB">
            <w:pPr>
              <w:spacing w:line="360" w:lineRule="exact"/>
              <w:jc w:val="center"/>
              <w:rPr>
                <w:rFonts w:ascii="宋体" w:hAnsi="宋体"/>
                <w:color w:val="000000"/>
                <w:sz w:val="28"/>
                <w:szCs w:val="28"/>
              </w:rPr>
            </w:pPr>
          </w:p>
        </w:tc>
        <w:tc>
          <w:tcPr>
            <w:tcW w:w="916" w:type="dxa"/>
            <w:vAlign w:val="center"/>
          </w:tcPr>
          <w:p w14:paraId="468D80CD">
            <w:pPr>
              <w:spacing w:line="360" w:lineRule="exact"/>
              <w:jc w:val="center"/>
              <w:rPr>
                <w:rFonts w:ascii="宋体" w:hAnsi="宋体"/>
                <w:color w:val="000000"/>
                <w:sz w:val="28"/>
                <w:szCs w:val="28"/>
              </w:rPr>
            </w:pPr>
          </w:p>
        </w:tc>
        <w:tc>
          <w:tcPr>
            <w:tcW w:w="1052" w:type="dxa"/>
            <w:vAlign w:val="center"/>
          </w:tcPr>
          <w:p w14:paraId="458C5D8E">
            <w:pPr>
              <w:spacing w:line="360" w:lineRule="exact"/>
              <w:jc w:val="center"/>
              <w:rPr>
                <w:rFonts w:ascii="宋体" w:hAnsi="宋体"/>
                <w:color w:val="000000"/>
                <w:sz w:val="28"/>
                <w:szCs w:val="28"/>
              </w:rPr>
            </w:pPr>
          </w:p>
        </w:tc>
        <w:tc>
          <w:tcPr>
            <w:tcW w:w="1298" w:type="dxa"/>
            <w:vAlign w:val="center"/>
          </w:tcPr>
          <w:p w14:paraId="11D60648">
            <w:pPr>
              <w:spacing w:line="360" w:lineRule="exact"/>
              <w:jc w:val="center"/>
              <w:rPr>
                <w:rFonts w:ascii="宋体" w:hAnsi="宋体"/>
                <w:color w:val="000000"/>
                <w:sz w:val="28"/>
                <w:szCs w:val="28"/>
              </w:rPr>
            </w:pPr>
          </w:p>
        </w:tc>
        <w:tc>
          <w:tcPr>
            <w:tcW w:w="1755" w:type="dxa"/>
            <w:vAlign w:val="center"/>
          </w:tcPr>
          <w:p w14:paraId="4BEC4CC0">
            <w:pPr>
              <w:spacing w:line="360" w:lineRule="exact"/>
              <w:jc w:val="center"/>
              <w:rPr>
                <w:rFonts w:ascii="宋体" w:hAnsi="宋体"/>
                <w:color w:val="000000"/>
                <w:sz w:val="28"/>
                <w:szCs w:val="28"/>
              </w:rPr>
            </w:pPr>
          </w:p>
        </w:tc>
        <w:tc>
          <w:tcPr>
            <w:tcW w:w="955" w:type="dxa"/>
            <w:vAlign w:val="center"/>
          </w:tcPr>
          <w:p w14:paraId="394BB0C5">
            <w:pPr>
              <w:spacing w:line="360" w:lineRule="exact"/>
              <w:jc w:val="center"/>
              <w:rPr>
                <w:rFonts w:ascii="宋体" w:hAnsi="宋体"/>
                <w:color w:val="000000"/>
                <w:sz w:val="28"/>
                <w:szCs w:val="28"/>
              </w:rPr>
            </w:pPr>
          </w:p>
        </w:tc>
        <w:tc>
          <w:tcPr>
            <w:tcW w:w="916" w:type="dxa"/>
            <w:vAlign w:val="center"/>
          </w:tcPr>
          <w:p w14:paraId="5073E16E">
            <w:pPr>
              <w:spacing w:line="360" w:lineRule="exact"/>
              <w:jc w:val="center"/>
              <w:rPr>
                <w:rFonts w:ascii="宋体" w:hAnsi="宋体"/>
                <w:color w:val="000000"/>
                <w:sz w:val="28"/>
                <w:szCs w:val="28"/>
              </w:rPr>
            </w:pPr>
          </w:p>
        </w:tc>
      </w:tr>
      <w:tr w14:paraId="46E6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6" w:type="dxa"/>
            <w:vAlign w:val="center"/>
          </w:tcPr>
          <w:p w14:paraId="23EB6A55">
            <w:pPr>
              <w:spacing w:line="360" w:lineRule="exact"/>
              <w:jc w:val="center"/>
              <w:rPr>
                <w:rFonts w:ascii="宋体" w:hAnsi="宋体"/>
                <w:color w:val="000000"/>
                <w:sz w:val="28"/>
                <w:szCs w:val="28"/>
              </w:rPr>
            </w:pPr>
            <w:r>
              <w:rPr>
                <w:rFonts w:ascii="宋体" w:hAnsi="宋体"/>
                <w:color w:val="000000"/>
                <w:sz w:val="28"/>
                <w:szCs w:val="28"/>
              </w:rPr>
              <w:t>3</w:t>
            </w:r>
          </w:p>
        </w:tc>
        <w:tc>
          <w:tcPr>
            <w:tcW w:w="1122" w:type="dxa"/>
            <w:vAlign w:val="center"/>
          </w:tcPr>
          <w:p w14:paraId="1122FDCA">
            <w:pPr>
              <w:spacing w:line="360" w:lineRule="exact"/>
              <w:jc w:val="center"/>
              <w:rPr>
                <w:rFonts w:ascii="宋体" w:hAnsi="宋体"/>
                <w:color w:val="000000"/>
                <w:sz w:val="28"/>
                <w:szCs w:val="28"/>
              </w:rPr>
            </w:pPr>
          </w:p>
        </w:tc>
        <w:tc>
          <w:tcPr>
            <w:tcW w:w="916" w:type="dxa"/>
            <w:vAlign w:val="center"/>
          </w:tcPr>
          <w:p w14:paraId="4E210643">
            <w:pPr>
              <w:spacing w:line="360" w:lineRule="exact"/>
              <w:jc w:val="center"/>
              <w:rPr>
                <w:rFonts w:ascii="宋体" w:hAnsi="宋体"/>
                <w:color w:val="000000"/>
                <w:sz w:val="28"/>
                <w:szCs w:val="28"/>
              </w:rPr>
            </w:pPr>
          </w:p>
        </w:tc>
        <w:tc>
          <w:tcPr>
            <w:tcW w:w="916" w:type="dxa"/>
            <w:vAlign w:val="center"/>
          </w:tcPr>
          <w:p w14:paraId="3A845752">
            <w:pPr>
              <w:spacing w:line="360" w:lineRule="exact"/>
              <w:jc w:val="center"/>
              <w:rPr>
                <w:rFonts w:ascii="宋体" w:hAnsi="宋体"/>
                <w:color w:val="000000"/>
                <w:sz w:val="28"/>
                <w:szCs w:val="28"/>
              </w:rPr>
            </w:pPr>
          </w:p>
        </w:tc>
        <w:tc>
          <w:tcPr>
            <w:tcW w:w="1052" w:type="dxa"/>
            <w:vAlign w:val="center"/>
          </w:tcPr>
          <w:p w14:paraId="607C9F27">
            <w:pPr>
              <w:spacing w:line="360" w:lineRule="exact"/>
              <w:jc w:val="center"/>
              <w:rPr>
                <w:rFonts w:ascii="宋体" w:hAnsi="宋体"/>
                <w:color w:val="000000"/>
                <w:sz w:val="28"/>
                <w:szCs w:val="28"/>
              </w:rPr>
            </w:pPr>
          </w:p>
        </w:tc>
        <w:tc>
          <w:tcPr>
            <w:tcW w:w="1298" w:type="dxa"/>
            <w:vAlign w:val="center"/>
          </w:tcPr>
          <w:p w14:paraId="78EBED23">
            <w:pPr>
              <w:spacing w:line="360" w:lineRule="exact"/>
              <w:jc w:val="center"/>
              <w:rPr>
                <w:rFonts w:ascii="宋体" w:hAnsi="宋体"/>
                <w:color w:val="000000"/>
                <w:sz w:val="28"/>
                <w:szCs w:val="28"/>
              </w:rPr>
            </w:pPr>
          </w:p>
        </w:tc>
        <w:tc>
          <w:tcPr>
            <w:tcW w:w="1755" w:type="dxa"/>
            <w:vAlign w:val="center"/>
          </w:tcPr>
          <w:p w14:paraId="654232DE">
            <w:pPr>
              <w:spacing w:line="360" w:lineRule="exact"/>
              <w:jc w:val="center"/>
              <w:rPr>
                <w:rFonts w:ascii="宋体" w:hAnsi="宋体"/>
                <w:color w:val="000000"/>
                <w:sz w:val="28"/>
                <w:szCs w:val="28"/>
              </w:rPr>
            </w:pPr>
          </w:p>
        </w:tc>
        <w:tc>
          <w:tcPr>
            <w:tcW w:w="955" w:type="dxa"/>
            <w:vAlign w:val="center"/>
          </w:tcPr>
          <w:p w14:paraId="5E94274D">
            <w:pPr>
              <w:spacing w:line="360" w:lineRule="exact"/>
              <w:jc w:val="center"/>
              <w:rPr>
                <w:rFonts w:ascii="宋体" w:hAnsi="宋体"/>
                <w:color w:val="000000"/>
                <w:sz w:val="28"/>
                <w:szCs w:val="28"/>
              </w:rPr>
            </w:pPr>
          </w:p>
        </w:tc>
        <w:tc>
          <w:tcPr>
            <w:tcW w:w="916" w:type="dxa"/>
            <w:vAlign w:val="center"/>
          </w:tcPr>
          <w:p w14:paraId="440A5838">
            <w:pPr>
              <w:spacing w:line="360" w:lineRule="exact"/>
              <w:jc w:val="center"/>
              <w:rPr>
                <w:rFonts w:ascii="宋体" w:hAnsi="宋体"/>
                <w:color w:val="000000"/>
                <w:sz w:val="28"/>
                <w:szCs w:val="28"/>
              </w:rPr>
            </w:pPr>
          </w:p>
        </w:tc>
      </w:tr>
      <w:tr w14:paraId="03F3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6" w:type="dxa"/>
            <w:vAlign w:val="center"/>
          </w:tcPr>
          <w:p w14:paraId="06C52626">
            <w:pPr>
              <w:spacing w:line="360" w:lineRule="exact"/>
              <w:jc w:val="center"/>
              <w:rPr>
                <w:rFonts w:ascii="宋体" w:hAnsi="宋体"/>
                <w:color w:val="000000"/>
                <w:sz w:val="28"/>
                <w:szCs w:val="28"/>
              </w:rPr>
            </w:pPr>
            <w:r>
              <w:rPr>
                <w:rFonts w:ascii="宋体" w:hAnsi="宋体"/>
                <w:color w:val="000000"/>
                <w:sz w:val="28"/>
                <w:szCs w:val="28"/>
              </w:rPr>
              <w:t>4</w:t>
            </w:r>
          </w:p>
        </w:tc>
        <w:tc>
          <w:tcPr>
            <w:tcW w:w="1122" w:type="dxa"/>
            <w:vAlign w:val="center"/>
          </w:tcPr>
          <w:p w14:paraId="68667B59">
            <w:pPr>
              <w:spacing w:line="360" w:lineRule="exact"/>
              <w:jc w:val="center"/>
              <w:rPr>
                <w:rFonts w:ascii="宋体" w:hAnsi="宋体"/>
                <w:color w:val="000000"/>
                <w:sz w:val="28"/>
                <w:szCs w:val="28"/>
              </w:rPr>
            </w:pPr>
          </w:p>
        </w:tc>
        <w:tc>
          <w:tcPr>
            <w:tcW w:w="916" w:type="dxa"/>
            <w:vAlign w:val="center"/>
          </w:tcPr>
          <w:p w14:paraId="6DFAA5DF">
            <w:pPr>
              <w:spacing w:line="360" w:lineRule="exact"/>
              <w:jc w:val="center"/>
              <w:rPr>
                <w:rFonts w:ascii="宋体" w:hAnsi="宋体"/>
                <w:color w:val="000000"/>
                <w:sz w:val="28"/>
                <w:szCs w:val="28"/>
              </w:rPr>
            </w:pPr>
          </w:p>
        </w:tc>
        <w:tc>
          <w:tcPr>
            <w:tcW w:w="916" w:type="dxa"/>
            <w:vAlign w:val="center"/>
          </w:tcPr>
          <w:p w14:paraId="0BEE9B3B">
            <w:pPr>
              <w:spacing w:line="360" w:lineRule="exact"/>
              <w:jc w:val="center"/>
              <w:rPr>
                <w:rFonts w:ascii="宋体" w:hAnsi="宋体"/>
                <w:color w:val="000000"/>
                <w:sz w:val="28"/>
                <w:szCs w:val="28"/>
              </w:rPr>
            </w:pPr>
          </w:p>
        </w:tc>
        <w:tc>
          <w:tcPr>
            <w:tcW w:w="1052" w:type="dxa"/>
            <w:vAlign w:val="center"/>
          </w:tcPr>
          <w:p w14:paraId="5C472188">
            <w:pPr>
              <w:spacing w:line="360" w:lineRule="exact"/>
              <w:jc w:val="center"/>
              <w:rPr>
                <w:rFonts w:ascii="宋体" w:hAnsi="宋体"/>
                <w:color w:val="000000"/>
                <w:sz w:val="28"/>
                <w:szCs w:val="28"/>
              </w:rPr>
            </w:pPr>
          </w:p>
        </w:tc>
        <w:tc>
          <w:tcPr>
            <w:tcW w:w="1298" w:type="dxa"/>
            <w:vAlign w:val="center"/>
          </w:tcPr>
          <w:p w14:paraId="786D9390">
            <w:pPr>
              <w:spacing w:line="360" w:lineRule="exact"/>
              <w:jc w:val="center"/>
              <w:rPr>
                <w:rFonts w:ascii="宋体" w:hAnsi="宋体"/>
                <w:color w:val="000000"/>
                <w:sz w:val="28"/>
                <w:szCs w:val="28"/>
              </w:rPr>
            </w:pPr>
          </w:p>
        </w:tc>
        <w:tc>
          <w:tcPr>
            <w:tcW w:w="1755" w:type="dxa"/>
            <w:vAlign w:val="center"/>
          </w:tcPr>
          <w:p w14:paraId="5767BB74">
            <w:pPr>
              <w:spacing w:line="360" w:lineRule="exact"/>
              <w:jc w:val="center"/>
              <w:rPr>
                <w:rFonts w:ascii="宋体" w:hAnsi="宋体"/>
                <w:color w:val="000000"/>
                <w:sz w:val="28"/>
                <w:szCs w:val="28"/>
              </w:rPr>
            </w:pPr>
          </w:p>
        </w:tc>
        <w:tc>
          <w:tcPr>
            <w:tcW w:w="955" w:type="dxa"/>
            <w:vAlign w:val="center"/>
          </w:tcPr>
          <w:p w14:paraId="07015CB4">
            <w:pPr>
              <w:spacing w:line="360" w:lineRule="exact"/>
              <w:jc w:val="center"/>
              <w:rPr>
                <w:rFonts w:ascii="宋体" w:hAnsi="宋体"/>
                <w:color w:val="000000"/>
                <w:sz w:val="28"/>
                <w:szCs w:val="28"/>
              </w:rPr>
            </w:pPr>
          </w:p>
        </w:tc>
        <w:tc>
          <w:tcPr>
            <w:tcW w:w="916" w:type="dxa"/>
            <w:vAlign w:val="center"/>
          </w:tcPr>
          <w:p w14:paraId="240891A0">
            <w:pPr>
              <w:spacing w:line="360" w:lineRule="exact"/>
              <w:jc w:val="center"/>
              <w:rPr>
                <w:rFonts w:ascii="宋体" w:hAnsi="宋体"/>
                <w:color w:val="000000"/>
                <w:sz w:val="28"/>
                <w:szCs w:val="28"/>
              </w:rPr>
            </w:pPr>
          </w:p>
        </w:tc>
      </w:tr>
      <w:tr w14:paraId="5116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6" w:type="dxa"/>
            <w:vAlign w:val="center"/>
          </w:tcPr>
          <w:p w14:paraId="6996247D">
            <w:pPr>
              <w:spacing w:line="360" w:lineRule="exact"/>
              <w:jc w:val="center"/>
              <w:rPr>
                <w:rFonts w:ascii="宋体" w:hAnsi="宋体"/>
                <w:color w:val="000000"/>
                <w:sz w:val="28"/>
                <w:szCs w:val="28"/>
              </w:rPr>
            </w:pPr>
            <w:r>
              <w:rPr>
                <w:rFonts w:ascii="宋体" w:hAnsi="宋体"/>
                <w:color w:val="000000"/>
                <w:sz w:val="28"/>
                <w:szCs w:val="28"/>
              </w:rPr>
              <w:t>5</w:t>
            </w:r>
          </w:p>
        </w:tc>
        <w:tc>
          <w:tcPr>
            <w:tcW w:w="1122" w:type="dxa"/>
            <w:vAlign w:val="center"/>
          </w:tcPr>
          <w:p w14:paraId="0F6C02F6">
            <w:pPr>
              <w:spacing w:line="360" w:lineRule="exact"/>
              <w:jc w:val="center"/>
              <w:rPr>
                <w:rFonts w:ascii="宋体" w:hAnsi="宋体"/>
                <w:color w:val="000000"/>
                <w:sz w:val="28"/>
                <w:szCs w:val="28"/>
              </w:rPr>
            </w:pPr>
          </w:p>
        </w:tc>
        <w:tc>
          <w:tcPr>
            <w:tcW w:w="916" w:type="dxa"/>
            <w:vAlign w:val="center"/>
          </w:tcPr>
          <w:p w14:paraId="0E8899AB">
            <w:pPr>
              <w:spacing w:line="360" w:lineRule="exact"/>
              <w:jc w:val="center"/>
              <w:rPr>
                <w:rFonts w:ascii="宋体" w:hAnsi="宋体"/>
                <w:color w:val="000000"/>
                <w:sz w:val="28"/>
                <w:szCs w:val="28"/>
              </w:rPr>
            </w:pPr>
          </w:p>
        </w:tc>
        <w:tc>
          <w:tcPr>
            <w:tcW w:w="916" w:type="dxa"/>
            <w:vAlign w:val="center"/>
          </w:tcPr>
          <w:p w14:paraId="005FA09C">
            <w:pPr>
              <w:spacing w:line="360" w:lineRule="exact"/>
              <w:jc w:val="center"/>
              <w:rPr>
                <w:rFonts w:ascii="宋体" w:hAnsi="宋体"/>
                <w:color w:val="000000"/>
                <w:sz w:val="28"/>
                <w:szCs w:val="28"/>
              </w:rPr>
            </w:pPr>
          </w:p>
        </w:tc>
        <w:tc>
          <w:tcPr>
            <w:tcW w:w="1052" w:type="dxa"/>
            <w:vAlign w:val="center"/>
          </w:tcPr>
          <w:p w14:paraId="03BC6848">
            <w:pPr>
              <w:spacing w:line="360" w:lineRule="exact"/>
              <w:jc w:val="center"/>
              <w:rPr>
                <w:rFonts w:ascii="宋体" w:hAnsi="宋体"/>
                <w:color w:val="000000"/>
                <w:sz w:val="28"/>
                <w:szCs w:val="28"/>
              </w:rPr>
            </w:pPr>
          </w:p>
        </w:tc>
        <w:tc>
          <w:tcPr>
            <w:tcW w:w="1298" w:type="dxa"/>
            <w:vAlign w:val="center"/>
          </w:tcPr>
          <w:p w14:paraId="3A0DF58B">
            <w:pPr>
              <w:spacing w:line="360" w:lineRule="exact"/>
              <w:jc w:val="center"/>
              <w:rPr>
                <w:rFonts w:ascii="宋体" w:hAnsi="宋体"/>
                <w:color w:val="000000"/>
                <w:sz w:val="28"/>
                <w:szCs w:val="28"/>
              </w:rPr>
            </w:pPr>
          </w:p>
        </w:tc>
        <w:tc>
          <w:tcPr>
            <w:tcW w:w="1755" w:type="dxa"/>
            <w:vAlign w:val="center"/>
          </w:tcPr>
          <w:p w14:paraId="4A4EC540">
            <w:pPr>
              <w:spacing w:line="360" w:lineRule="exact"/>
              <w:jc w:val="center"/>
              <w:rPr>
                <w:rFonts w:ascii="宋体" w:hAnsi="宋体"/>
                <w:color w:val="000000"/>
                <w:sz w:val="28"/>
                <w:szCs w:val="28"/>
              </w:rPr>
            </w:pPr>
          </w:p>
        </w:tc>
        <w:tc>
          <w:tcPr>
            <w:tcW w:w="955" w:type="dxa"/>
            <w:vAlign w:val="center"/>
          </w:tcPr>
          <w:p w14:paraId="697128DD">
            <w:pPr>
              <w:spacing w:line="360" w:lineRule="exact"/>
              <w:jc w:val="center"/>
              <w:rPr>
                <w:rFonts w:ascii="宋体" w:hAnsi="宋体"/>
                <w:color w:val="000000"/>
                <w:sz w:val="28"/>
                <w:szCs w:val="28"/>
              </w:rPr>
            </w:pPr>
          </w:p>
        </w:tc>
        <w:tc>
          <w:tcPr>
            <w:tcW w:w="916" w:type="dxa"/>
            <w:vAlign w:val="center"/>
          </w:tcPr>
          <w:p w14:paraId="5EED3B8E">
            <w:pPr>
              <w:spacing w:line="360" w:lineRule="exact"/>
              <w:jc w:val="center"/>
              <w:rPr>
                <w:rFonts w:ascii="宋体" w:hAnsi="宋体"/>
                <w:color w:val="000000"/>
                <w:sz w:val="28"/>
                <w:szCs w:val="28"/>
              </w:rPr>
            </w:pPr>
          </w:p>
        </w:tc>
      </w:tr>
      <w:tr w14:paraId="15B7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6" w:type="dxa"/>
            <w:vAlign w:val="center"/>
          </w:tcPr>
          <w:p w14:paraId="473F0865">
            <w:pPr>
              <w:spacing w:line="360" w:lineRule="exact"/>
              <w:jc w:val="center"/>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tc>
        <w:tc>
          <w:tcPr>
            <w:tcW w:w="1122" w:type="dxa"/>
            <w:vAlign w:val="center"/>
          </w:tcPr>
          <w:p w14:paraId="1B19398A">
            <w:pPr>
              <w:spacing w:line="360" w:lineRule="exact"/>
              <w:jc w:val="center"/>
              <w:rPr>
                <w:rFonts w:ascii="宋体" w:hAnsi="宋体"/>
                <w:color w:val="000000"/>
                <w:sz w:val="28"/>
                <w:szCs w:val="28"/>
              </w:rPr>
            </w:pPr>
          </w:p>
        </w:tc>
        <w:tc>
          <w:tcPr>
            <w:tcW w:w="916" w:type="dxa"/>
            <w:vAlign w:val="center"/>
          </w:tcPr>
          <w:p w14:paraId="16E1F971">
            <w:pPr>
              <w:spacing w:line="360" w:lineRule="exact"/>
              <w:jc w:val="center"/>
              <w:rPr>
                <w:rFonts w:ascii="宋体" w:hAnsi="宋体"/>
                <w:color w:val="000000"/>
                <w:sz w:val="28"/>
                <w:szCs w:val="28"/>
              </w:rPr>
            </w:pPr>
          </w:p>
        </w:tc>
        <w:tc>
          <w:tcPr>
            <w:tcW w:w="916" w:type="dxa"/>
            <w:vAlign w:val="center"/>
          </w:tcPr>
          <w:p w14:paraId="3CE62E29">
            <w:pPr>
              <w:spacing w:line="360" w:lineRule="exact"/>
              <w:jc w:val="center"/>
              <w:rPr>
                <w:rFonts w:ascii="宋体" w:hAnsi="宋体"/>
                <w:color w:val="000000"/>
                <w:sz w:val="28"/>
                <w:szCs w:val="28"/>
              </w:rPr>
            </w:pPr>
          </w:p>
        </w:tc>
        <w:tc>
          <w:tcPr>
            <w:tcW w:w="1052" w:type="dxa"/>
            <w:vAlign w:val="center"/>
          </w:tcPr>
          <w:p w14:paraId="533E6856">
            <w:pPr>
              <w:spacing w:line="360" w:lineRule="exact"/>
              <w:jc w:val="center"/>
              <w:rPr>
                <w:rFonts w:ascii="宋体" w:hAnsi="宋体"/>
                <w:color w:val="000000"/>
                <w:sz w:val="28"/>
                <w:szCs w:val="28"/>
              </w:rPr>
            </w:pPr>
          </w:p>
        </w:tc>
        <w:tc>
          <w:tcPr>
            <w:tcW w:w="1298" w:type="dxa"/>
            <w:vAlign w:val="center"/>
          </w:tcPr>
          <w:p w14:paraId="1A444748">
            <w:pPr>
              <w:spacing w:line="360" w:lineRule="exact"/>
              <w:jc w:val="center"/>
              <w:rPr>
                <w:rFonts w:ascii="宋体" w:hAnsi="宋体"/>
                <w:color w:val="000000"/>
                <w:sz w:val="28"/>
                <w:szCs w:val="28"/>
              </w:rPr>
            </w:pPr>
          </w:p>
        </w:tc>
        <w:tc>
          <w:tcPr>
            <w:tcW w:w="1755" w:type="dxa"/>
            <w:vAlign w:val="center"/>
          </w:tcPr>
          <w:p w14:paraId="66D0FAB8">
            <w:pPr>
              <w:spacing w:line="360" w:lineRule="exact"/>
              <w:jc w:val="center"/>
              <w:rPr>
                <w:rFonts w:ascii="宋体" w:hAnsi="宋体"/>
                <w:color w:val="000000"/>
                <w:sz w:val="28"/>
                <w:szCs w:val="28"/>
              </w:rPr>
            </w:pPr>
          </w:p>
        </w:tc>
        <w:tc>
          <w:tcPr>
            <w:tcW w:w="955" w:type="dxa"/>
            <w:vAlign w:val="center"/>
          </w:tcPr>
          <w:p w14:paraId="13B42F85">
            <w:pPr>
              <w:spacing w:line="360" w:lineRule="exact"/>
              <w:jc w:val="center"/>
              <w:rPr>
                <w:rFonts w:ascii="宋体" w:hAnsi="宋体"/>
                <w:color w:val="000000"/>
                <w:sz w:val="28"/>
                <w:szCs w:val="28"/>
              </w:rPr>
            </w:pPr>
          </w:p>
        </w:tc>
        <w:tc>
          <w:tcPr>
            <w:tcW w:w="916" w:type="dxa"/>
            <w:vAlign w:val="center"/>
          </w:tcPr>
          <w:p w14:paraId="5ACDD7A3">
            <w:pPr>
              <w:spacing w:line="360" w:lineRule="exact"/>
              <w:jc w:val="center"/>
              <w:rPr>
                <w:rFonts w:ascii="宋体" w:hAnsi="宋体"/>
                <w:color w:val="000000"/>
                <w:sz w:val="28"/>
                <w:szCs w:val="28"/>
              </w:rPr>
            </w:pPr>
          </w:p>
        </w:tc>
      </w:tr>
    </w:tbl>
    <w:p w14:paraId="04833C00">
      <w:pPr>
        <w:spacing w:line="360" w:lineRule="exact"/>
        <w:rPr>
          <w:rFonts w:ascii="宋体" w:hAnsi="宋体"/>
          <w:color w:val="000000"/>
          <w:szCs w:val="21"/>
        </w:rPr>
      </w:pPr>
    </w:p>
    <w:p w14:paraId="5AC095B7">
      <w:pPr>
        <w:spacing w:line="360" w:lineRule="exact"/>
        <w:rPr>
          <w:rFonts w:ascii="宋体" w:hAnsi="宋体"/>
          <w:color w:val="000000"/>
          <w:sz w:val="30"/>
          <w:szCs w:val="30"/>
          <w:highlight w:val="yellow"/>
        </w:rPr>
      </w:pPr>
      <w:r>
        <w:rPr>
          <w:rFonts w:hint="eastAsia" w:ascii="宋体" w:hAnsi="宋体"/>
          <w:color w:val="000000"/>
          <w:sz w:val="30"/>
          <w:szCs w:val="30"/>
          <w:highlight w:val="yellow"/>
        </w:rPr>
        <w:t>注：1、投标人须严格按照招标文件要求（附表6及评分细则中要求）配备相应项目职务的人员。</w:t>
      </w:r>
    </w:p>
    <w:p w14:paraId="533C67F1">
      <w:pPr>
        <w:spacing w:line="360" w:lineRule="exact"/>
        <w:rPr>
          <w:rFonts w:ascii="宋体" w:hAnsi="宋体"/>
          <w:color w:val="000000"/>
          <w:sz w:val="30"/>
          <w:szCs w:val="30"/>
          <w:highlight w:val="yellow"/>
        </w:rPr>
      </w:pPr>
      <w:r>
        <w:rPr>
          <w:rFonts w:hint="eastAsia" w:ascii="宋体" w:hAnsi="宋体"/>
          <w:color w:val="000000"/>
          <w:sz w:val="30"/>
          <w:szCs w:val="30"/>
          <w:highlight w:val="yellow"/>
        </w:rPr>
        <w:t>2、本附表7中人员对应的项目职务，作为评委会评审的依据。</w:t>
      </w:r>
      <w:r>
        <w:rPr>
          <w:rFonts w:ascii="宋体" w:hAnsi="宋体"/>
          <w:color w:val="000000"/>
          <w:szCs w:val="21"/>
        </w:rPr>
        <w:br w:type="page"/>
      </w:r>
      <w:r>
        <w:rPr>
          <w:rFonts w:hint="eastAsia" w:ascii="宋体" w:hAnsi="宋体"/>
          <w:color w:val="000000"/>
          <w:sz w:val="24"/>
        </w:rPr>
        <w:t>附表8：</w:t>
      </w:r>
    </w:p>
    <w:p w14:paraId="120916E4">
      <w:pPr>
        <w:spacing w:line="360" w:lineRule="exact"/>
        <w:jc w:val="center"/>
        <w:rPr>
          <w:rFonts w:ascii="宋体" w:hAnsi="宋体"/>
          <w:bCs/>
          <w:color w:val="000000"/>
          <w:spacing w:val="40"/>
          <w:sz w:val="24"/>
        </w:rPr>
      </w:pPr>
      <w:r>
        <w:rPr>
          <w:rFonts w:hint="eastAsia" w:ascii="宋体" w:hAnsi="宋体"/>
          <w:bCs/>
          <w:color w:val="000000"/>
          <w:spacing w:val="40"/>
          <w:sz w:val="24"/>
        </w:rPr>
        <w:t>拟投入监理人员简历表</w:t>
      </w:r>
    </w:p>
    <w:p w14:paraId="6342F778">
      <w:pPr>
        <w:spacing w:line="360" w:lineRule="exact"/>
        <w:rPr>
          <w:rFonts w:ascii="宋体" w:hAnsi="宋体"/>
          <w:color w:val="000000"/>
          <w:szCs w:val="21"/>
        </w:rPr>
      </w:pPr>
    </w:p>
    <w:tbl>
      <w:tblPr>
        <w:tblStyle w:val="3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
        <w:gridCol w:w="1625"/>
        <w:gridCol w:w="1625"/>
        <w:gridCol w:w="1629"/>
        <w:gridCol w:w="1627"/>
        <w:gridCol w:w="1633"/>
      </w:tblGrid>
      <w:tr w14:paraId="6202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9" w:type="dxa"/>
            <w:gridSpan w:val="2"/>
            <w:vAlign w:val="center"/>
          </w:tcPr>
          <w:p w14:paraId="77B1A029">
            <w:pPr>
              <w:spacing w:line="360" w:lineRule="exact"/>
              <w:jc w:val="center"/>
              <w:rPr>
                <w:rFonts w:ascii="宋体" w:hAnsi="宋体"/>
                <w:color w:val="000000"/>
                <w:sz w:val="28"/>
                <w:szCs w:val="28"/>
              </w:rPr>
            </w:pPr>
            <w:r>
              <w:rPr>
                <w:rFonts w:hint="eastAsia" w:ascii="宋体" w:hAnsi="宋体"/>
                <w:color w:val="000000"/>
                <w:sz w:val="28"/>
                <w:szCs w:val="28"/>
              </w:rPr>
              <w:t>姓  名</w:t>
            </w:r>
          </w:p>
        </w:tc>
        <w:tc>
          <w:tcPr>
            <w:tcW w:w="1625" w:type="dxa"/>
            <w:vAlign w:val="center"/>
          </w:tcPr>
          <w:p w14:paraId="330F45A8">
            <w:pPr>
              <w:spacing w:line="360" w:lineRule="exact"/>
              <w:jc w:val="center"/>
              <w:rPr>
                <w:rFonts w:ascii="宋体" w:hAnsi="宋体"/>
                <w:color w:val="000000"/>
                <w:sz w:val="28"/>
                <w:szCs w:val="28"/>
              </w:rPr>
            </w:pPr>
          </w:p>
        </w:tc>
        <w:tc>
          <w:tcPr>
            <w:tcW w:w="1625" w:type="dxa"/>
            <w:vAlign w:val="center"/>
          </w:tcPr>
          <w:p w14:paraId="59E1AA8C">
            <w:pPr>
              <w:spacing w:line="360" w:lineRule="exact"/>
              <w:jc w:val="center"/>
              <w:rPr>
                <w:rFonts w:ascii="宋体" w:hAnsi="宋体"/>
                <w:color w:val="000000"/>
                <w:sz w:val="28"/>
                <w:szCs w:val="28"/>
              </w:rPr>
            </w:pPr>
            <w:r>
              <w:rPr>
                <w:rFonts w:hint="eastAsia" w:ascii="宋体" w:hAnsi="宋体"/>
                <w:color w:val="000000"/>
                <w:sz w:val="28"/>
                <w:szCs w:val="28"/>
              </w:rPr>
              <w:t>性  别</w:t>
            </w:r>
          </w:p>
        </w:tc>
        <w:tc>
          <w:tcPr>
            <w:tcW w:w="1629" w:type="dxa"/>
            <w:vAlign w:val="center"/>
          </w:tcPr>
          <w:p w14:paraId="04E2EE35">
            <w:pPr>
              <w:spacing w:line="360" w:lineRule="exact"/>
              <w:jc w:val="center"/>
              <w:rPr>
                <w:rFonts w:ascii="宋体" w:hAnsi="宋体"/>
                <w:color w:val="000000"/>
                <w:sz w:val="28"/>
                <w:szCs w:val="28"/>
              </w:rPr>
            </w:pPr>
          </w:p>
        </w:tc>
        <w:tc>
          <w:tcPr>
            <w:tcW w:w="1627" w:type="dxa"/>
            <w:vAlign w:val="center"/>
          </w:tcPr>
          <w:p w14:paraId="4E0D61EC">
            <w:pPr>
              <w:spacing w:line="360" w:lineRule="exact"/>
              <w:jc w:val="center"/>
              <w:rPr>
                <w:rFonts w:ascii="宋体" w:hAnsi="宋体"/>
                <w:color w:val="000000"/>
                <w:sz w:val="28"/>
                <w:szCs w:val="28"/>
              </w:rPr>
            </w:pPr>
            <w:r>
              <w:rPr>
                <w:rFonts w:hint="eastAsia" w:ascii="宋体" w:hAnsi="宋体"/>
                <w:color w:val="000000"/>
                <w:sz w:val="28"/>
                <w:szCs w:val="28"/>
              </w:rPr>
              <w:t>出生年月</w:t>
            </w:r>
          </w:p>
        </w:tc>
        <w:tc>
          <w:tcPr>
            <w:tcW w:w="1633" w:type="dxa"/>
            <w:vAlign w:val="center"/>
          </w:tcPr>
          <w:p w14:paraId="086BA23F">
            <w:pPr>
              <w:spacing w:line="360" w:lineRule="exact"/>
              <w:jc w:val="center"/>
              <w:rPr>
                <w:rFonts w:ascii="宋体" w:hAnsi="宋体"/>
                <w:color w:val="000000"/>
                <w:sz w:val="28"/>
                <w:szCs w:val="28"/>
              </w:rPr>
            </w:pPr>
          </w:p>
        </w:tc>
      </w:tr>
      <w:tr w14:paraId="48E0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9" w:type="dxa"/>
            <w:gridSpan w:val="2"/>
            <w:vAlign w:val="center"/>
          </w:tcPr>
          <w:p w14:paraId="19F53D28">
            <w:pPr>
              <w:spacing w:line="360" w:lineRule="exact"/>
              <w:jc w:val="center"/>
              <w:rPr>
                <w:rFonts w:ascii="宋体" w:hAnsi="宋体"/>
                <w:color w:val="000000"/>
                <w:sz w:val="28"/>
                <w:szCs w:val="28"/>
              </w:rPr>
            </w:pPr>
            <w:r>
              <w:rPr>
                <w:rFonts w:hint="eastAsia" w:ascii="宋体" w:hAnsi="宋体"/>
                <w:color w:val="000000"/>
                <w:sz w:val="28"/>
                <w:szCs w:val="28"/>
              </w:rPr>
              <w:t>最终学历</w:t>
            </w:r>
          </w:p>
        </w:tc>
        <w:tc>
          <w:tcPr>
            <w:tcW w:w="1625" w:type="dxa"/>
            <w:vAlign w:val="center"/>
          </w:tcPr>
          <w:p w14:paraId="3F0AD282">
            <w:pPr>
              <w:spacing w:line="360" w:lineRule="exact"/>
              <w:jc w:val="center"/>
              <w:rPr>
                <w:rFonts w:ascii="宋体" w:hAnsi="宋体"/>
                <w:color w:val="000000"/>
                <w:sz w:val="28"/>
                <w:szCs w:val="28"/>
              </w:rPr>
            </w:pPr>
          </w:p>
        </w:tc>
        <w:tc>
          <w:tcPr>
            <w:tcW w:w="1625" w:type="dxa"/>
            <w:vAlign w:val="center"/>
          </w:tcPr>
          <w:p w14:paraId="2F392850">
            <w:pPr>
              <w:spacing w:line="360" w:lineRule="exact"/>
              <w:jc w:val="center"/>
              <w:rPr>
                <w:rFonts w:ascii="宋体" w:hAnsi="宋体"/>
                <w:color w:val="000000"/>
                <w:sz w:val="28"/>
                <w:szCs w:val="28"/>
              </w:rPr>
            </w:pPr>
            <w:r>
              <w:rPr>
                <w:rFonts w:hint="eastAsia" w:ascii="宋体" w:hAnsi="宋体"/>
                <w:color w:val="000000"/>
                <w:sz w:val="28"/>
                <w:szCs w:val="28"/>
              </w:rPr>
              <w:t>毕业院校专业及时间</w:t>
            </w:r>
          </w:p>
        </w:tc>
        <w:tc>
          <w:tcPr>
            <w:tcW w:w="1629" w:type="dxa"/>
            <w:vAlign w:val="center"/>
          </w:tcPr>
          <w:p w14:paraId="2B124251">
            <w:pPr>
              <w:spacing w:line="360" w:lineRule="exact"/>
              <w:jc w:val="center"/>
              <w:rPr>
                <w:rFonts w:ascii="宋体" w:hAnsi="宋体"/>
                <w:color w:val="000000"/>
                <w:sz w:val="28"/>
                <w:szCs w:val="28"/>
              </w:rPr>
            </w:pPr>
          </w:p>
        </w:tc>
        <w:tc>
          <w:tcPr>
            <w:tcW w:w="1627" w:type="dxa"/>
            <w:vAlign w:val="center"/>
          </w:tcPr>
          <w:p w14:paraId="6A2E1762">
            <w:pPr>
              <w:spacing w:line="360" w:lineRule="exact"/>
              <w:jc w:val="center"/>
              <w:rPr>
                <w:rFonts w:ascii="宋体" w:hAnsi="宋体"/>
                <w:color w:val="000000"/>
                <w:sz w:val="28"/>
                <w:szCs w:val="28"/>
              </w:rPr>
            </w:pPr>
            <w:r>
              <w:rPr>
                <w:rFonts w:hint="eastAsia" w:ascii="宋体" w:hAnsi="宋体"/>
                <w:color w:val="000000"/>
                <w:sz w:val="28"/>
                <w:szCs w:val="28"/>
              </w:rPr>
              <w:t>政治面貌</w:t>
            </w:r>
          </w:p>
        </w:tc>
        <w:tc>
          <w:tcPr>
            <w:tcW w:w="1633" w:type="dxa"/>
            <w:vAlign w:val="center"/>
          </w:tcPr>
          <w:p w14:paraId="4E33470E">
            <w:pPr>
              <w:spacing w:line="360" w:lineRule="exact"/>
              <w:jc w:val="center"/>
              <w:rPr>
                <w:rFonts w:ascii="宋体" w:hAnsi="宋体"/>
                <w:color w:val="000000"/>
                <w:sz w:val="28"/>
                <w:szCs w:val="28"/>
              </w:rPr>
            </w:pPr>
          </w:p>
        </w:tc>
      </w:tr>
      <w:tr w14:paraId="7025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9" w:type="dxa"/>
            <w:gridSpan w:val="2"/>
            <w:vAlign w:val="center"/>
          </w:tcPr>
          <w:p w14:paraId="2DA527B6">
            <w:pPr>
              <w:spacing w:line="360" w:lineRule="exact"/>
              <w:jc w:val="center"/>
              <w:rPr>
                <w:rFonts w:ascii="宋体" w:hAnsi="宋体"/>
                <w:color w:val="000000"/>
                <w:sz w:val="28"/>
                <w:szCs w:val="28"/>
              </w:rPr>
            </w:pPr>
            <w:r>
              <w:rPr>
                <w:rFonts w:hint="eastAsia" w:ascii="宋体" w:hAnsi="宋体"/>
                <w:color w:val="000000"/>
                <w:sz w:val="28"/>
                <w:szCs w:val="28"/>
              </w:rPr>
              <w:t>现任职务</w:t>
            </w:r>
          </w:p>
        </w:tc>
        <w:tc>
          <w:tcPr>
            <w:tcW w:w="1625" w:type="dxa"/>
            <w:vAlign w:val="center"/>
          </w:tcPr>
          <w:p w14:paraId="1AEF68BE">
            <w:pPr>
              <w:spacing w:line="360" w:lineRule="exact"/>
              <w:jc w:val="center"/>
              <w:rPr>
                <w:rFonts w:ascii="宋体" w:hAnsi="宋体"/>
                <w:color w:val="000000"/>
                <w:sz w:val="28"/>
                <w:szCs w:val="28"/>
              </w:rPr>
            </w:pPr>
          </w:p>
        </w:tc>
        <w:tc>
          <w:tcPr>
            <w:tcW w:w="1625" w:type="dxa"/>
            <w:vAlign w:val="center"/>
          </w:tcPr>
          <w:p w14:paraId="0E808D0F">
            <w:pPr>
              <w:spacing w:line="360" w:lineRule="exact"/>
              <w:jc w:val="center"/>
              <w:rPr>
                <w:rFonts w:ascii="宋体" w:hAnsi="宋体"/>
                <w:color w:val="000000"/>
                <w:sz w:val="28"/>
                <w:szCs w:val="28"/>
              </w:rPr>
            </w:pPr>
            <w:r>
              <w:rPr>
                <w:rFonts w:hint="eastAsia" w:ascii="宋体" w:hAnsi="宋体"/>
                <w:color w:val="000000"/>
                <w:sz w:val="28"/>
                <w:szCs w:val="28"/>
              </w:rPr>
              <w:t>技术职称</w:t>
            </w:r>
          </w:p>
        </w:tc>
        <w:tc>
          <w:tcPr>
            <w:tcW w:w="1629" w:type="dxa"/>
            <w:vAlign w:val="center"/>
          </w:tcPr>
          <w:p w14:paraId="2539EFEA">
            <w:pPr>
              <w:spacing w:line="360" w:lineRule="exact"/>
              <w:jc w:val="center"/>
              <w:rPr>
                <w:rFonts w:ascii="宋体" w:hAnsi="宋体"/>
                <w:color w:val="000000"/>
                <w:sz w:val="28"/>
                <w:szCs w:val="28"/>
              </w:rPr>
            </w:pPr>
          </w:p>
        </w:tc>
        <w:tc>
          <w:tcPr>
            <w:tcW w:w="1627" w:type="dxa"/>
            <w:vAlign w:val="center"/>
          </w:tcPr>
          <w:p w14:paraId="221349ED">
            <w:pPr>
              <w:spacing w:line="360" w:lineRule="exact"/>
              <w:jc w:val="center"/>
              <w:rPr>
                <w:rFonts w:ascii="宋体" w:hAnsi="宋体"/>
                <w:color w:val="000000"/>
                <w:sz w:val="28"/>
                <w:szCs w:val="28"/>
              </w:rPr>
            </w:pPr>
            <w:r>
              <w:rPr>
                <w:rFonts w:hint="eastAsia" w:ascii="宋体" w:hAnsi="宋体"/>
                <w:color w:val="000000"/>
                <w:sz w:val="28"/>
                <w:szCs w:val="28"/>
              </w:rPr>
              <w:t>聘任时间</w:t>
            </w:r>
          </w:p>
        </w:tc>
        <w:tc>
          <w:tcPr>
            <w:tcW w:w="1633" w:type="dxa"/>
            <w:vAlign w:val="center"/>
          </w:tcPr>
          <w:p w14:paraId="5CFEDE65">
            <w:pPr>
              <w:spacing w:line="360" w:lineRule="exact"/>
              <w:jc w:val="center"/>
              <w:rPr>
                <w:rFonts w:ascii="宋体" w:hAnsi="宋体"/>
                <w:color w:val="000000"/>
                <w:sz w:val="28"/>
                <w:szCs w:val="28"/>
              </w:rPr>
            </w:pPr>
          </w:p>
        </w:tc>
      </w:tr>
      <w:tr w14:paraId="160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9" w:type="dxa"/>
            <w:gridSpan w:val="2"/>
            <w:vAlign w:val="center"/>
          </w:tcPr>
          <w:p w14:paraId="5CCD30E5">
            <w:pPr>
              <w:spacing w:line="360" w:lineRule="exact"/>
              <w:jc w:val="center"/>
              <w:rPr>
                <w:rFonts w:ascii="宋体" w:hAnsi="宋体"/>
                <w:color w:val="000000"/>
                <w:sz w:val="28"/>
                <w:szCs w:val="28"/>
              </w:rPr>
            </w:pPr>
            <w:r>
              <w:rPr>
                <w:rFonts w:hint="eastAsia" w:ascii="宋体" w:hAnsi="宋体"/>
                <w:color w:val="000000"/>
                <w:sz w:val="28"/>
                <w:szCs w:val="28"/>
              </w:rPr>
              <w:t>从事设计工作年限</w:t>
            </w:r>
          </w:p>
        </w:tc>
        <w:tc>
          <w:tcPr>
            <w:tcW w:w="1625" w:type="dxa"/>
            <w:vAlign w:val="center"/>
          </w:tcPr>
          <w:p w14:paraId="2E384722">
            <w:pPr>
              <w:spacing w:line="360" w:lineRule="exact"/>
              <w:jc w:val="center"/>
              <w:rPr>
                <w:rFonts w:ascii="宋体" w:hAnsi="宋体"/>
                <w:color w:val="000000"/>
                <w:sz w:val="28"/>
                <w:szCs w:val="28"/>
              </w:rPr>
            </w:pPr>
          </w:p>
        </w:tc>
        <w:tc>
          <w:tcPr>
            <w:tcW w:w="1625" w:type="dxa"/>
            <w:vAlign w:val="center"/>
          </w:tcPr>
          <w:p w14:paraId="1F51F6F6">
            <w:pPr>
              <w:spacing w:line="360" w:lineRule="exact"/>
              <w:jc w:val="center"/>
              <w:rPr>
                <w:rFonts w:ascii="宋体" w:hAnsi="宋体"/>
                <w:color w:val="000000"/>
                <w:sz w:val="28"/>
                <w:szCs w:val="28"/>
              </w:rPr>
            </w:pPr>
            <w:r>
              <w:rPr>
                <w:rFonts w:hint="eastAsia" w:ascii="宋体" w:hAnsi="宋体"/>
                <w:color w:val="000000"/>
                <w:sz w:val="28"/>
                <w:szCs w:val="28"/>
              </w:rPr>
              <w:t>从事施工工作年限</w:t>
            </w:r>
          </w:p>
        </w:tc>
        <w:tc>
          <w:tcPr>
            <w:tcW w:w="1629" w:type="dxa"/>
            <w:vAlign w:val="center"/>
          </w:tcPr>
          <w:p w14:paraId="21E0DD82">
            <w:pPr>
              <w:spacing w:line="360" w:lineRule="exact"/>
              <w:jc w:val="center"/>
              <w:rPr>
                <w:rFonts w:ascii="宋体" w:hAnsi="宋体"/>
                <w:color w:val="000000"/>
                <w:sz w:val="28"/>
                <w:szCs w:val="28"/>
              </w:rPr>
            </w:pPr>
          </w:p>
        </w:tc>
        <w:tc>
          <w:tcPr>
            <w:tcW w:w="1627" w:type="dxa"/>
            <w:vAlign w:val="center"/>
          </w:tcPr>
          <w:p w14:paraId="0FB4C1B8">
            <w:pPr>
              <w:spacing w:line="360" w:lineRule="exact"/>
              <w:jc w:val="center"/>
              <w:rPr>
                <w:rFonts w:ascii="宋体" w:hAnsi="宋体"/>
                <w:color w:val="000000"/>
                <w:sz w:val="28"/>
                <w:szCs w:val="28"/>
              </w:rPr>
            </w:pPr>
            <w:r>
              <w:rPr>
                <w:rFonts w:hint="eastAsia" w:ascii="宋体" w:hAnsi="宋体"/>
                <w:color w:val="000000"/>
                <w:sz w:val="28"/>
                <w:szCs w:val="28"/>
              </w:rPr>
              <w:t>从事监理工作年限</w:t>
            </w:r>
          </w:p>
        </w:tc>
        <w:tc>
          <w:tcPr>
            <w:tcW w:w="1633" w:type="dxa"/>
            <w:vAlign w:val="center"/>
          </w:tcPr>
          <w:p w14:paraId="0CFA341E">
            <w:pPr>
              <w:spacing w:line="360" w:lineRule="exact"/>
              <w:jc w:val="center"/>
              <w:rPr>
                <w:rFonts w:ascii="宋体" w:hAnsi="宋体"/>
                <w:color w:val="000000"/>
                <w:sz w:val="28"/>
                <w:szCs w:val="28"/>
              </w:rPr>
            </w:pPr>
          </w:p>
        </w:tc>
      </w:tr>
      <w:tr w14:paraId="7411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709" w:type="dxa"/>
            <w:gridSpan w:val="2"/>
            <w:vAlign w:val="center"/>
          </w:tcPr>
          <w:p w14:paraId="49A6A6AB">
            <w:pPr>
              <w:spacing w:line="360" w:lineRule="exact"/>
              <w:jc w:val="center"/>
              <w:rPr>
                <w:rFonts w:ascii="宋体" w:hAnsi="宋体"/>
                <w:color w:val="000000"/>
                <w:sz w:val="28"/>
                <w:szCs w:val="28"/>
              </w:rPr>
            </w:pPr>
            <w:r>
              <w:rPr>
                <w:rFonts w:hint="eastAsia" w:ascii="宋体" w:hAnsi="宋体"/>
                <w:color w:val="000000"/>
                <w:sz w:val="28"/>
                <w:szCs w:val="28"/>
              </w:rPr>
              <w:t>居民身份证号码</w:t>
            </w:r>
          </w:p>
        </w:tc>
        <w:tc>
          <w:tcPr>
            <w:tcW w:w="8139" w:type="dxa"/>
            <w:gridSpan w:val="5"/>
            <w:vAlign w:val="center"/>
          </w:tcPr>
          <w:p w14:paraId="5E997626">
            <w:pPr>
              <w:spacing w:line="360" w:lineRule="exact"/>
              <w:rPr>
                <w:rFonts w:ascii="宋体" w:hAnsi="宋体"/>
                <w:color w:val="000000"/>
                <w:sz w:val="28"/>
                <w:szCs w:val="28"/>
              </w:rPr>
            </w:pPr>
          </w:p>
        </w:tc>
      </w:tr>
      <w:tr w14:paraId="4950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709" w:type="dxa"/>
            <w:gridSpan w:val="2"/>
            <w:vMerge w:val="restart"/>
            <w:vAlign w:val="center"/>
          </w:tcPr>
          <w:p w14:paraId="5CACD64E">
            <w:pPr>
              <w:spacing w:line="360" w:lineRule="exact"/>
              <w:jc w:val="center"/>
              <w:rPr>
                <w:rFonts w:ascii="宋体" w:hAnsi="宋体"/>
                <w:color w:val="000000"/>
                <w:sz w:val="28"/>
                <w:szCs w:val="28"/>
              </w:rPr>
            </w:pPr>
            <w:r>
              <w:rPr>
                <w:rFonts w:hint="eastAsia" w:ascii="宋体" w:hAnsi="宋体"/>
                <w:color w:val="000000"/>
                <w:sz w:val="28"/>
                <w:szCs w:val="28"/>
              </w:rPr>
              <w:t>证书名称及证书编号</w:t>
            </w:r>
          </w:p>
        </w:tc>
        <w:tc>
          <w:tcPr>
            <w:tcW w:w="1625" w:type="dxa"/>
            <w:vAlign w:val="center"/>
          </w:tcPr>
          <w:p w14:paraId="0C9C1DB2">
            <w:pPr>
              <w:spacing w:line="360" w:lineRule="exact"/>
              <w:jc w:val="center"/>
              <w:rPr>
                <w:rFonts w:ascii="宋体" w:hAnsi="宋体"/>
                <w:color w:val="000000"/>
                <w:sz w:val="28"/>
                <w:szCs w:val="28"/>
              </w:rPr>
            </w:pPr>
            <w:r>
              <w:rPr>
                <w:rFonts w:hint="eastAsia" w:ascii="宋体" w:hAnsi="宋体"/>
                <w:color w:val="000000"/>
                <w:sz w:val="28"/>
                <w:szCs w:val="28"/>
              </w:rPr>
              <w:t>序  号</w:t>
            </w:r>
          </w:p>
        </w:tc>
        <w:tc>
          <w:tcPr>
            <w:tcW w:w="3254" w:type="dxa"/>
            <w:gridSpan w:val="2"/>
            <w:vAlign w:val="center"/>
          </w:tcPr>
          <w:p w14:paraId="3E2B10EF">
            <w:pPr>
              <w:spacing w:line="360" w:lineRule="exact"/>
              <w:jc w:val="center"/>
              <w:rPr>
                <w:rFonts w:ascii="宋体" w:hAnsi="宋体"/>
                <w:color w:val="000000"/>
                <w:sz w:val="28"/>
                <w:szCs w:val="28"/>
              </w:rPr>
            </w:pPr>
            <w:r>
              <w:rPr>
                <w:rFonts w:hint="eastAsia" w:ascii="宋体" w:hAnsi="宋体"/>
                <w:color w:val="000000"/>
                <w:sz w:val="28"/>
                <w:szCs w:val="28"/>
              </w:rPr>
              <w:t>证 书 名 称</w:t>
            </w:r>
          </w:p>
        </w:tc>
        <w:tc>
          <w:tcPr>
            <w:tcW w:w="3260" w:type="dxa"/>
            <w:gridSpan w:val="2"/>
            <w:vAlign w:val="center"/>
          </w:tcPr>
          <w:p w14:paraId="4492FED4">
            <w:pPr>
              <w:spacing w:line="360" w:lineRule="exact"/>
              <w:jc w:val="center"/>
              <w:rPr>
                <w:rFonts w:ascii="宋体" w:hAnsi="宋体"/>
                <w:color w:val="000000"/>
                <w:sz w:val="28"/>
                <w:szCs w:val="28"/>
              </w:rPr>
            </w:pPr>
            <w:r>
              <w:rPr>
                <w:rFonts w:hint="eastAsia" w:ascii="宋体" w:hAnsi="宋体"/>
                <w:color w:val="000000"/>
                <w:sz w:val="28"/>
                <w:szCs w:val="28"/>
              </w:rPr>
              <w:t>证 书 编 号</w:t>
            </w:r>
          </w:p>
        </w:tc>
      </w:tr>
      <w:tr w14:paraId="223D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709" w:type="dxa"/>
            <w:gridSpan w:val="2"/>
            <w:vMerge w:val="continue"/>
            <w:vAlign w:val="center"/>
          </w:tcPr>
          <w:p w14:paraId="305410B7">
            <w:pPr>
              <w:spacing w:line="360" w:lineRule="exact"/>
              <w:jc w:val="center"/>
              <w:rPr>
                <w:rFonts w:ascii="宋体" w:hAnsi="宋体"/>
                <w:color w:val="000000"/>
                <w:sz w:val="28"/>
                <w:szCs w:val="28"/>
              </w:rPr>
            </w:pPr>
          </w:p>
        </w:tc>
        <w:tc>
          <w:tcPr>
            <w:tcW w:w="1625" w:type="dxa"/>
            <w:vAlign w:val="center"/>
          </w:tcPr>
          <w:p w14:paraId="75E7906B">
            <w:pPr>
              <w:spacing w:line="360" w:lineRule="exact"/>
              <w:jc w:val="center"/>
              <w:rPr>
                <w:rFonts w:ascii="宋体" w:hAnsi="宋体"/>
                <w:color w:val="000000"/>
                <w:sz w:val="28"/>
                <w:szCs w:val="28"/>
              </w:rPr>
            </w:pPr>
            <w:r>
              <w:rPr>
                <w:rFonts w:hint="eastAsia" w:ascii="宋体" w:hAnsi="宋体"/>
                <w:color w:val="000000"/>
                <w:sz w:val="28"/>
                <w:szCs w:val="28"/>
              </w:rPr>
              <w:t>1</w:t>
            </w:r>
          </w:p>
        </w:tc>
        <w:tc>
          <w:tcPr>
            <w:tcW w:w="3254" w:type="dxa"/>
            <w:gridSpan w:val="2"/>
            <w:vAlign w:val="center"/>
          </w:tcPr>
          <w:p w14:paraId="15C2E0FC">
            <w:pPr>
              <w:spacing w:line="360" w:lineRule="exact"/>
              <w:jc w:val="center"/>
              <w:rPr>
                <w:rFonts w:ascii="宋体" w:hAnsi="宋体"/>
                <w:color w:val="000000"/>
                <w:sz w:val="28"/>
                <w:szCs w:val="28"/>
              </w:rPr>
            </w:pPr>
          </w:p>
        </w:tc>
        <w:tc>
          <w:tcPr>
            <w:tcW w:w="3260" w:type="dxa"/>
            <w:gridSpan w:val="2"/>
            <w:vAlign w:val="center"/>
          </w:tcPr>
          <w:p w14:paraId="27AD25ED">
            <w:pPr>
              <w:spacing w:line="360" w:lineRule="exact"/>
              <w:jc w:val="center"/>
              <w:rPr>
                <w:rFonts w:ascii="宋体" w:hAnsi="宋体"/>
                <w:color w:val="000000"/>
                <w:sz w:val="28"/>
                <w:szCs w:val="28"/>
              </w:rPr>
            </w:pPr>
          </w:p>
        </w:tc>
      </w:tr>
      <w:tr w14:paraId="3C1F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709" w:type="dxa"/>
            <w:gridSpan w:val="2"/>
            <w:vMerge w:val="continue"/>
            <w:vAlign w:val="center"/>
          </w:tcPr>
          <w:p w14:paraId="7C401FB6">
            <w:pPr>
              <w:spacing w:line="360" w:lineRule="exact"/>
              <w:jc w:val="center"/>
              <w:rPr>
                <w:rFonts w:ascii="宋体" w:hAnsi="宋体"/>
                <w:color w:val="000000"/>
                <w:sz w:val="28"/>
                <w:szCs w:val="28"/>
              </w:rPr>
            </w:pPr>
          </w:p>
        </w:tc>
        <w:tc>
          <w:tcPr>
            <w:tcW w:w="1625" w:type="dxa"/>
            <w:vAlign w:val="center"/>
          </w:tcPr>
          <w:p w14:paraId="17703089">
            <w:pPr>
              <w:spacing w:line="360" w:lineRule="exact"/>
              <w:jc w:val="center"/>
              <w:rPr>
                <w:rFonts w:ascii="宋体" w:hAnsi="宋体"/>
                <w:color w:val="000000"/>
                <w:sz w:val="28"/>
                <w:szCs w:val="28"/>
              </w:rPr>
            </w:pPr>
            <w:r>
              <w:rPr>
                <w:rFonts w:hint="eastAsia" w:ascii="宋体" w:hAnsi="宋体"/>
                <w:color w:val="000000"/>
                <w:sz w:val="28"/>
                <w:szCs w:val="28"/>
              </w:rPr>
              <w:t>2</w:t>
            </w:r>
          </w:p>
        </w:tc>
        <w:tc>
          <w:tcPr>
            <w:tcW w:w="3254" w:type="dxa"/>
            <w:gridSpan w:val="2"/>
            <w:vAlign w:val="center"/>
          </w:tcPr>
          <w:p w14:paraId="0317574B">
            <w:pPr>
              <w:spacing w:line="360" w:lineRule="exact"/>
              <w:jc w:val="center"/>
              <w:rPr>
                <w:rFonts w:ascii="宋体" w:hAnsi="宋体"/>
                <w:color w:val="000000"/>
                <w:sz w:val="28"/>
                <w:szCs w:val="28"/>
              </w:rPr>
            </w:pPr>
          </w:p>
        </w:tc>
        <w:tc>
          <w:tcPr>
            <w:tcW w:w="3260" w:type="dxa"/>
            <w:gridSpan w:val="2"/>
            <w:vAlign w:val="center"/>
          </w:tcPr>
          <w:p w14:paraId="6B1BD519">
            <w:pPr>
              <w:spacing w:line="360" w:lineRule="exact"/>
              <w:jc w:val="center"/>
              <w:rPr>
                <w:rFonts w:ascii="宋体" w:hAnsi="宋体"/>
                <w:color w:val="000000"/>
                <w:sz w:val="28"/>
                <w:szCs w:val="28"/>
              </w:rPr>
            </w:pPr>
          </w:p>
        </w:tc>
      </w:tr>
      <w:tr w14:paraId="0E0D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709" w:type="dxa"/>
            <w:gridSpan w:val="2"/>
            <w:vMerge w:val="continue"/>
            <w:vAlign w:val="center"/>
          </w:tcPr>
          <w:p w14:paraId="0599CDDF">
            <w:pPr>
              <w:spacing w:line="360" w:lineRule="exact"/>
              <w:jc w:val="center"/>
              <w:rPr>
                <w:rFonts w:ascii="宋体" w:hAnsi="宋体"/>
                <w:color w:val="000000"/>
                <w:sz w:val="28"/>
                <w:szCs w:val="28"/>
              </w:rPr>
            </w:pPr>
          </w:p>
        </w:tc>
        <w:tc>
          <w:tcPr>
            <w:tcW w:w="1625" w:type="dxa"/>
            <w:vAlign w:val="center"/>
          </w:tcPr>
          <w:p w14:paraId="1821B2D3">
            <w:pPr>
              <w:spacing w:line="360" w:lineRule="exact"/>
              <w:jc w:val="center"/>
              <w:rPr>
                <w:rFonts w:ascii="宋体" w:hAnsi="宋体"/>
                <w:color w:val="000000"/>
                <w:sz w:val="28"/>
                <w:szCs w:val="28"/>
              </w:rPr>
            </w:pPr>
          </w:p>
        </w:tc>
        <w:tc>
          <w:tcPr>
            <w:tcW w:w="3254" w:type="dxa"/>
            <w:gridSpan w:val="2"/>
            <w:vAlign w:val="center"/>
          </w:tcPr>
          <w:p w14:paraId="42B01A96">
            <w:pPr>
              <w:spacing w:line="360" w:lineRule="exact"/>
              <w:jc w:val="center"/>
              <w:rPr>
                <w:rFonts w:ascii="宋体" w:hAnsi="宋体"/>
                <w:color w:val="000000"/>
                <w:sz w:val="28"/>
                <w:szCs w:val="28"/>
              </w:rPr>
            </w:pPr>
          </w:p>
        </w:tc>
        <w:tc>
          <w:tcPr>
            <w:tcW w:w="3260" w:type="dxa"/>
            <w:gridSpan w:val="2"/>
            <w:vAlign w:val="center"/>
          </w:tcPr>
          <w:p w14:paraId="426C6C1A">
            <w:pPr>
              <w:spacing w:line="360" w:lineRule="exact"/>
              <w:jc w:val="center"/>
              <w:rPr>
                <w:rFonts w:ascii="宋体" w:hAnsi="宋体"/>
                <w:color w:val="000000"/>
                <w:sz w:val="28"/>
                <w:szCs w:val="28"/>
              </w:rPr>
            </w:pPr>
          </w:p>
        </w:tc>
      </w:tr>
      <w:tr w14:paraId="01DA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9" w:hRule="atLeast"/>
          <w:jc w:val="center"/>
        </w:trPr>
        <w:tc>
          <w:tcPr>
            <w:tcW w:w="1701" w:type="dxa"/>
            <w:vAlign w:val="center"/>
          </w:tcPr>
          <w:p w14:paraId="698D76A4">
            <w:pPr>
              <w:spacing w:line="360" w:lineRule="exact"/>
              <w:jc w:val="center"/>
              <w:rPr>
                <w:rFonts w:ascii="宋体" w:hAnsi="宋体"/>
                <w:color w:val="000000"/>
                <w:sz w:val="28"/>
                <w:szCs w:val="28"/>
              </w:rPr>
            </w:pPr>
            <w:r>
              <w:rPr>
                <w:rFonts w:hint="eastAsia" w:ascii="宋体" w:hAnsi="宋体"/>
                <w:color w:val="000000"/>
                <w:sz w:val="28"/>
                <w:szCs w:val="28"/>
              </w:rPr>
              <w:t>相关专业经历</w:t>
            </w:r>
          </w:p>
        </w:tc>
        <w:tc>
          <w:tcPr>
            <w:tcW w:w="8147" w:type="dxa"/>
            <w:gridSpan w:val="6"/>
            <w:vAlign w:val="center"/>
          </w:tcPr>
          <w:p w14:paraId="6763DB62">
            <w:pPr>
              <w:spacing w:line="360" w:lineRule="exact"/>
              <w:rPr>
                <w:rFonts w:ascii="宋体" w:hAnsi="宋体"/>
                <w:color w:val="000000"/>
                <w:sz w:val="28"/>
                <w:szCs w:val="28"/>
              </w:rPr>
            </w:pPr>
          </w:p>
        </w:tc>
      </w:tr>
      <w:tr w14:paraId="259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9" w:hRule="atLeast"/>
          <w:jc w:val="center"/>
        </w:trPr>
        <w:tc>
          <w:tcPr>
            <w:tcW w:w="1701" w:type="dxa"/>
            <w:vAlign w:val="center"/>
          </w:tcPr>
          <w:p w14:paraId="5112D086">
            <w:pPr>
              <w:spacing w:line="360" w:lineRule="exact"/>
              <w:jc w:val="center"/>
              <w:rPr>
                <w:rFonts w:ascii="宋体" w:hAnsi="宋体"/>
                <w:color w:val="000000"/>
                <w:sz w:val="28"/>
                <w:szCs w:val="28"/>
              </w:rPr>
            </w:pPr>
            <w:r>
              <w:rPr>
                <w:rFonts w:hint="eastAsia" w:ascii="宋体" w:hAnsi="宋体"/>
                <w:color w:val="000000"/>
                <w:sz w:val="28"/>
                <w:szCs w:val="28"/>
              </w:rPr>
              <w:t>施工监理</w:t>
            </w:r>
          </w:p>
          <w:p w14:paraId="5BBFA251">
            <w:pPr>
              <w:spacing w:line="360" w:lineRule="exact"/>
              <w:jc w:val="center"/>
              <w:rPr>
                <w:rFonts w:ascii="宋体" w:hAnsi="宋体"/>
                <w:color w:val="000000"/>
                <w:sz w:val="28"/>
                <w:szCs w:val="28"/>
              </w:rPr>
            </w:pPr>
            <w:r>
              <w:rPr>
                <w:rFonts w:hint="eastAsia" w:ascii="宋体" w:hAnsi="宋体"/>
                <w:color w:val="000000"/>
                <w:sz w:val="28"/>
                <w:szCs w:val="28"/>
              </w:rPr>
              <w:t>主要经历</w:t>
            </w:r>
          </w:p>
        </w:tc>
        <w:tc>
          <w:tcPr>
            <w:tcW w:w="8147" w:type="dxa"/>
            <w:gridSpan w:val="6"/>
          </w:tcPr>
          <w:p w14:paraId="41114E19">
            <w:pPr>
              <w:pStyle w:val="20"/>
              <w:spacing w:line="360" w:lineRule="exact"/>
              <w:rPr>
                <w:rFonts w:ascii="宋体" w:hAnsi="宋体"/>
                <w:color w:val="000000"/>
                <w:sz w:val="28"/>
                <w:szCs w:val="28"/>
              </w:rPr>
            </w:pPr>
          </w:p>
        </w:tc>
      </w:tr>
    </w:tbl>
    <w:p w14:paraId="309622C0">
      <w:pPr>
        <w:spacing w:line="400" w:lineRule="exact"/>
        <w:ind w:firstLine="420" w:firstLineChars="200"/>
        <w:rPr>
          <w:rFonts w:ascii="宋体" w:hAnsi="宋体"/>
          <w:color w:val="000000"/>
          <w:szCs w:val="21"/>
        </w:rPr>
      </w:pPr>
      <w:r>
        <w:rPr>
          <w:rFonts w:hint="eastAsia" w:ascii="宋体" w:hAnsi="宋体"/>
          <w:color w:val="000000"/>
          <w:szCs w:val="21"/>
        </w:rPr>
        <w:t>备注：本表附相应监理人员居民身份证、职称证书、注册执业证书或岗位证书等。</w:t>
      </w:r>
      <w:r>
        <w:rPr>
          <w:rFonts w:hint="eastAsia" w:ascii="宋体" w:hAnsi="宋体"/>
          <w:color w:val="000000"/>
          <w:sz w:val="30"/>
          <w:szCs w:val="30"/>
          <w:highlight w:val="green"/>
        </w:rPr>
        <w:t>(具体按招标公告和评标办法要求附相应资料)</w:t>
      </w:r>
    </w:p>
    <w:p w14:paraId="0130E35B">
      <w:pPr>
        <w:spacing w:line="400" w:lineRule="exact"/>
        <w:ind w:firstLine="420" w:firstLineChars="200"/>
        <w:rPr>
          <w:rFonts w:ascii="宋体" w:hAnsi="宋体"/>
          <w:color w:val="000000"/>
          <w:szCs w:val="21"/>
        </w:rPr>
      </w:pPr>
    </w:p>
    <w:p w14:paraId="4E48B3BC">
      <w:pPr>
        <w:spacing w:line="360" w:lineRule="exact"/>
        <w:rPr>
          <w:rFonts w:ascii="宋体" w:hAnsi="宋体"/>
          <w:color w:val="000000"/>
          <w:sz w:val="28"/>
          <w:szCs w:val="28"/>
        </w:rPr>
      </w:pPr>
    </w:p>
    <w:p w14:paraId="22DFD923">
      <w:pPr>
        <w:spacing w:line="360" w:lineRule="exact"/>
        <w:rPr>
          <w:rFonts w:ascii="宋体" w:hAnsi="宋体"/>
          <w:color w:val="000000"/>
          <w:sz w:val="28"/>
          <w:szCs w:val="28"/>
        </w:rPr>
      </w:pPr>
    </w:p>
    <w:p w14:paraId="0CC42DBD">
      <w:pPr>
        <w:spacing w:line="360" w:lineRule="exact"/>
        <w:rPr>
          <w:rFonts w:ascii="宋体" w:hAnsi="宋体"/>
          <w:color w:val="000000"/>
          <w:sz w:val="24"/>
        </w:rPr>
      </w:pPr>
      <w:r>
        <w:rPr>
          <w:rFonts w:hint="eastAsia" w:ascii="宋体" w:hAnsi="宋体"/>
          <w:color w:val="000000"/>
          <w:sz w:val="24"/>
        </w:rPr>
        <w:t>附表9：</w:t>
      </w:r>
    </w:p>
    <w:p w14:paraId="23B818EF">
      <w:pPr>
        <w:spacing w:line="360" w:lineRule="exact"/>
        <w:jc w:val="center"/>
        <w:rPr>
          <w:rFonts w:ascii="宋体" w:hAnsi="宋体"/>
          <w:bCs/>
          <w:color w:val="000000"/>
          <w:spacing w:val="40"/>
          <w:sz w:val="24"/>
        </w:rPr>
      </w:pPr>
      <w:r>
        <w:rPr>
          <w:rFonts w:hint="eastAsia" w:ascii="宋体" w:hAnsi="宋体"/>
          <w:bCs/>
          <w:color w:val="000000"/>
          <w:spacing w:val="40"/>
          <w:sz w:val="24"/>
        </w:rPr>
        <w:t>现场监理机构配备仪器设备表</w:t>
      </w:r>
    </w:p>
    <w:p w14:paraId="4F2FAA24">
      <w:pPr>
        <w:spacing w:line="360" w:lineRule="exact"/>
        <w:rPr>
          <w:rFonts w:ascii="宋体" w:hAnsi="宋体"/>
          <w:color w:val="000000"/>
          <w:sz w:val="28"/>
          <w:szCs w:val="28"/>
        </w:rPr>
      </w:pPr>
    </w:p>
    <w:tbl>
      <w:tblPr>
        <w:tblStyle w:val="32"/>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775"/>
        <w:gridCol w:w="1969"/>
        <w:gridCol w:w="1971"/>
        <w:gridCol w:w="1971"/>
      </w:tblGrid>
      <w:tr w14:paraId="139A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4" w:type="dxa"/>
            <w:vAlign w:val="center"/>
          </w:tcPr>
          <w:p w14:paraId="772751D9">
            <w:pPr>
              <w:spacing w:line="360" w:lineRule="exact"/>
              <w:jc w:val="center"/>
              <w:rPr>
                <w:rFonts w:ascii="宋体" w:hAnsi="宋体"/>
                <w:color w:val="000000"/>
                <w:sz w:val="28"/>
                <w:szCs w:val="28"/>
              </w:rPr>
            </w:pPr>
            <w:r>
              <w:rPr>
                <w:rFonts w:hint="eastAsia" w:ascii="宋体" w:hAnsi="宋体"/>
                <w:color w:val="000000"/>
                <w:sz w:val="28"/>
                <w:szCs w:val="28"/>
              </w:rPr>
              <w:t>序 号</w:t>
            </w:r>
          </w:p>
        </w:tc>
        <w:tc>
          <w:tcPr>
            <w:tcW w:w="2775" w:type="dxa"/>
            <w:vAlign w:val="center"/>
          </w:tcPr>
          <w:p w14:paraId="6C7252E8">
            <w:pPr>
              <w:spacing w:line="360" w:lineRule="exact"/>
              <w:jc w:val="center"/>
              <w:rPr>
                <w:rFonts w:ascii="宋体" w:hAnsi="宋体"/>
                <w:color w:val="000000"/>
                <w:sz w:val="28"/>
                <w:szCs w:val="28"/>
              </w:rPr>
            </w:pPr>
            <w:r>
              <w:rPr>
                <w:rFonts w:hint="eastAsia" w:ascii="宋体" w:hAnsi="宋体"/>
                <w:color w:val="000000"/>
                <w:sz w:val="28"/>
                <w:szCs w:val="28"/>
              </w:rPr>
              <w:t>仪器名称</w:t>
            </w:r>
          </w:p>
        </w:tc>
        <w:tc>
          <w:tcPr>
            <w:tcW w:w="1969" w:type="dxa"/>
            <w:vAlign w:val="center"/>
          </w:tcPr>
          <w:p w14:paraId="4F90FDC0">
            <w:pPr>
              <w:spacing w:line="360" w:lineRule="exact"/>
              <w:jc w:val="center"/>
              <w:rPr>
                <w:rFonts w:ascii="宋体" w:hAnsi="宋体"/>
                <w:color w:val="000000"/>
                <w:sz w:val="28"/>
                <w:szCs w:val="28"/>
              </w:rPr>
            </w:pPr>
            <w:r>
              <w:rPr>
                <w:rFonts w:hint="eastAsia" w:ascii="宋体" w:hAnsi="宋体"/>
                <w:color w:val="000000"/>
                <w:sz w:val="28"/>
                <w:szCs w:val="28"/>
              </w:rPr>
              <w:t>型 号</w:t>
            </w:r>
          </w:p>
        </w:tc>
        <w:tc>
          <w:tcPr>
            <w:tcW w:w="1971" w:type="dxa"/>
            <w:vAlign w:val="center"/>
          </w:tcPr>
          <w:p w14:paraId="3FF6B6E7">
            <w:pPr>
              <w:spacing w:line="360" w:lineRule="exact"/>
              <w:jc w:val="center"/>
              <w:rPr>
                <w:rFonts w:ascii="宋体" w:hAnsi="宋体"/>
                <w:color w:val="000000"/>
                <w:sz w:val="28"/>
                <w:szCs w:val="28"/>
              </w:rPr>
            </w:pPr>
            <w:r>
              <w:rPr>
                <w:rFonts w:hint="eastAsia" w:ascii="宋体" w:hAnsi="宋体"/>
                <w:color w:val="000000"/>
                <w:sz w:val="28"/>
                <w:szCs w:val="28"/>
              </w:rPr>
              <w:t>数 量</w:t>
            </w:r>
          </w:p>
        </w:tc>
        <w:tc>
          <w:tcPr>
            <w:tcW w:w="1971" w:type="dxa"/>
            <w:vAlign w:val="center"/>
          </w:tcPr>
          <w:p w14:paraId="047C3072">
            <w:pPr>
              <w:spacing w:line="360" w:lineRule="exact"/>
              <w:jc w:val="center"/>
              <w:rPr>
                <w:rFonts w:ascii="宋体" w:hAnsi="宋体"/>
                <w:color w:val="000000"/>
                <w:sz w:val="28"/>
                <w:szCs w:val="28"/>
              </w:rPr>
            </w:pPr>
            <w:r>
              <w:rPr>
                <w:rFonts w:hint="eastAsia" w:ascii="宋体" w:hAnsi="宋体"/>
                <w:color w:val="000000"/>
                <w:sz w:val="28"/>
                <w:szCs w:val="28"/>
              </w:rPr>
              <w:t>用 途</w:t>
            </w:r>
          </w:p>
        </w:tc>
      </w:tr>
      <w:tr w14:paraId="55B2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4" w:type="dxa"/>
            <w:vAlign w:val="center"/>
          </w:tcPr>
          <w:p w14:paraId="40E8F44F">
            <w:pPr>
              <w:spacing w:line="360" w:lineRule="exact"/>
              <w:jc w:val="center"/>
              <w:rPr>
                <w:rFonts w:ascii="宋体" w:hAnsi="宋体"/>
                <w:color w:val="000000"/>
                <w:sz w:val="28"/>
                <w:szCs w:val="28"/>
              </w:rPr>
            </w:pPr>
          </w:p>
        </w:tc>
        <w:tc>
          <w:tcPr>
            <w:tcW w:w="2775" w:type="dxa"/>
            <w:vAlign w:val="center"/>
          </w:tcPr>
          <w:p w14:paraId="4CA10ABB">
            <w:pPr>
              <w:spacing w:line="360" w:lineRule="exact"/>
              <w:jc w:val="center"/>
              <w:rPr>
                <w:rFonts w:ascii="宋体" w:hAnsi="宋体"/>
                <w:color w:val="000000"/>
                <w:sz w:val="28"/>
                <w:szCs w:val="28"/>
              </w:rPr>
            </w:pPr>
          </w:p>
        </w:tc>
        <w:tc>
          <w:tcPr>
            <w:tcW w:w="1969" w:type="dxa"/>
            <w:vAlign w:val="center"/>
          </w:tcPr>
          <w:p w14:paraId="23F8A106">
            <w:pPr>
              <w:spacing w:line="360" w:lineRule="exact"/>
              <w:jc w:val="center"/>
              <w:rPr>
                <w:rFonts w:ascii="宋体" w:hAnsi="宋体"/>
                <w:color w:val="000000"/>
                <w:sz w:val="28"/>
                <w:szCs w:val="28"/>
              </w:rPr>
            </w:pPr>
          </w:p>
        </w:tc>
        <w:tc>
          <w:tcPr>
            <w:tcW w:w="1971" w:type="dxa"/>
            <w:vAlign w:val="center"/>
          </w:tcPr>
          <w:p w14:paraId="5BE05233">
            <w:pPr>
              <w:spacing w:line="360" w:lineRule="exact"/>
              <w:jc w:val="center"/>
              <w:rPr>
                <w:rFonts w:ascii="宋体" w:hAnsi="宋体"/>
                <w:color w:val="000000"/>
                <w:sz w:val="28"/>
                <w:szCs w:val="28"/>
              </w:rPr>
            </w:pPr>
          </w:p>
        </w:tc>
        <w:tc>
          <w:tcPr>
            <w:tcW w:w="1971" w:type="dxa"/>
            <w:vAlign w:val="center"/>
          </w:tcPr>
          <w:p w14:paraId="469CD6DD">
            <w:pPr>
              <w:spacing w:line="360" w:lineRule="exact"/>
              <w:jc w:val="center"/>
              <w:rPr>
                <w:rFonts w:ascii="宋体" w:hAnsi="宋体"/>
                <w:color w:val="000000"/>
                <w:sz w:val="28"/>
                <w:szCs w:val="28"/>
              </w:rPr>
            </w:pPr>
          </w:p>
        </w:tc>
      </w:tr>
      <w:tr w14:paraId="7EBC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4" w:type="dxa"/>
            <w:vAlign w:val="center"/>
          </w:tcPr>
          <w:p w14:paraId="459413D8">
            <w:pPr>
              <w:spacing w:line="360" w:lineRule="exact"/>
              <w:jc w:val="center"/>
              <w:rPr>
                <w:rFonts w:ascii="宋体" w:hAnsi="宋体"/>
                <w:color w:val="000000"/>
                <w:sz w:val="28"/>
                <w:szCs w:val="28"/>
              </w:rPr>
            </w:pPr>
          </w:p>
        </w:tc>
        <w:tc>
          <w:tcPr>
            <w:tcW w:w="2775" w:type="dxa"/>
            <w:vAlign w:val="center"/>
          </w:tcPr>
          <w:p w14:paraId="16A9E9EE">
            <w:pPr>
              <w:spacing w:line="360" w:lineRule="exact"/>
              <w:jc w:val="center"/>
              <w:rPr>
                <w:rFonts w:ascii="宋体" w:hAnsi="宋体"/>
                <w:color w:val="000000"/>
                <w:sz w:val="28"/>
                <w:szCs w:val="28"/>
              </w:rPr>
            </w:pPr>
          </w:p>
        </w:tc>
        <w:tc>
          <w:tcPr>
            <w:tcW w:w="1969" w:type="dxa"/>
            <w:vAlign w:val="center"/>
          </w:tcPr>
          <w:p w14:paraId="6683CEF8">
            <w:pPr>
              <w:spacing w:line="360" w:lineRule="exact"/>
              <w:jc w:val="center"/>
              <w:rPr>
                <w:rFonts w:ascii="宋体" w:hAnsi="宋体"/>
                <w:color w:val="000000"/>
                <w:sz w:val="28"/>
                <w:szCs w:val="28"/>
              </w:rPr>
            </w:pPr>
          </w:p>
        </w:tc>
        <w:tc>
          <w:tcPr>
            <w:tcW w:w="1971" w:type="dxa"/>
            <w:vAlign w:val="center"/>
          </w:tcPr>
          <w:p w14:paraId="78DCD0CE">
            <w:pPr>
              <w:spacing w:line="360" w:lineRule="exact"/>
              <w:jc w:val="center"/>
              <w:rPr>
                <w:rFonts w:ascii="宋体" w:hAnsi="宋体"/>
                <w:color w:val="000000"/>
                <w:sz w:val="28"/>
                <w:szCs w:val="28"/>
              </w:rPr>
            </w:pPr>
          </w:p>
        </w:tc>
        <w:tc>
          <w:tcPr>
            <w:tcW w:w="1971" w:type="dxa"/>
            <w:vAlign w:val="center"/>
          </w:tcPr>
          <w:p w14:paraId="124F61FA">
            <w:pPr>
              <w:spacing w:line="360" w:lineRule="exact"/>
              <w:jc w:val="center"/>
              <w:rPr>
                <w:rFonts w:ascii="宋体" w:hAnsi="宋体"/>
                <w:color w:val="000000"/>
                <w:sz w:val="28"/>
                <w:szCs w:val="28"/>
              </w:rPr>
            </w:pPr>
          </w:p>
        </w:tc>
      </w:tr>
      <w:tr w14:paraId="38BF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4" w:type="dxa"/>
            <w:vAlign w:val="center"/>
          </w:tcPr>
          <w:p w14:paraId="25563B5D">
            <w:pPr>
              <w:spacing w:line="360" w:lineRule="exact"/>
              <w:jc w:val="center"/>
              <w:rPr>
                <w:rFonts w:ascii="宋体" w:hAnsi="宋体"/>
                <w:color w:val="000000"/>
                <w:sz w:val="28"/>
                <w:szCs w:val="28"/>
              </w:rPr>
            </w:pPr>
          </w:p>
        </w:tc>
        <w:tc>
          <w:tcPr>
            <w:tcW w:w="2775" w:type="dxa"/>
            <w:vAlign w:val="center"/>
          </w:tcPr>
          <w:p w14:paraId="5B9A6AE0">
            <w:pPr>
              <w:spacing w:line="360" w:lineRule="exact"/>
              <w:jc w:val="center"/>
              <w:rPr>
                <w:rFonts w:ascii="宋体" w:hAnsi="宋体"/>
                <w:color w:val="000000"/>
                <w:sz w:val="28"/>
                <w:szCs w:val="28"/>
              </w:rPr>
            </w:pPr>
          </w:p>
        </w:tc>
        <w:tc>
          <w:tcPr>
            <w:tcW w:w="1969" w:type="dxa"/>
            <w:vAlign w:val="center"/>
          </w:tcPr>
          <w:p w14:paraId="128477AA">
            <w:pPr>
              <w:spacing w:line="360" w:lineRule="exact"/>
              <w:jc w:val="center"/>
              <w:rPr>
                <w:rFonts w:ascii="宋体" w:hAnsi="宋体"/>
                <w:color w:val="000000"/>
                <w:sz w:val="28"/>
                <w:szCs w:val="28"/>
              </w:rPr>
            </w:pPr>
          </w:p>
        </w:tc>
        <w:tc>
          <w:tcPr>
            <w:tcW w:w="1971" w:type="dxa"/>
            <w:vAlign w:val="center"/>
          </w:tcPr>
          <w:p w14:paraId="3C2D8DFF">
            <w:pPr>
              <w:spacing w:line="360" w:lineRule="exact"/>
              <w:jc w:val="center"/>
              <w:rPr>
                <w:rFonts w:ascii="宋体" w:hAnsi="宋体"/>
                <w:color w:val="000000"/>
                <w:sz w:val="28"/>
                <w:szCs w:val="28"/>
              </w:rPr>
            </w:pPr>
          </w:p>
        </w:tc>
        <w:tc>
          <w:tcPr>
            <w:tcW w:w="1971" w:type="dxa"/>
            <w:vAlign w:val="center"/>
          </w:tcPr>
          <w:p w14:paraId="218E785C">
            <w:pPr>
              <w:spacing w:line="360" w:lineRule="exact"/>
              <w:jc w:val="center"/>
              <w:rPr>
                <w:rFonts w:ascii="宋体" w:hAnsi="宋体"/>
                <w:color w:val="000000"/>
                <w:sz w:val="28"/>
                <w:szCs w:val="28"/>
              </w:rPr>
            </w:pPr>
          </w:p>
        </w:tc>
      </w:tr>
      <w:tr w14:paraId="35C0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4" w:type="dxa"/>
            <w:vAlign w:val="center"/>
          </w:tcPr>
          <w:p w14:paraId="0C5595E3">
            <w:pPr>
              <w:spacing w:line="360" w:lineRule="exact"/>
              <w:jc w:val="center"/>
              <w:rPr>
                <w:rFonts w:ascii="宋体" w:hAnsi="宋体"/>
                <w:color w:val="000000"/>
                <w:sz w:val="28"/>
                <w:szCs w:val="28"/>
              </w:rPr>
            </w:pPr>
          </w:p>
        </w:tc>
        <w:tc>
          <w:tcPr>
            <w:tcW w:w="2775" w:type="dxa"/>
            <w:vAlign w:val="center"/>
          </w:tcPr>
          <w:p w14:paraId="51FF9739">
            <w:pPr>
              <w:spacing w:line="360" w:lineRule="exact"/>
              <w:jc w:val="center"/>
              <w:rPr>
                <w:rFonts w:ascii="宋体" w:hAnsi="宋体"/>
                <w:color w:val="000000"/>
                <w:sz w:val="28"/>
                <w:szCs w:val="28"/>
              </w:rPr>
            </w:pPr>
          </w:p>
        </w:tc>
        <w:tc>
          <w:tcPr>
            <w:tcW w:w="1969" w:type="dxa"/>
            <w:vAlign w:val="center"/>
          </w:tcPr>
          <w:p w14:paraId="0259785F">
            <w:pPr>
              <w:spacing w:line="360" w:lineRule="exact"/>
              <w:jc w:val="center"/>
              <w:rPr>
                <w:rFonts w:ascii="宋体" w:hAnsi="宋体"/>
                <w:color w:val="000000"/>
                <w:sz w:val="28"/>
                <w:szCs w:val="28"/>
              </w:rPr>
            </w:pPr>
          </w:p>
        </w:tc>
        <w:tc>
          <w:tcPr>
            <w:tcW w:w="1971" w:type="dxa"/>
            <w:vAlign w:val="center"/>
          </w:tcPr>
          <w:p w14:paraId="0ACE00F0">
            <w:pPr>
              <w:spacing w:line="360" w:lineRule="exact"/>
              <w:jc w:val="center"/>
              <w:rPr>
                <w:rFonts w:ascii="宋体" w:hAnsi="宋体"/>
                <w:color w:val="000000"/>
                <w:sz w:val="28"/>
                <w:szCs w:val="28"/>
              </w:rPr>
            </w:pPr>
          </w:p>
        </w:tc>
        <w:tc>
          <w:tcPr>
            <w:tcW w:w="1971" w:type="dxa"/>
            <w:vAlign w:val="center"/>
          </w:tcPr>
          <w:p w14:paraId="300A0150">
            <w:pPr>
              <w:spacing w:line="360" w:lineRule="exact"/>
              <w:jc w:val="center"/>
              <w:rPr>
                <w:rFonts w:ascii="宋体" w:hAnsi="宋体"/>
                <w:color w:val="000000"/>
                <w:sz w:val="28"/>
                <w:szCs w:val="28"/>
              </w:rPr>
            </w:pPr>
          </w:p>
        </w:tc>
      </w:tr>
      <w:tr w14:paraId="01DA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4" w:type="dxa"/>
            <w:vAlign w:val="center"/>
          </w:tcPr>
          <w:p w14:paraId="45A97EFE">
            <w:pPr>
              <w:spacing w:line="360" w:lineRule="exact"/>
              <w:jc w:val="center"/>
              <w:rPr>
                <w:rFonts w:ascii="宋体" w:hAnsi="宋体"/>
                <w:color w:val="000000"/>
                <w:sz w:val="28"/>
                <w:szCs w:val="28"/>
              </w:rPr>
            </w:pPr>
          </w:p>
        </w:tc>
        <w:tc>
          <w:tcPr>
            <w:tcW w:w="2775" w:type="dxa"/>
            <w:vAlign w:val="center"/>
          </w:tcPr>
          <w:p w14:paraId="7047A966">
            <w:pPr>
              <w:spacing w:line="360" w:lineRule="exact"/>
              <w:jc w:val="center"/>
              <w:rPr>
                <w:rFonts w:ascii="宋体" w:hAnsi="宋体"/>
                <w:color w:val="000000"/>
                <w:sz w:val="28"/>
                <w:szCs w:val="28"/>
              </w:rPr>
            </w:pPr>
          </w:p>
        </w:tc>
        <w:tc>
          <w:tcPr>
            <w:tcW w:w="1969" w:type="dxa"/>
            <w:vAlign w:val="center"/>
          </w:tcPr>
          <w:p w14:paraId="43630055">
            <w:pPr>
              <w:spacing w:line="360" w:lineRule="exact"/>
              <w:jc w:val="center"/>
              <w:rPr>
                <w:rFonts w:ascii="宋体" w:hAnsi="宋体"/>
                <w:color w:val="000000"/>
                <w:sz w:val="28"/>
                <w:szCs w:val="28"/>
              </w:rPr>
            </w:pPr>
          </w:p>
        </w:tc>
        <w:tc>
          <w:tcPr>
            <w:tcW w:w="1971" w:type="dxa"/>
            <w:vAlign w:val="center"/>
          </w:tcPr>
          <w:p w14:paraId="51B8D593">
            <w:pPr>
              <w:spacing w:line="360" w:lineRule="exact"/>
              <w:jc w:val="center"/>
              <w:rPr>
                <w:rFonts w:ascii="宋体" w:hAnsi="宋体"/>
                <w:color w:val="000000"/>
                <w:sz w:val="28"/>
                <w:szCs w:val="28"/>
              </w:rPr>
            </w:pPr>
          </w:p>
        </w:tc>
        <w:tc>
          <w:tcPr>
            <w:tcW w:w="1971" w:type="dxa"/>
            <w:vAlign w:val="center"/>
          </w:tcPr>
          <w:p w14:paraId="7422DC45">
            <w:pPr>
              <w:spacing w:line="360" w:lineRule="exact"/>
              <w:jc w:val="center"/>
              <w:rPr>
                <w:rFonts w:ascii="宋体" w:hAnsi="宋体"/>
                <w:color w:val="000000"/>
                <w:sz w:val="28"/>
                <w:szCs w:val="28"/>
              </w:rPr>
            </w:pPr>
          </w:p>
        </w:tc>
      </w:tr>
    </w:tbl>
    <w:p w14:paraId="207E0CEB">
      <w:pPr>
        <w:spacing w:line="360" w:lineRule="exact"/>
        <w:rPr>
          <w:rFonts w:ascii="宋体" w:hAnsi="宋体"/>
          <w:color w:val="000000"/>
          <w:sz w:val="28"/>
          <w:szCs w:val="28"/>
        </w:rPr>
      </w:pPr>
    </w:p>
    <w:p w14:paraId="1FFB2174">
      <w:pPr>
        <w:spacing w:line="360" w:lineRule="exact"/>
        <w:rPr>
          <w:rFonts w:ascii="宋体" w:hAnsi="宋体"/>
          <w:color w:val="000000"/>
          <w:sz w:val="28"/>
          <w:szCs w:val="28"/>
        </w:rPr>
      </w:pPr>
    </w:p>
    <w:p w14:paraId="4DA7FCEF">
      <w:pPr>
        <w:spacing w:line="360" w:lineRule="exact"/>
        <w:rPr>
          <w:rFonts w:ascii="宋体" w:hAnsi="宋体"/>
          <w:color w:val="000000"/>
          <w:sz w:val="24"/>
        </w:rPr>
      </w:pPr>
      <w:r>
        <w:rPr>
          <w:rFonts w:hint="eastAsia" w:ascii="宋体" w:hAnsi="宋体"/>
          <w:color w:val="000000"/>
          <w:sz w:val="24"/>
        </w:rPr>
        <w:t>附表10：</w:t>
      </w:r>
    </w:p>
    <w:p w14:paraId="75F8395E">
      <w:pPr>
        <w:spacing w:line="360" w:lineRule="exact"/>
        <w:jc w:val="center"/>
        <w:rPr>
          <w:rFonts w:ascii="宋体" w:hAnsi="宋体"/>
          <w:bCs/>
          <w:color w:val="000000"/>
          <w:spacing w:val="40"/>
          <w:sz w:val="24"/>
        </w:rPr>
      </w:pPr>
      <w:r>
        <w:rPr>
          <w:rFonts w:hint="eastAsia" w:ascii="宋体" w:hAnsi="宋体"/>
          <w:bCs/>
          <w:color w:val="000000"/>
          <w:spacing w:val="40"/>
          <w:sz w:val="24"/>
        </w:rPr>
        <w:t>其他资料（如各种奖励和处罚）表</w:t>
      </w:r>
    </w:p>
    <w:p w14:paraId="4A5A5424">
      <w:pPr>
        <w:spacing w:line="360" w:lineRule="exact"/>
        <w:jc w:val="center"/>
        <w:rPr>
          <w:rFonts w:ascii="宋体" w:hAnsi="宋体"/>
          <w:bCs/>
          <w:color w:val="000000"/>
          <w:spacing w:val="40"/>
          <w:w w:val="90"/>
          <w:sz w:val="28"/>
          <w:szCs w:val="28"/>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5E24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jc w:val="center"/>
        </w:trPr>
        <w:tc>
          <w:tcPr>
            <w:tcW w:w="9854" w:type="dxa"/>
          </w:tcPr>
          <w:p w14:paraId="3808E800">
            <w:pPr>
              <w:pStyle w:val="20"/>
              <w:spacing w:line="360" w:lineRule="exact"/>
            </w:pPr>
            <w:r>
              <w:rPr>
                <w:rFonts w:hint="eastAsia" w:ascii="宋体" w:hAnsi="宋体"/>
                <w:color w:val="000000"/>
                <w:sz w:val="28"/>
                <w:szCs w:val="28"/>
              </w:rPr>
              <w:t>列表说明：</w:t>
            </w:r>
          </w:p>
        </w:tc>
      </w:tr>
    </w:tbl>
    <w:p w14:paraId="12930872">
      <w:pPr>
        <w:spacing w:line="360" w:lineRule="exact"/>
        <w:rPr>
          <w:rFonts w:ascii="宋体" w:hAnsi="宋体"/>
          <w:bCs/>
          <w:color w:val="000000"/>
          <w:spacing w:val="40"/>
          <w:sz w:val="24"/>
        </w:rPr>
      </w:pPr>
      <w:r>
        <w:rPr>
          <w:rFonts w:ascii="宋体" w:hAnsi="宋体"/>
          <w:color w:val="000000"/>
          <w:szCs w:val="21"/>
        </w:rPr>
        <w:br w:type="page"/>
      </w:r>
      <w:r>
        <w:rPr>
          <w:rFonts w:ascii="宋体" w:hAnsi="宋体"/>
          <w:color w:val="000000"/>
          <w:sz w:val="24"/>
        </w:rPr>
        <w:t>附</w:t>
      </w:r>
      <w:r>
        <w:rPr>
          <w:rFonts w:hint="eastAsia" w:ascii="宋体" w:hAnsi="宋体"/>
          <w:color w:val="000000"/>
          <w:sz w:val="24"/>
        </w:rPr>
        <w:t>件</w:t>
      </w:r>
      <w:r>
        <w:rPr>
          <w:rFonts w:ascii="宋体" w:hAnsi="宋体"/>
          <w:color w:val="000000"/>
          <w:sz w:val="24"/>
        </w:rPr>
        <w:t>：</w:t>
      </w:r>
      <w:r>
        <w:rPr>
          <w:rFonts w:hint="eastAsia" w:ascii="宋体" w:hAnsi="宋体"/>
          <w:color w:val="000000"/>
          <w:sz w:val="24"/>
        </w:rPr>
        <w:t>1、</w:t>
      </w:r>
      <w:r>
        <w:rPr>
          <w:rFonts w:hint="eastAsia" w:ascii="宋体" w:hAnsi="宋体" w:cs="宋体"/>
          <w:b/>
          <w:sz w:val="24"/>
        </w:rPr>
        <w:t>投标保证金材料</w:t>
      </w:r>
    </w:p>
    <w:p w14:paraId="2136DB9D">
      <w:pPr>
        <w:autoSpaceDE w:val="0"/>
        <w:autoSpaceDN w:val="0"/>
        <w:adjustRightInd w:val="0"/>
        <w:snapToGrid w:val="0"/>
        <w:spacing w:line="540" w:lineRule="exact"/>
        <w:ind w:firstLine="480" w:firstLineChars="200"/>
        <w:jc w:val="left"/>
        <w:rPr>
          <w:rFonts w:ascii="宋体" w:hAnsi="宋体" w:cs="宋体"/>
          <w:sz w:val="24"/>
        </w:rPr>
      </w:pPr>
      <w:r>
        <w:rPr>
          <w:rFonts w:hint="eastAsia" w:ascii="宋体" w:hAnsi="宋体" w:cs="宋体"/>
          <w:sz w:val="24"/>
        </w:rPr>
        <w:t>（1）如采用网银、电汇、转账的，系统自动抓取投标保证金提交信息，投标人应在此提供企业基本账户开户许可证（或投标企业基本账户开户银行的基本存款账户信息）</w:t>
      </w:r>
      <w:r>
        <w:rPr>
          <w:rFonts w:hint="eastAsia" w:ascii="宋体" w:hAnsi="宋体" w:cs="宋体"/>
          <w:color w:val="FF0000"/>
          <w:sz w:val="24"/>
        </w:rPr>
        <w:t>扫描件</w:t>
      </w:r>
      <w:r>
        <w:rPr>
          <w:rFonts w:hint="eastAsia" w:ascii="宋体" w:hAnsi="宋体" w:cs="宋体"/>
          <w:sz w:val="24"/>
        </w:rPr>
        <w:t>（并按格式承诺真实有效）。</w:t>
      </w:r>
    </w:p>
    <w:p w14:paraId="08A6A634">
      <w:pPr>
        <w:autoSpaceDE w:val="0"/>
        <w:autoSpaceDN w:val="0"/>
        <w:adjustRightInd w:val="0"/>
        <w:snapToGrid w:val="0"/>
        <w:spacing w:line="540" w:lineRule="exact"/>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）如采用电子保函的，系统自动抓取电子保函信息，投标文件中无需提供相关材料。</w:t>
      </w:r>
    </w:p>
    <w:p w14:paraId="498852D6">
      <w:pPr>
        <w:autoSpaceDE w:val="0"/>
        <w:autoSpaceDN w:val="0"/>
        <w:adjustRightInd w:val="0"/>
        <w:snapToGrid w:val="0"/>
        <w:spacing w:line="540" w:lineRule="exact"/>
        <w:ind w:firstLine="480" w:firstLineChars="200"/>
        <w:jc w:val="left"/>
        <w:rPr>
          <w:rFonts w:ascii="宋体" w:hAnsi="宋体" w:cs="宋体"/>
          <w:color w:val="FF0000"/>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）如采用纸质银行保函的，投标人应在此提供基本账户开户许可证（或投标企业基本账户开户银行的基本存款账户信息）</w:t>
      </w:r>
      <w:r>
        <w:rPr>
          <w:rFonts w:hint="eastAsia" w:ascii="宋体" w:hAnsi="宋体" w:cs="宋体"/>
          <w:color w:val="FF0000"/>
          <w:sz w:val="24"/>
        </w:rPr>
        <w:t>扫描件</w:t>
      </w:r>
      <w:r>
        <w:rPr>
          <w:rFonts w:hint="eastAsia" w:ascii="宋体" w:hAnsi="宋体" w:cs="宋体"/>
          <w:sz w:val="24"/>
        </w:rPr>
        <w:t>（并按格式承诺真实有效）。同时将纸质银行保函</w:t>
      </w:r>
      <w:r>
        <w:rPr>
          <w:rFonts w:hint="eastAsia" w:ascii="宋体" w:hAnsi="宋体" w:cs="宋体"/>
          <w:color w:val="FF0000"/>
          <w:sz w:val="24"/>
        </w:rPr>
        <w:t>扫描件</w:t>
      </w:r>
      <w:r>
        <w:rPr>
          <w:rFonts w:hint="eastAsia" w:ascii="宋体" w:hAnsi="宋体" w:cs="宋体"/>
          <w:sz w:val="24"/>
        </w:rPr>
        <w:t>提供在投标文件中，格式见投标保函示范文本。</w:t>
      </w:r>
      <w:r>
        <w:rPr>
          <w:rFonts w:hint="eastAsia" w:ascii="宋体" w:hAnsi="宋体" w:cs="宋体"/>
          <w:color w:val="FF0000"/>
          <w:sz w:val="24"/>
        </w:rPr>
        <w:t>投标人采用纸质保函形式的，须提供明确有效的查询途径（网址链接及查询方式）。</w:t>
      </w:r>
    </w:p>
    <w:p w14:paraId="46F7CFA8">
      <w:pPr>
        <w:autoSpaceDE w:val="0"/>
        <w:autoSpaceDN w:val="0"/>
        <w:adjustRightInd w:val="0"/>
        <w:snapToGrid w:val="0"/>
        <w:spacing w:line="540" w:lineRule="exact"/>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账户开户许可证（或投标企业基本账户开户银行的基本存款账户信息）</w:t>
      </w:r>
      <w:r>
        <w:rPr>
          <w:rFonts w:hint="eastAsia" w:ascii="宋体" w:hAnsi="宋体" w:cs="宋体"/>
          <w:color w:val="FF0000"/>
          <w:sz w:val="24"/>
        </w:rPr>
        <w:t>扫描件</w:t>
      </w:r>
      <w:r>
        <w:rPr>
          <w:rFonts w:hint="eastAsia" w:ascii="宋体" w:hAnsi="宋体" w:cs="宋体"/>
          <w:sz w:val="24"/>
        </w:rPr>
        <w:t>（并按格式承诺真实有效）、保函扫描件、</w:t>
      </w:r>
      <w:r>
        <w:rPr>
          <w:rFonts w:hint="eastAsia" w:ascii="宋体" w:hAnsi="宋体" w:cs="宋体"/>
          <w:color w:val="FF0000"/>
          <w:sz w:val="24"/>
        </w:rPr>
        <w:t>融资担保机构的融资担保业务经营许可证</w:t>
      </w:r>
      <w:r>
        <w:rPr>
          <w:rFonts w:hint="eastAsia" w:ascii="宋体" w:hAnsi="宋体" w:cs="宋体"/>
          <w:sz w:val="24"/>
        </w:rPr>
        <w:t>扫描件编入投标文件中。担保机构担保格式见“投标保函示范文本”。</w:t>
      </w:r>
      <w:r>
        <w:rPr>
          <w:rFonts w:hint="eastAsia" w:ascii="宋体" w:hAnsi="宋体" w:cs="宋体"/>
          <w:color w:val="FF0000"/>
          <w:sz w:val="24"/>
        </w:rPr>
        <w:t>投标人采用纸质保函形式的，须提供明确有效的查询途径（网址链接及查询方式）。</w:t>
      </w:r>
    </w:p>
    <w:p w14:paraId="4811A9BE">
      <w:pPr>
        <w:autoSpaceDE w:val="0"/>
        <w:autoSpaceDN w:val="0"/>
        <w:adjustRightInd w:val="0"/>
        <w:snapToGrid w:val="0"/>
        <w:spacing w:line="540" w:lineRule="exact"/>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）如采用纸质保证保险的，投标人须将本单位针对该项目（标段）从基本账户汇出保证保险费用的凭证（须载有所投项目标段编号或项目名称、投标人基本账户信息、 收取该费用的保证保险出具单位名称及其账户信息）扫描件、基本账户开户许可证（或投标企业基本账户开户银行的基本存款账户信息）</w:t>
      </w:r>
      <w:r>
        <w:rPr>
          <w:rFonts w:hint="eastAsia" w:ascii="宋体" w:hAnsi="宋体" w:cs="宋体"/>
          <w:color w:val="FF0000"/>
          <w:sz w:val="24"/>
        </w:rPr>
        <w:t>扫描件</w:t>
      </w:r>
      <w:r>
        <w:rPr>
          <w:rFonts w:hint="eastAsia" w:ascii="宋体" w:hAnsi="宋体" w:cs="宋体"/>
          <w:sz w:val="24"/>
        </w:rPr>
        <w:t>（并按格式承诺真实有效）、保证保险扫描件编入投标文件中。保证保险格式见“投标保函示范文本”。</w:t>
      </w:r>
      <w:r>
        <w:rPr>
          <w:rFonts w:hint="eastAsia" w:ascii="宋体" w:hAnsi="宋体" w:cs="宋体"/>
          <w:color w:val="FF0000"/>
          <w:sz w:val="24"/>
        </w:rPr>
        <w:t>投标人采用纸质保函形式的，须提供明确有效的查询途径（网址链接及查询方式）。</w:t>
      </w:r>
    </w:p>
    <w:p w14:paraId="6B87E5D1">
      <w:pPr>
        <w:pStyle w:val="30"/>
        <w:rPr>
          <w:lang w:eastAsia="zh-CN"/>
        </w:rPr>
      </w:pPr>
    </w:p>
    <w:p w14:paraId="2CC81D98">
      <w:pPr>
        <w:pStyle w:val="30"/>
        <w:rPr>
          <w:lang w:eastAsia="zh-CN"/>
        </w:rPr>
      </w:pPr>
    </w:p>
    <w:p w14:paraId="0AE6D0D4">
      <w:pPr>
        <w:pStyle w:val="30"/>
        <w:rPr>
          <w:lang w:eastAsia="zh-CN"/>
        </w:rPr>
      </w:pPr>
    </w:p>
    <w:p w14:paraId="15E36174">
      <w:pPr>
        <w:pStyle w:val="30"/>
        <w:rPr>
          <w:lang w:eastAsia="zh-CN"/>
        </w:rPr>
      </w:pPr>
    </w:p>
    <w:p w14:paraId="3D99ED25">
      <w:pPr>
        <w:pStyle w:val="30"/>
        <w:rPr>
          <w:lang w:eastAsia="zh-CN"/>
        </w:rPr>
      </w:pPr>
    </w:p>
    <w:p w14:paraId="46592DF7">
      <w:pPr>
        <w:pStyle w:val="30"/>
        <w:rPr>
          <w:lang w:eastAsia="zh-CN"/>
        </w:rPr>
      </w:pPr>
    </w:p>
    <w:p w14:paraId="139F9FE1">
      <w:pPr>
        <w:pStyle w:val="30"/>
        <w:rPr>
          <w:lang w:eastAsia="zh-CN"/>
        </w:rPr>
      </w:pPr>
    </w:p>
    <w:p w14:paraId="7CC59B3C">
      <w:pPr>
        <w:pStyle w:val="30"/>
        <w:rPr>
          <w:lang w:eastAsia="zh-CN"/>
        </w:rPr>
      </w:pPr>
    </w:p>
    <w:p w14:paraId="5629CD27">
      <w:pPr>
        <w:pStyle w:val="30"/>
        <w:rPr>
          <w:lang w:eastAsia="zh-CN"/>
        </w:rPr>
      </w:pPr>
    </w:p>
    <w:p w14:paraId="5D66B66D">
      <w:pPr>
        <w:pStyle w:val="30"/>
        <w:rPr>
          <w:lang w:eastAsia="zh-CN"/>
        </w:rPr>
      </w:pPr>
    </w:p>
    <w:p w14:paraId="4EFEA15C">
      <w:pPr>
        <w:autoSpaceDE w:val="0"/>
        <w:autoSpaceDN w:val="0"/>
        <w:adjustRightInd w:val="0"/>
        <w:snapToGrid w:val="0"/>
        <w:jc w:val="center"/>
        <w:rPr>
          <w:rFonts w:ascii="黑体" w:eastAsia="黑体" w:cs="黑体"/>
          <w:bCs/>
          <w:sz w:val="28"/>
          <w:szCs w:val="21"/>
        </w:rPr>
      </w:pPr>
      <w:r>
        <w:rPr>
          <w:rFonts w:hint="eastAsia" w:ascii="黑体" w:eastAsia="黑体" w:cs="黑体"/>
          <w:bCs/>
          <w:sz w:val="28"/>
          <w:szCs w:val="21"/>
          <w:highlight w:val="green"/>
        </w:rPr>
        <w:t>基本账户开户许可证（或基本账户开户银行的基本存款账户信息）承诺函</w:t>
      </w:r>
    </w:p>
    <w:p w14:paraId="61203EB6">
      <w:pPr>
        <w:pStyle w:val="28"/>
        <w:spacing w:beforeAutospacing="0" w:afterAutospacing="0" w:line="600" w:lineRule="exact"/>
        <w:ind w:firstLine="420"/>
      </w:pPr>
    </w:p>
    <w:p w14:paraId="792AA560">
      <w:pPr>
        <w:pStyle w:val="28"/>
        <w:spacing w:beforeAutospacing="0" w:afterAutospacing="0" w:line="600" w:lineRule="exact"/>
        <w:ind w:firstLine="420"/>
      </w:pPr>
      <w:r>
        <w:rPr>
          <w:rFonts w:hint="eastAsia"/>
        </w:rPr>
        <w:t>我单位承诺，以下所附我单位基本账户开户许可证（或基本账户开户银行的基本存款账户信息）扫描件真实有效。如与我单位《投标人基本情况表》中基本账户信息不一致的，以此为准。</w:t>
      </w:r>
    </w:p>
    <w:p w14:paraId="3AFB9943">
      <w:pPr>
        <w:pStyle w:val="28"/>
        <w:spacing w:beforeAutospacing="0" w:afterAutospacing="0" w:line="600" w:lineRule="exact"/>
        <w:ind w:firstLine="420"/>
      </w:pPr>
    </w:p>
    <w:p w14:paraId="3D32F0AF">
      <w:pPr>
        <w:pStyle w:val="28"/>
        <w:spacing w:beforeAutospacing="0" w:afterAutospacing="0" w:line="600" w:lineRule="exact"/>
        <w:ind w:firstLine="420"/>
      </w:pPr>
      <w:r>
        <w:rPr>
          <w:rFonts w:hint="eastAsia"/>
          <w:highlight w:val="yellow"/>
        </w:rPr>
        <w:t>附：账户开户许可证（或基本账户开户银行的基本存款账户信息）</w:t>
      </w:r>
    </w:p>
    <w:p w14:paraId="6C8CAB7B">
      <w:pPr>
        <w:pStyle w:val="28"/>
        <w:spacing w:beforeAutospacing="0" w:afterAutospacing="0" w:line="400" w:lineRule="exact"/>
        <w:ind w:firstLine="420"/>
      </w:pPr>
    </w:p>
    <w:p w14:paraId="43067259">
      <w:pPr>
        <w:pStyle w:val="28"/>
        <w:spacing w:beforeAutospacing="0" w:afterAutospacing="0" w:line="400" w:lineRule="exact"/>
        <w:ind w:firstLine="420"/>
      </w:pPr>
    </w:p>
    <w:p w14:paraId="3D10E19D">
      <w:pPr>
        <w:pStyle w:val="28"/>
        <w:spacing w:beforeAutospacing="0" w:afterAutospacing="0" w:line="400" w:lineRule="exact"/>
        <w:ind w:firstLine="420"/>
      </w:pPr>
    </w:p>
    <w:p w14:paraId="4A4D48AE">
      <w:pPr>
        <w:spacing w:line="380" w:lineRule="exact"/>
        <w:ind w:firstLine="2168" w:firstLineChars="900"/>
        <w:jc w:val="right"/>
        <w:rPr>
          <w:rFonts w:ascii="宋体" w:hAnsi="宋体"/>
          <w:sz w:val="24"/>
        </w:rPr>
      </w:pPr>
      <w:r>
        <w:rPr>
          <w:rFonts w:hint="eastAsia" w:ascii="宋体" w:hAnsi="宋体"/>
          <w:b/>
          <w:color w:val="000000"/>
          <w:sz w:val="24"/>
        </w:rPr>
        <w:t>投标人</w:t>
      </w:r>
      <w:r>
        <w:rPr>
          <w:rFonts w:hint="eastAsia" w:ascii="宋体" w:hAnsi="宋体"/>
          <w:sz w:val="24"/>
        </w:rPr>
        <w:t>：</w:t>
      </w:r>
      <w:r>
        <w:rPr>
          <w:rFonts w:hint="eastAsia" w:ascii="宋体" w:hAnsi="宋体"/>
          <w:b/>
          <w:sz w:val="24"/>
        </w:rPr>
        <w:t xml:space="preserve"> </w:t>
      </w:r>
      <w:r>
        <w:rPr>
          <w:rFonts w:hint="eastAsia" w:ascii="宋体" w:hAnsi="宋体"/>
          <w:b/>
          <w:sz w:val="24"/>
          <w:u w:val="single"/>
        </w:rPr>
        <w:t xml:space="preserve">          </w:t>
      </w:r>
      <w:r>
        <w:rPr>
          <w:rFonts w:hint="eastAsia" w:ascii="宋体" w:hAnsi="宋体"/>
          <w:b/>
          <w:sz w:val="24"/>
        </w:rPr>
        <w:t>（盖单位公章）</w:t>
      </w:r>
    </w:p>
    <w:p w14:paraId="7CE2C901">
      <w:pPr>
        <w:pStyle w:val="7"/>
      </w:pPr>
    </w:p>
    <w:p w14:paraId="58838CD6"/>
    <w:p w14:paraId="2B29FFA0">
      <w:pPr>
        <w:spacing w:line="36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投标保函示范文本</w:t>
      </w:r>
    </w:p>
    <w:p w14:paraId="34C8466F">
      <w:pPr>
        <w:spacing w:line="360" w:lineRule="auto"/>
        <w:jc w:val="center"/>
        <w:rPr>
          <w:rFonts w:ascii="宋体" w:hAnsi="宋体"/>
          <w:b/>
          <w:bCs/>
          <w:sz w:val="32"/>
          <w:szCs w:val="32"/>
        </w:rPr>
      </w:pPr>
      <w:r>
        <w:rPr>
          <w:rFonts w:hint="eastAsia" w:ascii="宋体" w:hAnsi="宋体"/>
          <w:b/>
          <w:bCs/>
          <w:sz w:val="32"/>
          <w:szCs w:val="32"/>
        </w:rPr>
        <w:t>（独立保函）</w:t>
      </w:r>
    </w:p>
    <w:p w14:paraId="7E281F23">
      <w:pPr>
        <w:wordWrap w:val="0"/>
        <w:spacing w:line="360" w:lineRule="auto"/>
        <w:jc w:val="right"/>
        <w:rPr>
          <w:rFonts w:ascii="宋体" w:hAnsi="宋体"/>
          <w:szCs w:val="21"/>
        </w:rPr>
      </w:pPr>
      <w:r>
        <w:rPr>
          <w:rFonts w:hint="eastAsia" w:ascii="宋体" w:hAnsi="宋体"/>
          <w:szCs w:val="21"/>
        </w:rPr>
        <w:t xml:space="preserve">编号：           </w:t>
      </w:r>
    </w:p>
    <w:p w14:paraId="757502AB">
      <w:pPr>
        <w:spacing w:line="360" w:lineRule="auto"/>
        <w:rPr>
          <w:rFonts w:ascii="宋体" w:hAnsi="宋体"/>
          <w:sz w:val="24"/>
        </w:rPr>
      </w:pPr>
      <w:r>
        <w:rPr>
          <w:rFonts w:hint="eastAsia" w:ascii="宋体" w:hAnsi="宋体"/>
          <w:sz w:val="24"/>
        </w:rPr>
        <w:t xml:space="preserve"> </w:t>
      </w:r>
    </w:p>
    <w:p w14:paraId="6873B01A">
      <w:pPr>
        <w:spacing w:line="360" w:lineRule="auto"/>
        <w:rPr>
          <w:rFonts w:ascii="宋体" w:hAnsi="宋体"/>
          <w:sz w:val="24"/>
        </w:rPr>
      </w:pPr>
      <w:r>
        <w:rPr>
          <w:rFonts w:hint="eastAsia" w:ascii="宋体" w:hAnsi="宋体"/>
          <w:sz w:val="24"/>
        </w:rPr>
        <w:t>申请人：</w:t>
      </w:r>
    </w:p>
    <w:p w14:paraId="3EF24F41">
      <w:pPr>
        <w:spacing w:line="360" w:lineRule="auto"/>
        <w:rPr>
          <w:rFonts w:ascii="宋体" w:hAnsi="宋体"/>
          <w:sz w:val="24"/>
        </w:rPr>
      </w:pPr>
      <w:r>
        <w:rPr>
          <w:rFonts w:hint="eastAsia" w:ascii="宋体" w:hAnsi="宋体"/>
          <w:sz w:val="24"/>
        </w:rPr>
        <w:t>地址：</w:t>
      </w:r>
    </w:p>
    <w:p w14:paraId="2CBE6BD7">
      <w:pPr>
        <w:spacing w:line="360" w:lineRule="auto"/>
        <w:rPr>
          <w:rFonts w:ascii="宋体" w:hAnsi="宋体"/>
          <w:sz w:val="24"/>
        </w:rPr>
      </w:pPr>
      <w:r>
        <w:rPr>
          <w:rFonts w:hint="eastAsia" w:ascii="宋体" w:hAnsi="宋体"/>
          <w:sz w:val="24"/>
        </w:rPr>
        <w:t xml:space="preserve">受益人： </w:t>
      </w:r>
    </w:p>
    <w:p w14:paraId="528006E5">
      <w:pPr>
        <w:spacing w:line="360" w:lineRule="auto"/>
        <w:rPr>
          <w:rFonts w:ascii="宋体" w:hAnsi="宋体"/>
          <w:sz w:val="24"/>
        </w:rPr>
      </w:pPr>
      <w:r>
        <w:rPr>
          <w:rFonts w:hint="eastAsia" w:ascii="宋体" w:hAnsi="宋体"/>
          <w:sz w:val="24"/>
        </w:rPr>
        <w:t>地址：</w:t>
      </w:r>
    </w:p>
    <w:p w14:paraId="0FC9EC14">
      <w:pPr>
        <w:spacing w:line="360" w:lineRule="auto"/>
        <w:rPr>
          <w:rFonts w:ascii="宋体" w:hAnsi="宋体"/>
          <w:sz w:val="24"/>
        </w:rPr>
      </w:pPr>
      <w:r>
        <w:rPr>
          <w:rFonts w:hint="eastAsia" w:ascii="宋体" w:hAnsi="宋体"/>
          <w:sz w:val="24"/>
        </w:rPr>
        <w:t>开立人：</w:t>
      </w:r>
    </w:p>
    <w:p w14:paraId="5FBE1B10">
      <w:pPr>
        <w:spacing w:line="360" w:lineRule="auto"/>
        <w:rPr>
          <w:rFonts w:ascii="宋体" w:hAnsi="宋体"/>
          <w:sz w:val="24"/>
        </w:rPr>
      </w:pPr>
      <w:r>
        <w:rPr>
          <w:rFonts w:hint="eastAsia" w:ascii="宋体" w:hAnsi="宋体"/>
          <w:sz w:val="24"/>
        </w:rPr>
        <w:t>地址：</w:t>
      </w:r>
    </w:p>
    <w:p w14:paraId="07C8EF8D">
      <w:pPr>
        <w:spacing w:line="360" w:lineRule="auto"/>
        <w:rPr>
          <w:rFonts w:ascii="宋体" w:hAnsi="宋体"/>
          <w:sz w:val="24"/>
        </w:rPr>
      </w:pPr>
      <w:r>
        <w:rPr>
          <w:rFonts w:hint="eastAsia" w:ascii="宋体" w:hAnsi="宋体"/>
          <w:sz w:val="24"/>
        </w:rPr>
        <w:t xml:space="preserve"> </w:t>
      </w:r>
    </w:p>
    <w:p w14:paraId="0FFE359D">
      <w:pPr>
        <w:spacing w:line="360" w:lineRule="auto"/>
        <w:rPr>
          <w:rFonts w:ascii="宋体" w:hAnsi="宋体"/>
          <w:sz w:val="24"/>
        </w:rPr>
      </w:pPr>
      <w:r>
        <w:rPr>
          <w:rFonts w:hint="eastAsia" w:ascii="宋体" w:hAnsi="宋体"/>
          <w:sz w:val="24"/>
        </w:rPr>
        <w:t>致：（受益人名称）</w:t>
      </w:r>
    </w:p>
    <w:p w14:paraId="143B832D">
      <w:pPr>
        <w:spacing w:line="360" w:lineRule="auto"/>
        <w:ind w:firstLine="480"/>
        <w:rPr>
          <w:rFonts w:ascii="宋体" w:hAnsi="宋体"/>
          <w:sz w:val="24"/>
        </w:rPr>
      </w:pPr>
      <w:r>
        <w:rPr>
          <w:rFonts w:hint="eastAsia" w:ascii="宋体" w:hAnsi="宋体"/>
          <w:sz w:val="24"/>
        </w:rPr>
        <w:t>我方（即“开立人”）已获得通知，本保函申请人（即“投标人”）已响应贵方于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（以下简称“本工程”）发出的招标文件，并已向招标人（即“受益人”）提交了投标文件（即“基础交易”）。</w:t>
      </w:r>
    </w:p>
    <w:p w14:paraId="580E844E">
      <w:pPr>
        <w:spacing w:line="360" w:lineRule="auto"/>
        <w:ind w:firstLine="480" w:firstLineChars="200"/>
        <w:rPr>
          <w:rFonts w:ascii="宋体" w:hAnsi="宋体"/>
          <w:sz w:val="24"/>
        </w:rPr>
      </w:pPr>
      <w:r>
        <w:rPr>
          <w:rFonts w:hint="eastAsia" w:ascii="宋体" w:hAnsi="宋体"/>
          <w:sz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p>
    <w:p w14:paraId="722648DE">
      <w:pPr>
        <w:spacing w:line="360" w:lineRule="auto"/>
        <w:ind w:firstLine="480" w:firstLineChars="200"/>
        <w:rPr>
          <w:rFonts w:ascii="宋体" w:hAnsi="宋体"/>
          <w:sz w:val="24"/>
        </w:rPr>
      </w:pPr>
      <w:r>
        <w:rPr>
          <w:rFonts w:hint="eastAsia" w:ascii="宋体" w:hAnsi="宋体"/>
          <w:sz w:val="24"/>
        </w:rPr>
        <w:t xml:space="preserve">二、我方在投标人发生以下情形时承担保证担保责任： </w:t>
      </w:r>
    </w:p>
    <w:p w14:paraId="2EAF0BF9">
      <w:pPr>
        <w:spacing w:line="360" w:lineRule="auto"/>
        <w:ind w:left="480" w:firstLine="480" w:firstLineChars="200"/>
        <w:rPr>
          <w:rFonts w:ascii="宋体" w:hAnsi="宋体"/>
          <w:sz w:val="24"/>
        </w:rPr>
      </w:pPr>
      <w:r>
        <w:rPr>
          <w:rFonts w:hint="eastAsia" w:ascii="宋体" w:hAnsi="宋体"/>
          <w:sz w:val="24"/>
        </w:rPr>
        <w:t xml:space="preserve">（1）投标人在开标后和投标有效期满之前撤销投标的； </w:t>
      </w:r>
    </w:p>
    <w:p w14:paraId="79066B70">
      <w:pPr>
        <w:spacing w:line="360" w:lineRule="auto"/>
        <w:ind w:firstLine="480" w:firstLineChars="200"/>
        <w:rPr>
          <w:rFonts w:ascii="宋体" w:hAnsi="宋体"/>
          <w:sz w:val="24"/>
        </w:rPr>
      </w:pPr>
      <w:r>
        <w:rPr>
          <w:rFonts w:hint="eastAsia" w:ascii="宋体" w:hAnsi="宋体"/>
          <w:sz w:val="24"/>
        </w:rPr>
        <w:t xml:space="preserve">（2）投标人在收到中标通知后，不能或拒绝在中标通知书规定的时间内与贵方签订合同； </w:t>
      </w:r>
    </w:p>
    <w:p w14:paraId="14ECA1D5">
      <w:pPr>
        <w:spacing w:line="360" w:lineRule="auto"/>
        <w:ind w:firstLine="480" w:firstLineChars="200"/>
        <w:rPr>
          <w:rFonts w:ascii="宋体" w:hAnsi="宋体"/>
          <w:sz w:val="24"/>
        </w:rPr>
      </w:pPr>
      <w:r>
        <w:rPr>
          <w:rFonts w:hint="eastAsia" w:ascii="宋体" w:hAnsi="宋体"/>
          <w:sz w:val="24"/>
        </w:rPr>
        <w:t>（3）投标人在与贵方签订合同后，未在规定的时间内提交符合招标文件要求的履约担保；</w:t>
      </w:r>
    </w:p>
    <w:p w14:paraId="6BDFAF24">
      <w:pPr>
        <w:spacing w:line="360" w:lineRule="auto"/>
        <w:ind w:firstLine="480" w:firstLineChars="200"/>
        <w:rPr>
          <w:rFonts w:ascii="宋体" w:hAnsi="宋体"/>
          <w:sz w:val="24"/>
        </w:rPr>
      </w:pPr>
      <w:r>
        <w:rPr>
          <w:rFonts w:hint="eastAsia" w:ascii="宋体" w:hAnsi="宋体"/>
          <w:sz w:val="24"/>
        </w:rPr>
        <w:t>（4）投标人违反招标文件规定的其他情形。</w:t>
      </w:r>
    </w:p>
    <w:p w14:paraId="7C5E011E">
      <w:pPr>
        <w:spacing w:line="360" w:lineRule="auto"/>
        <w:rPr>
          <w:rFonts w:ascii="宋体" w:hAnsi="宋体"/>
          <w:sz w:val="24"/>
        </w:rPr>
      </w:pPr>
      <w:r>
        <w:rPr>
          <w:rFonts w:hint="eastAsia" w:ascii="宋体" w:hAnsi="宋体"/>
          <w:sz w:val="24"/>
        </w:rPr>
        <w:t xml:space="preserve">    三、本保函为不可撤销、不可转让的见索即付独立保函。本保函有效期自开立之日起至投标有效期届满之日后的</w:t>
      </w:r>
      <w:r>
        <w:rPr>
          <w:rFonts w:hint="eastAsia" w:ascii="宋体" w:hAnsi="宋体"/>
          <w:sz w:val="24"/>
          <w:u w:val="single"/>
        </w:rPr>
        <w:t xml:space="preserve">    </w:t>
      </w:r>
      <w:r>
        <w:rPr>
          <w:rFonts w:hint="eastAsia" w:ascii="宋体" w:hAnsi="宋体"/>
          <w:sz w:val="24"/>
        </w:rPr>
        <w:t>日。投标有效期延长的，本保函有效期相应顺延，最迟不超过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EFF5637">
      <w:pPr>
        <w:spacing w:line="360" w:lineRule="auto"/>
        <w:ind w:firstLine="48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1B819EDD">
      <w:pPr>
        <w:spacing w:line="360" w:lineRule="auto"/>
        <w:ind w:firstLine="480"/>
        <w:rPr>
          <w:rFonts w:ascii="宋体" w:hAnsi="宋体"/>
          <w:sz w:val="24"/>
        </w:rPr>
      </w:pPr>
      <w:r>
        <w:rPr>
          <w:rFonts w:hint="eastAsia" w:ascii="宋体" w:hAnsi="宋体"/>
          <w:sz w:val="24"/>
        </w:rPr>
        <w:t>（1）付款通知到达的日期在本保函的有效期内；</w:t>
      </w:r>
    </w:p>
    <w:p w14:paraId="6FB84D44">
      <w:pPr>
        <w:spacing w:line="360" w:lineRule="auto"/>
        <w:ind w:firstLine="480"/>
        <w:rPr>
          <w:rFonts w:ascii="宋体" w:hAnsi="宋体"/>
          <w:sz w:val="24"/>
        </w:rPr>
      </w:pPr>
      <w:r>
        <w:rPr>
          <w:rFonts w:hint="eastAsia" w:ascii="宋体" w:hAnsi="宋体"/>
          <w:sz w:val="24"/>
        </w:rPr>
        <w:t>（2）载明要求支付的金额；</w:t>
      </w:r>
    </w:p>
    <w:p w14:paraId="030DF599">
      <w:pPr>
        <w:spacing w:line="360" w:lineRule="auto"/>
        <w:ind w:firstLine="480"/>
        <w:rPr>
          <w:rFonts w:ascii="宋体" w:hAnsi="宋体"/>
          <w:sz w:val="24"/>
        </w:rPr>
      </w:pPr>
      <w:r>
        <w:rPr>
          <w:rFonts w:hint="eastAsia" w:ascii="宋体" w:hAnsi="宋体"/>
          <w:sz w:val="24"/>
        </w:rPr>
        <w:t>（3）载明申请人违反招投标文件规定的义务内容和具体条款；</w:t>
      </w:r>
    </w:p>
    <w:p w14:paraId="26079417">
      <w:pPr>
        <w:spacing w:line="360" w:lineRule="auto"/>
        <w:ind w:firstLine="480"/>
        <w:rPr>
          <w:rFonts w:ascii="宋体" w:hAnsi="宋体"/>
          <w:sz w:val="24"/>
        </w:rPr>
      </w:pPr>
      <w:r>
        <w:rPr>
          <w:rFonts w:hint="eastAsia" w:ascii="宋体" w:hAnsi="宋体"/>
          <w:sz w:val="24"/>
        </w:rPr>
        <w:t>（4）声明不存在招标文件规定或我国法律规定免除申请人或我方支付责任的情形；</w:t>
      </w:r>
    </w:p>
    <w:p w14:paraId="47FE9B53">
      <w:pPr>
        <w:spacing w:line="360" w:lineRule="auto"/>
        <w:ind w:firstLine="480"/>
        <w:rPr>
          <w:rFonts w:ascii="宋体" w:hAnsi="宋体"/>
          <w:sz w:val="24"/>
        </w:rPr>
      </w:pPr>
      <w:r>
        <w:rPr>
          <w:rFonts w:hint="eastAsia" w:ascii="宋体" w:hAnsi="宋体"/>
          <w:sz w:val="24"/>
        </w:rPr>
        <w:t>（5）书面付款通知应在本保函有效期内到达的地址是：</w:t>
      </w:r>
      <w:r>
        <w:rPr>
          <w:rFonts w:hint="eastAsia" w:ascii="宋体" w:hAnsi="宋体"/>
          <w:sz w:val="24"/>
          <w:u w:val="single"/>
        </w:rPr>
        <w:t xml:space="preserve">           </w:t>
      </w:r>
      <w:r>
        <w:rPr>
          <w:rFonts w:hint="eastAsia" w:ascii="宋体" w:hAnsi="宋体"/>
          <w:sz w:val="24"/>
        </w:rPr>
        <w:t>。</w:t>
      </w:r>
    </w:p>
    <w:p w14:paraId="121E884C">
      <w:pPr>
        <w:spacing w:line="360" w:lineRule="auto"/>
        <w:rPr>
          <w:rFonts w:ascii="宋体" w:hAnsi="宋体"/>
          <w:sz w:val="24"/>
        </w:rPr>
      </w:pPr>
      <w:r>
        <w:rPr>
          <w:rFonts w:hint="eastAsia" w:ascii="宋体" w:hAnsi="宋体"/>
          <w:sz w:val="24"/>
        </w:rPr>
        <w:t xml:space="preserve">    受益人发出的书面付款通知应由其为鉴明受益人法定代表人（负责人）或授权代理人签字并加盖公章。</w:t>
      </w:r>
    </w:p>
    <w:p w14:paraId="01900C2D">
      <w:pPr>
        <w:spacing w:line="360" w:lineRule="auto"/>
        <w:ind w:firstLine="480" w:firstLineChars="200"/>
        <w:rPr>
          <w:rFonts w:ascii="宋体" w:hAnsi="宋体"/>
          <w:sz w:val="24"/>
        </w:rPr>
      </w:pPr>
      <w:r>
        <w:rPr>
          <w:rFonts w:hint="eastAsia" w:ascii="宋体" w:hAnsi="宋体"/>
          <w:sz w:val="24"/>
        </w:rPr>
        <w:t xml:space="preserve">五、本保函项下的权利不得转让，不得设定担保。贵方未经我方书面同意转让本保函或其项下任何权利，对我方不发生法律效力。 </w:t>
      </w:r>
    </w:p>
    <w:p w14:paraId="765C9009">
      <w:pPr>
        <w:spacing w:line="360" w:lineRule="auto"/>
        <w:ind w:firstLine="480" w:firstLineChars="200"/>
        <w:rPr>
          <w:rFonts w:ascii="宋体" w:hAnsi="宋体"/>
          <w:sz w:val="24"/>
        </w:rPr>
      </w:pPr>
      <w:r>
        <w:rPr>
          <w:rFonts w:hint="eastAsia" w:ascii="宋体" w:hAnsi="宋体"/>
          <w:sz w:val="24"/>
        </w:rPr>
        <w:t xml:space="preserve">六、本保函项下的基础交易不成立、不生效、无效、被撤销、被解除，不影响本保函的独立有效。 </w:t>
      </w:r>
    </w:p>
    <w:p w14:paraId="3F3E1405">
      <w:pPr>
        <w:spacing w:line="360" w:lineRule="auto"/>
        <w:ind w:firstLine="480" w:firstLineChars="200"/>
        <w:rPr>
          <w:rFonts w:ascii="宋体" w:hAnsi="宋体"/>
          <w:sz w:val="24"/>
        </w:rPr>
      </w:pPr>
      <w:r>
        <w:rPr>
          <w:rFonts w:hint="eastAsia" w:ascii="宋体" w:hAnsi="宋体"/>
          <w:sz w:val="24"/>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0D68BCFA">
      <w:pPr>
        <w:spacing w:line="360" w:lineRule="auto"/>
        <w:ind w:firstLine="480" w:firstLineChars="200"/>
        <w:rPr>
          <w:rFonts w:ascii="宋体" w:hAnsi="宋体"/>
          <w:sz w:val="24"/>
        </w:rPr>
      </w:pPr>
      <w:r>
        <w:rPr>
          <w:rFonts w:hint="eastAsia" w:ascii="宋体" w:hAnsi="宋体"/>
          <w:sz w:val="24"/>
        </w:rPr>
        <w:t>八、本保函适用的法律为中华人民共和国法律，争议裁判管辖地为中华人民共和国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7400221F">
      <w:pPr>
        <w:spacing w:line="360" w:lineRule="auto"/>
        <w:ind w:firstLine="480" w:firstLineChars="200"/>
        <w:rPr>
          <w:rFonts w:ascii="宋体" w:hAnsi="宋体"/>
          <w:sz w:val="24"/>
        </w:rPr>
      </w:pPr>
      <w:r>
        <w:rPr>
          <w:rFonts w:hint="eastAsia" w:ascii="宋体" w:hAnsi="宋体"/>
          <w:sz w:val="24"/>
        </w:rPr>
        <w:t xml:space="preserve">九、本保函自我方法定代表人或授权代表签字并加盖公章之日起生效。 </w:t>
      </w:r>
    </w:p>
    <w:p w14:paraId="723EB558">
      <w:pPr>
        <w:spacing w:line="360" w:lineRule="auto"/>
        <w:ind w:firstLine="480" w:firstLineChars="200"/>
        <w:rPr>
          <w:rFonts w:ascii="宋体" w:hAnsi="宋体"/>
          <w:sz w:val="24"/>
        </w:rPr>
      </w:pPr>
      <w:r>
        <w:rPr>
          <w:rFonts w:hint="eastAsia" w:ascii="宋体" w:hAnsi="宋体"/>
          <w:sz w:val="24"/>
        </w:rPr>
        <w:t xml:space="preserve"> </w:t>
      </w:r>
    </w:p>
    <w:p w14:paraId="3A3A0FA2">
      <w:pPr>
        <w:spacing w:line="360" w:lineRule="auto"/>
        <w:ind w:firstLine="480" w:firstLineChars="200"/>
        <w:rPr>
          <w:rFonts w:ascii="宋体" w:hAnsi="宋体"/>
          <w:sz w:val="24"/>
        </w:rPr>
      </w:pPr>
      <w:r>
        <w:rPr>
          <w:rFonts w:hint="eastAsia" w:ascii="宋体" w:hAnsi="宋体"/>
          <w:sz w:val="24"/>
        </w:rPr>
        <w:t xml:space="preserve">开 立 人：                                （公章） </w:t>
      </w:r>
    </w:p>
    <w:p w14:paraId="6755FC1E">
      <w:pPr>
        <w:spacing w:line="360" w:lineRule="auto"/>
        <w:ind w:firstLine="480" w:firstLineChars="200"/>
        <w:rPr>
          <w:rFonts w:ascii="宋体" w:hAnsi="宋体"/>
          <w:sz w:val="24"/>
        </w:rPr>
      </w:pPr>
      <w:r>
        <w:rPr>
          <w:rFonts w:hint="eastAsia" w:ascii="宋体" w:hAnsi="宋体"/>
          <w:sz w:val="24"/>
        </w:rPr>
        <w:t xml:space="preserve">法定代表人（或授权代表） ：               （签字） </w:t>
      </w:r>
    </w:p>
    <w:p w14:paraId="4D26B6AC">
      <w:pPr>
        <w:spacing w:line="360" w:lineRule="auto"/>
        <w:ind w:firstLine="480" w:firstLineChars="200"/>
        <w:rPr>
          <w:rFonts w:ascii="宋体" w:hAnsi="宋体"/>
          <w:sz w:val="24"/>
        </w:rPr>
      </w:pPr>
      <w:r>
        <w:rPr>
          <w:rFonts w:hint="eastAsia" w:ascii="宋体" w:hAnsi="宋体"/>
          <w:sz w:val="24"/>
        </w:rPr>
        <w:t xml:space="preserve">地    址：                                       </w:t>
      </w:r>
    </w:p>
    <w:p w14:paraId="740BD0C8">
      <w:pPr>
        <w:spacing w:line="360" w:lineRule="auto"/>
        <w:ind w:firstLine="480" w:firstLineChars="200"/>
        <w:rPr>
          <w:rFonts w:ascii="宋体" w:hAnsi="宋体"/>
          <w:sz w:val="24"/>
        </w:rPr>
      </w:pPr>
      <w:r>
        <w:rPr>
          <w:rFonts w:hint="eastAsia" w:ascii="宋体" w:hAnsi="宋体"/>
          <w:sz w:val="24"/>
        </w:rPr>
        <w:t xml:space="preserve">邮政编码：                 </w:t>
      </w:r>
    </w:p>
    <w:p w14:paraId="775BB793">
      <w:pPr>
        <w:spacing w:line="360" w:lineRule="auto"/>
        <w:ind w:firstLine="480" w:firstLineChars="200"/>
        <w:rPr>
          <w:rFonts w:ascii="宋体" w:hAnsi="宋体"/>
          <w:sz w:val="24"/>
        </w:rPr>
      </w:pPr>
      <w:r>
        <w:rPr>
          <w:rFonts w:hint="eastAsia" w:ascii="宋体" w:hAnsi="宋体"/>
          <w:sz w:val="24"/>
        </w:rPr>
        <w:t xml:space="preserve">电    话：                 </w:t>
      </w:r>
    </w:p>
    <w:p w14:paraId="1B785BCA">
      <w:pPr>
        <w:spacing w:line="360" w:lineRule="auto"/>
        <w:ind w:firstLine="480" w:firstLineChars="200"/>
        <w:rPr>
          <w:rFonts w:ascii="宋体" w:hAnsi="宋体"/>
          <w:sz w:val="24"/>
        </w:rPr>
      </w:pPr>
      <w:r>
        <w:rPr>
          <w:rFonts w:hint="eastAsia" w:ascii="宋体" w:hAnsi="宋体"/>
          <w:sz w:val="24"/>
        </w:rPr>
        <w:t xml:space="preserve">传    真：                 </w:t>
      </w:r>
    </w:p>
    <w:p w14:paraId="526D8B78">
      <w:pPr>
        <w:spacing w:line="360" w:lineRule="auto"/>
        <w:ind w:firstLine="480" w:firstLineChars="200"/>
        <w:rPr>
          <w:szCs w:val="21"/>
        </w:rPr>
      </w:pPr>
      <w:r>
        <w:rPr>
          <w:rFonts w:hint="eastAsia" w:ascii="宋体" w:hAnsi="宋体"/>
          <w:sz w:val="24"/>
        </w:rPr>
        <w:t>开立时间：      年      月   日</w:t>
      </w:r>
    </w:p>
    <w:p w14:paraId="0CE66820">
      <w:pPr>
        <w:spacing w:line="360" w:lineRule="auto"/>
        <w:jc w:val="center"/>
        <w:rPr>
          <w:rFonts w:ascii="宋体" w:hAnsi="宋体"/>
          <w:b/>
          <w:bCs/>
          <w:sz w:val="32"/>
          <w:szCs w:val="32"/>
        </w:rPr>
      </w:pPr>
    </w:p>
    <w:p w14:paraId="5A3A4FBF">
      <w:pPr>
        <w:pStyle w:val="16"/>
      </w:pPr>
    </w:p>
    <w:p w14:paraId="34482397">
      <w:pPr>
        <w:spacing w:line="36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投标保函示范文本</w:t>
      </w:r>
    </w:p>
    <w:p w14:paraId="39F99AC0">
      <w:pPr>
        <w:spacing w:line="360" w:lineRule="auto"/>
        <w:jc w:val="center"/>
        <w:rPr>
          <w:rFonts w:ascii="宋体" w:hAnsi="宋体"/>
          <w:b/>
          <w:bCs/>
          <w:sz w:val="32"/>
          <w:szCs w:val="32"/>
        </w:rPr>
      </w:pPr>
      <w:r>
        <w:rPr>
          <w:rFonts w:hint="eastAsia" w:ascii="宋体" w:hAnsi="宋体"/>
          <w:b/>
          <w:bCs/>
          <w:sz w:val="32"/>
          <w:szCs w:val="32"/>
        </w:rPr>
        <w:t>（非独立保函）</w:t>
      </w:r>
    </w:p>
    <w:p w14:paraId="2716C5B2">
      <w:pPr>
        <w:wordWrap w:val="0"/>
        <w:spacing w:line="360" w:lineRule="auto"/>
        <w:jc w:val="right"/>
        <w:rPr>
          <w:rFonts w:ascii="宋体" w:hAnsi="宋体"/>
          <w:szCs w:val="21"/>
        </w:rPr>
      </w:pPr>
      <w:r>
        <w:rPr>
          <w:rFonts w:hint="eastAsia" w:ascii="宋体" w:hAnsi="宋体"/>
          <w:szCs w:val="21"/>
        </w:rPr>
        <w:t xml:space="preserve">编号：           </w:t>
      </w:r>
    </w:p>
    <w:p w14:paraId="6D707209">
      <w:pPr>
        <w:spacing w:line="360" w:lineRule="auto"/>
        <w:jc w:val="right"/>
        <w:rPr>
          <w:rFonts w:ascii="宋体" w:hAnsi="宋体"/>
          <w:szCs w:val="21"/>
        </w:rPr>
      </w:pPr>
      <w:r>
        <w:rPr>
          <w:rFonts w:hint="eastAsia" w:ascii="宋体" w:hAnsi="宋体"/>
          <w:szCs w:val="21"/>
        </w:rPr>
        <w:t xml:space="preserve"> </w:t>
      </w:r>
    </w:p>
    <w:p w14:paraId="492059F4">
      <w:pPr>
        <w:spacing w:line="360" w:lineRule="auto"/>
        <w:rPr>
          <w:rFonts w:ascii="宋体" w:hAnsi="宋体"/>
          <w:sz w:val="24"/>
        </w:rPr>
      </w:pPr>
      <w:r>
        <w:rPr>
          <w:rFonts w:hint="eastAsia" w:ascii="宋体" w:hAnsi="宋体"/>
          <w:sz w:val="24"/>
        </w:rPr>
        <w:t>投标人：</w:t>
      </w:r>
    </w:p>
    <w:p w14:paraId="27F7F8AB">
      <w:pPr>
        <w:spacing w:line="360" w:lineRule="auto"/>
        <w:rPr>
          <w:rFonts w:ascii="宋体" w:hAnsi="宋体"/>
          <w:sz w:val="24"/>
        </w:rPr>
      </w:pPr>
      <w:r>
        <w:rPr>
          <w:rFonts w:hint="eastAsia" w:ascii="宋体" w:hAnsi="宋体"/>
          <w:sz w:val="24"/>
        </w:rPr>
        <w:t>地址：</w:t>
      </w:r>
    </w:p>
    <w:p w14:paraId="13397517">
      <w:pPr>
        <w:spacing w:line="360" w:lineRule="auto"/>
        <w:rPr>
          <w:rFonts w:ascii="宋体" w:hAnsi="宋体"/>
          <w:sz w:val="24"/>
        </w:rPr>
      </w:pPr>
      <w:r>
        <w:rPr>
          <w:rFonts w:hint="eastAsia" w:ascii="宋体" w:hAnsi="宋体"/>
          <w:sz w:val="24"/>
        </w:rPr>
        <w:t xml:space="preserve">担保权人/招标人： </w:t>
      </w:r>
    </w:p>
    <w:p w14:paraId="63CE4A69">
      <w:pPr>
        <w:spacing w:line="360" w:lineRule="auto"/>
        <w:rPr>
          <w:rFonts w:ascii="宋体" w:hAnsi="宋体"/>
          <w:sz w:val="24"/>
        </w:rPr>
      </w:pPr>
      <w:r>
        <w:rPr>
          <w:rFonts w:hint="eastAsia" w:ascii="宋体" w:hAnsi="宋体"/>
          <w:sz w:val="24"/>
        </w:rPr>
        <w:t>地址：</w:t>
      </w:r>
    </w:p>
    <w:p w14:paraId="38BA465E">
      <w:pPr>
        <w:spacing w:line="360" w:lineRule="auto"/>
        <w:rPr>
          <w:rFonts w:ascii="宋体" w:hAnsi="宋体"/>
          <w:sz w:val="24"/>
        </w:rPr>
      </w:pPr>
      <w:r>
        <w:rPr>
          <w:rFonts w:hint="eastAsia" w:ascii="宋体" w:hAnsi="宋体"/>
          <w:sz w:val="24"/>
        </w:rPr>
        <w:t>保证人：</w:t>
      </w:r>
    </w:p>
    <w:p w14:paraId="71DFDFB7">
      <w:pPr>
        <w:spacing w:line="360" w:lineRule="auto"/>
        <w:rPr>
          <w:rFonts w:ascii="宋体" w:hAnsi="宋体"/>
          <w:sz w:val="24"/>
        </w:rPr>
      </w:pPr>
      <w:r>
        <w:rPr>
          <w:rFonts w:hint="eastAsia" w:ascii="宋体" w:hAnsi="宋体"/>
          <w:sz w:val="24"/>
        </w:rPr>
        <w:t>地址：</w:t>
      </w:r>
    </w:p>
    <w:p w14:paraId="3C6B2A0F">
      <w:pPr>
        <w:spacing w:line="360" w:lineRule="auto"/>
        <w:rPr>
          <w:rFonts w:ascii="宋体" w:hAnsi="宋体"/>
          <w:sz w:val="24"/>
        </w:rPr>
      </w:pPr>
      <w:r>
        <w:rPr>
          <w:rFonts w:hint="eastAsia" w:ascii="宋体" w:hAnsi="宋体"/>
          <w:sz w:val="24"/>
        </w:rPr>
        <w:t xml:space="preserve"> </w:t>
      </w:r>
    </w:p>
    <w:p w14:paraId="585FB1A5">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 xml:space="preserve">（招标人名称）： </w:t>
      </w:r>
    </w:p>
    <w:p w14:paraId="0D4A5D98">
      <w:pPr>
        <w:spacing w:line="360" w:lineRule="auto"/>
        <w:ind w:firstLine="480" w:firstLineChars="200"/>
        <w:rPr>
          <w:rFonts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（以下简称“投标人”）参加招标人就</w:t>
      </w:r>
      <w:r>
        <w:rPr>
          <w:rFonts w:hint="eastAsia" w:ascii="宋体" w:hAnsi="宋体"/>
          <w:sz w:val="24"/>
          <w:u w:val="single"/>
        </w:rPr>
        <w:t xml:space="preserve">       </w:t>
      </w:r>
      <w:r>
        <w:rPr>
          <w:rFonts w:hint="eastAsia" w:ascii="宋体" w:hAnsi="宋体"/>
          <w:sz w:val="24"/>
        </w:rPr>
        <w:t>项目组织的招 标，招标编号为</w:t>
      </w:r>
      <w:r>
        <w:rPr>
          <w:rFonts w:hint="eastAsia" w:ascii="宋体" w:hAnsi="宋体"/>
          <w:sz w:val="24"/>
          <w:u w:val="single"/>
        </w:rPr>
        <w:t xml:space="preserve">         </w:t>
      </w:r>
      <w:r>
        <w:rPr>
          <w:rFonts w:hint="eastAsia" w:ascii="宋体" w:hAnsi="宋体"/>
          <w:sz w:val="24"/>
        </w:rPr>
        <w:t xml:space="preserve">。应投标人的申请，我方即保证人同意就投标人履行招投标文件项下的义务以保证的方式向招标人提供如下保证担保（以下简称“本保证担保”）。 </w:t>
      </w:r>
    </w:p>
    <w:p w14:paraId="67FB3560">
      <w:pPr>
        <w:spacing w:line="360" w:lineRule="auto"/>
        <w:ind w:firstLine="482" w:firstLineChars="200"/>
        <w:rPr>
          <w:rFonts w:ascii="宋体" w:hAnsi="宋体"/>
          <w:b/>
          <w:bCs/>
          <w:sz w:val="24"/>
        </w:rPr>
      </w:pPr>
      <w:r>
        <w:rPr>
          <w:rFonts w:hint="eastAsia" w:ascii="宋体" w:hAnsi="宋体"/>
          <w:b/>
          <w:bCs/>
          <w:sz w:val="24"/>
        </w:rPr>
        <w:t>一、保证担保的范围及保证担保金额</w:t>
      </w:r>
    </w:p>
    <w:p w14:paraId="6FCB2FCD">
      <w:pPr>
        <w:spacing w:line="360" w:lineRule="auto"/>
        <w:rPr>
          <w:rFonts w:ascii="宋体" w:hAnsi="宋体"/>
          <w:sz w:val="24"/>
        </w:rPr>
      </w:pPr>
      <w:r>
        <w:rPr>
          <w:rFonts w:hint="eastAsia" w:ascii="宋体" w:hAnsi="宋体"/>
          <w:sz w:val="24"/>
        </w:rPr>
        <w:t xml:space="preserve">    1.我方在投标人发生以下情形时承担保证担保责任： </w:t>
      </w:r>
    </w:p>
    <w:p w14:paraId="1703E529">
      <w:pPr>
        <w:spacing w:line="360" w:lineRule="auto"/>
        <w:rPr>
          <w:rFonts w:ascii="宋体" w:hAnsi="宋体"/>
          <w:sz w:val="24"/>
        </w:rPr>
      </w:pPr>
      <w:r>
        <w:rPr>
          <w:rFonts w:hint="eastAsia" w:ascii="宋体" w:hAnsi="宋体"/>
          <w:sz w:val="24"/>
        </w:rPr>
        <w:t xml:space="preserve">    （1）投标人在开标后和投标有效期满之前撤销投标的； </w:t>
      </w:r>
    </w:p>
    <w:p w14:paraId="01EDD441">
      <w:pPr>
        <w:spacing w:line="360" w:lineRule="auto"/>
        <w:ind w:firstLine="480" w:firstLineChars="200"/>
        <w:rPr>
          <w:rFonts w:ascii="宋体" w:hAnsi="宋体"/>
          <w:sz w:val="24"/>
        </w:rPr>
      </w:pPr>
      <w:r>
        <w:rPr>
          <w:rFonts w:hint="eastAsia" w:ascii="宋体" w:hAnsi="宋体"/>
          <w:sz w:val="24"/>
        </w:rPr>
        <w:t>（2）投标人在收到中标通知后，不能或拒绝在中标通知书规定的时间内与贵方签订合同；</w:t>
      </w:r>
    </w:p>
    <w:p w14:paraId="3164E0DF">
      <w:pPr>
        <w:spacing w:line="360" w:lineRule="auto"/>
        <w:ind w:firstLine="480" w:firstLineChars="200"/>
        <w:rPr>
          <w:rFonts w:ascii="宋体" w:hAnsi="宋体"/>
          <w:sz w:val="24"/>
        </w:rPr>
      </w:pPr>
      <w:r>
        <w:rPr>
          <w:rFonts w:hint="eastAsia" w:ascii="宋体" w:hAnsi="宋体"/>
          <w:sz w:val="24"/>
        </w:rPr>
        <w:t>（3）投标人在与贵方签订合同后，未在规定的时间内提交符合招标文件要求的履约担保；</w:t>
      </w:r>
    </w:p>
    <w:p w14:paraId="7A346F9E">
      <w:pPr>
        <w:spacing w:line="360" w:lineRule="auto"/>
        <w:ind w:firstLine="480" w:firstLineChars="200"/>
        <w:rPr>
          <w:rFonts w:ascii="宋体" w:hAnsi="宋体"/>
          <w:sz w:val="24"/>
        </w:rPr>
      </w:pPr>
      <w:r>
        <w:rPr>
          <w:rFonts w:hint="eastAsia" w:ascii="宋体" w:hAnsi="宋体"/>
          <w:sz w:val="24"/>
        </w:rPr>
        <w:t>（4）投标人违反招标文件规定的其他情形。</w:t>
      </w:r>
    </w:p>
    <w:p w14:paraId="28D99FFA">
      <w:pPr>
        <w:spacing w:line="360" w:lineRule="auto"/>
        <w:rPr>
          <w:rFonts w:ascii="宋体" w:hAnsi="宋体"/>
          <w:sz w:val="24"/>
        </w:rPr>
      </w:pPr>
      <w:r>
        <w:rPr>
          <w:rFonts w:hint="eastAsia" w:ascii="宋体" w:hAnsi="宋体"/>
          <w:sz w:val="24"/>
        </w:rPr>
        <w:t xml:space="preserve">    2.保证担保金额最高不超过人民币（大写）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 xml:space="preserve">）。 </w:t>
      </w:r>
    </w:p>
    <w:p w14:paraId="12B9F454">
      <w:pPr>
        <w:spacing w:line="360" w:lineRule="auto"/>
        <w:ind w:firstLine="482" w:firstLineChars="200"/>
        <w:rPr>
          <w:rFonts w:ascii="宋体" w:hAnsi="宋体"/>
          <w:b/>
          <w:bCs/>
          <w:sz w:val="24"/>
        </w:rPr>
      </w:pPr>
      <w:r>
        <w:rPr>
          <w:rFonts w:hint="eastAsia" w:ascii="宋体" w:hAnsi="宋体"/>
          <w:b/>
          <w:bCs/>
          <w:sz w:val="24"/>
        </w:rPr>
        <w:t xml:space="preserve">二、保证担保的方式及保证期间 </w:t>
      </w:r>
    </w:p>
    <w:p w14:paraId="10759831">
      <w:pPr>
        <w:spacing w:line="360" w:lineRule="auto"/>
        <w:ind w:firstLine="480" w:firstLineChars="200"/>
        <w:rPr>
          <w:rFonts w:ascii="宋体" w:hAnsi="宋体"/>
          <w:sz w:val="24"/>
        </w:rPr>
      </w:pPr>
      <w:r>
        <w:rPr>
          <w:rFonts w:hint="eastAsia" w:ascii="宋体" w:hAnsi="宋体"/>
          <w:sz w:val="24"/>
        </w:rPr>
        <w:t>1.保证担保方式：连带责任保证。</w:t>
      </w:r>
    </w:p>
    <w:p w14:paraId="733F62DC">
      <w:pPr>
        <w:spacing w:line="360" w:lineRule="auto"/>
        <w:ind w:firstLine="480" w:firstLineChars="200"/>
        <w:rPr>
          <w:rFonts w:ascii="宋体" w:hAnsi="宋体"/>
          <w:sz w:val="24"/>
        </w:rPr>
      </w:pPr>
      <w:r>
        <w:rPr>
          <w:rFonts w:hint="eastAsia" w:ascii="宋体" w:hAnsi="宋体"/>
          <w:sz w:val="24"/>
        </w:rPr>
        <w:t>2.保证期间：自出具之日起至招标文件规定的投标有效期届满后</w:t>
      </w:r>
      <w:r>
        <w:rPr>
          <w:rFonts w:hint="eastAsia" w:ascii="宋体" w:hAnsi="宋体"/>
          <w:sz w:val="24"/>
          <w:u w:val="single"/>
        </w:rPr>
        <w:t xml:space="preserve">   </w:t>
      </w:r>
      <w:r>
        <w:rPr>
          <w:rFonts w:hint="eastAsia" w:ascii="宋体" w:hAnsi="宋体"/>
          <w:sz w:val="24"/>
        </w:rPr>
        <w:t>日。投标有效期延长的，本保函保证期间相应顺延，最迟不超过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474E54">
      <w:pPr>
        <w:spacing w:line="360" w:lineRule="auto"/>
        <w:ind w:firstLine="482" w:firstLineChars="200"/>
        <w:rPr>
          <w:rFonts w:ascii="宋体" w:hAnsi="宋体"/>
          <w:b/>
          <w:bCs/>
          <w:sz w:val="24"/>
        </w:rPr>
      </w:pPr>
      <w:r>
        <w:rPr>
          <w:rFonts w:hint="eastAsia" w:ascii="宋体" w:hAnsi="宋体"/>
          <w:b/>
          <w:bCs/>
          <w:sz w:val="24"/>
        </w:rPr>
        <w:t>三、承担保证担保责任的形式</w:t>
      </w:r>
    </w:p>
    <w:p w14:paraId="173D074F">
      <w:pPr>
        <w:spacing w:line="360" w:lineRule="auto"/>
        <w:ind w:firstLine="480" w:firstLineChars="200"/>
        <w:rPr>
          <w:rFonts w:ascii="宋体" w:hAnsi="宋体"/>
          <w:sz w:val="24"/>
        </w:rPr>
      </w:pPr>
      <w:r>
        <w:rPr>
          <w:rFonts w:hint="eastAsia" w:ascii="宋体" w:hAnsi="宋体"/>
          <w:sz w:val="24"/>
        </w:rPr>
        <w:t xml:space="preserve">我方按照贵方的要求以下列方式之一承担保证责任： </w:t>
      </w:r>
    </w:p>
    <w:p w14:paraId="4E2286D5">
      <w:pPr>
        <w:spacing w:line="360" w:lineRule="auto"/>
        <w:ind w:firstLine="480" w:firstLineChars="200"/>
        <w:rPr>
          <w:rFonts w:ascii="宋体" w:hAnsi="宋体"/>
          <w:sz w:val="24"/>
        </w:rPr>
      </w:pPr>
      <w:r>
        <w:rPr>
          <w:rFonts w:hint="eastAsia" w:ascii="宋体" w:hAnsi="宋体"/>
          <w:sz w:val="24"/>
        </w:rPr>
        <w:t>1.代投标人向贵方支付投标保证金为人民币</w:t>
      </w:r>
      <w:r>
        <w:rPr>
          <w:rFonts w:hint="eastAsia" w:ascii="宋体" w:hAnsi="宋体"/>
          <w:sz w:val="24"/>
          <w:u w:val="single"/>
        </w:rPr>
        <w:t xml:space="preserve">    </w:t>
      </w:r>
      <w:r>
        <w:rPr>
          <w:rFonts w:hint="eastAsia" w:ascii="宋体" w:hAnsi="宋体"/>
          <w:sz w:val="24"/>
        </w:rPr>
        <w:t>元；</w:t>
      </w:r>
    </w:p>
    <w:p w14:paraId="7DD8A8BE">
      <w:pPr>
        <w:spacing w:line="360" w:lineRule="auto"/>
        <w:ind w:firstLine="480" w:firstLineChars="200"/>
        <w:rPr>
          <w:rFonts w:ascii="宋体" w:hAnsi="宋体"/>
          <w:sz w:val="24"/>
        </w:rPr>
      </w:pPr>
      <w:r>
        <w:rPr>
          <w:rFonts w:hint="eastAsia" w:ascii="宋体" w:hAnsi="宋体"/>
          <w:sz w:val="24"/>
        </w:rPr>
        <w:t>2.给贵方造成损失的，在保证担保最高金额范围内向贵方支付赔偿金、利息、律师费、诉讼费用等实现债权的费用。</w:t>
      </w:r>
    </w:p>
    <w:p w14:paraId="14423AEB">
      <w:pPr>
        <w:spacing w:line="360" w:lineRule="auto"/>
        <w:ind w:firstLine="482" w:firstLineChars="200"/>
        <w:rPr>
          <w:rFonts w:ascii="宋体" w:hAnsi="宋体"/>
          <w:b/>
          <w:bCs/>
          <w:sz w:val="24"/>
        </w:rPr>
      </w:pPr>
      <w:r>
        <w:rPr>
          <w:rFonts w:hint="eastAsia" w:ascii="宋体" w:hAnsi="宋体"/>
          <w:b/>
          <w:bCs/>
          <w:sz w:val="24"/>
        </w:rPr>
        <w:t xml:space="preserve">四、代偿的安排 </w:t>
      </w:r>
    </w:p>
    <w:p w14:paraId="18002AD8">
      <w:pPr>
        <w:spacing w:line="360" w:lineRule="auto"/>
        <w:ind w:firstLine="480" w:firstLineChars="200"/>
        <w:rPr>
          <w:rFonts w:ascii="宋体" w:hAnsi="宋体"/>
          <w:sz w:val="24"/>
        </w:rPr>
      </w:pPr>
      <w:r>
        <w:rPr>
          <w:rFonts w:hint="eastAsia" w:ascii="宋体" w:hAnsi="宋体"/>
          <w:sz w:val="24"/>
        </w:rPr>
        <w:t>1.贵方要求我方承担保证责任的，应向我方发出书面索赔通知。索赔通知应写明要求索赔的金额，支付款项应到达的账号，并附有说明投标人违约造成贵方损失情况的证明材料。</w:t>
      </w:r>
    </w:p>
    <w:p w14:paraId="46C78A7B">
      <w:pPr>
        <w:spacing w:line="360" w:lineRule="auto"/>
        <w:ind w:firstLine="480" w:firstLineChars="200"/>
        <w:rPr>
          <w:rFonts w:ascii="宋体" w:hAnsi="宋体"/>
          <w:sz w:val="24"/>
        </w:rPr>
      </w:pPr>
      <w:r>
        <w:rPr>
          <w:rFonts w:hint="eastAsia" w:ascii="宋体" w:hAnsi="宋体"/>
          <w:sz w:val="24"/>
        </w:rPr>
        <w:t>2.我方收到贵方的书面索赔通知及相应证明材料后，在</w:t>
      </w:r>
      <w:r>
        <w:rPr>
          <w:rFonts w:hint="eastAsia" w:ascii="宋体" w:hAnsi="宋体"/>
          <w:sz w:val="24"/>
          <w:u w:val="single"/>
        </w:rPr>
        <w:t xml:space="preserve">    </w:t>
      </w:r>
      <w:r>
        <w:rPr>
          <w:rFonts w:hint="eastAsia" w:ascii="宋体" w:hAnsi="宋体"/>
          <w:sz w:val="24"/>
        </w:rPr>
        <w:t>工作日内进行核定后按照本保函的承诺承担保证责任。</w:t>
      </w:r>
    </w:p>
    <w:p w14:paraId="68083C80">
      <w:pPr>
        <w:spacing w:line="360" w:lineRule="auto"/>
        <w:ind w:firstLine="482" w:firstLineChars="200"/>
        <w:rPr>
          <w:rFonts w:ascii="宋体" w:hAnsi="宋体"/>
          <w:b/>
          <w:bCs/>
          <w:sz w:val="24"/>
        </w:rPr>
      </w:pPr>
      <w:r>
        <w:rPr>
          <w:rFonts w:hint="eastAsia" w:ascii="宋体" w:hAnsi="宋体"/>
          <w:b/>
          <w:bCs/>
          <w:sz w:val="24"/>
        </w:rPr>
        <w:t xml:space="preserve">五、保证担保责任的解除 </w:t>
      </w:r>
    </w:p>
    <w:p w14:paraId="3AA06894">
      <w:pPr>
        <w:spacing w:line="360" w:lineRule="auto"/>
        <w:ind w:firstLine="480" w:firstLineChars="200"/>
        <w:rPr>
          <w:rFonts w:ascii="宋体" w:hAnsi="宋体"/>
          <w:sz w:val="24"/>
        </w:rPr>
      </w:pPr>
      <w:r>
        <w:rPr>
          <w:rFonts w:hint="eastAsia" w:ascii="宋体" w:hAnsi="宋体"/>
          <w:sz w:val="24"/>
        </w:rPr>
        <w:t xml:space="preserve">1.保证期间届满贵方未向我方书面主张保证责任的，自保证期间届满次日起，我方解除保证责任。 </w:t>
      </w:r>
    </w:p>
    <w:p w14:paraId="0386A410">
      <w:pPr>
        <w:spacing w:line="360" w:lineRule="auto"/>
        <w:ind w:firstLine="480" w:firstLineChars="200"/>
        <w:rPr>
          <w:rFonts w:ascii="宋体" w:hAnsi="宋体"/>
          <w:sz w:val="24"/>
        </w:rPr>
      </w:pPr>
      <w:r>
        <w:rPr>
          <w:rFonts w:hint="eastAsia" w:ascii="宋体" w:hAnsi="宋体"/>
          <w:sz w:val="24"/>
        </w:rPr>
        <w:t xml:space="preserve">2.我方按照本保证担保向贵方履行了保证担保责任后，自我方向贵方支付的金额达到最高保证担保金额之日起，保证担保责任解除。 </w:t>
      </w:r>
    </w:p>
    <w:p w14:paraId="45E3DEC0">
      <w:pPr>
        <w:spacing w:line="360" w:lineRule="auto"/>
        <w:ind w:firstLine="480" w:firstLineChars="200"/>
        <w:rPr>
          <w:rFonts w:ascii="宋体" w:hAnsi="宋体"/>
          <w:sz w:val="24"/>
        </w:rPr>
      </w:pPr>
      <w:r>
        <w:rPr>
          <w:rFonts w:hint="eastAsia" w:ascii="宋体" w:hAnsi="宋体"/>
          <w:sz w:val="24"/>
        </w:rPr>
        <w:t xml:space="preserve">3.按照法律法规的规定应解除我方保证担保责任的其它情形的，我方在本保证担保项下的保证担保责任亦解除。 </w:t>
      </w:r>
    </w:p>
    <w:p w14:paraId="098EC4B3">
      <w:pPr>
        <w:spacing w:line="360" w:lineRule="auto"/>
        <w:ind w:firstLine="480" w:firstLineChars="200"/>
        <w:rPr>
          <w:rFonts w:ascii="宋体" w:hAnsi="宋体"/>
          <w:sz w:val="24"/>
        </w:rPr>
      </w:pPr>
      <w:r>
        <w:rPr>
          <w:rFonts w:hint="eastAsia" w:ascii="宋体" w:hAnsi="宋体"/>
          <w:sz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79B7EDDF">
      <w:pPr>
        <w:spacing w:line="360" w:lineRule="auto"/>
        <w:ind w:firstLine="482" w:firstLineChars="200"/>
        <w:rPr>
          <w:rFonts w:ascii="宋体" w:hAnsi="宋体"/>
          <w:b/>
          <w:bCs/>
          <w:sz w:val="24"/>
        </w:rPr>
      </w:pPr>
      <w:r>
        <w:rPr>
          <w:rFonts w:hint="eastAsia" w:ascii="宋体" w:hAnsi="宋体"/>
          <w:b/>
          <w:bCs/>
          <w:sz w:val="24"/>
        </w:rPr>
        <w:t xml:space="preserve">六、免责条款 </w:t>
      </w:r>
    </w:p>
    <w:p w14:paraId="5095889E">
      <w:pPr>
        <w:spacing w:line="360" w:lineRule="auto"/>
        <w:ind w:firstLine="480" w:firstLineChars="200"/>
        <w:rPr>
          <w:rFonts w:ascii="宋体" w:hAnsi="宋体"/>
          <w:sz w:val="24"/>
        </w:rPr>
      </w:pPr>
      <w:r>
        <w:rPr>
          <w:rFonts w:hint="eastAsia" w:ascii="宋体" w:hAnsi="宋体"/>
          <w:sz w:val="24"/>
        </w:rPr>
        <w:t xml:space="preserve">1. 因贵方原因致使投标人违反招投标文件的，我方不承担保证担保责任。 </w:t>
      </w:r>
    </w:p>
    <w:p w14:paraId="6C9C30DC">
      <w:pPr>
        <w:spacing w:line="360" w:lineRule="auto"/>
        <w:ind w:firstLine="480" w:firstLineChars="200"/>
        <w:rPr>
          <w:rFonts w:ascii="宋体" w:hAnsi="宋体"/>
          <w:sz w:val="24"/>
        </w:rPr>
      </w:pPr>
      <w:r>
        <w:rPr>
          <w:rFonts w:hint="eastAsia" w:ascii="宋体" w:hAnsi="宋体"/>
          <w:sz w:val="24"/>
        </w:rPr>
        <w:t xml:space="preserve">2. 依照法律规定或贵方与投标人的另行约定，免除投标人部分或全部义务的，我方亦免除其相应的保证担保责任。 </w:t>
      </w:r>
    </w:p>
    <w:p w14:paraId="2DBB32F8">
      <w:pPr>
        <w:spacing w:line="360" w:lineRule="auto"/>
        <w:ind w:firstLine="480" w:firstLineChars="200"/>
        <w:rPr>
          <w:rFonts w:ascii="宋体" w:hAnsi="宋体"/>
          <w:sz w:val="24"/>
        </w:rPr>
      </w:pPr>
      <w:r>
        <w:rPr>
          <w:rFonts w:hint="eastAsia" w:ascii="宋体" w:hAnsi="宋体"/>
          <w:sz w:val="24"/>
        </w:rPr>
        <w:t>3. 因不可抗力造成投标人违反招投标文件的，我方不承担保证担保责任。</w:t>
      </w:r>
    </w:p>
    <w:p w14:paraId="552E4EE9">
      <w:pPr>
        <w:spacing w:line="360" w:lineRule="auto"/>
        <w:ind w:firstLine="482" w:firstLineChars="200"/>
        <w:rPr>
          <w:rFonts w:ascii="宋体" w:hAnsi="宋体"/>
          <w:b/>
          <w:bCs/>
          <w:sz w:val="24"/>
        </w:rPr>
      </w:pPr>
      <w:r>
        <w:rPr>
          <w:rFonts w:hint="eastAsia" w:ascii="宋体" w:hAnsi="宋体"/>
          <w:b/>
          <w:bCs/>
          <w:sz w:val="24"/>
        </w:rPr>
        <w:t>七、其他</w:t>
      </w:r>
    </w:p>
    <w:p w14:paraId="6DDE9D49">
      <w:pPr>
        <w:spacing w:line="360" w:lineRule="auto"/>
        <w:ind w:firstLine="480" w:firstLineChars="200"/>
        <w:rPr>
          <w:rFonts w:ascii="宋体" w:hAnsi="宋体"/>
          <w:sz w:val="24"/>
        </w:rPr>
      </w:pPr>
      <w:r>
        <w:rPr>
          <w:rFonts w:hint="eastAsia" w:ascii="宋体" w:hAnsi="宋体"/>
          <w:sz w:val="24"/>
        </w:rPr>
        <w:t xml:space="preserve">1.本保证担保项下的权利不得转让，不得设定担保。贵方未经我方书面同意转让本保证担保或其项下任何权利，对我方不发生法律效力。 </w:t>
      </w:r>
    </w:p>
    <w:p w14:paraId="33C29E67">
      <w:pPr>
        <w:spacing w:line="360" w:lineRule="auto"/>
        <w:ind w:firstLine="480" w:firstLineChars="200"/>
        <w:rPr>
          <w:rFonts w:ascii="宋体" w:hAnsi="宋体"/>
          <w:sz w:val="24"/>
        </w:rPr>
      </w:pPr>
      <w:r>
        <w:rPr>
          <w:rFonts w:hint="eastAsia" w:ascii="宋体" w:hAnsi="宋体"/>
          <w:sz w:val="24"/>
        </w:rPr>
        <w:t>2.本保证担保适用的法律为中华人民共和国法律，争议裁判管辖地为中华人民共和国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518DF9D7">
      <w:pPr>
        <w:spacing w:line="360" w:lineRule="auto"/>
        <w:ind w:firstLine="480" w:firstLineChars="200"/>
        <w:rPr>
          <w:rFonts w:ascii="宋体" w:hAnsi="宋体"/>
          <w:sz w:val="24"/>
        </w:rPr>
      </w:pPr>
      <w:r>
        <w:rPr>
          <w:rFonts w:hint="eastAsia" w:ascii="宋体" w:hAnsi="宋体"/>
          <w:sz w:val="24"/>
        </w:rPr>
        <w:t xml:space="preserve">3.本保证担保自我方法定代表人或授权代表签字并加盖公章之日起生效。 </w:t>
      </w:r>
    </w:p>
    <w:p w14:paraId="74028D00">
      <w:pPr>
        <w:spacing w:line="360" w:lineRule="auto"/>
        <w:ind w:firstLine="480" w:firstLineChars="200"/>
        <w:rPr>
          <w:rFonts w:ascii="宋体" w:hAnsi="宋体"/>
          <w:sz w:val="24"/>
        </w:rPr>
      </w:pPr>
      <w:r>
        <w:rPr>
          <w:rFonts w:hint="eastAsia" w:ascii="宋体" w:hAnsi="宋体"/>
          <w:sz w:val="24"/>
        </w:rPr>
        <w:t xml:space="preserve"> </w:t>
      </w:r>
    </w:p>
    <w:p w14:paraId="1FCC6D2E">
      <w:pPr>
        <w:spacing w:line="360" w:lineRule="auto"/>
        <w:ind w:firstLine="480" w:firstLineChars="200"/>
        <w:rPr>
          <w:rFonts w:ascii="宋体" w:hAnsi="宋体"/>
          <w:sz w:val="24"/>
        </w:rPr>
      </w:pPr>
      <w:r>
        <w:rPr>
          <w:rFonts w:hint="eastAsia" w:ascii="宋体" w:hAnsi="宋体"/>
          <w:sz w:val="24"/>
        </w:rPr>
        <w:t xml:space="preserve">保 证 人：                              （公章） </w:t>
      </w:r>
    </w:p>
    <w:p w14:paraId="1C321C5E">
      <w:pPr>
        <w:spacing w:line="360" w:lineRule="auto"/>
        <w:ind w:firstLine="480" w:firstLineChars="200"/>
        <w:rPr>
          <w:rFonts w:ascii="宋体" w:hAnsi="宋体"/>
          <w:sz w:val="24"/>
        </w:rPr>
      </w:pPr>
      <w:r>
        <w:rPr>
          <w:rFonts w:hint="eastAsia" w:ascii="宋体" w:hAnsi="宋体"/>
          <w:sz w:val="24"/>
        </w:rPr>
        <w:t xml:space="preserve">法定代表人（或授权代表）：               （签字） </w:t>
      </w:r>
    </w:p>
    <w:p w14:paraId="6E350627">
      <w:pPr>
        <w:spacing w:line="360" w:lineRule="auto"/>
        <w:ind w:firstLine="480" w:firstLineChars="200"/>
        <w:rPr>
          <w:rFonts w:ascii="宋体" w:hAnsi="宋体"/>
          <w:sz w:val="24"/>
        </w:rPr>
      </w:pPr>
      <w:r>
        <w:rPr>
          <w:rFonts w:hint="eastAsia" w:ascii="宋体" w:hAnsi="宋体"/>
          <w:sz w:val="24"/>
        </w:rPr>
        <w:t xml:space="preserve">地    址：                                       </w:t>
      </w:r>
    </w:p>
    <w:p w14:paraId="01C63758">
      <w:pPr>
        <w:spacing w:line="360" w:lineRule="auto"/>
        <w:ind w:firstLine="480" w:firstLineChars="200"/>
        <w:rPr>
          <w:rFonts w:ascii="宋体" w:hAnsi="宋体"/>
          <w:sz w:val="24"/>
        </w:rPr>
      </w:pPr>
      <w:r>
        <w:rPr>
          <w:rFonts w:hint="eastAsia" w:ascii="宋体" w:hAnsi="宋体"/>
          <w:sz w:val="24"/>
        </w:rPr>
        <w:t xml:space="preserve">邮政编码：                 </w:t>
      </w:r>
    </w:p>
    <w:p w14:paraId="7FC08874">
      <w:pPr>
        <w:spacing w:line="360" w:lineRule="auto"/>
        <w:ind w:firstLine="480" w:firstLineChars="200"/>
        <w:rPr>
          <w:rFonts w:ascii="宋体" w:hAnsi="宋体"/>
          <w:sz w:val="24"/>
        </w:rPr>
      </w:pPr>
      <w:r>
        <w:rPr>
          <w:rFonts w:hint="eastAsia" w:ascii="宋体" w:hAnsi="宋体"/>
          <w:sz w:val="24"/>
        </w:rPr>
        <w:t xml:space="preserve">电    话：                 </w:t>
      </w:r>
    </w:p>
    <w:p w14:paraId="560469D3">
      <w:pPr>
        <w:spacing w:line="360" w:lineRule="auto"/>
        <w:ind w:firstLine="480" w:firstLineChars="200"/>
        <w:rPr>
          <w:rFonts w:ascii="宋体" w:hAnsi="宋体"/>
          <w:sz w:val="24"/>
        </w:rPr>
      </w:pPr>
      <w:r>
        <w:rPr>
          <w:rFonts w:hint="eastAsia" w:ascii="宋体" w:hAnsi="宋体"/>
          <w:sz w:val="24"/>
        </w:rPr>
        <w:t xml:space="preserve">传    真：                 </w:t>
      </w:r>
    </w:p>
    <w:p w14:paraId="60BAD40B">
      <w:pPr>
        <w:ind w:firstLine="480" w:firstLineChars="200"/>
        <w:rPr>
          <w:szCs w:val="21"/>
        </w:rPr>
      </w:pPr>
      <w:r>
        <w:rPr>
          <w:rFonts w:hint="eastAsia" w:ascii="宋体" w:hAnsi="宋体"/>
          <w:sz w:val="24"/>
        </w:rPr>
        <w:t>时    间：      年      月        日</w:t>
      </w:r>
    </w:p>
    <w:p w14:paraId="70A9A948">
      <w:pPr>
        <w:pStyle w:val="28"/>
        <w:spacing w:beforeAutospacing="0" w:afterAutospacing="0" w:line="440" w:lineRule="exact"/>
        <w:ind w:firstLine="420"/>
        <w:rPr>
          <w:highlight w:val="yellow"/>
        </w:rPr>
      </w:pPr>
    </w:p>
    <w:p w14:paraId="473B48A6">
      <w:pPr>
        <w:pStyle w:val="28"/>
        <w:spacing w:beforeAutospacing="0" w:afterAutospacing="0" w:line="440" w:lineRule="exact"/>
        <w:ind w:firstLine="420"/>
        <w:rPr>
          <w:highlight w:val="yellow"/>
        </w:rPr>
      </w:pPr>
    </w:p>
    <w:p w14:paraId="6C153C01">
      <w:pPr>
        <w:pStyle w:val="28"/>
        <w:spacing w:beforeAutospacing="0" w:afterAutospacing="0" w:line="440" w:lineRule="exact"/>
        <w:ind w:firstLine="420"/>
        <w:rPr>
          <w:color w:val="FF0000"/>
        </w:rPr>
      </w:pPr>
      <w:bookmarkStart w:id="49" w:name="_Toc84868042"/>
      <w:r>
        <w:rPr>
          <w:color w:val="FF0000"/>
        </w:rPr>
        <w:t>注：</w:t>
      </w:r>
      <w:r>
        <w:rPr>
          <w:rFonts w:hint="eastAsia"/>
          <w:color w:val="FF0000"/>
        </w:rPr>
        <w:t>若采用纸质保函的，投标文件中需要提供投标保证金纸质保函</w:t>
      </w:r>
      <w:r>
        <w:rPr>
          <w:rFonts w:hint="eastAsia" w:cs="宋体"/>
          <w:color w:val="FF0000"/>
        </w:rPr>
        <w:t>扫描件</w:t>
      </w:r>
      <w:r>
        <w:rPr>
          <w:rFonts w:hint="eastAsia"/>
          <w:color w:val="FF0000"/>
        </w:rPr>
        <w:t>，纸质保函格式应符合招标文件投标保函示范文本要求，否则评委会不予认可。</w:t>
      </w:r>
    </w:p>
    <w:p w14:paraId="757FE58C">
      <w:pPr>
        <w:pStyle w:val="3"/>
        <w:numPr>
          <w:ilvl w:val="0"/>
          <w:numId w:val="0"/>
        </w:numPr>
        <w:jc w:val="left"/>
      </w:pPr>
    </w:p>
    <w:p w14:paraId="4DCB7B2A"/>
    <w:p w14:paraId="38726295">
      <w:pPr>
        <w:pStyle w:val="2"/>
        <w:ind w:left="1260"/>
      </w:pPr>
    </w:p>
    <w:p w14:paraId="1FFF6816"/>
    <w:p w14:paraId="69B35545">
      <w:pPr>
        <w:pStyle w:val="2"/>
        <w:ind w:left="1260"/>
      </w:pPr>
    </w:p>
    <w:p w14:paraId="7CE543E7"/>
    <w:p w14:paraId="52C2BB2E">
      <w:pPr>
        <w:pStyle w:val="2"/>
        <w:ind w:left="1260"/>
      </w:pPr>
    </w:p>
    <w:p w14:paraId="56B8EEF5"/>
    <w:p w14:paraId="5DD7DC60">
      <w:pPr>
        <w:pStyle w:val="2"/>
        <w:ind w:left="1260"/>
      </w:pPr>
    </w:p>
    <w:p w14:paraId="4A7AFE09"/>
    <w:p w14:paraId="632DEA10">
      <w:pPr>
        <w:pStyle w:val="2"/>
        <w:ind w:left="1260"/>
      </w:pPr>
    </w:p>
    <w:p w14:paraId="353445D4"/>
    <w:p w14:paraId="53743C8C">
      <w:pPr>
        <w:pStyle w:val="2"/>
        <w:ind w:left="1260"/>
      </w:pPr>
    </w:p>
    <w:p w14:paraId="20C6C530"/>
    <w:p w14:paraId="1A413629">
      <w:pPr>
        <w:pStyle w:val="2"/>
        <w:ind w:left="1260"/>
      </w:pPr>
    </w:p>
    <w:p w14:paraId="2062CEC8"/>
    <w:p w14:paraId="4B03BBCB">
      <w:pPr>
        <w:pStyle w:val="2"/>
        <w:ind w:left="1260"/>
      </w:pPr>
    </w:p>
    <w:p w14:paraId="50CAD9B9"/>
    <w:p w14:paraId="0BBA4F02">
      <w:pPr>
        <w:pStyle w:val="2"/>
        <w:ind w:left="1260"/>
      </w:pPr>
    </w:p>
    <w:p w14:paraId="114DD71A"/>
    <w:p w14:paraId="2BAA9318">
      <w:pPr>
        <w:pStyle w:val="2"/>
        <w:ind w:left="1260"/>
      </w:pPr>
    </w:p>
    <w:p w14:paraId="24EA1E17"/>
    <w:p w14:paraId="3B9FCD10">
      <w:pPr>
        <w:pStyle w:val="2"/>
        <w:ind w:left="1260"/>
      </w:pPr>
    </w:p>
    <w:p w14:paraId="31F23FDD"/>
    <w:p w14:paraId="64AB2F21">
      <w:pPr>
        <w:pStyle w:val="2"/>
        <w:ind w:left="1260"/>
      </w:pPr>
    </w:p>
    <w:p w14:paraId="6AC3387F">
      <w:pPr>
        <w:pStyle w:val="3"/>
        <w:numPr>
          <w:ilvl w:val="0"/>
          <w:numId w:val="0"/>
        </w:numPr>
        <w:jc w:val="left"/>
      </w:pPr>
    </w:p>
    <w:p w14:paraId="7E77D9BC">
      <w:pPr>
        <w:spacing w:line="360" w:lineRule="exact"/>
        <w:jc w:val="center"/>
        <w:rPr>
          <w:rFonts w:ascii="宋体" w:hAnsi="宋体"/>
          <w:b/>
          <w:color w:val="000000"/>
          <w:sz w:val="28"/>
          <w:szCs w:val="28"/>
        </w:rPr>
      </w:pPr>
    </w:p>
    <w:p w14:paraId="4D4AAC9B">
      <w:pPr>
        <w:widowControl/>
        <w:jc w:val="left"/>
        <w:rPr>
          <w:rFonts w:ascii="宋体" w:hAnsi="宋体"/>
          <w:b/>
          <w:color w:val="000000"/>
          <w:sz w:val="28"/>
          <w:szCs w:val="28"/>
        </w:rPr>
      </w:pPr>
      <w:r>
        <w:rPr>
          <w:rFonts w:ascii="宋体" w:hAnsi="宋体"/>
          <w:b/>
          <w:color w:val="000000"/>
          <w:sz w:val="28"/>
          <w:szCs w:val="28"/>
        </w:rPr>
        <w:br w:type="page"/>
      </w:r>
    </w:p>
    <w:p w14:paraId="314352A5">
      <w:pPr>
        <w:spacing w:line="360" w:lineRule="exact"/>
        <w:rPr>
          <w:rFonts w:ascii="宋体" w:hAnsi="宋体"/>
          <w:color w:val="000000"/>
          <w:sz w:val="24"/>
        </w:rPr>
      </w:pPr>
      <w:r>
        <w:rPr>
          <w:rFonts w:hint="eastAsia" w:ascii="宋体" w:hAnsi="宋体"/>
          <w:b/>
          <w:color w:val="000000"/>
          <w:sz w:val="28"/>
          <w:szCs w:val="28"/>
        </w:rPr>
        <w:t>四、监理管理文件（监理大纲）</w:t>
      </w:r>
      <w:r>
        <w:rPr>
          <w:rFonts w:hint="eastAsia" w:ascii="宋体" w:hAnsi="宋体"/>
          <w:b/>
          <w:color w:val="FF0000"/>
          <w:sz w:val="28"/>
          <w:szCs w:val="28"/>
          <w:highlight w:val="yellow"/>
        </w:rPr>
        <w:t>（本项目此部分采用“暗标”,</w:t>
      </w:r>
      <w:r>
        <w:rPr>
          <w:rFonts w:hint="eastAsia" w:ascii="宋体" w:hAnsi="宋体" w:cs="宋体"/>
          <w:b/>
          <w:bCs/>
          <w:color w:val="FF0000"/>
          <w:kern w:val="0"/>
          <w:sz w:val="28"/>
          <w:szCs w:val="28"/>
          <w:highlight w:val="yellow"/>
        </w:rPr>
        <w:t>无须签章、 签字</w:t>
      </w:r>
      <w:r>
        <w:rPr>
          <w:rFonts w:hint="eastAsia" w:ascii="宋体" w:hAnsi="宋体"/>
          <w:b/>
          <w:color w:val="FF0000"/>
          <w:sz w:val="28"/>
          <w:szCs w:val="28"/>
          <w:highlight w:val="yellow"/>
        </w:rPr>
        <w:t>）</w:t>
      </w:r>
    </w:p>
    <w:p w14:paraId="6F873E6A">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1、投标人对监理大纲内容的阐述</w:t>
      </w:r>
    </w:p>
    <w:p w14:paraId="25ADB1CB">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2、投标人对质量控制措施内容的阐述</w:t>
      </w:r>
    </w:p>
    <w:p w14:paraId="0BBA88DE">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3、投标人对进度控制措施内容的阐述</w:t>
      </w:r>
    </w:p>
    <w:p w14:paraId="3A81EADD">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4、投标人对投资及变更控制措施内容的阐述</w:t>
      </w:r>
    </w:p>
    <w:p w14:paraId="129B5E30">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5、投标人对安全控制措施内容的阐述</w:t>
      </w:r>
    </w:p>
    <w:p w14:paraId="4563C7FB">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6、投标人对合同与信息管理内容的阐述</w:t>
      </w:r>
    </w:p>
    <w:p w14:paraId="2068E68C">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7、投标人对关键工序控制措施、方案内容的阐述</w:t>
      </w:r>
    </w:p>
    <w:p w14:paraId="72973A95">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8、投标人对技术重点难点分析、监理措施内容的阐述</w:t>
      </w:r>
    </w:p>
    <w:p w14:paraId="5BBEA2AF">
      <w:pPr>
        <w:spacing w:line="360" w:lineRule="exact"/>
        <w:ind w:firstLine="480" w:firstLineChars="200"/>
        <w:jc w:val="left"/>
        <w:rPr>
          <w:rFonts w:ascii="宋体" w:hAnsi="宋体" w:cs="宋体"/>
          <w:color w:val="FF0000"/>
          <w:kern w:val="0"/>
          <w:sz w:val="24"/>
          <w:highlight w:val="yellow"/>
        </w:rPr>
      </w:pPr>
      <w:r>
        <w:rPr>
          <w:rFonts w:hint="eastAsia" w:ascii="宋体" w:hAnsi="宋体" w:cs="宋体"/>
          <w:color w:val="FF0000"/>
          <w:kern w:val="0"/>
          <w:sz w:val="24"/>
          <w:highlight w:val="yellow"/>
        </w:rPr>
        <w:t>9、投标人对工程项目特点提出合理化建议</w:t>
      </w:r>
    </w:p>
    <w:p w14:paraId="78D9948E">
      <w:pPr>
        <w:spacing w:beforeLines="100" w:afterLines="100" w:line="400" w:lineRule="exact"/>
        <w:ind w:firstLine="480" w:firstLineChars="200"/>
        <w:rPr>
          <w:rFonts w:ascii="宋体" w:hAnsi="宋体"/>
          <w:color w:val="000000"/>
          <w:sz w:val="24"/>
        </w:rPr>
      </w:pPr>
      <w:r>
        <w:rPr>
          <w:rFonts w:hint="eastAsia" w:ascii="宋体" w:hAnsi="宋体" w:cs="宋体"/>
          <w:color w:val="FF0000"/>
          <w:kern w:val="0"/>
          <w:sz w:val="24"/>
          <w:highlight w:val="yellow"/>
        </w:rPr>
        <w:t>注：本项目监理管理文件（监理大纲）采用“暗标”，请投标人按照招标文件中关于“暗标”的相关要求编制和上传“监理管理文件（监理大纲）”，否则，由此造成的不利后果，由投标人自行承担。</w:t>
      </w:r>
    </w:p>
    <w:bookmarkEnd w:id="45"/>
    <w:bookmarkEnd w:id="46"/>
    <w:p w14:paraId="7974919B">
      <w:pPr>
        <w:spacing w:line="540" w:lineRule="exact"/>
        <w:ind w:firstLine="482" w:firstLineChars="200"/>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注：1.监理管理文件（监理大纲）具体内容见本项目招标文件第</w:t>
      </w:r>
      <w:r>
        <w:rPr>
          <w:rFonts w:hint="eastAsia" w:ascii="宋体" w:hAnsi="宋体" w:cs="宋体"/>
          <w:b/>
          <w:bCs/>
          <w:color w:val="FF0000"/>
          <w:kern w:val="0"/>
          <w:sz w:val="24"/>
          <w:szCs w:val="24"/>
          <w:lang w:val="en-US" w:eastAsia="zh-CN"/>
        </w:rPr>
        <w:t>七</w:t>
      </w:r>
      <w:r>
        <w:rPr>
          <w:rFonts w:hint="eastAsia" w:ascii="宋体" w:hAnsi="宋体" w:eastAsia="宋体" w:cs="宋体"/>
          <w:b/>
          <w:bCs/>
          <w:color w:val="FF0000"/>
          <w:kern w:val="0"/>
          <w:sz w:val="24"/>
          <w:szCs w:val="24"/>
        </w:rPr>
        <w:t>章 “评标及定标办法”2.2.1“项目管理文件”相关要求。</w:t>
      </w:r>
    </w:p>
    <w:p w14:paraId="7AB5717F">
      <w:pPr>
        <w:spacing w:line="540" w:lineRule="exact"/>
        <w:ind w:left="1260" w:leftChars="600"/>
        <w:rPr>
          <w:rFonts w:ascii="Times New Roman" w:hAnsi="Times New Roman" w:eastAsia="宋体" w:cs="Times New Roman"/>
          <w:szCs w:val="24"/>
        </w:rPr>
      </w:pPr>
    </w:p>
    <w:p w14:paraId="3EBB31DF">
      <w:pPr>
        <w:widowControl/>
        <w:spacing w:line="540" w:lineRule="exact"/>
        <w:ind w:firstLine="723" w:firstLineChars="300"/>
        <w:jc w:val="left"/>
        <w:rPr>
          <w:rFonts w:ascii="Times New Roman" w:hAnsi="Times New Roman" w:eastAsia="宋体" w:cs="Times New Roman"/>
          <w:b/>
          <w:bCs/>
          <w:color w:val="FF0000"/>
          <w:szCs w:val="24"/>
        </w:rPr>
      </w:pPr>
      <w:r>
        <w:rPr>
          <w:rFonts w:hint="eastAsia" w:ascii="宋体" w:hAnsi="宋体" w:eastAsia="宋体" w:cs="宋体"/>
          <w:b/>
          <w:bCs/>
          <w:color w:val="FF0000"/>
          <w:kern w:val="0"/>
          <w:sz w:val="24"/>
          <w:szCs w:val="24"/>
        </w:rPr>
        <w:t>2.本项目监理管理文件（监理大纲）采用“暗标”：</w:t>
      </w:r>
    </w:p>
    <w:p w14:paraId="709AE669">
      <w:pPr>
        <w:spacing w:beforeLines="100" w:afterLines="100" w:line="540" w:lineRule="exact"/>
        <w:ind w:firstLine="482" w:firstLineChars="200"/>
        <w:rPr>
          <w:rFonts w:ascii="宋体" w:hAnsi="宋体" w:eastAsia="宋体" w:cs="宋体"/>
          <w:b/>
          <w:bCs/>
          <w:color w:val="FF0000"/>
          <w:kern w:val="0"/>
          <w:sz w:val="24"/>
          <w:szCs w:val="24"/>
          <w:lang w:val="zh-TW"/>
        </w:rPr>
      </w:pPr>
      <w:r>
        <w:rPr>
          <w:rFonts w:hint="eastAsia" w:ascii="宋体" w:hAnsi="宋体" w:eastAsia="宋体" w:cs="宋体"/>
          <w:b/>
          <w:bCs/>
          <w:color w:val="FF0000"/>
          <w:kern w:val="0"/>
          <w:sz w:val="24"/>
          <w:szCs w:val="24"/>
          <w:lang w:val="zh-TW"/>
        </w:rPr>
        <w:t>（</w:t>
      </w:r>
      <w:r>
        <w:rPr>
          <w:rFonts w:hint="eastAsia" w:ascii="宋体" w:hAnsi="宋体" w:eastAsia="宋体" w:cs="宋体"/>
          <w:b/>
          <w:bCs/>
          <w:color w:val="FF0000"/>
          <w:kern w:val="0"/>
          <w:sz w:val="24"/>
          <w:szCs w:val="24"/>
        </w:rPr>
        <w:t>1</w:t>
      </w:r>
      <w:r>
        <w:rPr>
          <w:rFonts w:hint="eastAsia" w:ascii="宋体" w:hAnsi="宋体" w:eastAsia="宋体" w:cs="宋体"/>
          <w:b/>
          <w:bCs/>
          <w:color w:val="FF0000"/>
          <w:kern w:val="0"/>
          <w:sz w:val="24"/>
          <w:szCs w:val="24"/>
          <w:lang w:val="zh-TW"/>
        </w:rPr>
        <w:t>）投标企业制作的“监理管理文件（监理大纲）”部分不得出现可能泄露投标人单位及个人信息的文字、图片、图表（“监理管理文件（监理大纲）”部分不得签章）等有关表述；</w:t>
      </w:r>
    </w:p>
    <w:p w14:paraId="1C0DEB6C">
      <w:pPr>
        <w:spacing w:beforeLines="100" w:afterLines="100" w:line="540" w:lineRule="exact"/>
        <w:ind w:firstLine="482" w:firstLineChars="200"/>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（2）监理管理文件（监理大纲）暗标不设空白页。监理管理文件（监理大纲）投标文件格式以系统设置为准。正文必须按招标文件要求的顺序进行排版； </w:t>
      </w:r>
    </w:p>
    <w:p w14:paraId="11628F65">
      <w:pPr>
        <w:spacing w:beforeLines="100" w:afterLines="100" w:line="540" w:lineRule="exact"/>
        <w:ind w:firstLine="482" w:firstLineChars="200"/>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（3） 监理管理文件（监理大纲）暗标正文文字排版统一使用中文宋体字体，文字及图表均为黑色。文字部分不得插入任何图表（可以用“见附图 x”或“见附表 x”说明），附图、附表必须依次附在各章对应评分点内容的文末，计算在页数要求内；各专业设计图纸不计算在页数要求内； </w:t>
      </w:r>
    </w:p>
    <w:p w14:paraId="75DFC805">
      <w:pPr>
        <w:spacing w:beforeLines="100" w:afterLines="100" w:line="540" w:lineRule="exact"/>
        <w:ind w:firstLine="482" w:firstLineChars="200"/>
        <w:rPr>
          <w:rFonts w:ascii="Times New Roman" w:hAnsi="Times New Roman" w:eastAsia="宋体" w:cs="Times New Roman"/>
          <w:szCs w:val="24"/>
        </w:rPr>
      </w:pPr>
      <w:r>
        <w:rPr>
          <w:rFonts w:hint="eastAsia" w:ascii="宋体" w:hAnsi="宋体" w:eastAsia="宋体" w:cs="宋体"/>
          <w:b/>
          <w:bCs/>
          <w:color w:val="FF0000"/>
          <w:kern w:val="0"/>
          <w:sz w:val="24"/>
          <w:szCs w:val="24"/>
        </w:rPr>
        <w:t>（4）正文采用宋体四号常规字，字符间距设为标准值，行距为单倍行距，不勾选“如果定义了文档网格，则对齐到网格”；正文统一设为左对齐，章、节标题、及段落首行缩进 2 个汉字，段落前后不设空行；正文版面不加页眉、页脚、边框、下划线等标志，正文页码用小五号阿拉伯数字，居中。单位符号中有上下角标要求的，必须在相应位置做角标。</w:t>
      </w:r>
    </w:p>
    <w:p w14:paraId="1687A05C">
      <w:pPr>
        <w:spacing w:beforeLines="100" w:afterLines="100" w:line="540" w:lineRule="exact"/>
        <w:ind w:firstLine="480" w:firstLineChars="200"/>
        <w:rPr>
          <w:highlight w:val="green"/>
        </w:rPr>
      </w:pPr>
      <w:r>
        <w:rPr>
          <w:rFonts w:hint="eastAsia" w:ascii="宋体" w:hAnsi="宋体" w:eastAsia="宋体" w:cs="宋体"/>
          <w:color w:val="FF0000"/>
          <w:kern w:val="0"/>
          <w:sz w:val="24"/>
          <w:szCs w:val="24"/>
          <w:highlight w:val="green"/>
        </w:rPr>
        <w:t>请投标人按照招标文件中关于“暗标”的相关要求编制和上传“监理管理文件（监理大纲）”，否则，由此造成的不利后果，由投标人自行承担。</w:t>
      </w:r>
    </w:p>
    <w:p w14:paraId="0F6C9281">
      <w:pPr>
        <w:spacing w:line="540" w:lineRule="exact"/>
        <w:ind w:firstLine="482" w:firstLineChars="200"/>
        <w:rPr>
          <w:rFonts w:ascii="宋体" w:hAnsi="宋体" w:cs="宋体"/>
          <w:b/>
          <w:color w:val="FF0000"/>
          <w:kern w:val="0"/>
          <w:sz w:val="24"/>
        </w:rPr>
      </w:pPr>
    </w:p>
    <w:p w14:paraId="6785B220"/>
    <w:p w14:paraId="40ABD560"/>
    <w:p w14:paraId="5F03C54D">
      <w:pPr>
        <w:pStyle w:val="2"/>
        <w:ind w:left="1260"/>
      </w:pPr>
    </w:p>
    <w:p w14:paraId="5AD6C141">
      <w:pPr>
        <w:pStyle w:val="2"/>
        <w:ind w:left="0" w:leftChars="0"/>
      </w:pPr>
    </w:p>
    <w:p w14:paraId="7A98A55E"/>
    <w:p w14:paraId="1A8E2066">
      <w:pPr>
        <w:pStyle w:val="2"/>
        <w:ind w:left="1260"/>
      </w:pPr>
    </w:p>
    <w:p w14:paraId="76BE62A9"/>
    <w:p w14:paraId="57AC58FE">
      <w:pPr>
        <w:pStyle w:val="2"/>
        <w:ind w:left="1260"/>
      </w:pPr>
    </w:p>
    <w:p w14:paraId="10345E39"/>
    <w:p w14:paraId="56CC00D2">
      <w:pPr>
        <w:pStyle w:val="2"/>
        <w:ind w:left="1260"/>
      </w:pPr>
    </w:p>
    <w:p w14:paraId="0075F03C">
      <w:pPr>
        <w:pStyle w:val="2"/>
        <w:ind w:left="1260"/>
      </w:pPr>
    </w:p>
    <w:p w14:paraId="3E935F6E"/>
    <w:p w14:paraId="36DE0F8B">
      <w:pPr>
        <w:widowControl/>
        <w:jc w:val="left"/>
        <w:rPr>
          <w:rFonts w:ascii="黑体" w:hAnsi="黑体" w:eastAsia="新宋体"/>
          <w:b/>
          <w:kern w:val="0"/>
          <w:sz w:val="32"/>
          <w:szCs w:val="20"/>
        </w:rPr>
      </w:pPr>
      <w:r>
        <w:br w:type="page"/>
      </w:r>
    </w:p>
    <w:p w14:paraId="2B8E40C8">
      <w:pPr>
        <w:pStyle w:val="3"/>
      </w:pPr>
      <w:r>
        <w:rPr>
          <w:rFonts w:hint="eastAsia"/>
        </w:rPr>
        <w:t>第六章  图纸或其他资料</w:t>
      </w:r>
      <w:bookmarkEnd w:id="49"/>
    </w:p>
    <w:p w14:paraId="7851EBA2">
      <w:pPr>
        <w:pStyle w:val="3"/>
      </w:pPr>
      <w:bookmarkStart w:id="50" w:name="_Toc84868043"/>
      <w:r>
        <w:rPr>
          <w:rFonts w:hint="eastAsia"/>
        </w:rPr>
        <w:t xml:space="preserve">   </w:t>
      </w:r>
      <w:r>
        <w:t>(</w:t>
      </w:r>
      <w:r>
        <w:rPr>
          <w:rFonts w:hint="eastAsia"/>
        </w:rPr>
        <w:t>如有）</w:t>
      </w:r>
      <w:bookmarkEnd w:id="50"/>
    </w:p>
    <w:p w14:paraId="75D1AC09">
      <w:r>
        <w:rPr>
          <w:rFonts w:hint="eastAsia"/>
        </w:rPr>
        <w:br w:type="page"/>
      </w:r>
    </w:p>
    <w:p w14:paraId="099B86DE"/>
    <w:p w14:paraId="120DC494">
      <w:pPr>
        <w:pStyle w:val="3"/>
        <w:numPr>
          <w:ilvl w:val="0"/>
          <w:numId w:val="0"/>
        </w:numPr>
      </w:pPr>
      <w:bookmarkStart w:id="51" w:name="_Toc84868044"/>
      <w:r>
        <w:rPr>
          <w:rFonts w:hint="eastAsia"/>
        </w:rPr>
        <w:t xml:space="preserve">第七章 </w:t>
      </w:r>
      <w:bookmarkStart w:id="52" w:name="_Toc362451674"/>
      <w:bookmarkStart w:id="53" w:name="_Toc342488499"/>
      <w:r>
        <w:rPr>
          <w:rFonts w:hint="eastAsia"/>
        </w:rPr>
        <w:t>评标及定标办法（</w:t>
      </w:r>
      <w:r>
        <w:rPr>
          <w:rFonts w:hint="eastAsia"/>
          <w:bCs/>
          <w:color w:val="000000"/>
          <w:sz w:val="30"/>
        </w:rPr>
        <w:t>综合评分法</w:t>
      </w:r>
      <w:r>
        <w:rPr>
          <w:rFonts w:hint="eastAsia"/>
        </w:rPr>
        <w:t>）</w:t>
      </w:r>
      <w:bookmarkEnd w:id="51"/>
      <w:bookmarkEnd w:id="52"/>
      <w:bookmarkEnd w:id="53"/>
    </w:p>
    <w:p w14:paraId="6D979810">
      <w:pPr>
        <w:spacing w:line="480" w:lineRule="exact"/>
        <w:ind w:firstLine="480" w:firstLineChars="200"/>
        <w:rPr>
          <w:rFonts w:ascii="宋体" w:hAnsi="宋体"/>
          <w:sz w:val="24"/>
        </w:rPr>
      </w:pPr>
      <w:r>
        <w:rPr>
          <w:rFonts w:hint="eastAsia" w:ascii="宋体" w:hAnsi="宋体"/>
          <w:sz w:val="24"/>
        </w:rPr>
        <w:t>本项目采用</w:t>
      </w:r>
      <w:r>
        <w:rPr>
          <w:rFonts w:hint="eastAsia" w:ascii="宋体" w:hAnsi="宋体"/>
          <w:sz w:val="24"/>
          <w:highlight w:val="yellow"/>
        </w:rPr>
        <w:t>综合评分法</w:t>
      </w:r>
      <w:r>
        <w:rPr>
          <w:rFonts w:hint="eastAsia" w:ascii="宋体" w:hAnsi="宋体"/>
          <w:sz w:val="24"/>
        </w:rPr>
        <w:t>进行评审。评委会成员依据招标文件要求，先对所有投标人提交的投标文件进行初步评审，初步评审内容如下：</w:t>
      </w:r>
    </w:p>
    <w:p w14:paraId="29773D12">
      <w:pPr>
        <w:snapToGrid w:val="0"/>
        <w:spacing w:line="480" w:lineRule="exact"/>
        <w:ind w:firstLine="482" w:firstLineChars="200"/>
        <w:jc w:val="left"/>
        <w:rPr>
          <w:rFonts w:ascii="宋体" w:hAnsi="宋体"/>
          <w:b/>
          <w:sz w:val="28"/>
          <w:szCs w:val="28"/>
        </w:rPr>
      </w:pPr>
      <w:r>
        <w:rPr>
          <w:rFonts w:hint="eastAsia" w:ascii="宋体" w:hAnsi="宋体"/>
          <w:b/>
          <w:sz w:val="24"/>
          <w:lang w:val="en-US" w:eastAsia="zh-CN"/>
        </w:rPr>
        <w:t>一</w:t>
      </w:r>
      <w:r>
        <w:rPr>
          <w:rFonts w:hint="eastAsia" w:ascii="宋体" w:hAnsi="宋体"/>
          <w:b/>
          <w:sz w:val="24"/>
        </w:rPr>
        <w:t>、初步评审。</w:t>
      </w:r>
      <w:r>
        <w:rPr>
          <w:rFonts w:hint="eastAsia" w:ascii="宋体" w:hAnsi="宋体"/>
          <w:sz w:val="24"/>
        </w:rPr>
        <w:t>评委会按以下标准对投标人提交的投标文件进行评审，具体评审标准如下：</w:t>
      </w:r>
    </w:p>
    <w:tbl>
      <w:tblPr>
        <w:tblStyle w:val="3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268"/>
        <w:gridCol w:w="6060"/>
      </w:tblGrid>
      <w:tr w14:paraId="6DB2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794" w:type="dxa"/>
            <w:gridSpan w:val="3"/>
            <w:vAlign w:val="center"/>
          </w:tcPr>
          <w:p w14:paraId="13361F22">
            <w:pPr>
              <w:spacing w:line="400" w:lineRule="exact"/>
              <w:jc w:val="center"/>
              <w:rPr>
                <w:rFonts w:ascii="宋体" w:hAnsi="宋体"/>
                <w:sz w:val="24"/>
              </w:rPr>
            </w:pPr>
            <w:r>
              <w:rPr>
                <w:rFonts w:hint="eastAsia" w:ascii="宋体" w:hAnsi="宋体"/>
                <w:sz w:val="24"/>
              </w:rPr>
              <w:t>围串标评审</w:t>
            </w:r>
          </w:p>
        </w:tc>
        <w:tc>
          <w:tcPr>
            <w:tcW w:w="6060" w:type="dxa"/>
            <w:vAlign w:val="center"/>
          </w:tcPr>
          <w:p w14:paraId="32B6369C">
            <w:pPr>
              <w:spacing w:line="400" w:lineRule="exact"/>
              <w:rPr>
                <w:rFonts w:ascii="宋体" w:hAnsi="宋体" w:cs="宋体"/>
                <w:b/>
                <w:kern w:val="0"/>
                <w:sz w:val="24"/>
              </w:rPr>
            </w:pPr>
            <w:r>
              <w:rPr>
                <w:rFonts w:hint="eastAsia" w:ascii="宋体" w:hAnsi="宋体" w:cs="宋体"/>
                <w:b/>
                <w:kern w:val="0"/>
                <w:sz w:val="24"/>
              </w:rPr>
              <w:t>评标委员会在评审过程中，发现投标人有下列情形之一的，均按无效标处理，且不参与评标基准价的计算，同时将围串标等行为报管理部门处理：</w:t>
            </w:r>
          </w:p>
          <w:p w14:paraId="36A45383">
            <w:pPr>
              <w:spacing w:line="400" w:lineRule="exact"/>
              <w:rPr>
                <w:rFonts w:hint="eastAsia" w:ascii="宋体" w:hAnsi="宋体" w:eastAsia="宋体" w:cs="宋体"/>
                <w:color w:val="FF0000"/>
                <w:kern w:val="0"/>
                <w:sz w:val="24"/>
                <w:lang w:eastAsia="zh-CN"/>
              </w:rPr>
            </w:pPr>
            <w:r>
              <w:rPr>
                <w:rFonts w:ascii="宋体" w:hAnsi="宋体" w:cs="宋体"/>
                <w:color w:val="FF0000"/>
                <w:kern w:val="0"/>
                <w:sz w:val="24"/>
              </w:rPr>
              <w:t>1、不同投标文件的创建标识码相同的；</w:t>
            </w:r>
          </w:p>
          <w:p w14:paraId="6329F2CA">
            <w:pPr>
              <w:spacing w:line="400" w:lineRule="exact"/>
              <w:rPr>
                <w:rFonts w:hint="eastAsia" w:ascii="宋体" w:hAnsi="宋体" w:eastAsia="宋体" w:cs="宋体"/>
                <w:color w:val="FF0000"/>
                <w:kern w:val="0"/>
                <w:sz w:val="24"/>
                <w:lang w:eastAsia="zh-CN"/>
              </w:rPr>
            </w:pPr>
            <w:r>
              <w:rPr>
                <w:rFonts w:ascii="宋体" w:hAnsi="宋体" w:cs="宋体"/>
                <w:color w:val="FF0000"/>
                <w:kern w:val="0"/>
                <w:sz w:val="24"/>
              </w:rPr>
              <w:t>2、不同投标文件的投标文件制作机器码相同的；</w:t>
            </w:r>
          </w:p>
          <w:p w14:paraId="1F5BA214">
            <w:pPr>
              <w:spacing w:line="400" w:lineRule="exact"/>
              <w:rPr>
                <w:rFonts w:hint="eastAsia" w:ascii="宋体" w:hAnsi="宋体" w:eastAsia="宋体" w:cs="宋体"/>
                <w:color w:val="FF0000"/>
                <w:kern w:val="0"/>
                <w:sz w:val="24"/>
                <w:lang w:eastAsia="zh-CN"/>
              </w:rPr>
            </w:pPr>
            <w:r>
              <w:rPr>
                <w:rFonts w:ascii="宋体" w:hAnsi="宋体" w:cs="宋体"/>
                <w:color w:val="FF0000"/>
                <w:kern w:val="0"/>
                <w:sz w:val="24"/>
              </w:rPr>
              <w:t>3、不同投标文件的造价软件加密锁号相同的；</w:t>
            </w:r>
          </w:p>
          <w:p w14:paraId="049F608F">
            <w:pPr>
              <w:spacing w:line="400" w:lineRule="exact"/>
              <w:rPr>
                <w:rFonts w:hint="eastAsia" w:ascii="宋体" w:hAnsi="宋体" w:eastAsia="宋体" w:cs="宋体"/>
                <w:color w:val="FF0000"/>
                <w:kern w:val="0"/>
                <w:sz w:val="24"/>
                <w:lang w:eastAsia="zh-CN"/>
              </w:rPr>
            </w:pPr>
            <w:r>
              <w:rPr>
                <w:rFonts w:ascii="宋体" w:hAnsi="宋体" w:cs="宋体"/>
                <w:color w:val="FF0000"/>
                <w:kern w:val="0"/>
                <w:sz w:val="24"/>
              </w:rPr>
              <w:t>4、不同投标人的投标文件经查重分析，并由评委会认定内容异常一致或者实质性相同的；</w:t>
            </w:r>
          </w:p>
          <w:p w14:paraId="013E301F">
            <w:pPr>
              <w:spacing w:line="400" w:lineRule="exact"/>
              <w:rPr>
                <w:rFonts w:ascii="宋体" w:hAnsi="宋体" w:cs="宋体"/>
                <w:color w:val="FF0000"/>
                <w:kern w:val="0"/>
                <w:sz w:val="24"/>
              </w:rPr>
            </w:pPr>
            <w:r>
              <w:rPr>
                <w:rFonts w:ascii="宋体" w:hAnsi="宋体" w:cs="宋体"/>
                <w:color w:val="FF0000"/>
                <w:kern w:val="0"/>
                <w:sz w:val="24"/>
              </w:rPr>
              <w:t>5、评委发现有其它围串标违法违规情形的。</w:t>
            </w:r>
          </w:p>
        </w:tc>
      </w:tr>
      <w:tr w14:paraId="5FD1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26" w:type="dxa"/>
            <w:gridSpan w:val="2"/>
            <w:vAlign w:val="center"/>
          </w:tcPr>
          <w:p w14:paraId="5D21E996">
            <w:pPr>
              <w:snapToGrid w:val="0"/>
              <w:spacing w:line="400" w:lineRule="exact"/>
              <w:jc w:val="center"/>
              <w:rPr>
                <w:rFonts w:ascii="宋体" w:hAnsi="宋体"/>
                <w:color w:val="000000"/>
                <w:sz w:val="24"/>
              </w:rPr>
            </w:pPr>
            <w:r>
              <w:rPr>
                <w:rFonts w:hint="eastAsia" w:ascii="宋体" w:hAnsi="宋体"/>
                <w:color w:val="000000"/>
                <w:sz w:val="24"/>
              </w:rPr>
              <w:t>条款号</w:t>
            </w:r>
          </w:p>
        </w:tc>
        <w:tc>
          <w:tcPr>
            <w:tcW w:w="2268" w:type="dxa"/>
            <w:vAlign w:val="center"/>
          </w:tcPr>
          <w:p w14:paraId="5FCAAFAD">
            <w:pPr>
              <w:snapToGrid w:val="0"/>
              <w:spacing w:line="400" w:lineRule="exact"/>
              <w:jc w:val="center"/>
              <w:rPr>
                <w:rFonts w:ascii="宋体" w:hAnsi="宋体"/>
                <w:color w:val="000000"/>
                <w:sz w:val="24"/>
              </w:rPr>
            </w:pPr>
            <w:r>
              <w:rPr>
                <w:rFonts w:hint="eastAsia" w:ascii="宋体" w:hAnsi="宋体"/>
                <w:color w:val="000000"/>
                <w:sz w:val="24"/>
              </w:rPr>
              <w:t>评审因素</w:t>
            </w:r>
          </w:p>
        </w:tc>
        <w:tc>
          <w:tcPr>
            <w:tcW w:w="6060" w:type="dxa"/>
            <w:vAlign w:val="center"/>
          </w:tcPr>
          <w:p w14:paraId="45E283DA">
            <w:pPr>
              <w:snapToGrid w:val="0"/>
              <w:spacing w:line="400" w:lineRule="exact"/>
              <w:jc w:val="center"/>
              <w:rPr>
                <w:rFonts w:ascii="宋体" w:hAnsi="宋体"/>
                <w:color w:val="000000"/>
                <w:sz w:val="24"/>
              </w:rPr>
            </w:pPr>
            <w:r>
              <w:rPr>
                <w:rFonts w:hint="eastAsia" w:ascii="宋体" w:hAnsi="宋体"/>
                <w:color w:val="000000"/>
                <w:sz w:val="24"/>
              </w:rPr>
              <w:t>评审标准</w:t>
            </w:r>
          </w:p>
        </w:tc>
      </w:tr>
      <w:tr w14:paraId="49A3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vMerge w:val="restart"/>
            <w:vAlign w:val="center"/>
          </w:tcPr>
          <w:p w14:paraId="54A38081">
            <w:pPr>
              <w:spacing w:line="400" w:lineRule="exact"/>
              <w:jc w:val="center"/>
              <w:rPr>
                <w:rFonts w:ascii="宋体" w:hAnsi="宋体"/>
                <w:color w:val="000000"/>
                <w:sz w:val="24"/>
              </w:rPr>
            </w:pPr>
            <w:r>
              <w:rPr>
                <w:rFonts w:hint="eastAsia" w:ascii="宋体" w:hAnsi="宋体"/>
                <w:color w:val="000000"/>
                <w:sz w:val="24"/>
              </w:rPr>
              <w:t>2.1.1</w:t>
            </w:r>
          </w:p>
        </w:tc>
        <w:tc>
          <w:tcPr>
            <w:tcW w:w="709" w:type="dxa"/>
            <w:vMerge w:val="restart"/>
            <w:vAlign w:val="center"/>
          </w:tcPr>
          <w:p w14:paraId="3D6BF233">
            <w:pPr>
              <w:snapToGrid w:val="0"/>
              <w:spacing w:line="400" w:lineRule="exact"/>
              <w:jc w:val="center"/>
              <w:rPr>
                <w:rFonts w:ascii="宋体" w:hAnsi="宋体"/>
                <w:color w:val="000000"/>
                <w:sz w:val="24"/>
              </w:rPr>
            </w:pPr>
            <w:r>
              <w:rPr>
                <w:rFonts w:hint="eastAsia" w:ascii="宋体" w:hAnsi="宋体"/>
                <w:color w:val="000000"/>
                <w:sz w:val="24"/>
              </w:rPr>
              <w:t>形式评审标准</w:t>
            </w:r>
          </w:p>
        </w:tc>
        <w:tc>
          <w:tcPr>
            <w:tcW w:w="2268" w:type="dxa"/>
            <w:vAlign w:val="center"/>
          </w:tcPr>
          <w:p w14:paraId="1E0C46EB">
            <w:pPr>
              <w:snapToGrid w:val="0"/>
              <w:spacing w:line="400" w:lineRule="exact"/>
              <w:jc w:val="center"/>
              <w:rPr>
                <w:rFonts w:ascii="宋体" w:hAnsi="宋体"/>
                <w:color w:val="000000"/>
                <w:sz w:val="24"/>
              </w:rPr>
            </w:pPr>
            <w:r>
              <w:rPr>
                <w:rFonts w:hint="eastAsia" w:ascii="宋体" w:hAnsi="宋体"/>
                <w:color w:val="000000"/>
                <w:sz w:val="24"/>
              </w:rPr>
              <w:t>投标人名称</w:t>
            </w:r>
          </w:p>
        </w:tc>
        <w:tc>
          <w:tcPr>
            <w:tcW w:w="6060" w:type="dxa"/>
            <w:vAlign w:val="center"/>
          </w:tcPr>
          <w:p w14:paraId="78C5CA3B">
            <w:pPr>
              <w:snapToGrid w:val="0"/>
              <w:spacing w:line="400" w:lineRule="exact"/>
              <w:rPr>
                <w:rFonts w:ascii="宋体" w:hAnsi="宋体"/>
                <w:color w:val="000000"/>
                <w:sz w:val="24"/>
              </w:rPr>
            </w:pPr>
            <w:r>
              <w:rPr>
                <w:rFonts w:hint="eastAsia" w:ascii="宋体" w:hAnsi="宋体"/>
                <w:color w:val="000000"/>
                <w:sz w:val="24"/>
              </w:rPr>
              <w:t>与企业营业执照、监理企业资质证书一致</w:t>
            </w:r>
          </w:p>
        </w:tc>
      </w:tr>
      <w:tr w14:paraId="59F7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625DD00">
            <w:pPr>
              <w:spacing w:line="400" w:lineRule="exact"/>
              <w:jc w:val="center"/>
              <w:rPr>
                <w:rFonts w:ascii="宋体" w:hAnsi="宋体"/>
                <w:color w:val="000000"/>
                <w:sz w:val="24"/>
              </w:rPr>
            </w:pPr>
          </w:p>
        </w:tc>
        <w:tc>
          <w:tcPr>
            <w:tcW w:w="709" w:type="dxa"/>
            <w:vMerge w:val="continue"/>
            <w:vAlign w:val="center"/>
          </w:tcPr>
          <w:p w14:paraId="56AD0194">
            <w:pPr>
              <w:snapToGrid w:val="0"/>
              <w:spacing w:line="400" w:lineRule="exact"/>
              <w:jc w:val="center"/>
              <w:rPr>
                <w:rFonts w:ascii="宋体" w:hAnsi="宋体"/>
                <w:color w:val="000000"/>
                <w:sz w:val="24"/>
              </w:rPr>
            </w:pPr>
          </w:p>
        </w:tc>
        <w:tc>
          <w:tcPr>
            <w:tcW w:w="2268" w:type="dxa"/>
            <w:vAlign w:val="center"/>
          </w:tcPr>
          <w:p w14:paraId="00FABD64">
            <w:pPr>
              <w:snapToGrid w:val="0"/>
              <w:spacing w:line="400" w:lineRule="exact"/>
              <w:jc w:val="center"/>
              <w:rPr>
                <w:rFonts w:ascii="宋体" w:hAnsi="宋体"/>
                <w:color w:val="000000"/>
                <w:sz w:val="24"/>
              </w:rPr>
            </w:pPr>
            <w:r>
              <w:rPr>
                <w:rFonts w:hint="eastAsia" w:ascii="宋体" w:hAnsi="宋体"/>
                <w:color w:val="000000"/>
                <w:sz w:val="24"/>
              </w:rPr>
              <w:t>投标函签字盖章</w:t>
            </w:r>
          </w:p>
        </w:tc>
        <w:tc>
          <w:tcPr>
            <w:tcW w:w="6060" w:type="dxa"/>
            <w:vAlign w:val="center"/>
          </w:tcPr>
          <w:p w14:paraId="539A5C52">
            <w:pPr>
              <w:snapToGrid w:val="0"/>
              <w:spacing w:line="400" w:lineRule="exact"/>
              <w:rPr>
                <w:rFonts w:ascii="宋体" w:hAnsi="宋体"/>
                <w:color w:val="000000"/>
                <w:sz w:val="24"/>
              </w:rPr>
            </w:pPr>
            <w:r>
              <w:rPr>
                <w:rFonts w:hint="eastAsia" w:ascii="宋体" w:hAnsi="宋体"/>
                <w:color w:val="000000"/>
                <w:sz w:val="24"/>
              </w:rPr>
              <w:t>有法定代表人或其委托代理人签字或盖章和盖单位公章</w:t>
            </w:r>
          </w:p>
        </w:tc>
      </w:tr>
      <w:tr w14:paraId="3B16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C3748B5">
            <w:pPr>
              <w:spacing w:line="400" w:lineRule="exact"/>
              <w:jc w:val="center"/>
              <w:rPr>
                <w:rFonts w:ascii="宋体" w:hAnsi="宋体"/>
                <w:color w:val="000000"/>
                <w:sz w:val="24"/>
              </w:rPr>
            </w:pPr>
          </w:p>
        </w:tc>
        <w:tc>
          <w:tcPr>
            <w:tcW w:w="709" w:type="dxa"/>
            <w:vMerge w:val="continue"/>
            <w:vAlign w:val="center"/>
          </w:tcPr>
          <w:p w14:paraId="568ECCAD">
            <w:pPr>
              <w:snapToGrid w:val="0"/>
              <w:spacing w:line="400" w:lineRule="exact"/>
              <w:jc w:val="center"/>
              <w:rPr>
                <w:rFonts w:ascii="宋体" w:hAnsi="宋体"/>
                <w:color w:val="000000"/>
                <w:sz w:val="24"/>
              </w:rPr>
            </w:pPr>
          </w:p>
        </w:tc>
        <w:tc>
          <w:tcPr>
            <w:tcW w:w="2268" w:type="dxa"/>
            <w:vAlign w:val="center"/>
          </w:tcPr>
          <w:p w14:paraId="066CD2F9">
            <w:pPr>
              <w:spacing w:line="400" w:lineRule="exact"/>
              <w:jc w:val="center"/>
              <w:rPr>
                <w:rFonts w:ascii="宋体" w:hAnsi="宋体"/>
                <w:color w:val="000000"/>
                <w:sz w:val="24"/>
              </w:rPr>
            </w:pPr>
            <w:r>
              <w:rPr>
                <w:rFonts w:hint="eastAsia" w:ascii="宋体" w:hAnsi="宋体"/>
                <w:color w:val="000000"/>
                <w:sz w:val="24"/>
              </w:rPr>
              <w:t>投标文件格式</w:t>
            </w:r>
          </w:p>
        </w:tc>
        <w:tc>
          <w:tcPr>
            <w:tcW w:w="6060" w:type="dxa"/>
            <w:vAlign w:val="center"/>
          </w:tcPr>
          <w:p w14:paraId="3BC64B83">
            <w:pPr>
              <w:spacing w:line="400" w:lineRule="exact"/>
              <w:rPr>
                <w:rFonts w:ascii="宋体" w:hAnsi="宋体"/>
                <w:color w:val="000000"/>
                <w:sz w:val="24"/>
              </w:rPr>
            </w:pPr>
            <w:r>
              <w:rPr>
                <w:rFonts w:hint="eastAsia" w:ascii="宋体" w:hAnsi="宋体"/>
                <w:color w:val="000000"/>
                <w:sz w:val="24"/>
              </w:rPr>
              <w:t>符合第五章“投标文件格式”的要求</w:t>
            </w:r>
          </w:p>
        </w:tc>
      </w:tr>
      <w:tr w14:paraId="0358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F12A6E6">
            <w:pPr>
              <w:spacing w:line="400" w:lineRule="exact"/>
              <w:jc w:val="center"/>
              <w:rPr>
                <w:rFonts w:ascii="宋体" w:hAnsi="宋体"/>
                <w:color w:val="000000"/>
                <w:sz w:val="24"/>
              </w:rPr>
            </w:pPr>
          </w:p>
        </w:tc>
        <w:tc>
          <w:tcPr>
            <w:tcW w:w="709" w:type="dxa"/>
            <w:vMerge w:val="continue"/>
            <w:vAlign w:val="center"/>
          </w:tcPr>
          <w:p w14:paraId="1E92EF96">
            <w:pPr>
              <w:snapToGrid w:val="0"/>
              <w:spacing w:line="400" w:lineRule="exact"/>
              <w:jc w:val="center"/>
              <w:rPr>
                <w:rFonts w:ascii="宋体" w:hAnsi="宋体"/>
                <w:color w:val="000000"/>
                <w:sz w:val="24"/>
              </w:rPr>
            </w:pPr>
          </w:p>
        </w:tc>
        <w:tc>
          <w:tcPr>
            <w:tcW w:w="2268" w:type="dxa"/>
            <w:vAlign w:val="center"/>
          </w:tcPr>
          <w:p w14:paraId="41066408">
            <w:pPr>
              <w:spacing w:line="400" w:lineRule="exact"/>
              <w:jc w:val="center"/>
              <w:rPr>
                <w:rFonts w:ascii="宋体" w:hAnsi="宋体"/>
                <w:color w:val="000000"/>
                <w:sz w:val="24"/>
              </w:rPr>
            </w:pPr>
            <w:r>
              <w:rPr>
                <w:rFonts w:hint="eastAsia" w:ascii="宋体" w:hAnsi="宋体"/>
                <w:sz w:val="24"/>
              </w:rPr>
              <w:t>报价唯一</w:t>
            </w:r>
          </w:p>
        </w:tc>
        <w:tc>
          <w:tcPr>
            <w:tcW w:w="6060" w:type="dxa"/>
            <w:vAlign w:val="center"/>
          </w:tcPr>
          <w:p w14:paraId="14F0B5D1">
            <w:pPr>
              <w:spacing w:line="400" w:lineRule="exact"/>
              <w:rPr>
                <w:rFonts w:ascii="宋体" w:hAnsi="宋体"/>
                <w:color w:val="000000"/>
                <w:sz w:val="24"/>
              </w:rPr>
            </w:pPr>
            <w:r>
              <w:rPr>
                <w:rFonts w:hint="eastAsia" w:ascii="宋体" w:hAnsi="宋体"/>
                <w:sz w:val="24"/>
              </w:rPr>
              <w:t>只能有一个投标报价</w:t>
            </w:r>
          </w:p>
        </w:tc>
      </w:tr>
      <w:tr w14:paraId="0705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Merge w:val="restart"/>
            <w:vAlign w:val="center"/>
          </w:tcPr>
          <w:p w14:paraId="5C9B05F8">
            <w:pPr>
              <w:spacing w:line="400" w:lineRule="exact"/>
              <w:jc w:val="center"/>
              <w:rPr>
                <w:rFonts w:ascii="宋体" w:hAnsi="宋体"/>
                <w:color w:val="000000"/>
                <w:sz w:val="24"/>
              </w:rPr>
            </w:pPr>
            <w:r>
              <w:rPr>
                <w:rFonts w:hint="eastAsia" w:ascii="宋体" w:hAnsi="宋体"/>
                <w:color w:val="000000"/>
                <w:sz w:val="24"/>
              </w:rPr>
              <w:t>2.1.2</w:t>
            </w:r>
          </w:p>
        </w:tc>
        <w:tc>
          <w:tcPr>
            <w:tcW w:w="709" w:type="dxa"/>
            <w:vMerge w:val="restart"/>
            <w:vAlign w:val="center"/>
          </w:tcPr>
          <w:p w14:paraId="2ACE418A">
            <w:pPr>
              <w:snapToGrid w:val="0"/>
              <w:spacing w:line="400" w:lineRule="exact"/>
              <w:jc w:val="center"/>
              <w:rPr>
                <w:rFonts w:ascii="宋体" w:hAnsi="宋体"/>
                <w:color w:val="000000"/>
                <w:sz w:val="24"/>
              </w:rPr>
            </w:pPr>
            <w:r>
              <w:rPr>
                <w:rFonts w:hint="eastAsia" w:ascii="宋体" w:hAnsi="宋体"/>
                <w:color w:val="000000"/>
                <w:sz w:val="24"/>
              </w:rPr>
              <w:t>资</w:t>
            </w:r>
          </w:p>
          <w:p w14:paraId="43B30007">
            <w:pPr>
              <w:snapToGrid w:val="0"/>
              <w:spacing w:line="400" w:lineRule="exact"/>
              <w:jc w:val="center"/>
              <w:rPr>
                <w:rFonts w:ascii="宋体" w:hAnsi="宋体"/>
                <w:color w:val="000000"/>
                <w:sz w:val="24"/>
              </w:rPr>
            </w:pPr>
            <w:r>
              <w:rPr>
                <w:rFonts w:hint="eastAsia" w:ascii="宋体" w:hAnsi="宋体"/>
                <w:color w:val="000000"/>
                <w:sz w:val="24"/>
              </w:rPr>
              <w:t>格</w:t>
            </w:r>
          </w:p>
          <w:p w14:paraId="46DB29B2">
            <w:pPr>
              <w:snapToGrid w:val="0"/>
              <w:spacing w:line="400" w:lineRule="exact"/>
              <w:jc w:val="center"/>
              <w:rPr>
                <w:rFonts w:ascii="宋体" w:hAnsi="宋体"/>
                <w:color w:val="000000"/>
                <w:sz w:val="24"/>
              </w:rPr>
            </w:pPr>
            <w:r>
              <w:rPr>
                <w:rFonts w:hint="eastAsia" w:ascii="宋体" w:hAnsi="宋体"/>
                <w:color w:val="000000"/>
                <w:sz w:val="24"/>
              </w:rPr>
              <w:t>评</w:t>
            </w:r>
          </w:p>
          <w:p w14:paraId="39FC5F94">
            <w:pPr>
              <w:snapToGrid w:val="0"/>
              <w:spacing w:line="400" w:lineRule="exact"/>
              <w:jc w:val="center"/>
              <w:rPr>
                <w:rFonts w:ascii="宋体" w:hAnsi="宋体"/>
                <w:color w:val="000000"/>
                <w:sz w:val="24"/>
              </w:rPr>
            </w:pPr>
            <w:r>
              <w:rPr>
                <w:rFonts w:hint="eastAsia" w:ascii="宋体" w:hAnsi="宋体"/>
                <w:color w:val="000000"/>
                <w:sz w:val="24"/>
              </w:rPr>
              <w:t>审</w:t>
            </w:r>
          </w:p>
          <w:p w14:paraId="5E9B78A3">
            <w:pPr>
              <w:snapToGrid w:val="0"/>
              <w:spacing w:line="400" w:lineRule="exact"/>
              <w:jc w:val="center"/>
              <w:rPr>
                <w:rFonts w:ascii="宋体" w:hAnsi="宋体"/>
                <w:color w:val="000000"/>
                <w:sz w:val="24"/>
              </w:rPr>
            </w:pPr>
            <w:r>
              <w:rPr>
                <w:rFonts w:hint="eastAsia" w:ascii="宋体" w:hAnsi="宋体"/>
                <w:color w:val="000000"/>
                <w:sz w:val="24"/>
              </w:rPr>
              <w:t>标</w:t>
            </w:r>
          </w:p>
          <w:p w14:paraId="7231AAFC">
            <w:pPr>
              <w:snapToGrid w:val="0"/>
              <w:spacing w:line="400" w:lineRule="exact"/>
              <w:jc w:val="center"/>
              <w:rPr>
                <w:rFonts w:ascii="宋体" w:hAnsi="宋体"/>
                <w:color w:val="000000"/>
                <w:sz w:val="24"/>
              </w:rPr>
            </w:pPr>
            <w:r>
              <w:rPr>
                <w:rFonts w:hint="eastAsia" w:ascii="宋体" w:hAnsi="宋体"/>
                <w:color w:val="000000"/>
                <w:sz w:val="24"/>
              </w:rPr>
              <w:t>准</w:t>
            </w:r>
          </w:p>
        </w:tc>
        <w:tc>
          <w:tcPr>
            <w:tcW w:w="2268" w:type="dxa"/>
            <w:vAlign w:val="center"/>
          </w:tcPr>
          <w:p w14:paraId="5A820713">
            <w:pPr>
              <w:snapToGrid w:val="0"/>
              <w:spacing w:line="400" w:lineRule="exact"/>
              <w:jc w:val="center"/>
              <w:rPr>
                <w:rFonts w:ascii="宋体" w:hAnsi="宋体"/>
                <w:color w:val="000000"/>
                <w:sz w:val="24"/>
              </w:rPr>
            </w:pPr>
            <w:r>
              <w:rPr>
                <w:rFonts w:hint="eastAsia" w:ascii="宋体" w:hAnsi="宋体"/>
                <w:color w:val="000000"/>
                <w:sz w:val="24"/>
              </w:rPr>
              <w:t>企业营业执照</w:t>
            </w:r>
          </w:p>
        </w:tc>
        <w:tc>
          <w:tcPr>
            <w:tcW w:w="6060" w:type="dxa"/>
            <w:vAlign w:val="center"/>
          </w:tcPr>
          <w:p w14:paraId="744CAEE5">
            <w:pPr>
              <w:snapToGrid w:val="0"/>
              <w:spacing w:line="400" w:lineRule="exact"/>
              <w:rPr>
                <w:rFonts w:ascii="宋体" w:hAnsi="宋体"/>
                <w:color w:val="000000"/>
                <w:sz w:val="24"/>
              </w:rPr>
            </w:pPr>
            <w:r>
              <w:rPr>
                <w:rFonts w:hint="eastAsia" w:ascii="宋体" w:hAnsi="宋体"/>
                <w:color w:val="000000"/>
                <w:sz w:val="24"/>
              </w:rPr>
              <w:t>具备有效的企业营业执照</w:t>
            </w:r>
          </w:p>
        </w:tc>
      </w:tr>
      <w:tr w14:paraId="015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vMerge w:val="continue"/>
            <w:vAlign w:val="center"/>
          </w:tcPr>
          <w:p w14:paraId="0E59E7ED">
            <w:pPr>
              <w:spacing w:line="400" w:lineRule="exact"/>
              <w:jc w:val="center"/>
              <w:rPr>
                <w:rFonts w:ascii="宋体" w:hAnsi="宋体"/>
                <w:color w:val="000000"/>
                <w:sz w:val="24"/>
              </w:rPr>
            </w:pPr>
          </w:p>
        </w:tc>
        <w:tc>
          <w:tcPr>
            <w:tcW w:w="709" w:type="dxa"/>
            <w:vMerge w:val="continue"/>
            <w:vAlign w:val="center"/>
          </w:tcPr>
          <w:p w14:paraId="0FFA8D03">
            <w:pPr>
              <w:snapToGrid w:val="0"/>
              <w:spacing w:line="400" w:lineRule="exact"/>
              <w:jc w:val="center"/>
              <w:rPr>
                <w:rFonts w:ascii="宋体" w:hAnsi="宋体"/>
                <w:color w:val="000000"/>
                <w:sz w:val="24"/>
              </w:rPr>
            </w:pPr>
          </w:p>
        </w:tc>
        <w:tc>
          <w:tcPr>
            <w:tcW w:w="2268" w:type="dxa"/>
            <w:vAlign w:val="center"/>
          </w:tcPr>
          <w:p w14:paraId="6D7B7B23">
            <w:pPr>
              <w:snapToGrid w:val="0"/>
              <w:spacing w:line="400" w:lineRule="exact"/>
              <w:jc w:val="center"/>
              <w:rPr>
                <w:rFonts w:ascii="宋体" w:hAnsi="宋体"/>
                <w:color w:val="000000"/>
                <w:sz w:val="24"/>
              </w:rPr>
            </w:pPr>
            <w:r>
              <w:rPr>
                <w:rFonts w:hint="eastAsia" w:ascii="宋体" w:hAnsi="宋体"/>
                <w:color w:val="000000"/>
                <w:sz w:val="24"/>
              </w:rPr>
              <w:t>监理企业资质证书</w:t>
            </w:r>
          </w:p>
        </w:tc>
        <w:tc>
          <w:tcPr>
            <w:tcW w:w="6060" w:type="dxa"/>
            <w:vAlign w:val="center"/>
          </w:tcPr>
          <w:p w14:paraId="6EC51DDC">
            <w:pPr>
              <w:snapToGrid w:val="0"/>
              <w:spacing w:line="400" w:lineRule="exact"/>
              <w:rPr>
                <w:rFonts w:ascii="宋体" w:hAnsi="宋体"/>
                <w:color w:val="000000"/>
                <w:sz w:val="24"/>
              </w:rPr>
            </w:pPr>
            <w:r>
              <w:rPr>
                <w:rFonts w:hint="eastAsia" w:ascii="宋体" w:hAnsi="宋体"/>
                <w:color w:val="000000"/>
                <w:sz w:val="24"/>
              </w:rPr>
              <w:t>具备有效的监理企业资质证书</w:t>
            </w:r>
          </w:p>
        </w:tc>
      </w:tr>
      <w:tr w14:paraId="4451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vMerge w:val="continue"/>
            <w:vAlign w:val="center"/>
          </w:tcPr>
          <w:p w14:paraId="22ADA8DA">
            <w:pPr>
              <w:spacing w:line="400" w:lineRule="exact"/>
              <w:jc w:val="center"/>
              <w:rPr>
                <w:rFonts w:ascii="宋体" w:hAnsi="宋体"/>
                <w:color w:val="000000"/>
                <w:sz w:val="24"/>
              </w:rPr>
            </w:pPr>
          </w:p>
        </w:tc>
        <w:tc>
          <w:tcPr>
            <w:tcW w:w="709" w:type="dxa"/>
            <w:vMerge w:val="continue"/>
            <w:vAlign w:val="center"/>
          </w:tcPr>
          <w:p w14:paraId="66D5DE5B">
            <w:pPr>
              <w:snapToGrid w:val="0"/>
              <w:spacing w:line="400" w:lineRule="exact"/>
              <w:jc w:val="center"/>
              <w:rPr>
                <w:rFonts w:ascii="宋体" w:hAnsi="宋体"/>
                <w:color w:val="000000"/>
                <w:sz w:val="24"/>
              </w:rPr>
            </w:pPr>
          </w:p>
        </w:tc>
        <w:tc>
          <w:tcPr>
            <w:tcW w:w="2268" w:type="dxa"/>
            <w:vAlign w:val="center"/>
          </w:tcPr>
          <w:p w14:paraId="6E331F3A">
            <w:pPr>
              <w:snapToGrid w:val="0"/>
              <w:spacing w:line="400" w:lineRule="exact"/>
              <w:jc w:val="center"/>
              <w:rPr>
                <w:rFonts w:ascii="宋体" w:hAnsi="宋体"/>
                <w:color w:val="000000"/>
                <w:sz w:val="24"/>
              </w:rPr>
            </w:pPr>
            <w:r>
              <w:rPr>
                <w:rFonts w:hint="eastAsia" w:ascii="宋体" w:hAnsi="宋体"/>
                <w:color w:val="000000"/>
                <w:sz w:val="24"/>
              </w:rPr>
              <w:t>监理资质等级</w:t>
            </w:r>
          </w:p>
        </w:tc>
        <w:tc>
          <w:tcPr>
            <w:tcW w:w="6060" w:type="dxa"/>
            <w:vAlign w:val="center"/>
          </w:tcPr>
          <w:p w14:paraId="56179604">
            <w:pPr>
              <w:snapToGrid w:val="0"/>
              <w:spacing w:line="400" w:lineRule="exact"/>
              <w:rPr>
                <w:rFonts w:ascii="宋体" w:hAnsi="宋体"/>
                <w:color w:val="000000"/>
                <w:sz w:val="24"/>
              </w:rPr>
            </w:pPr>
            <w:r>
              <w:rPr>
                <w:rFonts w:hint="eastAsia" w:ascii="宋体" w:hAnsi="宋体"/>
                <w:color w:val="000000"/>
                <w:sz w:val="24"/>
              </w:rPr>
              <w:t>符合第二章“投标人须知前附表”第1.4条规定，且必须符合国家规定标准</w:t>
            </w:r>
          </w:p>
        </w:tc>
      </w:tr>
      <w:tr w14:paraId="7ECE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vMerge w:val="continue"/>
            <w:vAlign w:val="center"/>
          </w:tcPr>
          <w:p w14:paraId="759FF762">
            <w:pPr>
              <w:spacing w:line="400" w:lineRule="exact"/>
              <w:jc w:val="center"/>
              <w:rPr>
                <w:rFonts w:ascii="宋体" w:hAnsi="宋体"/>
                <w:color w:val="000000"/>
                <w:sz w:val="24"/>
              </w:rPr>
            </w:pPr>
          </w:p>
        </w:tc>
        <w:tc>
          <w:tcPr>
            <w:tcW w:w="709" w:type="dxa"/>
            <w:vMerge w:val="continue"/>
            <w:vAlign w:val="center"/>
          </w:tcPr>
          <w:p w14:paraId="6C72014B">
            <w:pPr>
              <w:snapToGrid w:val="0"/>
              <w:spacing w:line="400" w:lineRule="exact"/>
              <w:jc w:val="center"/>
              <w:rPr>
                <w:rFonts w:ascii="宋体" w:hAnsi="宋体"/>
                <w:color w:val="000000"/>
                <w:sz w:val="24"/>
              </w:rPr>
            </w:pPr>
          </w:p>
        </w:tc>
        <w:tc>
          <w:tcPr>
            <w:tcW w:w="2268" w:type="dxa"/>
            <w:vAlign w:val="center"/>
          </w:tcPr>
          <w:p w14:paraId="68CA4E4F">
            <w:pPr>
              <w:spacing w:line="400" w:lineRule="exact"/>
              <w:jc w:val="center"/>
              <w:rPr>
                <w:rFonts w:ascii="宋体" w:hAnsi="宋体"/>
                <w:sz w:val="24"/>
              </w:rPr>
            </w:pPr>
            <w:r>
              <w:rPr>
                <w:rFonts w:hint="eastAsia" w:ascii="宋体" w:hAnsi="宋体"/>
                <w:sz w:val="24"/>
              </w:rPr>
              <w:t>类似项目业绩</w:t>
            </w:r>
          </w:p>
        </w:tc>
        <w:tc>
          <w:tcPr>
            <w:tcW w:w="6060" w:type="dxa"/>
            <w:vAlign w:val="center"/>
          </w:tcPr>
          <w:p w14:paraId="68104F1C">
            <w:pPr>
              <w:spacing w:line="400" w:lineRule="exact"/>
              <w:rPr>
                <w:rFonts w:ascii="宋体" w:hAnsi="宋体"/>
                <w:sz w:val="24"/>
              </w:rPr>
            </w:pPr>
            <w:r>
              <w:rPr>
                <w:rFonts w:hint="eastAsia" w:ascii="宋体" w:hAnsi="宋体"/>
                <w:sz w:val="24"/>
              </w:rPr>
              <w:t>符合第二章“投标人须知前附表”第1.4条规定</w:t>
            </w:r>
          </w:p>
        </w:tc>
      </w:tr>
      <w:tr w14:paraId="65F6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4CE864">
            <w:pPr>
              <w:spacing w:line="400" w:lineRule="exact"/>
              <w:jc w:val="center"/>
              <w:rPr>
                <w:rFonts w:ascii="宋体" w:hAnsi="宋体"/>
                <w:color w:val="000000"/>
                <w:sz w:val="24"/>
              </w:rPr>
            </w:pPr>
          </w:p>
        </w:tc>
        <w:tc>
          <w:tcPr>
            <w:tcW w:w="709" w:type="dxa"/>
            <w:vMerge w:val="continue"/>
            <w:vAlign w:val="center"/>
          </w:tcPr>
          <w:p w14:paraId="7FF1FB19">
            <w:pPr>
              <w:snapToGrid w:val="0"/>
              <w:spacing w:line="400" w:lineRule="exact"/>
              <w:jc w:val="center"/>
              <w:rPr>
                <w:rFonts w:ascii="宋体" w:hAnsi="宋体"/>
                <w:color w:val="000000"/>
                <w:sz w:val="24"/>
              </w:rPr>
            </w:pPr>
          </w:p>
        </w:tc>
        <w:tc>
          <w:tcPr>
            <w:tcW w:w="2268" w:type="dxa"/>
            <w:vAlign w:val="center"/>
          </w:tcPr>
          <w:p w14:paraId="0AC8C1DF">
            <w:pPr>
              <w:snapToGrid w:val="0"/>
              <w:spacing w:line="400" w:lineRule="exact"/>
              <w:jc w:val="center"/>
              <w:rPr>
                <w:rFonts w:ascii="宋体" w:hAnsi="宋体"/>
                <w:color w:val="000000"/>
                <w:sz w:val="24"/>
              </w:rPr>
            </w:pPr>
            <w:r>
              <w:rPr>
                <w:rFonts w:hint="eastAsia" w:ascii="宋体" w:hAnsi="宋体"/>
                <w:color w:val="000000"/>
                <w:sz w:val="24"/>
              </w:rPr>
              <w:t>信誉</w:t>
            </w:r>
          </w:p>
        </w:tc>
        <w:tc>
          <w:tcPr>
            <w:tcW w:w="6060" w:type="dxa"/>
            <w:vAlign w:val="center"/>
          </w:tcPr>
          <w:p w14:paraId="02805079">
            <w:pPr>
              <w:snapToGrid w:val="0"/>
              <w:spacing w:line="400" w:lineRule="exact"/>
              <w:rPr>
                <w:rFonts w:ascii="宋体" w:hAnsi="宋体"/>
                <w:color w:val="000000"/>
                <w:sz w:val="24"/>
              </w:rPr>
            </w:pPr>
            <w:r>
              <w:rPr>
                <w:rFonts w:hint="eastAsia" w:ascii="宋体" w:hAnsi="宋体"/>
                <w:color w:val="000000"/>
                <w:sz w:val="24"/>
              </w:rPr>
              <w:t>符合第二章“投标人须知前附表”第1.4条规定</w:t>
            </w:r>
          </w:p>
        </w:tc>
      </w:tr>
      <w:tr w14:paraId="1229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368F85">
            <w:pPr>
              <w:spacing w:line="400" w:lineRule="exact"/>
              <w:jc w:val="center"/>
              <w:rPr>
                <w:rFonts w:ascii="宋体" w:hAnsi="宋体"/>
                <w:color w:val="000000"/>
                <w:sz w:val="24"/>
              </w:rPr>
            </w:pPr>
          </w:p>
        </w:tc>
        <w:tc>
          <w:tcPr>
            <w:tcW w:w="709" w:type="dxa"/>
            <w:vMerge w:val="continue"/>
            <w:vAlign w:val="center"/>
          </w:tcPr>
          <w:p w14:paraId="1FC20BF6">
            <w:pPr>
              <w:snapToGrid w:val="0"/>
              <w:spacing w:line="400" w:lineRule="exact"/>
              <w:jc w:val="center"/>
              <w:rPr>
                <w:rFonts w:ascii="宋体" w:hAnsi="宋体"/>
                <w:color w:val="000000"/>
                <w:sz w:val="24"/>
              </w:rPr>
            </w:pPr>
          </w:p>
        </w:tc>
        <w:tc>
          <w:tcPr>
            <w:tcW w:w="2268" w:type="dxa"/>
            <w:vAlign w:val="center"/>
          </w:tcPr>
          <w:p w14:paraId="1C793302">
            <w:pPr>
              <w:snapToGrid w:val="0"/>
              <w:spacing w:line="400" w:lineRule="exact"/>
              <w:jc w:val="center"/>
              <w:rPr>
                <w:rFonts w:ascii="宋体" w:hAnsi="宋体"/>
                <w:color w:val="000000"/>
                <w:sz w:val="24"/>
              </w:rPr>
            </w:pPr>
            <w:r>
              <w:rPr>
                <w:rFonts w:hint="eastAsia" w:ascii="宋体" w:hAnsi="宋体"/>
                <w:color w:val="000000"/>
                <w:sz w:val="24"/>
              </w:rPr>
              <w:t>项目总监理工程师</w:t>
            </w:r>
          </w:p>
        </w:tc>
        <w:tc>
          <w:tcPr>
            <w:tcW w:w="6060" w:type="dxa"/>
            <w:vAlign w:val="center"/>
          </w:tcPr>
          <w:p w14:paraId="33C0BE42">
            <w:pPr>
              <w:spacing w:line="400" w:lineRule="exact"/>
              <w:rPr>
                <w:rFonts w:ascii="宋体" w:hAnsi="宋体"/>
                <w:color w:val="000000"/>
                <w:sz w:val="24"/>
              </w:rPr>
            </w:pPr>
            <w:r>
              <w:rPr>
                <w:rFonts w:hint="eastAsia" w:ascii="宋体" w:hAnsi="宋体"/>
                <w:color w:val="FF0000"/>
                <w:sz w:val="24"/>
              </w:rPr>
              <w:t>提供有效的监理工程师注册执业证书，</w:t>
            </w:r>
            <w:r>
              <w:rPr>
                <w:rFonts w:hint="eastAsia" w:ascii="宋体" w:hAnsi="宋体"/>
                <w:color w:val="000000"/>
                <w:sz w:val="24"/>
              </w:rPr>
              <w:t>符合第二章“投标人须知前附表”第1.4条规定，且必须符合国家规定的资质标准</w:t>
            </w:r>
          </w:p>
        </w:tc>
      </w:tr>
      <w:tr w14:paraId="4310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098931A">
            <w:pPr>
              <w:spacing w:line="400" w:lineRule="exact"/>
              <w:jc w:val="center"/>
              <w:rPr>
                <w:rFonts w:ascii="宋体" w:hAnsi="宋体"/>
                <w:color w:val="000000"/>
                <w:sz w:val="24"/>
              </w:rPr>
            </w:pPr>
          </w:p>
        </w:tc>
        <w:tc>
          <w:tcPr>
            <w:tcW w:w="709" w:type="dxa"/>
            <w:vMerge w:val="continue"/>
            <w:vAlign w:val="center"/>
          </w:tcPr>
          <w:p w14:paraId="62074D46">
            <w:pPr>
              <w:snapToGrid w:val="0"/>
              <w:spacing w:line="400" w:lineRule="exact"/>
              <w:jc w:val="center"/>
              <w:rPr>
                <w:rFonts w:ascii="宋体" w:hAnsi="宋体"/>
                <w:color w:val="000000"/>
                <w:sz w:val="24"/>
              </w:rPr>
            </w:pPr>
          </w:p>
        </w:tc>
        <w:tc>
          <w:tcPr>
            <w:tcW w:w="2268" w:type="dxa"/>
            <w:vAlign w:val="center"/>
          </w:tcPr>
          <w:p w14:paraId="5681DD59">
            <w:pPr>
              <w:snapToGrid w:val="0"/>
              <w:spacing w:line="400" w:lineRule="exact"/>
              <w:jc w:val="center"/>
              <w:rPr>
                <w:rFonts w:ascii="宋体" w:hAnsi="宋体"/>
                <w:color w:val="000000"/>
                <w:sz w:val="24"/>
              </w:rPr>
            </w:pPr>
            <w:r>
              <w:rPr>
                <w:rFonts w:hint="eastAsia" w:ascii="宋体" w:hAnsi="宋体"/>
                <w:color w:val="000000"/>
                <w:sz w:val="24"/>
              </w:rPr>
              <w:t>投标保证金</w:t>
            </w:r>
          </w:p>
        </w:tc>
        <w:tc>
          <w:tcPr>
            <w:tcW w:w="6060" w:type="dxa"/>
            <w:vAlign w:val="center"/>
          </w:tcPr>
          <w:p w14:paraId="6B75B8D4">
            <w:pPr>
              <w:spacing w:line="400" w:lineRule="exact"/>
              <w:rPr>
                <w:rFonts w:ascii="宋体" w:hAnsi="宋体"/>
                <w:color w:val="000000"/>
                <w:sz w:val="24"/>
              </w:rPr>
            </w:pPr>
            <w:r>
              <w:rPr>
                <w:rFonts w:hint="eastAsia" w:ascii="宋体" w:hAnsi="宋体"/>
                <w:color w:val="000000"/>
                <w:sz w:val="24"/>
              </w:rPr>
              <w:t>符合招标文件关于“投标保证金”的要求</w:t>
            </w:r>
          </w:p>
        </w:tc>
      </w:tr>
      <w:tr w14:paraId="5201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4522F65">
            <w:pPr>
              <w:spacing w:line="400" w:lineRule="exact"/>
              <w:jc w:val="center"/>
              <w:rPr>
                <w:rFonts w:ascii="宋体" w:hAnsi="宋体"/>
                <w:color w:val="000000"/>
                <w:sz w:val="24"/>
              </w:rPr>
            </w:pPr>
          </w:p>
        </w:tc>
        <w:tc>
          <w:tcPr>
            <w:tcW w:w="709" w:type="dxa"/>
            <w:vMerge w:val="continue"/>
            <w:vAlign w:val="center"/>
          </w:tcPr>
          <w:p w14:paraId="73DC7F21">
            <w:pPr>
              <w:snapToGrid w:val="0"/>
              <w:spacing w:line="400" w:lineRule="exact"/>
              <w:jc w:val="center"/>
              <w:rPr>
                <w:rFonts w:ascii="宋体" w:hAnsi="宋体"/>
                <w:color w:val="000000"/>
                <w:sz w:val="24"/>
              </w:rPr>
            </w:pPr>
          </w:p>
        </w:tc>
        <w:tc>
          <w:tcPr>
            <w:tcW w:w="2268" w:type="dxa"/>
            <w:vAlign w:val="center"/>
          </w:tcPr>
          <w:p w14:paraId="3F665E24">
            <w:pPr>
              <w:spacing w:line="400" w:lineRule="exact"/>
              <w:jc w:val="center"/>
              <w:rPr>
                <w:rFonts w:ascii="宋体" w:hAnsi="宋体"/>
                <w:color w:val="000000"/>
                <w:sz w:val="24"/>
              </w:rPr>
            </w:pPr>
            <w:r>
              <w:rPr>
                <w:rFonts w:hint="eastAsia" w:ascii="宋体" w:hAnsi="宋体"/>
                <w:color w:val="000000"/>
                <w:sz w:val="24"/>
              </w:rPr>
              <w:t>现场监理机构</w:t>
            </w:r>
          </w:p>
          <w:p w14:paraId="31F316DE">
            <w:pPr>
              <w:spacing w:line="400" w:lineRule="exact"/>
              <w:jc w:val="center"/>
              <w:rPr>
                <w:rFonts w:ascii="宋体" w:hAnsi="宋体"/>
                <w:color w:val="000000"/>
                <w:sz w:val="24"/>
              </w:rPr>
            </w:pPr>
            <w:r>
              <w:rPr>
                <w:rFonts w:hint="eastAsia" w:ascii="宋体" w:hAnsi="宋体"/>
                <w:color w:val="000000"/>
                <w:sz w:val="24"/>
              </w:rPr>
              <w:t>人员配备</w:t>
            </w:r>
          </w:p>
        </w:tc>
        <w:tc>
          <w:tcPr>
            <w:tcW w:w="6060" w:type="dxa"/>
            <w:vAlign w:val="center"/>
          </w:tcPr>
          <w:p w14:paraId="4AE9F485">
            <w:pPr>
              <w:spacing w:line="400" w:lineRule="exact"/>
              <w:rPr>
                <w:rFonts w:ascii="宋体" w:hAnsi="宋体"/>
                <w:color w:val="000000"/>
                <w:sz w:val="24"/>
              </w:rPr>
            </w:pPr>
            <w:r>
              <w:rPr>
                <w:rFonts w:hint="eastAsia" w:ascii="宋体" w:hAnsi="宋体"/>
                <w:color w:val="000000"/>
                <w:sz w:val="24"/>
              </w:rPr>
              <w:t>符合第五章资格证明及辅助资料“附表6</w:t>
            </w:r>
            <w:r>
              <w:rPr>
                <w:rFonts w:ascii="宋体" w:hAnsi="宋体"/>
                <w:bCs/>
                <w:color w:val="000000"/>
                <w:sz w:val="24"/>
              </w:rPr>
              <w:t>监理</w:t>
            </w:r>
            <w:r>
              <w:rPr>
                <w:rFonts w:hint="eastAsia" w:ascii="宋体" w:hAnsi="宋体"/>
                <w:bCs/>
                <w:color w:val="000000"/>
                <w:sz w:val="24"/>
              </w:rPr>
              <w:t>人员</w:t>
            </w:r>
            <w:r>
              <w:rPr>
                <w:rFonts w:ascii="宋体" w:hAnsi="宋体"/>
                <w:bCs/>
                <w:color w:val="000000"/>
                <w:sz w:val="24"/>
              </w:rPr>
              <w:t>资质表</w:t>
            </w:r>
            <w:r>
              <w:rPr>
                <w:rFonts w:hint="eastAsia" w:ascii="宋体" w:hAnsi="宋体"/>
                <w:bCs/>
                <w:color w:val="000000"/>
                <w:sz w:val="24"/>
              </w:rPr>
              <w:t>”</w:t>
            </w:r>
            <w:r>
              <w:rPr>
                <w:rFonts w:hint="eastAsia" w:ascii="宋体" w:hAnsi="宋体"/>
                <w:color w:val="000000"/>
                <w:sz w:val="24"/>
              </w:rPr>
              <w:t>规定。</w:t>
            </w:r>
          </w:p>
        </w:tc>
      </w:tr>
      <w:tr w14:paraId="46C6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2A31A81">
            <w:pPr>
              <w:spacing w:line="400" w:lineRule="exact"/>
              <w:jc w:val="center"/>
              <w:rPr>
                <w:rFonts w:ascii="宋体" w:hAnsi="宋体"/>
                <w:color w:val="000000"/>
                <w:sz w:val="24"/>
              </w:rPr>
            </w:pPr>
          </w:p>
        </w:tc>
        <w:tc>
          <w:tcPr>
            <w:tcW w:w="709" w:type="dxa"/>
            <w:vMerge w:val="continue"/>
            <w:vAlign w:val="center"/>
          </w:tcPr>
          <w:p w14:paraId="702B63D8">
            <w:pPr>
              <w:snapToGrid w:val="0"/>
              <w:spacing w:line="400" w:lineRule="exact"/>
              <w:jc w:val="center"/>
              <w:rPr>
                <w:rFonts w:ascii="宋体" w:hAnsi="宋体"/>
                <w:color w:val="000000"/>
                <w:sz w:val="24"/>
              </w:rPr>
            </w:pPr>
          </w:p>
        </w:tc>
        <w:tc>
          <w:tcPr>
            <w:tcW w:w="2268" w:type="dxa"/>
            <w:vAlign w:val="center"/>
          </w:tcPr>
          <w:p w14:paraId="36992B2A">
            <w:pPr>
              <w:snapToGrid w:val="0"/>
              <w:spacing w:line="400" w:lineRule="exact"/>
              <w:jc w:val="center"/>
              <w:rPr>
                <w:rFonts w:ascii="宋体" w:hAnsi="宋体"/>
                <w:color w:val="000000"/>
                <w:sz w:val="24"/>
              </w:rPr>
            </w:pPr>
            <w:r>
              <w:rPr>
                <w:rFonts w:hint="eastAsia" w:ascii="宋体" w:hAnsi="宋体"/>
                <w:color w:val="000000"/>
                <w:sz w:val="24"/>
              </w:rPr>
              <w:t>其他要求</w:t>
            </w:r>
          </w:p>
        </w:tc>
        <w:tc>
          <w:tcPr>
            <w:tcW w:w="6060" w:type="dxa"/>
            <w:vAlign w:val="center"/>
          </w:tcPr>
          <w:p w14:paraId="11FDA8BA">
            <w:pPr>
              <w:snapToGrid w:val="0"/>
              <w:spacing w:line="400" w:lineRule="exact"/>
              <w:rPr>
                <w:rFonts w:ascii="宋体" w:hAnsi="宋体"/>
                <w:color w:val="000000"/>
                <w:sz w:val="24"/>
              </w:rPr>
            </w:pPr>
            <w:r>
              <w:rPr>
                <w:rFonts w:hint="eastAsia" w:ascii="宋体" w:hAnsi="宋体"/>
                <w:color w:val="000000"/>
                <w:sz w:val="24"/>
              </w:rPr>
              <w:t>符合第二章“投标人须知前附表”第1.4条规定</w:t>
            </w:r>
          </w:p>
        </w:tc>
      </w:tr>
      <w:tr w14:paraId="140C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7" w:type="dxa"/>
            <w:vMerge w:val="restart"/>
            <w:vAlign w:val="center"/>
          </w:tcPr>
          <w:p w14:paraId="229AE57F">
            <w:pPr>
              <w:spacing w:line="400" w:lineRule="exact"/>
              <w:jc w:val="center"/>
              <w:rPr>
                <w:rFonts w:ascii="宋体" w:hAnsi="宋体"/>
                <w:color w:val="000000"/>
                <w:sz w:val="24"/>
              </w:rPr>
            </w:pPr>
            <w:r>
              <w:rPr>
                <w:rFonts w:hint="eastAsia" w:ascii="宋体" w:hAnsi="宋体"/>
                <w:color w:val="000000"/>
                <w:sz w:val="24"/>
              </w:rPr>
              <w:t>2.1.3</w:t>
            </w:r>
          </w:p>
        </w:tc>
        <w:tc>
          <w:tcPr>
            <w:tcW w:w="709" w:type="dxa"/>
            <w:vMerge w:val="restart"/>
            <w:vAlign w:val="center"/>
          </w:tcPr>
          <w:p w14:paraId="16FB9088">
            <w:pPr>
              <w:snapToGrid w:val="0"/>
              <w:spacing w:line="400" w:lineRule="exact"/>
              <w:jc w:val="center"/>
              <w:rPr>
                <w:rFonts w:ascii="宋体" w:hAnsi="宋体"/>
                <w:color w:val="000000"/>
                <w:sz w:val="24"/>
              </w:rPr>
            </w:pPr>
            <w:r>
              <w:rPr>
                <w:rFonts w:hint="eastAsia" w:ascii="宋体" w:hAnsi="宋体"/>
                <w:color w:val="000000"/>
                <w:sz w:val="24"/>
              </w:rPr>
              <w:t>响应</w:t>
            </w:r>
          </w:p>
          <w:p w14:paraId="12D7DEBC">
            <w:pPr>
              <w:snapToGrid w:val="0"/>
              <w:spacing w:line="400" w:lineRule="exact"/>
              <w:jc w:val="center"/>
              <w:rPr>
                <w:rFonts w:ascii="宋体" w:hAnsi="宋体"/>
                <w:color w:val="000000"/>
                <w:sz w:val="24"/>
              </w:rPr>
            </w:pPr>
            <w:r>
              <w:rPr>
                <w:rFonts w:hint="eastAsia" w:ascii="宋体" w:hAnsi="宋体"/>
                <w:color w:val="000000"/>
                <w:sz w:val="24"/>
              </w:rPr>
              <w:t>性评</w:t>
            </w:r>
          </w:p>
          <w:p w14:paraId="3C2639A4">
            <w:pPr>
              <w:snapToGrid w:val="0"/>
              <w:spacing w:line="400" w:lineRule="exact"/>
              <w:jc w:val="center"/>
              <w:rPr>
                <w:rFonts w:ascii="宋体" w:hAnsi="宋体"/>
                <w:color w:val="000000"/>
                <w:sz w:val="24"/>
              </w:rPr>
            </w:pPr>
            <w:r>
              <w:rPr>
                <w:rFonts w:hint="eastAsia" w:ascii="宋体" w:hAnsi="宋体"/>
                <w:color w:val="000000"/>
                <w:sz w:val="24"/>
              </w:rPr>
              <w:t>审标</w:t>
            </w:r>
          </w:p>
          <w:p w14:paraId="36B14DAF">
            <w:pPr>
              <w:snapToGrid w:val="0"/>
              <w:spacing w:line="400" w:lineRule="exact"/>
              <w:jc w:val="center"/>
              <w:rPr>
                <w:rFonts w:ascii="宋体" w:hAnsi="宋体"/>
                <w:color w:val="000000"/>
                <w:sz w:val="24"/>
              </w:rPr>
            </w:pPr>
            <w:r>
              <w:rPr>
                <w:rFonts w:hint="eastAsia" w:ascii="宋体" w:hAnsi="宋体"/>
                <w:color w:val="000000"/>
                <w:sz w:val="24"/>
              </w:rPr>
              <w:t>准</w:t>
            </w:r>
          </w:p>
        </w:tc>
        <w:tc>
          <w:tcPr>
            <w:tcW w:w="2268" w:type="dxa"/>
            <w:vAlign w:val="center"/>
          </w:tcPr>
          <w:p w14:paraId="72A8E2F6">
            <w:pPr>
              <w:snapToGrid w:val="0"/>
              <w:spacing w:line="400" w:lineRule="exact"/>
              <w:jc w:val="center"/>
              <w:rPr>
                <w:rFonts w:ascii="宋体" w:hAnsi="宋体"/>
                <w:color w:val="000000"/>
                <w:sz w:val="24"/>
              </w:rPr>
            </w:pPr>
            <w:r>
              <w:rPr>
                <w:rFonts w:hint="eastAsia" w:ascii="宋体" w:hAnsi="宋体"/>
                <w:color w:val="000000"/>
                <w:sz w:val="24"/>
              </w:rPr>
              <w:t>服务期</w:t>
            </w:r>
          </w:p>
        </w:tc>
        <w:tc>
          <w:tcPr>
            <w:tcW w:w="6060" w:type="dxa"/>
            <w:vAlign w:val="center"/>
          </w:tcPr>
          <w:p w14:paraId="3B3D414A">
            <w:pPr>
              <w:snapToGrid w:val="0"/>
              <w:spacing w:line="400" w:lineRule="exact"/>
              <w:rPr>
                <w:rFonts w:ascii="宋体" w:hAnsi="宋体"/>
                <w:color w:val="000000"/>
                <w:sz w:val="24"/>
              </w:rPr>
            </w:pPr>
            <w:r>
              <w:rPr>
                <w:rFonts w:hint="eastAsia" w:ascii="宋体" w:hAnsi="宋体"/>
                <w:color w:val="000000"/>
                <w:sz w:val="24"/>
              </w:rPr>
              <w:t>符合第二章“投标人须知前附表”第1.3 条规定</w:t>
            </w:r>
          </w:p>
        </w:tc>
      </w:tr>
      <w:tr w14:paraId="6923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Merge w:val="continue"/>
            <w:vAlign w:val="center"/>
          </w:tcPr>
          <w:p w14:paraId="6A0C2F20">
            <w:pPr>
              <w:spacing w:line="400" w:lineRule="exact"/>
              <w:jc w:val="center"/>
              <w:rPr>
                <w:rFonts w:ascii="宋体" w:hAnsi="宋体"/>
                <w:color w:val="000000"/>
                <w:sz w:val="24"/>
              </w:rPr>
            </w:pPr>
          </w:p>
        </w:tc>
        <w:tc>
          <w:tcPr>
            <w:tcW w:w="709" w:type="dxa"/>
            <w:vMerge w:val="continue"/>
            <w:vAlign w:val="center"/>
          </w:tcPr>
          <w:p w14:paraId="178CA50B">
            <w:pPr>
              <w:snapToGrid w:val="0"/>
              <w:spacing w:line="400" w:lineRule="exact"/>
              <w:jc w:val="center"/>
              <w:rPr>
                <w:rFonts w:ascii="宋体" w:hAnsi="宋体"/>
                <w:color w:val="000000"/>
                <w:sz w:val="24"/>
              </w:rPr>
            </w:pPr>
          </w:p>
        </w:tc>
        <w:tc>
          <w:tcPr>
            <w:tcW w:w="2268" w:type="dxa"/>
            <w:vAlign w:val="center"/>
          </w:tcPr>
          <w:p w14:paraId="54AE175E">
            <w:pPr>
              <w:snapToGrid w:val="0"/>
              <w:spacing w:line="400" w:lineRule="exact"/>
              <w:jc w:val="center"/>
              <w:rPr>
                <w:rFonts w:ascii="宋体" w:hAnsi="宋体"/>
                <w:color w:val="000000"/>
                <w:sz w:val="24"/>
              </w:rPr>
            </w:pPr>
            <w:r>
              <w:rPr>
                <w:rFonts w:hint="eastAsia" w:ascii="宋体" w:hAnsi="宋体"/>
                <w:color w:val="000000"/>
                <w:sz w:val="24"/>
              </w:rPr>
              <w:t>投标有效期</w:t>
            </w:r>
          </w:p>
        </w:tc>
        <w:tc>
          <w:tcPr>
            <w:tcW w:w="6060" w:type="dxa"/>
            <w:vAlign w:val="center"/>
          </w:tcPr>
          <w:p w14:paraId="42028AD0">
            <w:pPr>
              <w:snapToGrid w:val="0"/>
              <w:spacing w:line="400" w:lineRule="exact"/>
              <w:rPr>
                <w:rFonts w:ascii="宋体" w:hAnsi="宋体"/>
                <w:color w:val="000000"/>
                <w:sz w:val="24"/>
              </w:rPr>
            </w:pPr>
            <w:r>
              <w:rPr>
                <w:rFonts w:hint="eastAsia" w:ascii="宋体" w:hAnsi="宋体"/>
                <w:color w:val="000000"/>
                <w:sz w:val="24"/>
              </w:rPr>
              <w:t>符合第二章“投标人须知前附表”第3.4条规定</w:t>
            </w:r>
          </w:p>
        </w:tc>
      </w:tr>
      <w:tr w14:paraId="32F8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Merge w:val="continue"/>
            <w:vAlign w:val="center"/>
          </w:tcPr>
          <w:p w14:paraId="07089485">
            <w:pPr>
              <w:spacing w:line="400" w:lineRule="exact"/>
              <w:jc w:val="center"/>
              <w:rPr>
                <w:rFonts w:ascii="宋体" w:hAnsi="宋体"/>
                <w:color w:val="000000"/>
                <w:sz w:val="24"/>
              </w:rPr>
            </w:pPr>
          </w:p>
        </w:tc>
        <w:tc>
          <w:tcPr>
            <w:tcW w:w="709" w:type="dxa"/>
            <w:vMerge w:val="continue"/>
            <w:vAlign w:val="center"/>
          </w:tcPr>
          <w:p w14:paraId="17390B85">
            <w:pPr>
              <w:snapToGrid w:val="0"/>
              <w:spacing w:line="400" w:lineRule="exact"/>
              <w:jc w:val="center"/>
              <w:rPr>
                <w:rFonts w:ascii="宋体" w:hAnsi="宋体"/>
                <w:color w:val="000000"/>
                <w:sz w:val="24"/>
              </w:rPr>
            </w:pPr>
          </w:p>
        </w:tc>
        <w:tc>
          <w:tcPr>
            <w:tcW w:w="2268" w:type="dxa"/>
            <w:vAlign w:val="center"/>
          </w:tcPr>
          <w:p w14:paraId="3622EE66">
            <w:pPr>
              <w:spacing w:line="400" w:lineRule="exact"/>
              <w:jc w:val="center"/>
              <w:rPr>
                <w:rFonts w:ascii="宋体" w:hAnsi="宋体"/>
                <w:color w:val="FF0000"/>
                <w:sz w:val="24"/>
                <w:highlight w:val="yellow"/>
              </w:rPr>
            </w:pPr>
            <w:r>
              <w:rPr>
                <w:rFonts w:hint="eastAsia" w:ascii="宋体" w:hAnsi="宋体"/>
                <w:color w:val="FF0000"/>
                <w:sz w:val="24"/>
                <w:highlight w:val="yellow"/>
              </w:rPr>
              <w:t>报价评审</w:t>
            </w:r>
          </w:p>
        </w:tc>
        <w:tc>
          <w:tcPr>
            <w:tcW w:w="6060" w:type="dxa"/>
            <w:vAlign w:val="center"/>
          </w:tcPr>
          <w:p w14:paraId="32584F43">
            <w:pPr>
              <w:spacing w:line="400" w:lineRule="exact"/>
              <w:rPr>
                <w:rFonts w:ascii="宋体" w:hAnsi="宋体"/>
                <w:color w:val="FF0000"/>
                <w:sz w:val="24"/>
                <w:highlight w:val="yellow"/>
              </w:rPr>
            </w:pPr>
            <w:r>
              <w:rPr>
                <w:rFonts w:hint="eastAsia" w:ascii="宋体" w:hAnsi="宋体"/>
                <w:color w:val="FF0000"/>
                <w:sz w:val="24"/>
                <w:highlight w:val="yellow"/>
              </w:rPr>
              <w:t>符合招标文件关于投标报价评审相关要求</w:t>
            </w:r>
          </w:p>
        </w:tc>
      </w:tr>
    </w:tbl>
    <w:p w14:paraId="46BC2C23">
      <w:pPr>
        <w:spacing w:line="480" w:lineRule="exact"/>
        <w:ind w:left="482" w:hanging="482" w:hangingChars="200"/>
        <w:rPr>
          <w:rFonts w:ascii="宋体" w:hAnsi="宋体"/>
          <w:b/>
          <w:color w:val="FF0000"/>
          <w:sz w:val="24"/>
        </w:rPr>
      </w:pPr>
      <w:r>
        <w:rPr>
          <w:rFonts w:hint="eastAsia" w:ascii="宋体" w:hAnsi="宋体"/>
          <w:b/>
          <w:color w:val="FF0000"/>
          <w:sz w:val="24"/>
        </w:rPr>
        <w:t>注：评委依据本章第2.1.1条、2.1.2条、2.1.3条及围串标规定的标准对投标文件进行初步评审。投标人在投标文件中提供的相应资料（围串标评审除外）应当能够满足本项目初步评审相应要求；有一项不符合初步评审标准的，作无效标处理，且不参与评标基准价的计算。</w:t>
      </w:r>
    </w:p>
    <w:p w14:paraId="37B4B976">
      <w:pPr>
        <w:spacing w:line="480" w:lineRule="exact"/>
        <w:ind w:firstLine="482" w:firstLineChars="200"/>
        <w:rPr>
          <w:rFonts w:hint="eastAsia" w:ascii="宋体" w:hAnsi="宋体"/>
          <w:sz w:val="24"/>
        </w:rPr>
      </w:pPr>
      <w:r>
        <w:rPr>
          <w:rFonts w:hint="eastAsia" w:ascii="宋体" w:hAnsi="宋体"/>
          <w:b/>
          <w:sz w:val="24"/>
          <w:lang w:val="en-US" w:eastAsia="zh-CN"/>
        </w:rPr>
        <w:t>二</w:t>
      </w:r>
      <w:r>
        <w:rPr>
          <w:rFonts w:hint="eastAsia" w:ascii="宋体" w:hAnsi="宋体"/>
          <w:b/>
          <w:sz w:val="24"/>
        </w:rPr>
        <w:t>、详细评审。</w:t>
      </w:r>
      <w:r>
        <w:rPr>
          <w:rFonts w:hint="eastAsia" w:ascii="宋体" w:hAnsi="宋体"/>
          <w:sz w:val="24"/>
        </w:rPr>
        <w:t>评委对通过初步评审投标人的投标文件作进一步评审，未通过初步评审投</w:t>
      </w:r>
      <w:bookmarkStart w:id="54" w:name="_Hlk160094250"/>
      <w:r>
        <w:rPr>
          <w:rFonts w:hint="eastAsia" w:ascii="宋体" w:hAnsi="宋体"/>
          <w:sz w:val="24"/>
        </w:rPr>
        <w:t>标人的投标文件不进入详细评审。详细评审要求如下：</w:t>
      </w:r>
    </w:p>
    <w:bookmarkEnd w:id="54"/>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837"/>
        <w:gridCol w:w="436"/>
        <w:gridCol w:w="5093"/>
        <w:gridCol w:w="1523"/>
      </w:tblGrid>
      <w:tr w14:paraId="268F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854" w:type="dxa"/>
            <w:gridSpan w:val="5"/>
            <w:tcBorders>
              <w:top w:val="single" w:color="auto" w:sz="4" w:space="0"/>
              <w:left w:val="single" w:color="auto" w:sz="4" w:space="0"/>
              <w:bottom w:val="single" w:color="auto" w:sz="4" w:space="0"/>
              <w:right w:val="single" w:color="auto" w:sz="4" w:space="0"/>
            </w:tcBorders>
            <w:vAlign w:val="center"/>
          </w:tcPr>
          <w:p w14:paraId="0471DE3C">
            <w:pPr>
              <w:snapToGrid w:val="0"/>
              <w:spacing w:line="400" w:lineRule="exact"/>
              <w:ind w:firstLine="241" w:firstLineChars="100"/>
              <w:jc w:val="center"/>
              <w:rPr>
                <w:rFonts w:ascii="宋体" w:hAnsi="宋体"/>
                <w:b/>
                <w:bCs/>
                <w:color w:val="000000"/>
                <w:sz w:val="24"/>
              </w:rPr>
            </w:pPr>
            <w:bookmarkStart w:id="55" w:name="_Hlk160094259"/>
            <w:r>
              <w:rPr>
                <w:rFonts w:hint="eastAsia" w:ascii="宋体" w:hAnsi="宋体"/>
                <w:b/>
                <w:bCs/>
                <w:color w:val="000000"/>
                <w:sz w:val="24"/>
              </w:rPr>
              <w:t>详细评审标准</w:t>
            </w:r>
          </w:p>
        </w:tc>
      </w:tr>
      <w:tr w14:paraId="2591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6CD77AF0">
            <w:pPr>
              <w:snapToGrid w:val="0"/>
              <w:spacing w:line="400" w:lineRule="exact"/>
              <w:jc w:val="center"/>
              <w:rPr>
                <w:rFonts w:ascii="宋体" w:hAnsi="宋体"/>
                <w:bCs/>
                <w:color w:val="000000"/>
                <w:sz w:val="24"/>
              </w:rPr>
            </w:pPr>
            <w:r>
              <w:rPr>
                <w:rFonts w:hint="eastAsia" w:ascii="宋体" w:hAnsi="宋体"/>
                <w:bCs/>
                <w:color w:val="000000"/>
                <w:sz w:val="24"/>
              </w:rPr>
              <w:t>2.2</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14:paraId="1501BB05">
            <w:pPr>
              <w:spacing w:line="400" w:lineRule="exact"/>
              <w:jc w:val="center"/>
              <w:rPr>
                <w:rFonts w:ascii="宋体" w:hAnsi="宋体"/>
                <w:bCs/>
                <w:color w:val="000000"/>
                <w:sz w:val="24"/>
              </w:rPr>
            </w:pPr>
            <w:r>
              <w:rPr>
                <w:rFonts w:hint="eastAsia" w:ascii="宋体" w:hAnsi="宋体"/>
                <w:bCs/>
                <w:color w:val="000000"/>
                <w:sz w:val="24"/>
              </w:rPr>
              <w:t>分值构成</w:t>
            </w:r>
          </w:p>
          <w:p w14:paraId="69D1354C">
            <w:pPr>
              <w:spacing w:line="400" w:lineRule="exact"/>
              <w:jc w:val="center"/>
              <w:rPr>
                <w:rFonts w:ascii="宋体" w:hAnsi="宋体"/>
                <w:bCs/>
                <w:color w:val="000000"/>
                <w:sz w:val="24"/>
              </w:rPr>
            </w:pPr>
            <w:r>
              <w:rPr>
                <w:rFonts w:hint="eastAsia" w:ascii="宋体" w:hAnsi="宋体"/>
                <w:bCs/>
                <w:color w:val="000000"/>
                <w:sz w:val="24"/>
              </w:rPr>
              <w:t>（满分100分）</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7748073B">
            <w:pPr>
              <w:spacing w:line="400" w:lineRule="exact"/>
              <w:rPr>
                <w:rFonts w:ascii="宋体" w:hAnsi="宋体"/>
                <w:bCs/>
                <w:sz w:val="24"/>
              </w:rPr>
            </w:pPr>
            <w:r>
              <w:rPr>
                <w:rFonts w:hint="eastAsia" w:ascii="宋体" w:hAnsi="宋体"/>
                <w:bCs/>
                <w:color w:val="000000"/>
                <w:sz w:val="24"/>
              </w:rPr>
              <w:t>监理管理文件（监理大纲）</w:t>
            </w:r>
            <w:r>
              <w:rPr>
                <w:rFonts w:hint="eastAsia" w:ascii="宋体" w:hAnsi="宋体"/>
                <w:bCs/>
                <w:sz w:val="24"/>
              </w:rPr>
              <w:t>：满分</w:t>
            </w:r>
            <w:r>
              <w:rPr>
                <w:rFonts w:hint="eastAsia" w:ascii="宋体" w:hAnsi="宋体"/>
                <w:sz w:val="24"/>
                <w:lang w:val="en-US" w:eastAsia="zh-CN"/>
              </w:rPr>
              <w:t>54</w:t>
            </w:r>
            <w:r>
              <w:rPr>
                <w:rFonts w:hint="eastAsia" w:ascii="宋体" w:hAnsi="宋体"/>
                <w:bCs/>
                <w:sz w:val="24"/>
              </w:rPr>
              <w:t>分</w:t>
            </w:r>
          </w:p>
        </w:tc>
      </w:tr>
      <w:tr w14:paraId="7423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59F2B3D">
            <w:pPr>
              <w:widowControl/>
              <w:spacing w:line="400" w:lineRule="exact"/>
              <w:jc w:val="left"/>
              <w:rPr>
                <w:rFonts w:ascii="宋体" w:hAnsi="宋体"/>
                <w:bCs/>
                <w:color w:val="000000"/>
                <w:sz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6E60DD5C">
            <w:pPr>
              <w:widowControl/>
              <w:spacing w:line="400" w:lineRule="exact"/>
              <w:jc w:val="left"/>
              <w:rPr>
                <w:rFonts w:ascii="宋体" w:hAnsi="宋体"/>
                <w:bCs/>
                <w:color w:val="000000"/>
                <w:sz w:val="24"/>
              </w:rPr>
            </w:pP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4E3D701C">
            <w:pPr>
              <w:spacing w:line="400" w:lineRule="exact"/>
              <w:rPr>
                <w:rFonts w:ascii="宋体" w:hAnsi="宋体"/>
                <w:bCs/>
                <w:sz w:val="24"/>
              </w:rPr>
            </w:pPr>
            <w:r>
              <w:rPr>
                <w:rFonts w:hint="eastAsia" w:ascii="宋体" w:hAnsi="宋体"/>
                <w:bCs/>
                <w:sz w:val="24"/>
              </w:rPr>
              <w:t>投标人综合实力及项目管理机构：满分</w:t>
            </w:r>
            <w:r>
              <w:rPr>
                <w:rFonts w:hint="eastAsia" w:ascii="宋体" w:hAnsi="宋体"/>
                <w:sz w:val="24"/>
              </w:rPr>
              <w:t>1</w:t>
            </w:r>
            <w:r>
              <w:rPr>
                <w:rFonts w:hint="eastAsia" w:ascii="宋体" w:hAnsi="宋体"/>
                <w:sz w:val="24"/>
                <w:lang w:val="en-US" w:eastAsia="zh-CN"/>
              </w:rPr>
              <w:t>6</w:t>
            </w:r>
            <w:r>
              <w:rPr>
                <w:rFonts w:hint="eastAsia" w:ascii="宋体" w:hAnsi="宋体"/>
                <w:bCs/>
                <w:sz w:val="24"/>
              </w:rPr>
              <w:t>分</w:t>
            </w:r>
          </w:p>
        </w:tc>
      </w:tr>
      <w:tr w14:paraId="2097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434E841F">
            <w:pPr>
              <w:widowControl/>
              <w:spacing w:line="400" w:lineRule="exact"/>
              <w:jc w:val="left"/>
              <w:rPr>
                <w:rFonts w:ascii="宋体" w:hAnsi="宋体"/>
                <w:bCs/>
                <w:color w:val="000000"/>
                <w:sz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3CE04340">
            <w:pPr>
              <w:widowControl/>
              <w:spacing w:line="400" w:lineRule="exact"/>
              <w:jc w:val="left"/>
              <w:rPr>
                <w:rFonts w:ascii="宋体" w:hAnsi="宋体"/>
                <w:bCs/>
                <w:color w:val="000000"/>
                <w:sz w:val="24"/>
              </w:rPr>
            </w:pP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4BAB4BFF">
            <w:pPr>
              <w:spacing w:line="400" w:lineRule="exact"/>
              <w:rPr>
                <w:rFonts w:ascii="宋体" w:hAnsi="宋体"/>
                <w:bCs/>
                <w:sz w:val="24"/>
              </w:rPr>
            </w:pPr>
            <w:r>
              <w:rPr>
                <w:rFonts w:hint="eastAsia" w:ascii="宋体" w:hAnsi="宋体"/>
                <w:bCs/>
                <w:sz w:val="24"/>
              </w:rPr>
              <w:t>投标人获奖情况：满分1</w:t>
            </w:r>
            <w:r>
              <w:rPr>
                <w:rFonts w:hint="eastAsia" w:ascii="宋体" w:hAnsi="宋体"/>
                <w:bCs/>
                <w:sz w:val="24"/>
                <w:lang w:val="en-US" w:eastAsia="zh-CN"/>
              </w:rPr>
              <w:t>0</w:t>
            </w:r>
            <w:r>
              <w:rPr>
                <w:rFonts w:hint="eastAsia" w:ascii="宋体" w:hAnsi="宋体"/>
                <w:bCs/>
                <w:sz w:val="24"/>
              </w:rPr>
              <w:t>分</w:t>
            </w:r>
          </w:p>
        </w:tc>
      </w:tr>
      <w:tr w14:paraId="4AF2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B36DBB3">
            <w:pPr>
              <w:widowControl/>
              <w:spacing w:line="400" w:lineRule="exact"/>
              <w:jc w:val="left"/>
              <w:rPr>
                <w:rFonts w:ascii="宋体" w:hAnsi="宋体"/>
                <w:bCs/>
                <w:color w:val="000000"/>
                <w:sz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08B29AC9">
            <w:pPr>
              <w:widowControl/>
              <w:spacing w:line="400" w:lineRule="exact"/>
              <w:jc w:val="left"/>
              <w:rPr>
                <w:rFonts w:ascii="宋体" w:hAnsi="宋体"/>
                <w:bCs/>
                <w:color w:val="000000"/>
                <w:sz w:val="24"/>
              </w:rPr>
            </w:pP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4E2DA95F">
            <w:pPr>
              <w:spacing w:line="400" w:lineRule="exact"/>
              <w:rPr>
                <w:rFonts w:ascii="宋体" w:hAnsi="宋体"/>
                <w:bCs/>
                <w:sz w:val="24"/>
              </w:rPr>
            </w:pPr>
            <w:r>
              <w:rPr>
                <w:rFonts w:hint="eastAsia" w:ascii="宋体" w:hAnsi="宋体"/>
                <w:bCs/>
                <w:sz w:val="24"/>
              </w:rPr>
              <w:t>投标报价：满分</w:t>
            </w:r>
            <w:r>
              <w:rPr>
                <w:rFonts w:hint="eastAsia" w:ascii="宋体" w:hAnsi="宋体"/>
                <w:bCs/>
                <w:sz w:val="24"/>
                <w:lang w:val="en-US" w:eastAsia="zh-CN"/>
              </w:rPr>
              <w:t>2</w:t>
            </w:r>
            <w:r>
              <w:rPr>
                <w:rFonts w:hint="eastAsia" w:ascii="宋体" w:hAnsi="宋体"/>
                <w:bCs/>
                <w:sz w:val="24"/>
              </w:rPr>
              <w:t>0分</w:t>
            </w:r>
          </w:p>
        </w:tc>
      </w:tr>
      <w:tr w14:paraId="7469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802" w:type="dxa"/>
            <w:gridSpan w:val="2"/>
            <w:tcBorders>
              <w:top w:val="single" w:color="auto" w:sz="4" w:space="0"/>
              <w:left w:val="single" w:color="auto" w:sz="4" w:space="0"/>
              <w:bottom w:val="single" w:color="auto" w:sz="4" w:space="0"/>
              <w:right w:val="single" w:color="auto" w:sz="4" w:space="0"/>
            </w:tcBorders>
            <w:vAlign w:val="center"/>
          </w:tcPr>
          <w:p w14:paraId="0AB26232">
            <w:pPr>
              <w:snapToGrid w:val="0"/>
              <w:spacing w:line="400" w:lineRule="exact"/>
              <w:jc w:val="center"/>
              <w:rPr>
                <w:rFonts w:ascii="宋体" w:hAnsi="宋体"/>
                <w:b/>
                <w:bCs/>
                <w:color w:val="000000"/>
                <w:sz w:val="24"/>
              </w:rPr>
            </w:pPr>
            <w:r>
              <w:rPr>
                <w:rFonts w:hint="eastAsia" w:ascii="宋体" w:hAnsi="宋体"/>
                <w:b/>
                <w:bCs/>
                <w:color w:val="000000"/>
                <w:sz w:val="24"/>
              </w:rPr>
              <w:t>条款号</w:t>
            </w: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7F817083">
            <w:pPr>
              <w:snapToGrid w:val="0"/>
              <w:spacing w:line="400" w:lineRule="exact"/>
              <w:ind w:firstLine="241" w:firstLineChars="100"/>
              <w:jc w:val="center"/>
              <w:rPr>
                <w:rFonts w:ascii="宋体" w:hAnsi="宋体"/>
                <w:b/>
                <w:bCs/>
                <w:color w:val="000000"/>
                <w:sz w:val="24"/>
              </w:rPr>
            </w:pPr>
            <w:r>
              <w:rPr>
                <w:rFonts w:hint="eastAsia" w:ascii="宋体" w:hAnsi="宋体"/>
                <w:b/>
                <w:bCs/>
                <w:color w:val="000000"/>
                <w:sz w:val="24"/>
              </w:rPr>
              <w:t>评 分 因 素</w:t>
            </w:r>
          </w:p>
        </w:tc>
        <w:tc>
          <w:tcPr>
            <w:tcW w:w="1523" w:type="dxa"/>
            <w:tcBorders>
              <w:top w:val="single" w:color="auto" w:sz="4" w:space="0"/>
              <w:left w:val="single" w:color="auto" w:sz="4" w:space="0"/>
              <w:bottom w:val="single" w:color="auto" w:sz="4" w:space="0"/>
              <w:right w:val="single" w:color="auto" w:sz="4" w:space="0"/>
            </w:tcBorders>
            <w:vAlign w:val="center"/>
          </w:tcPr>
          <w:p w14:paraId="459B5596">
            <w:pPr>
              <w:snapToGrid w:val="0"/>
              <w:spacing w:line="400" w:lineRule="exact"/>
              <w:jc w:val="center"/>
              <w:rPr>
                <w:rFonts w:ascii="宋体" w:hAnsi="宋体"/>
                <w:b/>
                <w:bCs/>
                <w:color w:val="000000"/>
                <w:sz w:val="24"/>
              </w:rPr>
            </w:pPr>
            <w:r>
              <w:rPr>
                <w:rFonts w:hint="eastAsia" w:ascii="宋体" w:hAnsi="宋体"/>
                <w:b/>
                <w:bCs/>
                <w:color w:val="000000"/>
                <w:sz w:val="24"/>
              </w:rPr>
              <w:t>满分值</w:t>
            </w:r>
          </w:p>
        </w:tc>
      </w:tr>
      <w:tr w14:paraId="52F3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dxa"/>
            <w:tcBorders>
              <w:top w:val="single" w:color="auto" w:sz="4" w:space="0"/>
              <w:left w:val="single" w:color="auto" w:sz="4" w:space="0"/>
              <w:right w:val="single" w:color="auto" w:sz="4" w:space="0"/>
            </w:tcBorders>
            <w:vAlign w:val="center"/>
          </w:tcPr>
          <w:p w14:paraId="0EC64A1F">
            <w:pPr>
              <w:snapToGrid w:val="0"/>
              <w:spacing w:line="400" w:lineRule="exact"/>
              <w:jc w:val="center"/>
              <w:rPr>
                <w:rFonts w:ascii="宋体" w:hAnsi="宋体"/>
                <w:bCs/>
                <w:color w:val="000000"/>
                <w:sz w:val="24"/>
              </w:rPr>
            </w:pPr>
            <w:r>
              <w:rPr>
                <w:rFonts w:hint="eastAsia" w:ascii="宋体" w:hAnsi="宋体"/>
                <w:bCs/>
                <w:color w:val="000000"/>
                <w:sz w:val="24"/>
              </w:rPr>
              <w:t>2.2.1</w:t>
            </w:r>
          </w:p>
        </w:tc>
        <w:tc>
          <w:tcPr>
            <w:tcW w:w="1837" w:type="dxa"/>
            <w:tcBorders>
              <w:top w:val="single" w:color="auto" w:sz="4" w:space="0"/>
              <w:left w:val="single" w:color="auto" w:sz="4" w:space="0"/>
              <w:right w:val="single" w:color="auto" w:sz="4" w:space="0"/>
            </w:tcBorders>
            <w:vAlign w:val="center"/>
          </w:tcPr>
          <w:p w14:paraId="239F0923">
            <w:pPr>
              <w:snapToGrid w:val="0"/>
              <w:spacing w:line="400" w:lineRule="exact"/>
              <w:jc w:val="center"/>
              <w:rPr>
                <w:rFonts w:ascii="宋体" w:hAnsi="宋体"/>
                <w:bCs/>
                <w:color w:val="000000"/>
                <w:sz w:val="24"/>
              </w:rPr>
            </w:pPr>
            <w:r>
              <w:rPr>
                <w:rFonts w:hint="eastAsia" w:ascii="宋体" w:hAnsi="宋体"/>
                <w:bCs/>
                <w:color w:val="000000"/>
                <w:sz w:val="24"/>
              </w:rPr>
              <w:t>监理管理文件（监理大纲）</w:t>
            </w: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7D755B97">
            <w:pPr>
              <w:spacing w:line="400" w:lineRule="exact"/>
              <w:rPr>
                <w:rFonts w:ascii="宋体" w:hAnsi="宋体" w:cs="宋体"/>
                <w:sz w:val="24"/>
              </w:rPr>
            </w:pPr>
            <w:r>
              <w:rPr>
                <w:rFonts w:ascii="宋体" w:hAnsi="宋体"/>
                <w:sz w:val="24"/>
              </w:rPr>
              <w:t>1</w:t>
            </w:r>
            <w:r>
              <w:rPr>
                <w:rFonts w:hint="eastAsia" w:ascii="宋体" w:hAnsi="宋体"/>
                <w:sz w:val="24"/>
              </w:rPr>
              <w:t>、</w:t>
            </w:r>
            <w:r>
              <w:rPr>
                <w:rFonts w:hint="eastAsia" w:ascii="宋体" w:hAnsi="宋体"/>
                <w:sz w:val="24"/>
                <w:highlight w:val="green"/>
              </w:rPr>
              <w:t>综合比较投标人对监理大纲</w:t>
            </w:r>
            <w:r>
              <w:rPr>
                <w:rFonts w:hint="eastAsia" w:ascii="宋体" w:hAnsi="宋体" w:cs="宋体"/>
                <w:sz w:val="24"/>
                <w:highlight w:val="green"/>
              </w:rPr>
              <w:t>内容的阐述：</w:t>
            </w:r>
          </w:p>
          <w:p w14:paraId="0055794A">
            <w:pPr>
              <w:spacing w:line="400" w:lineRule="exact"/>
              <w:rPr>
                <w:rFonts w:ascii="宋体" w:hAnsi="宋体"/>
                <w:sz w:val="24"/>
              </w:rPr>
            </w:pPr>
            <w:r>
              <w:rPr>
                <w:rFonts w:hint="eastAsia" w:ascii="宋体" w:hAnsi="宋体"/>
                <w:sz w:val="24"/>
              </w:rPr>
              <w:t>（1）监理大纲符合现行规范要求，内容齐全完整的，得</w:t>
            </w:r>
            <w:r>
              <w:rPr>
                <w:rFonts w:hint="eastAsia" w:ascii="宋体" w:hAnsi="宋体"/>
                <w:sz w:val="24"/>
                <w:lang w:val="en-US" w:eastAsia="zh-CN"/>
              </w:rPr>
              <w:t>6</w:t>
            </w:r>
            <w:r>
              <w:rPr>
                <w:rFonts w:hint="eastAsia" w:ascii="宋体" w:hAnsi="宋体"/>
                <w:sz w:val="24"/>
              </w:rPr>
              <w:t>分；</w:t>
            </w:r>
          </w:p>
          <w:p w14:paraId="538920CD">
            <w:pPr>
              <w:spacing w:line="400" w:lineRule="exact"/>
              <w:rPr>
                <w:rFonts w:ascii="宋体" w:hAnsi="宋体"/>
                <w:sz w:val="24"/>
              </w:rPr>
            </w:pPr>
            <w:r>
              <w:rPr>
                <w:rFonts w:hint="eastAsia" w:ascii="宋体" w:hAnsi="宋体"/>
                <w:sz w:val="24"/>
              </w:rPr>
              <w:t>（2）监理大纲符合现行规范要求，内容较齐全完整的，得4分；</w:t>
            </w:r>
          </w:p>
          <w:p w14:paraId="193E249B">
            <w:pPr>
              <w:spacing w:line="400" w:lineRule="exact"/>
              <w:rPr>
                <w:rFonts w:hint="eastAsia" w:ascii="宋体" w:hAnsi="宋体" w:eastAsia="宋体"/>
                <w:sz w:val="24"/>
                <w:lang w:eastAsia="zh-CN"/>
              </w:rPr>
            </w:pPr>
            <w:r>
              <w:rPr>
                <w:rFonts w:hint="eastAsia" w:ascii="宋体" w:hAnsi="宋体"/>
                <w:sz w:val="24"/>
              </w:rPr>
              <w:t>（</w:t>
            </w:r>
            <w:r>
              <w:rPr>
                <w:rFonts w:ascii="宋体" w:hAnsi="宋体"/>
                <w:sz w:val="24"/>
              </w:rPr>
              <w:t>3</w:t>
            </w:r>
            <w:r>
              <w:rPr>
                <w:rFonts w:hint="eastAsia" w:ascii="宋体" w:hAnsi="宋体"/>
                <w:sz w:val="24"/>
              </w:rPr>
              <w:t>）监理大纲符合现行规范要求，内容一般的，得3分；</w:t>
            </w:r>
          </w:p>
          <w:p w14:paraId="7F0551A9">
            <w:pPr>
              <w:spacing w:line="4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）有待完善，得1分；</w:t>
            </w:r>
          </w:p>
          <w:p w14:paraId="23BFFEB3">
            <w:pPr>
              <w:spacing w:line="400" w:lineRule="exact"/>
              <w:rPr>
                <w:rFonts w:ascii="宋体" w:hAnsi="宋体" w:cs="宋体"/>
                <w:sz w:val="24"/>
              </w:rPr>
            </w:pPr>
            <w:r>
              <w:rPr>
                <w:rFonts w:hint="eastAsia" w:ascii="宋体" w:hAnsi="宋体"/>
                <w:sz w:val="24"/>
              </w:rPr>
              <w:t>（</w:t>
            </w:r>
            <w:r>
              <w:rPr>
                <w:rFonts w:ascii="宋体" w:hAnsi="宋体"/>
                <w:sz w:val="24"/>
              </w:rPr>
              <w:t>5</w:t>
            </w:r>
            <w:r>
              <w:rPr>
                <w:rFonts w:hint="eastAsia" w:ascii="宋体" w:hAnsi="宋体"/>
                <w:sz w:val="24"/>
              </w:rPr>
              <w:t>）未提供或不符合要求不得分</w:t>
            </w:r>
            <w:r>
              <w:rPr>
                <w:rFonts w:hint="eastAsia" w:ascii="宋体" w:hAnsi="宋体" w:cs="宋体"/>
                <w:sz w:val="24"/>
              </w:rPr>
              <w:t>。</w:t>
            </w:r>
          </w:p>
          <w:p w14:paraId="23D4B302">
            <w:pPr>
              <w:spacing w:line="400" w:lineRule="exact"/>
              <w:rPr>
                <w:rFonts w:ascii="宋体" w:hAnsi="宋体" w:cs="宋体"/>
                <w:sz w:val="24"/>
              </w:rPr>
            </w:pPr>
            <w:r>
              <w:rPr>
                <w:rFonts w:hint="eastAsia" w:ascii="宋体" w:hAnsi="宋体"/>
                <w:sz w:val="24"/>
              </w:rPr>
              <w:t>2、</w:t>
            </w:r>
            <w:r>
              <w:rPr>
                <w:rFonts w:hint="eastAsia" w:ascii="宋体" w:hAnsi="宋体"/>
                <w:sz w:val="24"/>
                <w:highlight w:val="green"/>
              </w:rPr>
              <w:t>综合比较投标人对质量控制措施</w:t>
            </w:r>
            <w:r>
              <w:rPr>
                <w:rFonts w:hint="eastAsia" w:ascii="宋体" w:hAnsi="宋体" w:cs="宋体"/>
                <w:sz w:val="24"/>
                <w:highlight w:val="green"/>
              </w:rPr>
              <w:t>内容的阐述：</w:t>
            </w:r>
          </w:p>
          <w:p w14:paraId="4639402C">
            <w:pPr>
              <w:spacing w:line="400" w:lineRule="exact"/>
              <w:rPr>
                <w:rFonts w:ascii="宋体" w:hAnsi="宋体"/>
                <w:sz w:val="24"/>
              </w:rPr>
            </w:pPr>
            <w:r>
              <w:rPr>
                <w:rFonts w:hint="eastAsia" w:ascii="宋体" w:hAnsi="宋体"/>
                <w:sz w:val="24"/>
              </w:rPr>
              <w:t>（1）质量控制措施内容全面、工作流程得当、方案对本项目有针对性的，得</w:t>
            </w:r>
            <w:r>
              <w:rPr>
                <w:rFonts w:hint="eastAsia" w:ascii="宋体" w:hAnsi="宋体"/>
                <w:sz w:val="24"/>
                <w:lang w:val="en-US" w:eastAsia="zh-CN"/>
              </w:rPr>
              <w:t>6</w:t>
            </w:r>
            <w:r>
              <w:rPr>
                <w:rFonts w:hint="eastAsia" w:ascii="宋体" w:hAnsi="宋体"/>
                <w:sz w:val="24"/>
              </w:rPr>
              <w:t>分；</w:t>
            </w:r>
          </w:p>
          <w:p w14:paraId="042D4E8A">
            <w:pPr>
              <w:spacing w:line="400" w:lineRule="exact"/>
              <w:rPr>
                <w:rFonts w:hint="eastAsia" w:ascii="宋体" w:hAnsi="宋体" w:eastAsia="宋体"/>
                <w:sz w:val="24"/>
                <w:lang w:eastAsia="zh-CN"/>
              </w:rPr>
            </w:pPr>
            <w:r>
              <w:rPr>
                <w:rFonts w:hint="eastAsia" w:ascii="宋体" w:hAnsi="宋体"/>
                <w:sz w:val="24"/>
              </w:rPr>
              <w:t>（2）质量控制措施内容较全面、工作流程较得当、方案对本项目较有针对性的，得4分；</w:t>
            </w:r>
          </w:p>
          <w:p w14:paraId="20035575">
            <w:pPr>
              <w:spacing w:line="400" w:lineRule="exact"/>
              <w:rPr>
                <w:rFonts w:hint="eastAsia" w:ascii="宋体" w:hAnsi="宋体" w:eastAsia="宋体"/>
                <w:sz w:val="24"/>
                <w:lang w:eastAsia="zh-CN"/>
              </w:rPr>
            </w:pPr>
            <w:r>
              <w:rPr>
                <w:rFonts w:hint="eastAsia" w:ascii="宋体" w:hAnsi="宋体"/>
                <w:sz w:val="24"/>
              </w:rPr>
              <w:t>（3）质量控制措施内容一般的，得3分；</w:t>
            </w:r>
            <w:r>
              <w:rPr>
                <w:rFonts w:ascii="宋体" w:hAnsi="宋体"/>
                <w:sz w:val="24"/>
              </w:rPr>
              <w:t xml:space="preserve"> </w:t>
            </w:r>
          </w:p>
          <w:p w14:paraId="4FC4DE6C">
            <w:pPr>
              <w:spacing w:line="400" w:lineRule="exact"/>
              <w:rPr>
                <w:rFonts w:ascii="宋体" w:hAnsi="宋体"/>
                <w:sz w:val="24"/>
              </w:rPr>
            </w:pPr>
            <w:r>
              <w:rPr>
                <w:rFonts w:hint="eastAsia" w:ascii="宋体" w:hAnsi="宋体"/>
                <w:sz w:val="24"/>
              </w:rPr>
              <w:t>（4）有待完善，得1分；</w:t>
            </w:r>
          </w:p>
          <w:p w14:paraId="0A0262DF">
            <w:pPr>
              <w:spacing w:line="400" w:lineRule="exact"/>
              <w:rPr>
                <w:rFonts w:ascii="宋体" w:hAnsi="宋体" w:cs="宋体"/>
                <w:sz w:val="24"/>
              </w:rPr>
            </w:pPr>
            <w:r>
              <w:rPr>
                <w:rFonts w:hint="eastAsia" w:ascii="宋体" w:hAnsi="宋体"/>
                <w:sz w:val="24"/>
              </w:rPr>
              <w:t>（5）未提供或不符合要求不得分</w:t>
            </w:r>
            <w:r>
              <w:rPr>
                <w:rFonts w:hint="eastAsia" w:ascii="宋体" w:hAnsi="宋体" w:cs="宋体"/>
                <w:sz w:val="24"/>
              </w:rPr>
              <w:t>。</w:t>
            </w:r>
          </w:p>
          <w:p w14:paraId="7EC00C37">
            <w:pPr>
              <w:spacing w:line="400" w:lineRule="exact"/>
              <w:rPr>
                <w:rFonts w:ascii="宋体" w:hAnsi="宋体" w:cs="宋体"/>
                <w:sz w:val="24"/>
              </w:rPr>
            </w:pPr>
            <w:r>
              <w:rPr>
                <w:rFonts w:ascii="宋体" w:hAnsi="宋体"/>
                <w:sz w:val="24"/>
              </w:rPr>
              <w:t>3</w:t>
            </w:r>
            <w:r>
              <w:rPr>
                <w:rFonts w:hint="eastAsia" w:ascii="宋体" w:hAnsi="宋体"/>
                <w:sz w:val="24"/>
              </w:rPr>
              <w:t>、</w:t>
            </w:r>
            <w:r>
              <w:rPr>
                <w:rFonts w:hint="eastAsia" w:ascii="宋体" w:hAnsi="宋体"/>
                <w:sz w:val="24"/>
                <w:highlight w:val="green"/>
              </w:rPr>
              <w:t>综合比较投标人对进度控制措施</w:t>
            </w:r>
            <w:r>
              <w:rPr>
                <w:rFonts w:hint="eastAsia" w:ascii="宋体" w:hAnsi="宋体" w:cs="宋体"/>
                <w:sz w:val="24"/>
                <w:highlight w:val="green"/>
              </w:rPr>
              <w:t>内容的阐述：</w:t>
            </w:r>
          </w:p>
          <w:p w14:paraId="75911124">
            <w:pPr>
              <w:spacing w:line="400" w:lineRule="exact"/>
              <w:rPr>
                <w:rFonts w:ascii="宋体" w:hAnsi="宋体"/>
                <w:sz w:val="24"/>
              </w:rPr>
            </w:pPr>
            <w:r>
              <w:rPr>
                <w:rFonts w:hint="eastAsia" w:ascii="宋体" w:hAnsi="宋体"/>
                <w:sz w:val="24"/>
              </w:rPr>
              <w:t>（1）进度控制措施内容全面、工作流程得当、方案对本项目有针对性的，得</w:t>
            </w:r>
            <w:r>
              <w:rPr>
                <w:rFonts w:hint="eastAsia" w:ascii="宋体" w:hAnsi="宋体"/>
                <w:sz w:val="24"/>
                <w:lang w:val="en-US" w:eastAsia="zh-CN"/>
              </w:rPr>
              <w:t>6</w:t>
            </w:r>
            <w:r>
              <w:rPr>
                <w:rFonts w:hint="eastAsia" w:ascii="宋体" w:hAnsi="宋体"/>
                <w:sz w:val="24"/>
              </w:rPr>
              <w:t>分；</w:t>
            </w:r>
          </w:p>
          <w:p w14:paraId="48F03EE2">
            <w:pPr>
              <w:spacing w:line="400" w:lineRule="exact"/>
              <w:rPr>
                <w:rFonts w:hint="eastAsia" w:ascii="宋体" w:hAnsi="宋体" w:eastAsia="宋体"/>
                <w:sz w:val="24"/>
                <w:lang w:eastAsia="zh-CN"/>
              </w:rPr>
            </w:pPr>
            <w:r>
              <w:rPr>
                <w:rFonts w:hint="eastAsia" w:ascii="宋体" w:hAnsi="宋体"/>
                <w:sz w:val="24"/>
              </w:rPr>
              <w:t>（2）进度控制措施内容较全面、工作流程较得当、方案对本项目较有针对性的，得4分；</w:t>
            </w:r>
          </w:p>
          <w:p w14:paraId="659DC132">
            <w:pPr>
              <w:spacing w:line="400" w:lineRule="exact"/>
              <w:rPr>
                <w:rFonts w:hint="eastAsia" w:ascii="宋体" w:hAnsi="宋体" w:eastAsia="宋体"/>
                <w:sz w:val="24"/>
                <w:lang w:eastAsia="zh-CN"/>
              </w:rPr>
            </w:pPr>
            <w:r>
              <w:rPr>
                <w:rFonts w:hint="eastAsia" w:ascii="宋体" w:hAnsi="宋体"/>
                <w:sz w:val="24"/>
              </w:rPr>
              <w:t>（3）进度控制措施内容一般的，得3分；</w:t>
            </w:r>
            <w:r>
              <w:rPr>
                <w:rFonts w:ascii="宋体" w:hAnsi="宋体"/>
                <w:sz w:val="24"/>
              </w:rPr>
              <w:t xml:space="preserve"> </w:t>
            </w:r>
          </w:p>
          <w:p w14:paraId="189F637C">
            <w:pPr>
              <w:spacing w:line="400" w:lineRule="exact"/>
              <w:rPr>
                <w:rFonts w:ascii="宋体" w:hAnsi="宋体"/>
                <w:sz w:val="24"/>
              </w:rPr>
            </w:pPr>
            <w:r>
              <w:rPr>
                <w:rFonts w:hint="eastAsia" w:ascii="宋体" w:hAnsi="宋体"/>
                <w:sz w:val="24"/>
              </w:rPr>
              <w:t>（4）有待完善，得1分；</w:t>
            </w:r>
          </w:p>
          <w:p w14:paraId="50BCA9FB">
            <w:pPr>
              <w:spacing w:line="400" w:lineRule="exact"/>
              <w:rPr>
                <w:rFonts w:ascii="宋体" w:hAnsi="宋体" w:cs="宋体"/>
                <w:sz w:val="24"/>
              </w:rPr>
            </w:pPr>
            <w:r>
              <w:rPr>
                <w:rFonts w:hint="eastAsia" w:ascii="宋体" w:hAnsi="宋体"/>
                <w:sz w:val="24"/>
              </w:rPr>
              <w:t>（5）未提供或不符合要求不得分</w:t>
            </w:r>
            <w:r>
              <w:rPr>
                <w:rFonts w:hint="eastAsia" w:ascii="宋体" w:hAnsi="宋体" w:cs="宋体"/>
                <w:sz w:val="24"/>
              </w:rPr>
              <w:t>。</w:t>
            </w:r>
          </w:p>
          <w:p w14:paraId="1D7378F5">
            <w:pPr>
              <w:spacing w:line="400" w:lineRule="exact"/>
              <w:rPr>
                <w:rFonts w:ascii="宋体" w:hAnsi="宋体" w:cs="宋体"/>
                <w:sz w:val="24"/>
              </w:rPr>
            </w:pPr>
            <w:r>
              <w:rPr>
                <w:rFonts w:ascii="宋体" w:hAnsi="宋体"/>
                <w:sz w:val="24"/>
              </w:rPr>
              <w:t>4</w:t>
            </w:r>
            <w:r>
              <w:rPr>
                <w:rFonts w:hint="eastAsia" w:ascii="宋体" w:hAnsi="宋体"/>
                <w:sz w:val="24"/>
              </w:rPr>
              <w:t>、</w:t>
            </w:r>
            <w:r>
              <w:rPr>
                <w:rFonts w:hint="eastAsia" w:ascii="宋体" w:hAnsi="宋体"/>
                <w:sz w:val="24"/>
                <w:highlight w:val="green"/>
              </w:rPr>
              <w:t>综合比较投标人对投资及变更控制措施内容</w:t>
            </w:r>
            <w:r>
              <w:rPr>
                <w:rFonts w:hint="eastAsia" w:ascii="宋体" w:hAnsi="宋体" w:cs="宋体"/>
                <w:sz w:val="24"/>
                <w:highlight w:val="green"/>
              </w:rPr>
              <w:t>的阐述：</w:t>
            </w:r>
          </w:p>
          <w:p w14:paraId="463BA688">
            <w:pPr>
              <w:spacing w:line="400" w:lineRule="exact"/>
              <w:rPr>
                <w:rFonts w:ascii="宋体" w:hAnsi="宋体"/>
                <w:sz w:val="24"/>
              </w:rPr>
            </w:pPr>
            <w:r>
              <w:rPr>
                <w:rFonts w:hint="eastAsia" w:ascii="宋体" w:hAnsi="宋体"/>
                <w:sz w:val="24"/>
              </w:rPr>
              <w:t>（1）投资及变更控制措施内容全面、工作流程得当、方案对本项目有针对性的，得</w:t>
            </w:r>
            <w:r>
              <w:rPr>
                <w:rFonts w:hint="eastAsia" w:ascii="宋体" w:hAnsi="宋体"/>
                <w:sz w:val="24"/>
                <w:lang w:val="en-US" w:eastAsia="zh-CN"/>
              </w:rPr>
              <w:t>6</w:t>
            </w:r>
            <w:r>
              <w:rPr>
                <w:rFonts w:hint="eastAsia" w:ascii="宋体" w:hAnsi="宋体"/>
                <w:sz w:val="24"/>
              </w:rPr>
              <w:t>分；</w:t>
            </w:r>
          </w:p>
          <w:p w14:paraId="7C6D8A00">
            <w:pPr>
              <w:spacing w:line="400" w:lineRule="exact"/>
              <w:rPr>
                <w:rFonts w:hint="eastAsia" w:ascii="宋体" w:hAnsi="宋体" w:eastAsia="宋体"/>
                <w:sz w:val="24"/>
                <w:lang w:eastAsia="zh-CN"/>
              </w:rPr>
            </w:pPr>
            <w:r>
              <w:rPr>
                <w:rFonts w:hint="eastAsia" w:ascii="宋体" w:hAnsi="宋体"/>
                <w:sz w:val="24"/>
              </w:rPr>
              <w:t>（2）投资及变更控制措施内容较全面、工作流程较得当、方案对本项目较有针对性的，得4分；</w:t>
            </w:r>
          </w:p>
          <w:p w14:paraId="113286AD">
            <w:pPr>
              <w:spacing w:line="400" w:lineRule="exact"/>
              <w:rPr>
                <w:rFonts w:hint="eastAsia" w:ascii="宋体" w:hAnsi="宋体" w:eastAsia="宋体"/>
                <w:sz w:val="24"/>
                <w:lang w:eastAsia="zh-CN"/>
              </w:rPr>
            </w:pPr>
            <w:r>
              <w:rPr>
                <w:rFonts w:hint="eastAsia" w:ascii="宋体" w:hAnsi="宋体"/>
                <w:sz w:val="24"/>
              </w:rPr>
              <w:t>（3）投资及变更控制措施内容一般的，得3分；</w:t>
            </w:r>
            <w:r>
              <w:rPr>
                <w:rFonts w:ascii="宋体" w:hAnsi="宋体"/>
                <w:sz w:val="24"/>
              </w:rPr>
              <w:t xml:space="preserve"> </w:t>
            </w:r>
          </w:p>
          <w:p w14:paraId="46AEF3E1">
            <w:pPr>
              <w:spacing w:line="400" w:lineRule="exact"/>
              <w:rPr>
                <w:rFonts w:ascii="宋体" w:hAnsi="宋体"/>
                <w:sz w:val="24"/>
              </w:rPr>
            </w:pPr>
            <w:r>
              <w:rPr>
                <w:rFonts w:hint="eastAsia" w:ascii="宋体" w:hAnsi="宋体"/>
                <w:sz w:val="24"/>
              </w:rPr>
              <w:t>（4）有待完善，得1分；</w:t>
            </w:r>
          </w:p>
          <w:p w14:paraId="0C73859F">
            <w:pPr>
              <w:spacing w:line="400" w:lineRule="exact"/>
              <w:rPr>
                <w:rFonts w:ascii="宋体" w:hAnsi="宋体"/>
                <w:sz w:val="24"/>
              </w:rPr>
            </w:pPr>
            <w:r>
              <w:rPr>
                <w:rFonts w:hint="eastAsia" w:ascii="宋体" w:hAnsi="宋体"/>
                <w:sz w:val="24"/>
              </w:rPr>
              <w:t>（5）未提供或不符合要求不得分。</w:t>
            </w:r>
          </w:p>
          <w:p w14:paraId="26779228">
            <w:pPr>
              <w:spacing w:line="400" w:lineRule="exact"/>
              <w:rPr>
                <w:rFonts w:ascii="宋体" w:hAnsi="宋体" w:cs="宋体"/>
                <w:sz w:val="24"/>
              </w:rPr>
            </w:pPr>
            <w:r>
              <w:rPr>
                <w:rFonts w:ascii="宋体" w:hAnsi="宋体"/>
                <w:sz w:val="24"/>
              </w:rPr>
              <w:t>5</w:t>
            </w:r>
            <w:r>
              <w:rPr>
                <w:rFonts w:hint="eastAsia" w:ascii="宋体" w:hAnsi="宋体"/>
                <w:sz w:val="24"/>
              </w:rPr>
              <w:t>、</w:t>
            </w:r>
            <w:r>
              <w:rPr>
                <w:rFonts w:hint="eastAsia" w:ascii="宋体" w:hAnsi="宋体"/>
                <w:sz w:val="24"/>
                <w:highlight w:val="green"/>
              </w:rPr>
              <w:t>综合比较投标人对安全控制措施内容</w:t>
            </w:r>
            <w:r>
              <w:rPr>
                <w:rFonts w:hint="eastAsia" w:ascii="宋体" w:hAnsi="宋体" w:cs="宋体"/>
                <w:sz w:val="24"/>
                <w:highlight w:val="green"/>
              </w:rPr>
              <w:t>的阐述：</w:t>
            </w:r>
          </w:p>
          <w:p w14:paraId="77ED1F3D">
            <w:pPr>
              <w:spacing w:line="400" w:lineRule="exact"/>
              <w:rPr>
                <w:rFonts w:ascii="宋体" w:hAnsi="宋体"/>
                <w:sz w:val="24"/>
              </w:rPr>
            </w:pPr>
            <w:r>
              <w:rPr>
                <w:rFonts w:hint="eastAsia" w:ascii="宋体" w:hAnsi="宋体"/>
                <w:sz w:val="24"/>
              </w:rPr>
              <w:t>（1）安全控制措施内容全面、工作流程得当、方案对本项目有针对性的，得</w:t>
            </w:r>
            <w:r>
              <w:rPr>
                <w:rFonts w:hint="eastAsia" w:ascii="宋体" w:hAnsi="宋体"/>
                <w:sz w:val="24"/>
                <w:lang w:val="en-US" w:eastAsia="zh-CN"/>
              </w:rPr>
              <w:t>6</w:t>
            </w:r>
            <w:r>
              <w:rPr>
                <w:rFonts w:hint="eastAsia" w:ascii="宋体" w:hAnsi="宋体"/>
                <w:sz w:val="24"/>
              </w:rPr>
              <w:t>分；</w:t>
            </w:r>
          </w:p>
          <w:p w14:paraId="276861E2">
            <w:pPr>
              <w:spacing w:line="400" w:lineRule="exact"/>
              <w:rPr>
                <w:rFonts w:hint="eastAsia" w:ascii="宋体" w:hAnsi="宋体" w:eastAsia="宋体"/>
                <w:sz w:val="24"/>
                <w:lang w:eastAsia="zh-CN"/>
              </w:rPr>
            </w:pPr>
            <w:r>
              <w:rPr>
                <w:rFonts w:hint="eastAsia" w:ascii="宋体" w:hAnsi="宋体"/>
                <w:sz w:val="24"/>
              </w:rPr>
              <w:t>（2）安全控制措施内容较全面、工作流程较得当、方案对本项目较有针对性的，得4分；</w:t>
            </w:r>
          </w:p>
          <w:p w14:paraId="358D39FD">
            <w:pPr>
              <w:spacing w:line="400" w:lineRule="exact"/>
              <w:rPr>
                <w:rFonts w:hint="eastAsia" w:ascii="宋体" w:hAnsi="宋体" w:eastAsia="宋体"/>
                <w:sz w:val="24"/>
                <w:lang w:eastAsia="zh-CN"/>
              </w:rPr>
            </w:pPr>
            <w:r>
              <w:rPr>
                <w:rFonts w:hint="eastAsia" w:ascii="宋体" w:hAnsi="宋体"/>
                <w:sz w:val="24"/>
              </w:rPr>
              <w:t>（3）安全控制措施内容一般的，得3分；</w:t>
            </w:r>
            <w:r>
              <w:rPr>
                <w:rFonts w:ascii="宋体" w:hAnsi="宋体"/>
                <w:sz w:val="24"/>
              </w:rPr>
              <w:t xml:space="preserve"> </w:t>
            </w:r>
          </w:p>
          <w:p w14:paraId="25BC5C50">
            <w:pPr>
              <w:spacing w:line="400" w:lineRule="exact"/>
              <w:rPr>
                <w:rFonts w:ascii="宋体" w:hAnsi="宋体"/>
                <w:sz w:val="24"/>
              </w:rPr>
            </w:pPr>
            <w:r>
              <w:rPr>
                <w:rFonts w:hint="eastAsia" w:ascii="宋体" w:hAnsi="宋体"/>
                <w:sz w:val="24"/>
              </w:rPr>
              <w:t>（4）有待完善，得1分；</w:t>
            </w:r>
          </w:p>
          <w:p w14:paraId="0647ACE1">
            <w:pPr>
              <w:spacing w:line="400" w:lineRule="exact"/>
              <w:rPr>
                <w:rFonts w:ascii="宋体" w:hAnsi="宋体" w:cs="宋体"/>
                <w:sz w:val="24"/>
              </w:rPr>
            </w:pPr>
            <w:r>
              <w:rPr>
                <w:rFonts w:hint="eastAsia" w:ascii="宋体" w:hAnsi="宋体"/>
                <w:sz w:val="24"/>
              </w:rPr>
              <w:t>（5）未提供或不符合要求不得分</w:t>
            </w:r>
            <w:r>
              <w:rPr>
                <w:rFonts w:hint="eastAsia" w:ascii="宋体" w:hAnsi="宋体" w:cs="宋体"/>
                <w:sz w:val="24"/>
              </w:rPr>
              <w:t>。</w:t>
            </w:r>
          </w:p>
          <w:p w14:paraId="6366E771">
            <w:pPr>
              <w:spacing w:line="400" w:lineRule="exact"/>
              <w:rPr>
                <w:rFonts w:ascii="宋体" w:hAnsi="宋体" w:cs="宋体"/>
                <w:sz w:val="24"/>
              </w:rPr>
            </w:pPr>
            <w:r>
              <w:rPr>
                <w:rFonts w:hint="eastAsia" w:ascii="宋体" w:hAnsi="宋体"/>
                <w:sz w:val="24"/>
              </w:rPr>
              <w:t>6、</w:t>
            </w:r>
            <w:r>
              <w:rPr>
                <w:rFonts w:hint="eastAsia" w:ascii="宋体" w:hAnsi="宋体"/>
                <w:sz w:val="24"/>
                <w:highlight w:val="green"/>
              </w:rPr>
              <w:t>综合比较投标人对合同与信息管理内容</w:t>
            </w:r>
            <w:r>
              <w:rPr>
                <w:rFonts w:hint="eastAsia" w:ascii="宋体" w:hAnsi="宋体" w:cs="宋体"/>
                <w:sz w:val="24"/>
                <w:highlight w:val="green"/>
              </w:rPr>
              <w:t>的阐述：</w:t>
            </w:r>
          </w:p>
          <w:p w14:paraId="1DABD46F">
            <w:pPr>
              <w:spacing w:line="400" w:lineRule="exact"/>
              <w:rPr>
                <w:rFonts w:ascii="宋体" w:hAnsi="宋体"/>
                <w:sz w:val="24"/>
              </w:rPr>
            </w:pPr>
            <w:r>
              <w:rPr>
                <w:rFonts w:hint="eastAsia" w:ascii="宋体" w:hAnsi="宋体"/>
                <w:sz w:val="24"/>
              </w:rPr>
              <w:t>（1）合同与信息管理内容全面、方法得当的，得</w:t>
            </w:r>
            <w:r>
              <w:rPr>
                <w:rFonts w:hint="eastAsia" w:ascii="宋体" w:hAnsi="宋体"/>
                <w:sz w:val="24"/>
                <w:lang w:val="en-US" w:eastAsia="zh-CN"/>
              </w:rPr>
              <w:t>6</w:t>
            </w:r>
            <w:r>
              <w:rPr>
                <w:rFonts w:hint="eastAsia" w:ascii="宋体" w:hAnsi="宋体"/>
                <w:sz w:val="24"/>
              </w:rPr>
              <w:t>分；</w:t>
            </w:r>
          </w:p>
          <w:p w14:paraId="15D114AB">
            <w:pPr>
              <w:spacing w:line="400" w:lineRule="exact"/>
              <w:rPr>
                <w:rFonts w:hint="eastAsia" w:ascii="宋体" w:hAnsi="宋体" w:eastAsia="宋体"/>
                <w:sz w:val="24"/>
                <w:lang w:eastAsia="zh-CN"/>
              </w:rPr>
            </w:pPr>
            <w:r>
              <w:rPr>
                <w:rFonts w:hint="eastAsia" w:ascii="宋体" w:hAnsi="宋体"/>
                <w:sz w:val="24"/>
              </w:rPr>
              <w:t>（2）合同与信息管理内容较全面、方法较得当的，得4分；</w:t>
            </w:r>
          </w:p>
          <w:p w14:paraId="5D74EB10">
            <w:pPr>
              <w:spacing w:line="400" w:lineRule="exact"/>
              <w:rPr>
                <w:rFonts w:hint="eastAsia" w:ascii="宋体" w:hAnsi="宋体" w:eastAsia="宋体"/>
                <w:sz w:val="24"/>
                <w:lang w:eastAsia="zh-CN"/>
              </w:rPr>
            </w:pPr>
            <w:r>
              <w:rPr>
                <w:rFonts w:hint="eastAsia" w:ascii="宋体" w:hAnsi="宋体"/>
                <w:sz w:val="24"/>
              </w:rPr>
              <w:t>（3）合同与信息管理内容、方法一般的，得3分；</w:t>
            </w:r>
            <w:r>
              <w:rPr>
                <w:rFonts w:ascii="宋体" w:hAnsi="宋体"/>
                <w:sz w:val="24"/>
              </w:rPr>
              <w:t xml:space="preserve"> </w:t>
            </w:r>
          </w:p>
          <w:p w14:paraId="3DB338ED">
            <w:pPr>
              <w:spacing w:line="400" w:lineRule="exact"/>
              <w:rPr>
                <w:rFonts w:ascii="宋体" w:hAnsi="宋体"/>
                <w:sz w:val="24"/>
              </w:rPr>
            </w:pPr>
            <w:r>
              <w:rPr>
                <w:rFonts w:hint="eastAsia" w:ascii="宋体" w:hAnsi="宋体"/>
                <w:sz w:val="24"/>
              </w:rPr>
              <w:t>（4）有待完善，得1分；</w:t>
            </w:r>
          </w:p>
          <w:p w14:paraId="4292E573">
            <w:pPr>
              <w:spacing w:line="400" w:lineRule="exact"/>
              <w:rPr>
                <w:rFonts w:ascii="宋体" w:hAnsi="宋体" w:cs="宋体"/>
                <w:sz w:val="24"/>
              </w:rPr>
            </w:pPr>
            <w:r>
              <w:rPr>
                <w:rFonts w:hint="eastAsia" w:ascii="宋体" w:hAnsi="宋体"/>
                <w:sz w:val="24"/>
              </w:rPr>
              <w:t>（5）未提供或不符合要求不得分</w:t>
            </w:r>
            <w:r>
              <w:rPr>
                <w:rFonts w:hint="eastAsia" w:ascii="宋体" w:hAnsi="宋体" w:cs="宋体"/>
                <w:sz w:val="24"/>
              </w:rPr>
              <w:t>。</w:t>
            </w:r>
          </w:p>
          <w:p w14:paraId="04730E1D">
            <w:pPr>
              <w:spacing w:line="400" w:lineRule="exact"/>
              <w:rPr>
                <w:rFonts w:ascii="宋体" w:hAnsi="宋体" w:cs="宋体"/>
                <w:sz w:val="24"/>
              </w:rPr>
            </w:pPr>
            <w:r>
              <w:rPr>
                <w:rFonts w:hint="eastAsia" w:ascii="宋体" w:hAnsi="宋体"/>
                <w:sz w:val="24"/>
              </w:rPr>
              <w:t>7、</w:t>
            </w:r>
            <w:r>
              <w:rPr>
                <w:rFonts w:hint="eastAsia" w:ascii="宋体" w:hAnsi="宋体"/>
                <w:sz w:val="24"/>
                <w:highlight w:val="green"/>
              </w:rPr>
              <w:t>综合比较投标人对关键工序控制措施、方案内容</w:t>
            </w:r>
            <w:r>
              <w:rPr>
                <w:rFonts w:hint="eastAsia" w:ascii="宋体" w:hAnsi="宋体" w:cs="宋体"/>
                <w:sz w:val="24"/>
                <w:highlight w:val="green"/>
              </w:rPr>
              <w:t>的阐述：</w:t>
            </w:r>
          </w:p>
          <w:p w14:paraId="048A64D6">
            <w:pPr>
              <w:spacing w:line="400" w:lineRule="exact"/>
              <w:rPr>
                <w:rFonts w:ascii="宋体" w:hAnsi="宋体"/>
                <w:sz w:val="24"/>
              </w:rPr>
            </w:pPr>
            <w:r>
              <w:rPr>
                <w:rFonts w:hint="eastAsia" w:ascii="宋体" w:hAnsi="宋体"/>
                <w:sz w:val="24"/>
              </w:rPr>
              <w:t>（1）关键工序控制措施明确、方案对本项目有很强的针对性，得</w:t>
            </w:r>
            <w:r>
              <w:rPr>
                <w:rFonts w:hint="eastAsia" w:ascii="宋体" w:hAnsi="宋体"/>
                <w:sz w:val="24"/>
                <w:lang w:val="en-US" w:eastAsia="zh-CN"/>
              </w:rPr>
              <w:t>6</w:t>
            </w:r>
            <w:r>
              <w:rPr>
                <w:rFonts w:hint="eastAsia" w:ascii="宋体" w:hAnsi="宋体"/>
                <w:sz w:val="24"/>
              </w:rPr>
              <w:t>分；</w:t>
            </w:r>
          </w:p>
          <w:p w14:paraId="0DEA52E3">
            <w:pPr>
              <w:spacing w:line="400" w:lineRule="exact"/>
              <w:rPr>
                <w:rFonts w:hint="eastAsia" w:ascii="宋体" w:hAnsi="宋体" w:eastAsia="宋体"/>
                <w:sz w:val="24"/>
                <w:lang w:eastAsia="zh-CN"/>
              </w:rPr>
            </w:pPr>
            <w:r>
              <w:rPr>
                <w:rFonts w:hint="eastAsia" w:ascii="宋体" w:hAnsi="宋体"/>
                <w:sz w:val="24"/>
              </w:rPr>
              <w:t>（2）关键工序控制措施较明确、方案对本项目有针对性的，得4分；</w:t>
            </w:r>
          </w:p>
          <w:p w14:paraId="55F5803E">
            <w:pPr>
              <w:spacing w:line="400" w:lineRule="exact"/>
              <w:rPr>
                <w:rFonts w:hint="eastAsia" w:ascii="宋体" w:hAnsi="宋体" w:eastAsia="宋体"/>
                <w:sz w:val="24"/>
                <w:lang w:eastAsia="zh-CN"/>
              </w:rPr>
            </w:pPr>
            <w:r>
              <w:rPr>
                <w:rFonts w:hint="eastAsia" w:ascii="宋体" w:hAnsi="宋体"/>
                <w:sz w:val="24"/>
              </w:rPr>
              <w:t>（3）关键工序控制措施、方案一般的，得3分；</w:t>
            </w:r>
            <w:r>
              <w:rPr>
                <w:rFonts w:ascii="宋体" w:hAnsi="宋体"/>
                <w:sz w:val="24"/>
              </w:rPr>
              <w:t xml:space="preserve"> </w:t>
            </w:r>
          </w:p>
          <w:p w14:paraId="5B2B2E94">
            <w:pPr>
              <w:spacing w:line="400" w:lineRule="exact"/>
              <w:rPr>
                <w:rFonts w:ascii="宋体" w:hAnsi="宋体"/>
                <w:sz w:val="24"/>
              </w:rPr>
            </w:pPr>
            <w:r>
              <w:rPr>
                <w:rFonts w:hint="eastAsia" w:ascii="宋体" w:hAnsi="宋体"/>
                <w:sz w:val="24"/>
              </w:rPr>
              <w:t>（4）有待完善，得1分；</w:t>
            </w:r>
          </w:p>
          <w:p w14:paraId="79D229F8">
            <w:pPr>
              <w:spacing w:line="400" w:lineRule="exact"/>
              <w:rPr>
                <w:rFonts w:ascii="宋体" w:hAnsi="宋体" w:cs="宋体"/>
                <w:sz w:val="24"/>
              </w:rPr>
            </w:pPr>
            <w:r>
              <w:rPr>
                <w:rFonts w:hint="eastAsia" w:ascii="宋体" w:hAnsi="宋体"/>
                <w:sz w:val="24"/>
              </w:rPr>
              <w:t>（5）未提供或不符合要求不得分</w:t>
            </w:r>
            <w:r>
              <w:rPr>
                <w:rFonts w:hint="eastAsia" w:ascii="宋体" w:hAnsi="宋体" w:cs="宋体"/>
                <w:sz w:val="24"/>
              </w:rPr>
              <w:t>。</w:t>
            </w:r>
          </w:p>
          <w:p w14:paraId="2B536B56">
            <w:pPr>
              <w:spacing w:line="400" w:lineRule="exact"/>
              <w:rPr>
                <w:rFonts w:ascii="宋体" w:hAnsi="宋体" w:cs="宋体"/>
                <w:sz w:val="24"/>
              </w:rPr>
            </w:pPr>
            <w:r>
              <w:rPr>
                <w:rFonts w:hint="eastAsia" w:ascii="宋体" w:hAnsi="宋体"/>
                <w:sz w:val="24"/>
              </w:rPr>
              <w:t>8、</w:t>
            </w:r>
            <w:r>
              <w:rPr>
                <w:rFonts w:hint="eastAsia" w:ascii="宋体" w:hAnsi="宋体"/>
                <w:sz w:val="24"/>
                <w:highlight w:val="green"/>
              </w:rPr>
              <w:t>综合比较投标人对技术重点难点分析、监理措施内容</w:t>
            </w:r>
            <w:r>
              <w:rPr>
                <w:rFonts w:hint="eastAsia" w:ascii="宋体" w:hAnsi="宋体" w:cs="宋体"/>
                <w:sz w:val="24"/>
                <w:highlight w:val="green"/>
              </w:rPr>
              <w:t>的阐述：</w:t>
            </w:r>
          </w:p>
          <w:p w14:paraId="551DAF64">
            <w:pPr>
              <w:spacing w:line="400" w:lineRule="exact"/>
              <w:rPr>
                <w:rFonts w:ascii="宋体" w:hAnsi="宋体"/>
                <w:sz w:val="24"/>
              </w:rPr>
            </w:pPr>
            <w:r>
              <w:rPr>
                <w:rFonts w:hint="eastAsia" w:ascii="宋体" w:hAnsi="宋体"/>
                <w:sz w:val="24"/>
              </w:rPr>
              <w:t>（1）重点难点齐全、技术重点难点分析妥当、监理措施对本项目有针对性、监理措施可行的，得</w:t>
            </w:r>
            <w:r>
              <w:rPr>
                <w:rFonts w:hint="eastAsia" w:ascii="宋体" w:hAnsi="宋体"/>
                <w:sz w:val="24"/>
                <w:lang w:val="en-US" w:eastAsia="zh-CN"/>
              </w:rPr>
              <w:t>6</w:t>
            </w:r>
            <w:r>
              <w:rPr>
                <w:rFonts w:hint="eastAsia" w:ascii="宋体" w:hAnsi="宋体"/>
                <w:sz w:val="24"/>
              </w:rPr>
              <w:t>分；</w:t>
            </w:r>
          </w:p>
          <w:p w14:paraId="67BF73DB">
            <w:pPr>
              <w:spacing w:line="400" w:lineRule="exact"/>
              <w:rPr>
                <w:rFonts w:ascii="宋体" w:hAnsi="宋体"/>
                <w:sz w:val="24"/>
              </w:rPr>
            </w:pPr>
            <w:r>
              <w:rPr>
                <w:rFonts w:hint="eastAsia" w:ascii="宋体" w:hAnsi="宋体"/>
                <w:sz w:val="24"/>
              </w:rPr>
              <w:t>（2）重点难点齐全、技术重点难点分析较妥当、监理措施对本项目较有针对性、监理措施较可行的，得4分；</w:t>
            </w:r>
          </w:p>
          <w:p w14:paraId="2D48E842">
            <w:pPr>
              <w:spacing w:line="400" w:lineRule="exact"/>
              <w:rPr>
                <w:rFonts w:hint="eastAsia" w:ascii="宋体" w:hAnsi="宋体" w:eastAsia="宋体"/>
                <w:sz w:val="24"/>
                <w:lang w:eastAsia="zh-CN"/>
              </w:rPr>
            </w:pPr>
            <w:r>
              <w:rPr>
                <w:rFonts w:hint="eastAsia" w:ascii="宋体" w:hAnsi="宋体"/>
                <w:sz w:val="24"/>
              </w:rPr>
              <w:t>（</w:t>
            </w:r>
            <w:r>
              <w:rPr>
                <w:rFonts w:ascii="宋体" w:hAnsi="宋体"/>
                <w:sz w:val="24"/>
              </w:rPr>
              <w:t>3</w:t>
            </w:r>
            <w:r>
              <w:rPr>
                <w:rFonts w:hint="eastAsia" w:ascii="宋体" w:hAnsi="宋体"/>
                <w:sz w:val="24"/>
              </w:rPr>
              <w:t>）重点难点齐全、技术重点难点分析较妥当、监理措施对本项目一般的，得3分；</w:t>
            </w:r>
          </w:p>
          <w:p w14:paraId="014CC1A0">
            <w:pPr>
              <w:spacing w:line="4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）有待完善，得1分；</w:t>
            </w:r>
          </w:p>
          <w:p w14:paraId="3B07F8B4">
            <w:pPr>
              <w:spacing w:line="400" w:lineRule="exact"/>
              <w:rPr>
                <w:rFonts w:ascii="宋体" w:hAnsi="宋体" w:cs="宋体"/>
                <w:sz w:val="24"/>
              </w:rPr>
            </w:pPr>
            <w:r>
              <w:rPr>
                <w:rFonts w:hint="eastAsia" w:ascii="宋体" w:hAnsi="宋体"/>
                <w:sz w:val="24"/>
              </w:rPr>
              <w:t>（</w:t>
            </w:r>
            <w:r>
              <w:rPr>
                <w:rFonts w:ascii="宋体" w:hAnsi="宋体"/>
                <w:sz w:val="24"/>
              </w:rPr>
              <w:t>5</w:t>
            </w:r>
            <w:r>
              <w:rPr>
                <w:rFonts w:hint="eastAsia" w:ascii="宋体" w:hAnsi="宋体"/>
                <w:sz w:val="24"/>
              </w:rPr>
              <w:t>）未提供或不符合要求不得分</w:t>
            </w:r>
            <w:r>
              <w:rPr>
                <w:rFonts w:hint="eastAsia" w:ascii="宋体" w:hAnsi="宋体" w:cs="宋体"/>
                <w:sz w:val="24"/>
              </w:rPr>
              <w:t>。</w:t>
            </w:r>
          </w:p>
          <w:p w14:paraId="4028D100">
            <w:pPr>
              <w:spacing w:line="400" w:lineRule="exact"/>
              <w:rPr>
                <w:rFonts w:ascii="宋体" w:hAnsi="宋体" w:cs="宋体"/>
                <w:sz w:val="24"/>
              </w:rPr>
            </w:pPr>
            <w:r>
              <w:rPr>
                <w:rFonts w:hint="eastAsia" w:ascii="宋体" w:hAnsi="宋体"/>
                <w:sz w:val="24"/>
              </w:rPr>
              <w:t>9、</w:t>
            </w:r>
            <w:r>
              <w:rPr>
                <w:rFonts w:hint="eastAsia" w:ascii="宋体" w:hAnsi="宋体"/>
                <w:sz w:val="24"/>
                <w:highlight w:val="green"/>
              </w:rPr>
              <w:t>综合比较投标人对工程项目特点提出合理化建议</w:t>
            </w:r>
            <w:r>
              <w:rPr>
                <w:rFonts w:hint="eastAsia" w:ascii="宋体" w:hAnsi="宋体" w:cs="宋体"/>
                <w:sz w:val="24"/>
                <w:highlight w:val="green"/>
              </w:rPr>
              <w:t>：</w:t>
            </w:r>
          </w:p>
          <w:p w14:paraId="29E58FEE">
            <w:pPr>
              <w:spacing w:line="400" w:lineRule="exact"/>
              <w:rPr>
                <w:rFonts w:ascii="宋体" w:hAnsi="宋体"/>
                <w:sz w:val="24"/>
              </w:rPr>
            </w:pPr>
            <w:r>
              <w:rPr>
                <w:rFonts w:hint="eastAsia" w:ascii="宋体" w:hAnsi="宋体"/>
                <w:sz w:val="24"/>
              </w:rPr>
              <w:t>（1）对工程项目特点提出合理化建议合理、可行的，得</w:t>
            </w:r>
            <w:r>
              <w:rPr>
                <w:rFonts w:hint="eastAsia" w:ascii="宋体" w:hAnsi="宋体"/>
                <w:sz w:val="24"/>
                <w:lang w:val="en-US" w:eastAsia="zh-CN"/>
              </w:rPr>
              <w:t>6</w:t>
            </w:r>
            <w:r>
              <w:rPr>
                <w:rFonts w:hint="eastAsia" w:ascii="宋体" w:hAnsi="宋体"/>
                <w:sz w:val="24"/>
              </w:rPr>
              <w:t>分；</w:t>
            </w:r>
          </w:p>
          <w:p w14:paraId="4ED9A315">
            <w:pPr>
              <w:spacing w:line="400" w:lineRule="exact"/>
              <w:rPr>
                <w:rFonts w:ascii="宋体" w:hAnsi="宋体"/>
                <w:sz w:val="24"/>
              </w:rPr>
            </w:pPr>
            <w:r>
              <w:rPr>
                <w:rFonts w:hint="eastAsia" w:ascii="宋体" w:hAnsi="宋体"/>
                <w:sz w:val="24"/>
              </w:rPr>
              <w:t>（2）对工程项目特点提出合理化建议较合理、可行的，得4分；</w:t>
            </w:r>
          </w:p>
          <w:p w14:paraId="66498750">
            <w:pPr>
              <w:spacing w:line="400" w:lineRule="exact"/>
              <w:rPr>
                <w:rFonts w:hint="eastAsia" w:ascii="宋体" w:hAnsi="宋体" w:eastAsia="宋体"/>
                <w:sz w:val="24"/>
                <w:lang w:eastAsia="zh-CN"/>
              </w:rPr>
            </w:pPr>
            <w:r>
              <w:rPr>
                <w:rFonts w:hint="eastAsia" w:ascii="宋体" w:hAnsi="宋体"/>
                <w:sz w:val="24"/>
              </w:rPr>
              <w:t>（</w:t>
            </w:r>
            <w:r>
              <w:rPr>
                <w:rFonts w:ascii="宋体" w:hAnsi="宋体"/>
                <w:sz w:val="24"/>
              </w:rPr>
              <w:t>3</w:t>
            </w:r>
            <w:r>
              <w:rPr>
                <w:rFonts w:hint="eastAsia" w:ascii="宋体" w:hAnsi="宋体"/>
                <w:sz w:val="24"/>
              </w:rPr>
              <w:t>）对工程项目特点提出合理化建议一般的，得3分；</w:t>
            </w:r>
          </w:p>
          <w:p w14:paraId="5D0631A7">
            <w:pPr>
              <w:spacing w:line="4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）有待完善，得1分；</w:t>
            </w:r>
          </w:p>
          <w:p w14:paraId="161A1F5F">
            <w:pPr>
              <w:spacing w:line="4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）未提供或不符合要求不得分。</w:t>
            </w:r>
          </w:p>
          <w:p w14:paraId="1CFF63C8">
            <w:pPr>
              <w:spacing w:line="380" w:lineRule="exact"/>
              <w:rPr>
                <w:rFonts w:ascii="宋体" w:hAnsi="宋体" w:eastAsia="宋体" w:cs="Times New Roman"/>
                <w:bCs/>
                <w:color w:val="FF0000"/>
                <w:sz w:val="24"/>
                <w:szCs w:val="24"/>
                <w:lang w:val="zh-TW"/>
              </w:rPr>
            </w:pPr>
            <w:r>
              <w:rPr>
                <w:rFonts w:hint="eastAsia" w:ascii="宋体" w:hAnsi="宋体" w:eastAsia="宋体" w:cs="Times New Roman"/>
                <w:bCs/>
                <w:color w:val="FF0000"/>
                <w:sz w:val="24"/>
                <w:szCs w:val="24"/>
                <w:lang w:val="zh-TW"/>
              </w:rPr>
              <w:t>注：</w:t>
            </w:r>
          </w:p>
          <w:p w14:paraId="4D27C2D0">
            <w:pPr>
              <w:spacing w:line="380" w:lineRule="exact"/>
              <w:rPr>
                <w:rFonts w:ascii="宋体" w:hAnsi="宋体" w:eastAsia="宋体" w:cs="Times New Roman"/>
                <w:bCs/>
                <w:color w:val="FF0000"/>
                <w:sz w:val="24"/>
                <w:szCs w:val="24"/>
                <w:lang w:val="zh-TW"/>
              </w:rPr>
            </w:pPr>
            <w:r>
              <w:rPr>
                <w:rFonts w:hint="eastAsia" w:ascii="宋体" w:hAnsi="宋体" w:eastAsia="宋体" w:cs="Times New Roman"/>
                <w:bCs/>
                <w:color w:val="FF0000"/>
                <w:sz w:val="24"/>
                <w:szCs w:val="24"/>
              </w:rPr>
              <w:t>1、</w:t>
            </w:r>
            <w:r>
              <w:rPr>
                <w:rFonts w:hint="eastAsia" w:ascii="宋体" w:hAnsi="宋体" w:eastAsia="宋体" w:cs="Times New Roman"/>
                <w:bCs/>
                <w:color w:val="FF0000"/>
                <w:sz w:val="24"/>
                <w:szCs w:val="24"/>
                <w:lang w:val="zh-TW"/>
              </w:rPr>
              <w:t>投标人的“监理管理文件（监理大纲）”部分为暗标横向评审。</w:t>
            </w:r>
          </w:p>
          <w:p w14:paraId="6C0DC4CB">
            <w:pPr>
              <w:spacing w:line="380" w:lineRule="exact"/>
              <w:rPr>
                <w:rFonts w:ascii="宋体" w:hAnsi="宋体" w:eastAsia="宋体" w:cs="Times New Roman"/>
                <w:bCs/>
                <w:color w:val="FF0000"/>
                <w:sz w:val="24"/>
                <w:szCs w:val="24"/>
                <w:lang w:val="zh-TW"/>
              </w:rPr>
            </w:pPr>
            <w:r>
              <w:rPr>
                <w:rFonts w:hint="eastAsia" w:ascii="宋体" w:hAnsi="宋体" w:eastAsia="宋体" w:cs="Times New Roman"/>
                <w:bCs/>
                <w:color w:val="FF0000"/>
                <w:sz w:val="24"/>
                <w:szCs w:val="24"/>
                <w:lang w:val="zh-TW"/>
              </w:rPr>
              <w:t>暗标横向评审技术标不设目录，评审前系统自动对所有投标人的“监理管理文件（监理大纲）”及各评分点分别进行编号；</w:t>
            </w:r>
          </w:p>
          <w:p w14:paraId="52846364">
            <w:pPr>
              <w:spacing w:line="380" w:lineRule="exact"/>
              <w:rPr>
                <w:rFonts w:ascii="宋体" w:hAnsi="宋体" w:eastAsia="宋体" w:cs="Times New Roman"/>
                <w:bCs/>
                <w:color w:val="FF0000"/>
                <w:sz w:val="24"/>
                <w:szCs w:val="24"/>
                <w:lang w:val="zh-TW"/>
              </w:rPr>
            </w:pPr>
            <w:r>
              <w:rPr>
                <w:rFonts w:hint="eastAsia" w:ascii="宋体" w:hAnsi="宋体" w:eastAsia="宋体" w:cs="Times New Roman"/>
                <w:bCs/>
                <w:color w:val="FF0000"/>
                <w:sz w:val="24"/>
                <w:szCs w:val="24"/>
                <w:lang w:val="zh-TW"/>
              </w:rPr>
              <w:t>投标企业制作的“监理管理文件（监理大纲）”部分不得出现可能泄露投标人单位及个人信息的文字、图片、图表（“监理管理文件（监理大纲）”部分不得签章）等有关表述，否则该</w:t>
            </w:r>
            <w:r>
              <w:rPr>
                <w:rFonts w:hint="eastAsia" w:ascii="宋体" w:hAnsi="宋体" w:eastAsia="宋体" w:cs="Times New Roman"/>
                <w:b/>
                <w:color w:val="FF0000"/>
                <w:sz w:val="24"/>
                <w:szCs w:val="24"/>
                <w:lang w:val="zh-TW"/>
              </w:rPr>
              <w:t>评分点</w:t>
            </w:r>
            <w:r>
              <w:rPr>
                <w:rFonts w:hint="eastAsia" w:ascii="宋体" w:hAnsi="宋体" w:eastAsia="宋体" w:cs="Times New Roman"/>
                <w:bCs/>
                <w:color w:val="FF0000"/>
                <w:sz w:val="24"/>
                <w:szCs w:val="24"/>
                <w:lang w:val="zh-TW"/>
              </w:rPr>
              <w:t>作</w:t>
            </w:r>
            <w:r>
              <w:rPr>
                <w:rFonts w:hint="eastAsia" w:ascii="宋体" w:hAnsi="宋体" w:eastAsia="宋体" w:cs="Times New Roman"/>
                <w:bCs/>
                <w:color w:val="FF0000"/>
                <w:sz w:val="24"/>
                <w:szCs w:val="24"/>
              </w:rPr>
              <w:t>0</w:t>
            </w:r>
            <w:r>
              <w:rPr>
                <w:rFonts w:hint="eastAsia" w:ascii="宋体" w:hAnsi="宋体" w:eastAsia="宋体" w:cs="Times New Roman"/>
                <w:bCs/>
                <w:color w:val="FF0000"/>
                <w:sz w:val="24"/>
                <w:szCs w:val="24"/>
                <w:lang w:val="zh-TW"/>
              </w:rPr>
              <w:t>分处理。</w:t>
            </w:r>
          </w:p>
          <w:p w14:paraId="7964F491">
            <w:pPr>
              <w:spacing w:line="380" w:lineRule="exact"/>
              <w:rPr>
                <w:rFonts w:ascii="宋体" w:hAnsi="宋体" w:eastAsia="宋体" w:cs="Times New Roman"/>
                <w:bCs/>
                <w:color w:val="FF0000"/>
                <w:sz w:val="24"/>
                <w:szCs w:val="24"/>
                <w:lang w:val="zh-TW"/>
              </w:rPr>
            </w:pPr>
            <w:r>
              <w:rPr>
                <w:rFonts w:hint="eastAsia" w:ascii="宋体" w:hAnsi="宋体" w:eastAsia="宋体" w:cs="Times New Roman"/>
                <w:bCs/>
                <w:color w:val="FF0000"/>
                <w:sz w:val="24"/>
                <w:szCs w:val="24"/>
              </w:rPr>
              <w:t>2、</w:t>
            </w:r>
            <w:r>
              <w:rPr>
                <w:rFonts w:hint="eastAsia" w:ascii="宋体" w:hAnsi="宋体" w:eastAsia="宋体" w:cs="Times New Roman"/>
                <w:bCs/>
                <w:color w:val="FF0000"/>
                <w:sz w:val="24"/>
                <w:szCs w:val="24"/>
                <w:lang w:val="zh-TW"/>
              </w:rPr>
              <w:t xml:space="preserve">投标人的“监理管理文件（监理大纲）”部分：应符合以下要求：（1）监理管理文件（监理大纲）暗标不设空白页。监理管理文件（监理大纲）投标文件格式以系统设置为准。正文必须按招标文件要求的顺序进行排版； </w:t>
            </w:r>
          </w:p>
          <w:p w14:paraId="0BA690CD">
            <w:pPr>
              <w:spacing w:line="380" w:lineRule="exact"/>
              <w:rPr>
                <w:rFonts w:ascii="宋体" w:hAnsi="宋体" w:eastAsia="宋体" w:cs="Times New Roman"/>
                <w:bCs/>
                <w:color w:val="FF0000"/>
                <w:sz w:val="24"/>
                <w:szCs w:val="24"/>
                <w:lang w:val="zh-TW"/>
              </w:rPr>
            </w:pPr>
            <w:r>
              <w:rPr>
                <w:rFonts w:hint="eastAsia" w:ascii="宋体" w:hAnsi="宋体" w:eastAsia="宋体" w:cs="Times New Roman"/>
                <w:bCs/>
                <w:color w:val="FF0000"/>
                <w:sz w:val="24"/>
                <w:szCs w:val="24"/>
                <w:lang w:val="zh-TW"/>
              </w:rPr>
              <w:t xml:space="preserve">（2）监理管理文件（监理大纲）暗标正文文字排版统一使用中文宋体字体，文字及图表均为黑色。文字部分不得插入任何图表（可以用“见附图 x”或“见附表 x”说明），附图、附表必须依次附在各章对应评分点内容的文末，计算在页数要求内；各专业设计图纸不计算在页数要求内； </w:t>
            </w:r>
          </w:p>
          <w:p w14:paraId="4AE96E73">
            <w:pPr>
              <w:spacing w:line="380" w:lineRule="exact"/>
              <w:rPr>
                <w:rFonts w:ascii="宋体" w:hAnsi="宋体" w:eastAsia="宋体" w:cs="Times New Roman"/>
                <w:bCs/>
                <w:color w:val="FF0000"/>
                <w:sz w:val="24"/>
                <w:szCs w:val="24"/>
                <w:lang w:val="zh-TW"/>
              </w:rPr>
            </w:pPr>
            <w:r>
              <w:rPr>
                <w:rFonts w:hint="eastAsia" w:ascii="宋体" w:hAnsi="宋体" w:eastAsia="宋体" w:cs="Times New Roman"/>
                <w:bCs/>
                <w:color w:val="FF0000"/>
                <w:sz w:val="24"/>
                <w:szCs w:val="24"/>
                <w:lang w:val="zh-TW"/>
              </w:rPr>
              <w:t>（3）正文采用宋体四号常规字，字符间距设为标准值，行距为单倍行距，不勾选“如果定义了文档网格，则对齐到网格”；正文统一设为左对齐，章、节标题、及段落首行缩进 2 个汉字，段落前后不设空行；正文版面不加页眉、页脚、边框、下划线等标志，正文页码用小五号阿拉伯数字，居中。单位符号中有上下角标要求的，必须在相应位置做角标。</w:t>
            </w:r>
          </w:p>
          <w:p w14:paraId="6EB0D9E3">
            <w:pPr>
              <w:spacing w:line="380" w:lineRule="exact"/>
              <w:ind w:firstLine="480" w:firstLineChars="200"/>
              <w:rPr>
                <w:rFonts w:ascii="宋体" w:hAnsi="宋体" w:eastAsia="宋体" w:cs="Times New Roman"/>
                <w:bCs/>
                <w:color w:val="FF0000"/>
                <w:sz w:val="24"/>
                <w:szCs w:val="24"/>
              </w:rPr>
            </w:pPr>
            <w:r>
              <w:rPr>
                <w:rFonts w:hint="eastAsia" w:ascii="宋体" w:hAnsi="宋体" w:eastAsia="宋体" w:cs="Times New Roman"/>
                <w:bCs/>
                <w:color w:val="FF0000"/>
                <w:sz w:val="24"/>
                <w:szCs w:val="24"/>
              </w:rPr>
              <w:t>暗标文件的格式、制作不符合上述3条要求中任意内容的，</w:t>
            </w:r>
            <w:r>
              <w:rPr>
                <w:rFonts w:hint="eastAsia" w:ascii="宋体" w:hAnsi="宋体" w:eastAsia="宋体" w:cs="Times New Roman"/>
                <w:bCs/>
                <w:color w:val="FF0000"/>
                <w:sz w:val="24"/>
                <w:szCs w:val="24"/>
                <w:lang w:val="zh-TW"/>
              </w:rPr>
              <w:t>该</w:t>
            </w:r>
            <w:r>
              <w:rPr>
                <w:rFonts w:hint="eastAsia" w:ascii="宋体" w:hAnsi="宋体" w:eastAsia="宋体" w:cs="Times New Roman"/>
                <w:b/>
                <w:color w:val="FF0000"/>
                <w:sz w:val="24"/>
                <w:szCs w:val="24"/>
              </w:rPr>
              <w:t>评分点</w:t>
            </w:r>
            <w:r>
              <w:rPr>
                <w:rFonts w:hint="eastAsia" w:ascii="宋体" w:hAnsi="宋体" w:eastAsia="宋体" w:cs="Times New Roman"/>
                <w:bCs/>
                <w:color w:val="FF0000"/>
                <w:sz w:val="24"/>
                <w:szCs w:val="24"/>
              </w:rPr>
              <w:t>扣 0.2 分。</w:t>
            </w:r>
          </w:p>
          <w:p w14:paraId="188DD800">
            <w:pPr>
              <w:spacing w:line="400" w:lineRule="exact"/>
              <w:rPr>
                <w:rFonts w:hint="eastAsia" w:ascii="宋体" w:hAnsi="宋体" w:eastAsia="宋体" w:cs="Times New Roman"/>
                <w:bCs/>
                <w:color w:val="FF0000"/>
                <w:sz w:val="24"/>
                <w:szCs w:val="24"/>
              </w:rPr>
            </w:pPr>
            <w:r>
              <w:rPr>
                <w:rFonts w:hint="eastAsia" w:ascii="宋体" w:hAnsi="宋体" w:eastAsia="宋体" w:cs="Times New Roman"/>
                <w:bCs/>
                <w:color w:val="FF0000"/>
                <w:sz w:val="24"/>
                <w:szCs w:val="24"/>
              </w:rPr>
              <w:t>3、</w:t>
            </w:r>
            <w:r>
              <w:rPr>
                <w:rFonts w:hint="eastAsia" w:ascii="宋体" w:hAnsi="宋体" w:eastAsia="宋体" w:cs="Times New Roman"/>
                <w:bCs/>
                <w:color w:val="FF0000"/>
                <w:sz w:val="24"/>
                <w:szCs w:val="24"/>
                <w:lang w:val="zh-TW"/>
              </w:rPr>
              <w:t>“监理管理文件（监理大纲）”</w:t>
            </w:r>
            <w:r>
              <w:rPr>
                <w:rFonts w:hint="eastAsia" w:ascii="宋体" w:hAnsi="宋体" w:eastAsia="宋体" w:cs="Times New Roman"/>
                <w:bCs/>
                <w:color w:val="FF0000"/>
                <w:sz w:val="24"/>
                <w:szCs w:val="24"/>
              </w:rPr>
              <w:t>实行暗标的，对</w:t>
            </w:r>
            <w:r>
              <w:rPr>
                <w:rFonts w:hint="eastAsia" w:ascii="宋体" w:hAnsi="宋体" w:eastAsia="宋体" w:cs="Times New Roman"/>
                <w:bCs/>
                <w:color w:val="FF0000"/>
                <w:sz w:val="24"/>
                <w:szCs w:val="24"/>
                <w:lang w:val="zh-TW"/>
              </w:rPr>
              <w:t>“监理管理文件（监理大纲）”</w:t>
            </w:r>
            <w:r>
              <w:rPr>
                <w:rFonts w:hint="eastAsia" w:ascii="宋体" w:hAnsi="宋体" w:eastAsia="宋体" w:cs="Times New Roman"/>
                <w:bCs/>
                <w:color w:val="FF0000"/>
                <w:sz w:val="24"/>
                <w:szCs w:val="24"/>
              </w:rPr>
              <w:t>（暗标）部分不予澄清、说明或者补正。暗标评审仅限评标环节。评标结束后，如出现</w:t>
            </w:r>
            <w:r>
              <w:rPr>
                <w:rFonts w:hint="eastAsia" w:ascii="宋体" w:hAnsi="宋体" w:cs="Times New Roman"/>
                <w:bCs/>
                <w:color w:val="FF0000"/>
                <w:sz w:val="24"/>
                <w:szCs w:val="24"/>
                <w:lang w:val="en-US" w:eastAsia="zh-CN"/>
              </w:rPr>
              <w:t>异议</w:t>
            </w:r>
            <w:r>
              <w:rPr>
                <w:rFonts w:hint="eastAsia" w:ascii="宋体" w:hAnsi="宋体" w:eastAsia="宋体" w:cs="Times New Roman"/>
                <w:bCs/>
                <w:color w:val="FF0000"/>
                <w:sz w:val="24"/>
                <w:szCs w:val="24"/>
              </w:rPr>
              <w:t>、投诉、举报等，经认定评标错误的，由评标委员会纠正错误或重新评分，此时不再受暗标评审约束，但在纠正错误或重新评分中发现投标企业</w:t>
            </w:r>
            <w:r>
              <w:rPr>
                <w:rFonts w:hint="eastAsia" w:ascii="宋体" w:hAnsi="宋体" w:eastAsia="宋体" w:cs="Times New Roman"/>
                <w:bCs/>
                <w:color w:val="FF0000"/>
                <w:sz w:val="24"/>
                <w:szCs w:val="24"/>
                <w:lang w:val="zh-TW"/>
              </w:rPr>
              <w:t>“监理管理文件（监理大纲）”</w:t>
            </w:r>
            <w:r>
              <w:rPr>
                <w:rFonts w:hint="eastAsia" w:ascii="宋体" w:hAnsi="宋体" w:eastAsia="宋体" w:cs="Times New Roman"/>
                <w:bCs/>
                <w:color w:val="FF0000"/>
                <w:sz w:val="24"/>
                <w:szCs w:val="24"/>
              </w:rPr>
              <w:t>出现可能泄露投标人单位及个人信息的文字、图片、图表（</w:t>
            </w:r>
            <w:r>
              <w:rPr>
                <w:rFonts w:hint="eastAsia" w:ascii="宋体" w:hAnsi="宋体" w:eastAsia="宋体" w:cs="Times New Roman"/>
                <w:bCs/>
                <w:color w:val="FF0000"/>
                <w:sz w:val="24"/>
                <w:szCs w:val="24"/>
                <w:lang w:val="zh-TW"/>
              </w:rPr>
              <w:t>“监理管理文件（监理大纲）”</w:t>
            </w:r>
            <w:r>
              <w:rPr>
                <w:rFonts w:hint="eastAsia" w:ascii="宋体" w:hAnsi="宋体" w:eastAsia="宋体" w:cs="Times New Roman"/>
                <w:bCs/>
                <w:color w:val="FF0000"/>
                <w:sz w:val="24"/>
                <w:szCs w:val="24"/>
              </w:rPr>
              <w:t>不得签章）等有关表述的，对应</w:t>
            </w:r>
            <w:r>
              <w:rPr>
                <w:rFonts w:hint="eastAsia" w:ascii="宋体" w:hAnsi="宋体" w:eastAsia="宋体" w:cs="Times New Roman"/>
                <w:b/>
                <w:color w:val="FF0000"/>
                <w:sz w:val="24"/>
                <w:szCs w:val="24"/>
              </w:rPr>
              <w:t>评分点</w:t>
            </w:r>
            <w:r>
              <w:rPr>
                <w:rFonts w:hint="eastAsia" w:ascii="宋体" w:hAnsi="宋体" w:eastAsia="宋体" w:cs="Times New Roman"/>
                <w:bCs/>
                <w:color w:val="FF0000"/>
                <w:sz w:val="24"/>
                <w:szCs w:val="24"/>
              </w:rPr>
              <w:t>按0分处理。</w:t>
            </w:r>
          </w:p>
        </w:tc>
        <w:tc>
          <w:tcPr>
            <w:tcW w:w="1523" w:type="dxa"/>
            <w:tcBorders>
              <w:top w:val="single" w:color="auto" w:sz="4" w:space="0"/>
              <w:left w:val="single" w:color="auto" w:sz="4" w:space="0"/>
              <w:bottom w:val="single" w:color="auto" w:sz="4" w:space="0"/>
              <w:right w:val="single" w:color="auto" w:sz="4" w:space="0"/>
            </w:tcBorders>
            <w:vAlign w:val="center"/>
          </w:tcPr>
          <w:p w14:paraId="578F6A1F">
            <w:pPr>
              <w:spacing w:line="400" w:lineRule="exact"/>
              <w:jc w:val="center"/>
              <w:rPr>
                <w:rFonts w:ascii="宋体" w:hAnsi="宋体"/>
                <w:sz w:val="24"/>
              </w:rPr>
            </w:pPr>
            <w:r>
              <w:rPr>
                <w:rFonts w:hint="eastAsia" w:ascii="宋体" w:hAnsi="宋体"/>
                <w:sz w:val="24"/>
                <w:lang w:val="en-US" w:eastAsia="zh-CN"/>
              </w:rPr>
              <w:t>54</w:t>
            </w:r>
            <w:r>
              <w:rPr>
                <w:rFonts w:hint="eastAsia" w:ascii="宋体" w:hAnsi="宋体"/>
                <w:sz w:val="24"/>
              </w:rPr>
              <w:t>分</w:t>
            </w:r>
          </w:p>
        </w:tc>
      </w:tr>
      <w:tr w14:paraId="323F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4" w:type="dxa"/>
            <w:gridSpan w:val="5"/>
            <w:tcBorders>
              <w:top w:val="single" w:color="auto" w:sz="4" w:space="0"/>
              <w:left w:val="single" w:color="auto" w:sz="4" w:space="0"/>
              <w:right w:val="single" w:color="auto" w:sz="4" w:space="0"/>
            </w:tcBorders>
            <w:vAlign w:val="center"/>
          </w:tcPr>
          <w:p w14:paraId="67B17A19">
            <w:pPr>
              <w:spacing w:line="400" w:lineRule="exact"/>
              <w:jc w:val="left"/>
              <w:rPr>
                <w:rFonts w:hint="eastAsia" w:ascii="宋体" w:hAnsi="宋体"/>
                <w:sz w:val="24"/>
              </w:rPr>
            </w:pPr>
            <w:r>
              <w:rPr>
                <w:rFonts w:hint="eastAsia" w:ascii="宋体" w:hAnsi="宋体" w:eastAsia="宋体" w:cs="宋体"/>
                <w:sz w:val="24"/>
                <w:szCs w:val="24"/>
                <w:highlight w:val="yellow"/>
                <w:lang w:val="en-US" w:eastAsia="zh-CN"/>
              </w:rPr>
              <w:t>监理大纲</w:t>
            </w:r>
            <w:r>
              <w:rPr>
                <w:rFonts w:ascii="宋体" w:hAnsi="宋体" w:eastAsia="宋体" w:cs="宋体"/>
                <w:sz w:val="24"/>
                <w:szCs w:val="24"/>
                <w:highlight w:val="yellow"/>
              </w:rPr>
              <w:t>编制篇幅最多不超过</w:t>
            </w:r>
            <w:r>
              <w:rPr>
                <w:rFonts w:hint="eastAsia" w:ascii="宋体" w:hAnsi="宋体" w:eastAsia="宋体" w:cs="宋体"/>
                <w:sz w:val="24"/>
                <w:szCs w:val="24"/>
                <w:highlight w:val="yellow"/>
                <w:lang w:val="en-US" w:eastAsia="zh-CN"/>
              </w:rPr>
              <w:t>50</w:t>
            </w:r>
            <w:r>
              <w:rPr>
                <w:rFonts w:ascii="宋体" w:hAnsi="宋体" w:eastAsia="宋体" w:cs="宋体"/>
                <w:sz w:val="24"/>
                <w:szCs w:val="24"/>
                <w:highlight w:val="yellow"/>
              </w:rPr>
              <w:t>页（包含封面、目录、底页、空页），若超过，则</w:t>
            </w:r>
            <w:r>
              <w:rPr>
                <w:rFonts w:hint="eastAsia" w:ascii="宋体" w:hAnsi="宋体" w:eastAsia="宋体" w:cs="宋体"/>
                <w:sz w:val="24"/>
                <w:szCs w:val="24"/>
                <w:highlight w:val="yellow"/>
                <w:lang w:val="en-US" w:eastAsia="zh-CN"/>
              </w:rPr>
              <w:t>监理大纲</w:t>
            </w:r>
            <w:r>
              <w:rPr>
                <w:rFonts w:ascii="宋体" w:hAnsi="宋体" w:eastAsia="宋体" w:cs="宋体"/>
                <w:sz w:val="24"/>
                <w:szCs w:val="24"/>
                <w:highlight w:val="yellow"/>
              </w:rPr>
              <w:t>不予评审得分。</w:t>
            </w:r>
          </w:p>
        </w:tc>
      </w:tr>
      <w:tr w14:paraId="5DAD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65" w:type="dxa"/>
            <w:vMerge w:val="restart"/>
            <w:tcBorders>
              <w:top w:val="single" w:color="auto" w:sz="4" w:space="0"/>
              <w:left w:val="single" w:color="auto" w:sz="4" w:space="0"/>
              <w:right w:val="single" w:color="auto" w:sz="4" w:space="0"/>
            </w:tcBorders>
            <w:vAlign w:val="center"/>
          </w:tcPr>
          <w:p w14:paraId="49BB35CC">
            <w:pPr>
              <w:snapToGrid w:val="0"/>
              <w:spacing w:line="400" w:lineRule="exact"/>
              <w:jc w:val="center"/>
              <w:rPr>
                <w:rFonts w:ascii="宋体" w:hAnsi="宋体"/>
                <w:bCs/>
                <w:color w:val="000000"/>
                <w:sz w:val="24"/>
              </w:rPr>
            </w:pPr>
            <w:r>
              <w:rPr>
                <w:rFonts w:hint="eastAsia" w:ascii="宋体" w:hAnsi="宋体"/>
                <w:bCs/>
                <w:color w:val="000000"/>
                <w:sz w:val="24"/>
              </w:rPr>
              <w:t>2.2.2</w:t>
            </w:r>
          </w:p>
        </w:tc>
        <w:tc>
          <w:tcPr>
            <w:tcW w:w="1837" w:type="dxa"/>
            <w:vMerge w:val="restart"/>
            <w:tcBorders>
              <w:top w:val="single" w:color="auto" w:sz="4" w:space="0"/>
              <w:left w:val="single" w:color="auto" w:sz="4" w:space="0"/>
              <w:right w:val="single" w:color="auto" w:sz="4" w:space="0"/>
            </w:tcBorders>
            <w:vAlign w:val="center"/>
          </w:tcPr>
          <w:p w14:paraId="327E8958">
            <w:pPr>
              <w:snapToGrid w:val="0"/>
              <w:spacing w:line="380" w:lineRule="exact"/>
              <w:jc w:val="center"/>
              <w:rPr>
                <w:rFonts w:ascii="宋体" w:hAnsi="宋体"/>
                <w:bCs/>
                <w:color w:val="000000"/>
                <w:sz w:val="24"/>
              </w:rPr>
            </w:pPr>
            <w:r>
              <w:rPr>
                <w:rFonts w:hint="eastAsia" w:ascii="宋体" w:hAnsi="宋体"/>
                <w:bCs/>
                <w:color w:val="000000"/>
                <w:sz w:val="24"/>
              </w:rPr>
              <w:t>投标人综合实力及项目管理机构</w:t>
            </w: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158C6607">
            <w:pPr>
              <w:spacing w:line="380" w:lineRule="exact"/>
              <w:rPr>
                <w:rFonts w:ascii="宋体" w:hAnsi="宋体"/>
                <w:sz w:val="24"/>
              </w:rPr>
            </w:pPr>
            <w:r>
              <w:rPr>
                <w:rFonts w:hint="eastAsia" w:ascii="宋体" w:hAnsi="宋体"/>
                <w:sz w:val="24"/>
              </w:rPr>
              <w:t>1、投标人具备质量管理体系认证证书且在有效期内的得</w:t>
            </w:r>
            <w:r>
              <w:rPr>
                <w:rFonts w:hint="eastAsia" w:ascii="宋体" w:hAnsi="宋体"/>
                <w:sz w:val="24"/>
                <w:lang w:val="en-US" w:eastAsia="zh-CN"/>
              </w:rPr>
              <w:t>2</w:t>
            </w:r>
            <w:r>
              <w:rPr>
                <w:rFonts w:hint="eastAsia" w:ascii="宋体" w:hAnsi="宋体"/>
                <w:sz w:val="24"/>
              </w:rPr>
              <w:t>分。</w:t>
            </w:r>
          </w:p>
          <w:p w14:paraId="2ADCE058">
            <w:pPr>
              <w:spacing w:line="380" w:lineRule="exact"/>
              <w:rPr>
                <w:rFonts w:ascii="宋体" w:hAnsi="宋体"/>
                <w:sz w:val="24"/>
              </w:rPr>
            </w:pPr>
            <w:r>
              <w:rPr>
                <w:rFonts w:hint="eastAsia" w:ascii="宋体" w:hAnsi="宋体"/>
                <w:sz w:val="24"/>
              </w:rPr>
              <w:t>2、投标人具备环境管理体系认证证书且在有效期内的得</w:t>
            </w:r>
            <w:r>
              <w:rPr>
                <w:rFonts w:hint="eastAsia" w:ascii="宋体" w:hAnsi="宋体"/>
                <w:sz w:val="24"/>
                <w:lang w:val="en-US" w:eastAsia="zh-CN"/>
              </w:rPr>
              <w:t>2</w:t>
            </w:r>
            <w:r>
              <w:rPr>
                <w:rFonts w:hint="eastAsia" w:ascii="宋体" w:hAnsi="宋体"/>
                <w:sz w:val="24"/>
              </w:rPr>
              <w:t>分。</w:t>
            </w:r>
          </w:p>
          <w:p w14:paraId="7A11DA3B">
            <w:pPr>
              <w:spacing w:line="380" w:lineRule="exact"/>
              <w:rPr>
                <w:rFonts w:ascii="宋体" w:hAnsi="宋体"/>
                <w:sz w:val="24"/>
              </w:rPr>
            </w:pPr>
            <w:r>
              <w:rPr>
                <w:rFonts w:hint="eastAsia" w:ascii="宋体" w:hAnsi="宋体"/>
                <w:sz w:val="24"/>
              </w:rPr>
              <w:t>3、投标人具备职业健康安全管理体系认证证书且在有效期内的得</w:t>
            </w:r>
            <w:r>
              <w:rPr>
                <w:rFonts w:hint="eastAsia" w:ascii="宋体" w:hAnsi="宋体"/>
                <w:sz w:val="24"/>
                <w:lang w:val="en-US" w:eastAsia="zh-CN"/>
              </w:rPr>
              <w:t>2</w:t>
            </w:r>
            <w:r>
              <w:rPr>
                <w:rFonts w:hint="eastAsia" w:ascii="宋体" w:hAnsi="宋体"/>
                <w:sz w:val="24"/>
              </w:rPr>
              <w:t>分。</w:t>
            </w:r>
          </w:p>
          <w:p w14:paraId="61BB9CA4">
            <w:pPr>
              <w:spacing w:line="380" w:lineRule="exact"/>
              <w:rPr>
                <w:rFonts w:ascii="宋体" w:hAnsi="宋体"/>
                <w:sz w:val="24"/>
              </w:rPr>
            </w:pPr>
            <w:r>
              <w:rPr>
                <w:rFonts w:hint="eastAsia" w:ascii="宋体" w:hAnsi="宋体"/>
                <w:sz w:val="24"/>
              </w:rPr>
              <w:t>以上1、2、3项满分</w:t>
            </w:r>
            <w:r>
              <w:rPr>
                <w:rFonts w:hint="eastAsia" w:ascii="宋体" w:hAnsi="宋体"/>
                <w:sz w:val="24"/>
                <w:lang w:val="en-US" w:eastAsia="zh-CN"/>
              </w:rPr>
              <w:t>6</w:t>
            </w:r>
            <w:r>
              <w:rPr>
                <w:rFonts w:hint="eastAsia" w:ascii="宋体" w:hAnsi="宋体"/>
                <w:sz w:val="24"/>
              </w:rPr>
              <w:t>分。</w:t>
            </w:r>
          </w:p>
          <w:p w14:paraId="10D24139">
            <w:pPr>
              <w:spacing w:line="380" w:lineRule="exact"/>
              <w:rPr>
                <w:rFonts w:ascii="宋体" w:hAnsi="宋体"/>
                <w:bCs/>
                <w:color w:val="FF0000"/>
                <w:sz w:val="24"/>
              </w:rPr>
            </w:pPr>
            <w:r>
              <w:rPr>
                <w:rFonts w:hint="eastAsia" w:ascii="宋体" w:hAnsi="宋体"/>
                <w:bCs/>
                <w:color w:val="FF0000"/>
                <w:sz w:val="24"/>
              </w:rPr>
              <w:t>注：</w:t>
            </w:r>
          </w:p>
          <w:p w14:paraId="43A57A80">
            <w:pPr>
              <w:spacing w:line="380" w:lineRule="exact"/>
              <w:rPr>
                <w:rFonts w:ascii="宋体" w:hAnsi="宋体"/>
                <w:bCs/>
                <w:color w:val="FF0000"/>
                <w:sz w:val="24"/>
                <w:lang w:val="zh-TW"/>
              </w:rPr>
            </w:pPr>
            <w:r>
              <w:rPr>
                <w:rFonts w:hint="eastAsia" w:ascii="宋体" w:hAnsi="宋体"/>
                <w:bCs/>
                <w:color w:val="FF0000"/>
                <w:sz w:val="24"/>
              </w:rPr>
              <w:t>（1）</w:t>
            </w:r>
            <w:r>
              <w:rPr>
                <w:rFonts w:hint="eastAsia" w:ascii="宋体" w:hAnsi="宋体"/>
                <w:bCs/>
                <w:color w:val="FF0000"/>
                <w:sz w:val="24"/>
                <w:lang w:val="zh-TW"/>
              </w:rPr>
              <w:t>投标文件中须附相关证书复印件（或影印件）,且满足以上要求，否则评委会不予计分。</w:t>
            </w:r>
          </w:p>
          <w:p w14:paraId="22E3909F">
            <w:pPr>
              <w:spacing w:line="380" w:lineRule="exact"/>
              <w:rPr>
                <w:rFonts w:ascii="宋体" w:hAnsi="宋体"/>
                <w:sz w:val="24"/>
              </w:rPr>
            </w:pPr>
            <w:r>
              <w:rPr>
                <w:rFonts w:hint="eastAsia" w:ascii="宋体" w:hAnsi="宋体"/>
                <w:bCs/>
                <w:color w:val="FF0000"/>
                <w:sz w:val="24"/>
              </w:rPr>
              <w:t>（2）</w:t>
            </w:r>
            <w:r>
              <w:rPr>
                <w:rFonts w:hint="eastAsia" w:ascii="宋体" w:hAnsi="宋体"/>
                <w:bCs/>
                <w:color w:val="FF0000"/>
                <w:kern w:val="0"/>
                <w:sz w:val="24"/>
              </w:rPr>
              <w:t>评审过程中评委会有权登录中国国家认证认可监督管理委员会官方网站查询，经查询认证证书不存在或不在有效期内的，不予计分</w:t>
            </w:r>
            <w:r>
              <w:rPr>
                <w:rFonts w:hint="eastAsia" w:ascii="宋体" w:hAnsi="宋体"/>
                <w:color w:val="FF0000"/>
                <w:kern w:val="0"/>
                <w:sz w:val="24"/>
              </w:rPr>
              <w:t>。</w:t>
            </w:r>
          </w:p>
        </w:tc>
        <w:tc>
          <w:tcPr>
            <w:tcW w:w="1523" w:type="dxa"/>
            <w:tcBorders>
              <w:top w:val="single" w:color="auto" w:sz="4" w:space="0"/>
              <w:left w:val="single" w:color="auto" w:sz="4" w:space="0"/>
              <w:bottom w:val="single" w:color="auto" w:sz="4" w:space="0"/>
              <w:right w:val="single" w:color="auto" w:sz="4" w:space="0"/>
            </w:tcBorders>
            <w:vAlign w:val="center"/>
          </w:tcPr>
          <w:p w14:paraId="4ADB688B">
            <w:pPr>
              <w:snapToGrid w:val="0"/>
              <w:spacing w:line="400" w:lineRule="exact"/>
              <w:jc w:val="center"/>
              <w:rPr>
                <w:rFonts w:ascii="宋体" w:hAnsi="宋体"/>
                <w:bCs/>
                <w:color w:val="000000"/>
                <w:sz w:val="24"/>
              </w:rPr>
            </w:pPr>
            <w:r>
              <w:rPr>
                <w:rFonts w:hint="eastAsia" w:ascii="宋体" w:hAnsi="宋体"/>
                <w:kern w:val="0"/>
                <w:sz w:val="24"/>
                <w:lang w:val="en-US" w:eastAsia="zh-CN"/>
              </w:rPr>
              <w:t>6</w:t>
            </w:r>
            <w:r>
              <w:rPr>
                <w:rFonts w:hint="eastAsia" w:ascii="宋体" w:hAnsi="宋体"/>
                <w:bCs/>
                <w:kern w:val="0"/>
                <w:sz w:val="24"/>
              </w:rPr>
              <w:t>分</w:t>
            </w:r>
          </w:p>
        </w:tc>
      </w:tr>
      <w:tr w14:paraId="7FD8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65" w:type="dxa"/>
            <w:vMerge w:val="continue"/>
            <w:tcBorders>
              <w:left w:val="single" w:color="auto" w:sz="4" w:space="0"/>
              <w:right w:val="single" w:color="auto" w:sz="4" w:space="0"/>
            </w:tcBorders>
            <w:vAlign w:val="center"/>
          </w:tcPr>
          <w:p w14:paraId="7DE01CE0">
            <w:pPr>
              <w:widowControl/>
              <w:spacing w:line="400" w:lineRule="exact"/>
              <w:jc w:val="left"/>
              <w:rPr>
                <w:rFonts w:ascii="宋体" w:hAnsi="宋体"/>
                <w:bCs/>
                <w:color w:val="000000"/>
                <w:sz w:val="24"/>
              </w:rPr>
            </w:pPr>
          </w:p>
        </w:tc>
        <w:tc>
          <w:tcPr>
            <w:tcW w:w="1837" w:type="dxa"/>
            <w:vMerge w:val="continue"/>
            <w:tcBorders>
              <w:left w:val="single" w:color="auto" w:sz="4" w:space="0"/>
              <w:right w:val="single" w:color="auto" w:sz="4" w:space="0"/>
            </w:tcBorders>
            <w:vAlign w:val="center"/>
          </w:tcPr>
          <w:p w14:paraId="4B966EFF">
            <w:pPr>
              <w:widowControl/>
              <w:spacing w:line="380" w:lineRule="exact"/>
              <w:jc w:val="left"/>
              <w:rPr>
                <w:rFonts w:ascii="宋体" w:hAnsi="宋体"/>
                <w:bCs/>
                <w:sz w:val="24"/>
              </w:rPr>
            </w:pP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40AE48F8">
            <w:pPr>
              <w:spacing w:line="400" w:lineRule="exact"/>
              <w:rPr>
                <w:rFonts w:ascii="宋体" w:hAnsi="宋体"/>
                <w:sz w:val="24"/>
              </w:rPr>
            </w:pPr>
            <w:r>
              <w:rPr>
                <w:rFonts w:hint="eastAsia" w:ascii="宋体" w:hAnsi="宋体"/>
                <w:sz w:val="24"/>
              </w:rPr>
              <w:t>自</w:t>
            </w:r>
            <w:r>
              <w:rPr>
                <w:rFonts w:hint="eastAsia" w:ascii="宋体" w:hAnsi="宋体"/>
                <w:sz w:val="24"/>
                <w:highlight w:val="yellow"/>
              </w:rPr>
              <w:t>202</w:t>
            </w:r>
            <w:r>
              <w:rPr>
                <w:rFonts w:hint="eastAsia" w:ascii="宋体" w:hAnsi="宋体"/>
                <w:sz w:val="24"/>
                <w:highlight w:val="yellow"/>
                <w:lang w:val="en-US" w:eastAsia="zh-CN"/>
              </w:rPr>
              <w:t>2</w:t>
            </w:r>
            <w:r>
              <w:rPr>
                <w:rFonts w:hint="eastAsia" w:ascii="宋体" w:hAnsi="宋体"/>
                <w:sz w:val="24"/>
                <w:highlight w:val="yellow"/>
              </w:rPr>
              <w:t>年1月1日（含）以来</w:t>
            </w:r>
            <w:r>
              <w:rPr>
                <w:rFonts w:hint="eastAsia" w:ascii="宋体" w:hAnsi="宋体"/>
                <w:sz w:val="24"/>
              </w:rPr>
              <w:t>，投标人承揽过一个</w:t>
            </w:r>
            <w:r>
              <w:rPr>
                <w:rFonts w:hint="eastAsia" w:ascii="宋体" w:hAnsi="宋体"/>
                <w:bCs/>
                <w:sz w:val="24"/>
              </w:rPr>
              <w:t>建筑面积</w:t>
            </w:r>
            <w:r>
              <w:rPr>
                <w:rFonts w:hint="eastAsia" w:ascii="宋体" w:hAnsi="宋体"/>
                <w:bCs/>
                <w:sz w:val="24"/>
                <w:highlight w:val="yellow"/>
                <w:lang w:val="en-US" w:eastAsia="zh-CN"/>
              </w:rPr>
              <w:t>35</w:t>
            </w:r>
            <w:r>
              <w:rPr>
                <w:rFonts w:hint="eastAsia" w:ascii="宋体" w:hAnsi="宋体"/>
                <w:bCs/>
                <w:sz w:val="24"/>
                <w:highlight w:val="yellow"/>
              </w:rPr>
              <w:t>00</w:t>
            </w:r>
            <w:r>
              <w:rPr>
                <w:rFonts w:hint="eastAsia" w:ascii="宋体" w:hAnsi="宋体"/>
                <w:bCs/>
                <w:sz w:val="24"/>
                <w:highlight w:val="yellow"/>
                <w:lang w:val="en-US" w:eastAsia="zh-CN"/>
              </w:rPr>
              <w:t>0</w:t>
            </w:r>
            <w:r>
              <w:rPr>
                <w:rFonts w:hint="eastAsia" w:ascii="宋体" w:hAnsi="宋体"/>
                <w:bCs/>
                <w:sz w:val="24"/>
                <w:highlight w:val="yellow"/>
              </w:rPr>
              <w:t>平方米</w:t>
            </w:r>
            <w:r>
              <w:rPr>
                <w:rFonts w:hint="eastAsia" w:ascii="宋体" w:hAnsi="宋体"/>
                <w:bCs/>
                <w:sz w:val="24"/>
              </w:rPr>
              <w:t>及以上</w:t>
            </w:r>
            <w:r>
              <w:rPr>
                <w:rFonts w:hint="eastAsia" w:ascii="宋体" w:hAnsi="宋体"/>
                <w:bCs/>
                <w:sz w:val="24"/>
                <w:lang w:val="en-US" w:eastAsia="zh-CN"/>
              </w:rPr>
              <w:t>房屋</w:t>
            </w:r>
            <w:r>
              <w:rPr>
                <w:rFonts w:hint="eastAsia" w:ascii="宋体" w:hAnsi="宋体"/>
                <w:bCs/>
                <w:sz w:val="24"/>
              </w:rPr>
              <w:t>建筑工程监理项目业绩，</w:t>
            </w:r>
            <w:r>
              <w:rPr>
                <w:rFonts w:hint="eastAsia" w:ascii="宋体" w:hAnsi="宋体"/>
                <w:sz w:val="24"/>
              </w:rPr>
              <w:t>得3分；</w:t>
            </w:r>
            <w:r>
              <w:rPr>
                <w:rFonts w:hint="eastAsia" w:ascii="宋体" w:hAnsi="宋体" w:cs="宋体"/>
                <w:bCs/>
                <w:sz w:val="24"/>
              </w:rPr>
              <w:t>在此基础上，另提供1个符合要求的业绩，另得2分，最多另得2分</w:t>
            </w:r>
            <w:r>
              <w:rPr>
                <w:rFonts w:hint="eastAsia" w:ascii="宋体" w:hAnsi="宋体"/>
                <w:sz w:val="24"/>
              </w:rPr>
              <w:t>。本项满分5分。</w:t>
            </w:r>
          </w:p>
          <w:p w14:paraId="5E393E39">
            <w:pPr>
              <w:spacing w:line="380" w:lineRule="exact"/>
              <w:jc w:val="left"/>
              <w:rPr>
                <w:rFonts w:ascii="宋体" w:hAnsi="宋体"/>
                <w:color w:val="FF0000"/>
                <w:sz w:val="24"/>
              </w:rPr>
            </w:pPr>
            <w:r>
              <w:rPr>
                <w:rFonts w:hint="eastAsia" w:ascii="宋体" w:hAnsi="宋体"/>
                <w:color w:val="FF0000"/>
                <w:sz w:val="24"/>
              </w:rPr>
              <w:t>注：</w:t>
            </w:r>
          </w:p>
          <w:p w14:paraId="0409CA56">
            <w:pPr>
              <w:spacing w:line="380" w:lineRule="exact"/>
              <w:jc w:val="left"/>
              <w:rPr>
                <w:rFonts w:ascii="宋体" w:hAnsi="宋体"/>
                <w:color w:val="FF0000"/>
                <w:kern w:val="0"/>
                <w:sz w:val="24"/>
              </w:rPr>
            </w:pPr>
            <w:r>
              <w:rPr>
                <w:rFonts w:hint="eastAsia" w:ascii="宋体" w:hAnsi="宋体"/>
                <w:color w:val="FF0000"/>
                <w:sz w:val="24"/>
              </w:rPr>
              <w:t>（1）投标文件中须提供合同复印件（或影印件），</w:t>
            </w:r>
            <w:r>
              <w:rPr>
                <w:rFonts w:hint="eastAsia" w:ascii="宋体" w:hAnsi="宋体"/>
                <w:color w:val="FF0000"/>
                <w:kern w:val="0"/>
                <w:sz w:val="24"/>
              </w:rPr>
              <w:t>业绩认定时间以合同签订时间为准，合同中无合同签订时间的，评委会不予计分。</w:t>
            </w:r>
          </w:p>
          <w:p w14:paraId="1D7F9939">
            <w:pPr>
              <w:spacing w:line="380" w:lineRule="exact"/>
              <w:jc w:val="left"/>
              <w:rPr>
                <w:rFonts w:ascii="宋体" w:hAnsi="宋体"/>
                <w:color w:val="FF0000"/>
                <w:kern w:val="0"/>
                <w:sz w:val="24"/>
              </w:rPr>
            </w:pPr>
            <w:r>
              <w:rPr>
                <w:rFonts w:hint="eastAsia" w:ascii="宋体" w:hAnsi="宋体"/>
                <w:color w:val="FF0000"/>
                <w:kern w:val="0"/>
                <w:sz w:val="24"/>
              </w:rPr>
              <w:t>（</w:t>
            </w:r>
            <w:r>
              <w:rPr>
                <w:rFonts w:hint="eastAsia" w:ascii="宋体" w:hAnsi="宋体"/>
                <w:color w:val="FF0000"/>
                <w:kern w:val="0"/>
                <w:sz w:val="24"/>
                <w:lang w:val="en-US" w:eastAsia="zh-CN"/>
              </w:rPr>
              <w:t>2</w:t>
            </w:r>
            <w:r>
              <w:rPr>
                <w:rFonts w:hint="eastAsia" w:ascii="宋体" w:hAnsi="宋体"/>
                <w:color w:val="FF0000"/>
                <w:kern w:val="0"/>
                <w:sz w:val="24"/>
              </w:rPr>
              <w:t>）若提供的业绩内容不能体现以上业绩要求的，</w:t>
            </w:r>
            <w:r>
              <w:rPr>
                <w:rFonts w:hint="eastAsia" w:ascii="宋体" w:hAnsi="宋体"/>
                <w:color w:val="FF0000"/>
                <w:sz w:val="24"/>
              </w:rPr>
              <w:t>投标文件中</w:t>
            </w:r>
            <w:r>
              <w:rPr>
                <w:rFonts w:hint="eastAsia" w:ascii="宋体" w:hAnsi="宋体"/>
                <w:color w:val="FF0000"/>
                <w:kern w:val="0"/>
                <w:sz w:val="24"/>
              </w:rPr>
              <w:t>另须提供合同甲方加盖公章的证明材料复印件(影印件)，</w:t>
            </w:r>
            <w:r>
              <w:rPr>
                <w:rFonts w:hint="eastAsia" w:ascii="宋体" w:hAnsi="宋体"/>
                <w:color w:val="FF0000"/>
                <w:kern w:val="0"/>
                <w:sz w:val="24"/>
                <w:highlight w:val="yellow"/>
              </w:rPr>
              <w:t>合同甲方证明材料须有业务经办人姓名及联系电话</w:t>
            </w:r>
            <w:r>
              <w:rPr>
                <w:rFonts w:hint="eastAsia" w:ascii="宋体" w:hAnsi="宋体"/>
                <w:color w:val="FF0000"/>
                <w:kern w:val="0"/>
                <w:sz w:val="24"/>
              </w:rPr>
              <w:t>。合同甲方相关证明材料的出具单位公章名称必须与合同甲方名称一致，且符合以上要求，否则评委会不予计分。证明材料格式自拟。</w:t>
            </w:r>
          </w:p>
          <w:p w14:paraId="751DD248">
            <w:pPr>
              <w:spacing w:line="380" w:lineRule="exact"/>
              <w:rPr>
                <w:rFonts w:ascii="宋体" w:hAnsi="宋体"/>
                <w:sz w:val="24"/>
              </w:rPr>
            </w:pPr>
            <w:r>
              <w:rPr>
                <w:rFonts w:hint="eastAsia" w:ascii="宋体" w:hAnsi="宋体"/>
                <w:color w:val="FF0000"/>
                <w:kern w:val="0"/>
                <w:sz w:val="24"/>
              </w:rPr>
              <w:t>（</w:t>
            </w:r>
            <w:r>
              <w:rPr>
                <w:rFonts w:hint="eastAsia" w:ascii="宋体" w:hAnsi="宋体"/>
                <w:color w:val="FF0000"/>
                <w:kern w:val="0"/>
                <w:sz w:val="24"/>
                <w:lang w:val="en-US" w:eastAsia="zh-CN"/>
              </w:rPr>
              <w:t>3</w:t>
            </w:r>
            <w:r>
              <w:rPr>
                <w:rFonts w:hint="eastAsia" w:ascii="宋体" w:hAnsi="宋体"/>
                <w:color w:val="FF0000"/>
                <w:kern w:val="0"/>
                <w:sz w:val="24"/>
              </w:rPr>
              <w:t>）</w:t>
            </w:r>
            <w:r>
              <w:rPr>
                <w:rFonts w:hint="eastAsia" w:ascii="宋体" w:hAnsi="宋体"/>
                <w:bCs/>
                <w:color w:val="FF0000"/>
                <w:kern w:val="0"/>
                <w:sz w:val="24"/>
              </w:rPr>
              <w:t>未提供的或提供不符合要求的，不予计分</w:t>
            </w:r>
            <w:r>
              <w:rPr>
                <w:rFonts w:hint="eastAsia" w:ascii="宋体" w:hAnsi="宋体"/>
                <w:bCs/>
                <w:color w:val="FF0000"/>
                <w:sz w:val="24"/>
              </w:rPr>
              <w:t>。</w:t>
            </w:r>
          </w:p>
        </w:tc>
        <w:tc>
          <w:tcPr>
            <w:tcW w:w="1523" w:type="dxa"/>
            <w:tcBorders>
              <w:top w:val="single" w:color="auto" w:sz="4" w:space="0"/>
              <w:left w:val="single" w:color="auto" w:sz="4" w:space="0"/>
              <w:bottom w:val="single" w:color="auto" w:sz="4" w:space="0"/>
              <w:right w:val="single" w:color="auto" w:sz="4" w:space="0"/>
            </w:tcBorders>
            <w:vAlign w:val="center"/>
          </w:tcPr>
          <w:p w14:paraId="79CEC248">
            <w:pPr>
              <w:spacing w:line="400" w:lineRule="exact"/>
              <w:jc w:val="center"/>
              <w:rPr>
                <w:rFonts w:ascii="宋体" w:hAnsi="宋体" w:cs="宋体"/>
                <w:sz w:val="24"/>
              </w:rPr>
            </w:pPr>
            <w:r>
              <w:rPr>
                <w:rFonts w:hint="eastAsia" w:ascii="宋体" w:hAnsi="宋体" w:cs="宋体"/>
                <w:sz w:val="24"/>
              </w:rPr>
              <w:t>5分</w:t>
            </w:r>
          </w:p>
        </w:tc>
      </w:tr>
      <w:tr w14:paraId="6EC0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5" w:type="dxa"/>
            <w:vMerge w:val="continue"/>
            <w:tcBorders>
              <w:left w:val="single" w:color="auto" w:sz="4" w:space="0"/>
              <w:right w:val="single" w:color="auto" w:sz="4" w:space="0"/>
            </w:tcBorders>
            <w:vAlign w:val="center"/>
          </w:tcPr>
          <w:p w14:paraId="45D66B47">
            <w:pPr>
              <w:widowControl/>
              <w:spacing w:line="400" w:lineRule="exact"/>
              <w:jc w:val="left"/>
              <w:rPr>
                <w:rFonts w:ascii="宋体" w:hAnsi="宋体"/>
                <w:bCs/>
                <w:color w:val="000000"/>
                <w:sz w:val="24"/>
              </w:rPr>
            </w:pPr>
          </w:p>
        </w:tc>
        <w:tc>
          <w:tcPr>
            <w:tcW w:w="1837" w:type="dxa"/>
            <w:vMerge w:val="continue"/>
            <w:tcBorders>
              <w:left w:val="single" w:color="auto" w:sz="4" w:space="0"/>
              <w:right w:val="single" w:color="auto" w:sz="4" w:space="0"/>
            </w:tcBorders>
            <w:vAlign w:val="center"/>
          </w:tcPr>
          <w:p w14:paraId="30E3523B">
            <w:pPr>
              <w:widowControl/>
              <w:spacing w:line="400" w:lineRule="exact"/>
              <w:jc w:val="left"/>
              <w:rPr>
                <w:rFonts w:ascii="宋体" w:hAnsi="宋体"/>
                <w:bCs/>
                <w:sz w:val="24"/>
              </w:rPr>
            </w:pP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5F1F1A70">
            <w:pPr>
              <w:spacing w:line="400" w:lineRule="exact"/>
              <w:rPr>
                <w:rFonts w:ascii="宋体" w:hAnsi="宋体"/>
                <w:bCs/>
                <w:sz w:val="24"/>
              </w:rPr>
            </w:pPr>
            <w:r>
              <w:rPr>
                <w:rFonts w:hint="eastAsia" w:ascii="宋体" w:hAnsi="宋体"/>
                <w:bCs/>
                <w:sz w:val="24"/>
              </w:rPr>
              <w:t>拟派本项目的总监理工程师具有</w:t>
            </w:r>
            <w:r>
              <w:rPr>
                <w:rFonts w:hint="eastAsia" w:ascii="宋体" w:hAnsi="宋体"/>
                <w:sz w:val="24"/>
              </w:rPr>
              <w:t>建筑工程相关专业</w:t>
            </w:r>
            <w:r>
              <w:rPr>
                <w:rFonts w:hint="eastAsia" w:ascii="宋体" w:hAnsi="宋体"/>
                <w:bCs/>
                <w:sz w:val="24"/>
              </w:rPr>
              <w:t>高级工程师职称的，得2分。本项满分2分。</w:t>
            </w:r>
          </w:p>
          <w:p w14:paraId="464E3813">
            <w:pPr>
              <w:snapToGrid w:val="0"/>
              <w:spacing w:line="400" w:lineRule="exact"/>
              <w:rPr>
                <w:rFonts w:ascii="宋体" w:hAnsi="宋体"/>
                <w:bCs/>
                <w:color w:val="FF0000"/>
                <w:sz w:val="24"/>
              </w:rPr>
            </w:pPr>
            <w:r>
              <w:rPr>
                <w:rFonts w:hint="eastAsia" w:ascii="宋体" w:hAnsi="宋体"/>
                <w:bCs/>
                <w:color w:val="FF0000"/>
                <w:sz w:val="24"/>
              </w:rPr>
              <w:t>注：</w:t>
            </w:r>
          </w:p>
          <w:p w14:paraId="69301A58">
            <w:pPr>
              <w:spacing w:line="400" w:lineRule="exact"/>
              <w:rPr>
                <w:rFonts w:hint="eastAsia" w:ascii="宋体" w:hAnsi="宋体" w:eastAsia="宋体"/>
                <w:bCs/>
                <w:color w:val="FF0000"/>
                <w:sz w:val="24"/>
                <w:lang w:eastAsia="zh-CN"/>
              </w:rPr>
            </w:pPr>
            <w:r>
              <w:rPr>
                <w:rFonts w:hint="eastAsia" w:ascii="宋体" w:hAnsi="宋体" w:cs="宋体"/>
                <w:color w:val="FF0000"/>
                <w:sz w:val="24"/>
              </w:rPr>
              <w:t>（1）</w:t>
            </w:r>
            <w:r>
              <w:rPr>
                <w:rFonts w:hint="eastAsia" w:ascii="宋体" w:hAnsi="宋体"/>
                <w:bCs/>
                <w:color w:val="FF0000"/>
                <w:sz w:val="24"/>
              </w:rPr>
              <w:t>投标文件中须提供职称证书复印件</w:t>
            </w:r>
            <w:r>
              <w:rPr>
                <w:rFonts w:hint="eastAsia" w:ascii="宋体" w:hAnsi="宋体"/>
                <w:color w:val="FF0000"/>
                <w:sz w:val="24"/>
              </w:rPr>
              <w:t>（或影印件）</w:t>
            </w:r>
            <w:r>
              <w:rPr>
                <w:rFonts w:hint="eastAsia" w:ascii="宋体" w:hAnsi="宋体"/>
                <w:bCs/>
                <w:color w:val="FF0000"/>
                <w:sz w:val="24"/>
              </w:rPr>
              <w:t>。若职称证书上无专业的，投标文件中须提供其他能证明是以上专业的相关证明材料</w:t>
            </w:r>
            <w:r>
              <w:rPr>
                <w:rFonts w:hint="eastAsia" w:ascii="宋体" w:hAnsi="宋体"/>
                <w:bCs/>
                <w:color w:val="FF0000"/>
                <w:sz w:val="24"/>
                <w:lang w:eastAsia="zh-CN"/>
              </w:rPr>
              <w:t>。</w:t>
            </w:r>
          </w:p>
          <w:p w14:paraId="2E01C324">
            <w:pPr>
              <w:spacing w:line="400" w:lineRule="exact"/>
              <w:rPr>
                <w:rFonts w:ascii="宋体" w:hAnsi="宋体"/>
                <w:bCs/>
                <w:color w:val="FF0000"/>
                <w:sz w:val="24"/>
              </w:rPr>
            </w:pPr>
            <w:r>
              <w:rPr>
                <w:rFonts w:hint="eastAsia" w:ascii="宋体" w:hAnsi="宋体"/>
                <w:bCs/>
                <w:color w:val="FF0000"/>
                <w:sz w:val="24"/>
              </w:rPr>
              <w:t>（2）投标文件中须附投标人所属社保机构出具的投标人为以上人员（202</w:t>
            </w:r>
            <w:r>
              <w:rPr>
                <w:rFonts w:hint="eastAsia" w:ascii="宋体" w:hAnsi="宋体"/>
                <w:bCs/>
                <w:color w:val="FF0000"/>
                <w:sz w:val="24"/>
                <w:lang w:val="en-US" w:eastAsia="zh-CN"/>
              </w:rPr>
              <w:t>5</w:t>
            </w:r>
            <w:r>
              <w:rPr>
                <w:rFonts w:hint="eastAsia" w:ascii="宋体" w:hAnsi="宋体"/>
                <w:bCs/>
                <w:color w:val="FF0000"/>
                <w:sz w:val="24"/>
              </w:rPr>
              <w:t>年</w:t>
            </w:r>
            <w:r>
              <w:rPr>
                <w:rFonts w:hint="eastAsia" w:ascii="宋体" w:hAnsi="宋体"/>
                <w:bCs/>
                <w:color w:val="FF0000"/>
                <w:sz w:val="24"/>
                <w:lang w:val="en-US" w:eastAsia="zh-CN"/>
              </w:rPr>
              <w:t>1</w:t>
            </w:r>
            <w:r>
              <w:rPr>
                <w:rFonts w:hint="eastAsia" w:ascii="宋体" w:hAnsi="宋体"/>
                <w:bCs/>
                <w:color w:val="FF0000"/>
                <w:sz w:val="24"/>
              </w:rPr>
              <w:t>月1日&lt;含&gt;以来任意1个月以上（含一个月））缴纳社保的证明材料扫描</w:t>
            </w:r>
          </w:p>
          <w:p w14:paraId="4DCA2FC6">
            <w:pPr>
              <w:spacing w:line="400" w:lineRule="exact"/>
              <w:rPr>
                <w:rFonts w:ascii="宋体" w:hAnsi="宋体"/>
                <w:bCs/>
                <w:color w:val="FF0000"/>
                <w:sz w:val="24"/>
              </w:rPr>
            </w:pPr>
            <w:r>
              <w:rPr>
                <w:rFonts w:hint="eastAsia" w:ascii="宋体" w:hAnsi="宋体"/>
                <w:bCs/>
                <w:color w:val="FF0000"/>
                <w:sz w:val="24"/>
              </w:rPr>
              <w:t>件，否则评委会不予计分。证明材料形式详见投标人须知前附表。</w:t>
            </w:r>
          </w:p>
          <w:p w14:paraId="1EAB06A9">
            <w:pPr>
              <w:numPr>
                <w:ilvl w:val="0"/>
                <w:numId w:val="0"/>
              </w:numPr>
              <w:spacing w:line="400" w:lineRule="exact"/>
              <w:rPr>
                <w:rFonts w:hint="eastAsia" w:ascii="宋体" w:hAnsi="宋体"/>
                <w:bCs/>
                <w:color w:val="FF0000"/>
                <w:sz w:val="24"/>
              </w:rPr>
            </w:pPr>
            <w:r>
              <w:rPr>
                <w:rFonts w:hint="eastAsia" w:ascii="宋体" w:hAnsi="宋体"/>
                <w:bCs/>
                <w:color w:val="FF0000"/>
                <w:sz w:val="24"/>
                <w:lang w:val="en-US" w:eastAsia="zh-CN"/>
              </w:rPr>
              <w:t>(3)</w:t>
            </w:r>
            <w:r>
              <w:rPr>
                <w:rFonts w:hint="eastAsia" w:ascii="宋体" w:hAnsi="宋体"/>
                <w:bCs/>
                <w:color w:val="FF0000"/>
                <w:sz w:val="24"/>
              </w:rPr>
              <w:t>未提</w:t>
            </w:r>
            <w:r>
              <w:rPr>
                <w:rFonts w:hint="eastAsia" w:ascii="宋体" w:hAnsi="宋体"/>
                <w:bCs/>
                <w:color w:val="FF0000"/>
                <w:kern w:val="0"/>
                <w:sz w:val="24"/>
              </w:rPr>
              <w:t>供的或提供不符合要求的，不予计分</w:t>
            </w:r>
            <w:r>
              <w:rPr>
                <w:rFonts w:hint="eastAsia" w:ascii="宋体" w:hAnsi="宋体"/>
                <w:bCs/>
                <w:color w:val="FF0000"/>
                <w:sz w:val="24"/>
              </w:rPr>
              <w:t>。</w:t>
            </w:r>
          </w:p>
          <w:p w14:paraId="17653F09">
            <w:pPr>
              <w:numPr>
                <w:ilvl w:val="0"/>
                <w:numId w:val="0"/>
              </w:numPr>
              <w:spacing w:line="400" w:lineRule="exact"/>
              <w:ind w:leftChars="0"/>
              <w:rPr>
                <w:rFonts w:ascii="宋体" w:hAnsi="宋体"/>
                <w:bCs/>
                <w:sz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rPr>
              <w:t>）</w:t>
            </w:r>
            <w:r>
              <w:rPr>
                <w:rFonts w:hint="eastAsia" w:ascii="宋体" w:hAnsi="宋体" w:eastAsia="宋体" w:cs="Times New Roman"/>
                <w:bCs/>
                <w:color w:val="FF0000"/>
                <w:sz w:val="24"/>
                <w:szCs w:val="24"/>
              </w:rPr>
              <w:t>建筑工程相关专业包括建筑、结构、给排水、暖通、电气等专业。</w:t>
            </w:r>
          </w:p>
        </w:tc>
        <w:tc>
          <w:tcPr>
            <w:tcW w:w="1523" w:type="dxa"/>
            <w:tcBorders>
              <w:top w:val="single" w:color="auto" w:sz="4" w:space="0"/>
              <w:left w:val="single" w:color="auto" w:sz="4" w:space="0"/>
              <w:bottom w:val="single" w:color="auto" w:sz="4" w:space="0"/>
              <w:right w:val="single" w:color="auto" w:sz="4" w:space="0"/>
            </w:tcBorders>
            <w:vAlign w:val="center"/>
          </w:tcPr>
          <w:p w14:paraId="2710A93A">
            <w:pPr>
              <w:spacing w:line="400" w:lineRule="exact"/>
              <w:jc w:val="center"/>
              <w:rPr>
                <w:rFonts w:ascii="宋体" w:hAnsi="宋体"/>
                <w:bCs/>
                <w:kern w:val="0"/>
                <w:sz w:val="24"/>
              </w:rPr>
            </w:pPr>
            <w:r>
              <w:rPr>
                <w:rFonts w:hint="eastAsia" w:ascii="宋体" w:hAnsi="宋体"/>
                <w:bCs/>
                <w:kern w:val="0"/>
                <w:sz w:val="24"/>
              </w:rPr>
              <w:t>2</w:t>
            </w:r>
            <w:r>
              <w:rPr>
                <w:rFonts w:ascii="宋体" w:hAnsi="宋体"/>
                <w:bCs/>
                <w:kern w:val="0"/>
                <w:sz w:val="24"/>
              </w:rPr>
              <w:t>分</w:t>
            </w:r>
          </w:p>
        </w:tc>
      </w:tr>
      <w:tr w14:paraId="1564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5" w:type="dxa"/>
            <w:vMerge w:val="continue"/>
            <w:tcBorders>
              <w:left w:val="single" w:color="auto" w:sz="4" w:space="0"/>
              <w:right w:val="single" w:color="auto" w:sz="4" w:space="0"/>
            </w:tcBorders>
            <w:vAlign w:val="center"/>
          </w:tcPr>
          <w:p w14:paraId="78D9B420">
            <w:pPr>
              <w:widowControl/>
              <w:spacing w:line="400" w:lineRule="exact"/>
              <w:jc w:val="left"/>
              <w:rPr>
                <w:rFonts w:ascii="宋体" w:hAnsi="宋体"/>
                <w:bCs/>
                <w:color w:val="000000"/>
                <w:sz w:val="24"/>
              </w:rPr>
            </w:pPr>
          </w:p>
        </w:tc>
        <w:tc>
          <w:tcPr>
            <w:tcW w:w="1837" w:type="dxa"/>
            <w:vMerge w:val="continue"/>
            <w:tcBorders>
              <w:left w:val="single" w:color="auto" w:sz="4" w:space="0"/>
              <w:right w:val="single" w:color="auto" w:sz="4" w:space="0"/>
            </w:tcBorders>
            <w:vAlign w:val="center"/>
          </w:tcPr>
          <w:p w14:paraId="525C2DC8">
            <w:pPr>
              <w:widowControl/>
              <w:spacing w:line="400" w:lineRule="exact"/>
              <w:jc w:val="left"/>
              <w:rPr>
                <w:rFonts w:ascii="宋体" w:hAnsi="宋体"/>
                <w:bCs/>
                <w:color w:val="000000"/>
                <w:sz w:val="24"/>
              </w:rPr>
            </w:pP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7CEE2A71">
            <w:pPr>
              <w:spacing w:line="400" w:lineRule="exact"/>
              <w:rPr>
                <w:rFonts w:ascii="宋体" w:hAnsi="宋体"/>
                <w:bCs/>
                <w:kern w:val="0"/>
                <w:sz w:val="24"/>
              </w:rPr>
            </w:pPr>
            <w:r>
              <w:rPr>
                <w:rFonts w:hint="eastAsia" w:ascii="宋体" w:hAnsi="宋体"/>
                <w:kern w:val="0"/>
                <w:sz w:val="24"/>
              </w:rPr>
              <w:t>拟派本项目的监理人员（不包括总监理工程师）中，具有</w:t>
            </w:r>
            <w:r>
              <w:rPr>
                <w:rFonts w:hint="eastAsia" w:ascii="宋体" w:hAnsi="宋体" w:eastAsia="宋体" w:cs="Times New Roman"/>
                <w:kern w:val="0"/>
                <w:sz w:val="24"/>
                <w:szCs w:val="24"/>
              </w:rPr>
              <w:t>建筑工程相关专业</w:t>
            </w:r>
            <w:r>
              <w:rPr>
                <w:rFonts w:hint="eastAsia" w:ascii="宋体" w:hAnsi="宋体"/>
                <w:kern w:val="0"/>
                <w:sz w:val="24"/>
              </w:rPr>
              <w:t>工程师以上（含工程师）职称的，每有一人得1分，最多得3分。</w:t>
            </w:r>
            <w:r>
              <w:rPr>
                <w:rFonts w:hint="eastAsia" w:ascii="宋体" w:hAnsi="宋体"/>
                <w:bCs/>
                <w:kern w:val="0"/>
                <w:sz w:val="24"/>
              </w:rPr>
              <w:t>本小项满分3分。</w:t>
            </w:r>
          </w:p>
          <w:p w14:paraId="167CC8D0">
            <w:pPr>
              <w:snapToGrid w:val="0"/>
              <w:spacing w:line="400" w:lineRule="exact"/>
              <w:rPr>
                <w:rFonts w:ascii="宋体" w:hAnsi="宋体"/>
                <w:bCs/>
                <w:color w:val="FF0000"/>
                <w:sz w:val="24"/>
              </w:rPr>
            </w:pPr>
            <w:r>
              <w:rPr>
                <w:rFonts w:hint="eastAsia" w:ascii="宋体" w:hAnsi="宋体"/>
                <w:bCs/>
                <w:color w:val="FF0000"/>
                <w:sz w:val="24"/>
              </w:rPr>
              <w:t>注：</w:t>
            </w:r>
          </w:p>
          <w:p w14:paraId="311744A5">
            <w:pPr>
              <w:spacing w:line="400" w:lineRule="exact"/>
              <w:rPr>
                <w:rFonts w:hint="eastAsia" w:eastAsia="宋体"/>
                <w:lang w:eastAsia="zh-CN"/>
              </w:rPr>
            </w:pPr>
            <w:r>
              <w:rPr>
                <w:rFonts w:hint="eastAsia" w:ascii="宋体" w:hAnsi="宋体" w:cs="宋体"/>
                <w:color w:val="FF0000"/>
                <w:sz w:val="24"/>
              </w:rPr>
              <w:t>（1）</w:t>
            </w:r>
            <w:r>
              <w:rPr>
                <w:rFonts w:hint="eastAsia" w:ascii="宋体" w:hAnsi="宋体"/>
                <w:bCs/>
                <w:color w:val="FF0000"/>
                <w:sz w:val="24"/>
              </w:rPr>
              <w:t>投标文件中须提供职称证书复印件</w:t>
            </w:r>
            <w:r>
              <w:rPr>
                <w:rFonts w:hint="eastAsia" w:ascii="宋体" w:hAnsi="宋体"/>
                <w:color w:val="FF0000"/>
                <w:sz w:val="24"/>
              </w:rPr>
              <w:t>（或影印件）</w:t>
            </w:r>
            <w:r>
              <w:rPr>
                <w:rFonts w:hint="eastAsia" w:ascii="宋体" w:hAnsi="宋体"/>
                <w:bCs/>
                <w:color w:val="FF0000"/>
                <w:sz w:val="24"/>
              </w:rPr>
              <w:t>。若职称证书上无专业的，投标文件中须提供其他能证明是以上专业的相关证明材料</w:t>
            </w:r>
            <w:r>
              <w:rPr>
                <w:rFonts w:hint="eastAsia" w:ascii="宋体" w:hAnsi="宋体"/>
                <w:bCs/>
                <w:color w:val="FF0000"/>
                <w:sz w:val="24"/>
                <w:lang w:eastAsia="zh-CN"/>
              </w:rPr>
              <w:t>。</w:t>
            </w:r>
          </w:p>
          <w:p w14:paraId="73B9E846">
            <w:pPr>
              <w:spacing w:line="400" w:lineRule="exact"/>
              <w:rPr>
                <w:rFonts w:ascii="宋体" w:hAnsi="宋体"/>
                <w:bCs/>
                <w:color w:val="FF0000"/>
                <w:sz w:val="24"/>
              </w:rPr>
            </w:pPr>
            <w:r>
              <w:rPr>
                <w:rFonts w:hint="eastAsia" w:ascii="宋体" w:hAnsi="宋体"/>
                <w:bCs/>
                <w:color w:val="FF0000"/>
                <w:sz w:val="24"/>
              </w:rPr>
              <w:t>（2）投标文件中须附投标人所属社保机构出具的投标人为以上人员（202</w:t>
            </w:r>
            <w:r>
              <w:rPr>
                <w:rFonts w:hint="eastAsia" w:ascii="宋体" w:hAnsi="宋体"/>
                <w:bCs/>
                <w:color w:val="FF0000"/>
                <w:sz w:val="24"/>
                <w:lang w:val="en-US" w:eastAsia="zh-CN"/>
              </w:rPr>
              <w:t>5</w:t>
            </w:r>
            <w:r>
              <w:rPr>
                <w:rFonts w:hint="eastAsia" w:ascii="宋体" w:hAnsi="宋体"/>
                <w:bCs/>
                <w:color w:val="FF0000"/>
                <w:sz w:val="24"/>
              </w:rPr>
              <w:t>年</w:t>
            </w:r>
            <w:r>
              <w:rPr>
                <w:rFonts w:hint="eastAsia" w:ascii="宋体" w:hAnsi="宋体"/>
                <w:bCs/>
                <w:color w:val="FF0000"/>
                <w:sz w:val="24"/>
                <w:lang w:val="en-US" w:eastAsia="zh-CN"/>
              </w:rPr>
              <w:t>1</w:t>
            </w:r>
            <w:r>
              <w:rPr>
                <w:rFonts w:hint="eastAsia" w:ascii="宋体" w:hAnsi="宋体"/>
                <w:bCs/>
                <w:color w:val="FF0000"/>
                <w:sz w:val="24"/>
              </w:rPr>
              <w:t>月1日&lt;含&gt;以来任意1个月以上（含一个月））缴纳社保的证明材料扫描件，否则评委会不予计分。证明材料形式详见投标人须知前附表。</w:t>
            </w:r>
          </w:p>
          <w:p w14:paraId="2779A128">
            <w:pPr>
              <w:snapToGrid w:val="0"/>
              <w:spacing w:line="400" w:lineRule="exact"/>
              <w:rPr>
                <w:rFonts w:ascii="宋体" w:hAnsi="宋体"/>
                <w:bCs/>
                <w:color w:val="FF0000"/>
                <w:sz w:val="24"/>
              </w:rPr>
            </w:pPr>
            <w:r>
              <w:rPr>
                <w:rFonts w:hint="eastAsia" w:ascii="宋体" w:hAnsi="宋体"/>
                <w:bCs/>
                <w:color w:val="FF0000"/>
                <w:sz w:val="24"/>
              </w:rPr>
              <w:t>（3）评审时以投标文件格式中附表7：监理机构监理人员配备表中人员进行评审。</w:t>
            </w:r>
          </w:p>
          <w:p w14:paraId="19F7C1A9">
            <w:pPr>
              <w:snapToGrid w:val="0"/>
              <w:spacing w:line="400" w:lineRule="exact"/>
              <w:rPr>
                <w:rFonts w:hint="eastAsia" w:ascii="宋体" w:hAnsi="宋体"/>
                <w:bCs/>
                <w:color w:val="FF0000"/>
                <w:sz w:val="24"/>
              </w:rPr>
            </w:pPr>
            <w:r>
              <w:rPr>
                <w:rFonts w:hint="eastAsia" w:ascii="宋体" w:hAnsi="宋体"/>
                <w:bCs/>
                <w:color w:val="FF0000"/>
                <w:sz w:val="24"/>
              </w:rPr>
              <w:t>（</w:t>
            </w:r>
            <w:r>
              <w:rPr>
                <w:rFonts w:hint="eastAsia" w:ascii="宋体" w:hAnsi="宋体"/>
                <w:bCs/>
                <w:color w:val="FF0000"/>
                <w:sz w:val="24"/>
                <w:lang w:val="en-US" w:eastAsia="zh-CN"/>
              </w:rPr>
              <w:t>4</w:t>
            </w:r>
            <w:r>
              <w:rPr>
                <w:rFonts w:hint="eastAsia" w:ascii="宋体" w:hAnsi="宋体"/>
                <w:bCs/>
                <w:color w:val="FF0000"/>
                <w:sz w:val="24"/>
              </w:rPr>
              <w:t>）</w:t>
            </w:r>
            <w:r>
              <w:rPr>
                <w:rFonts w:hint="eastAsia" w:ascii="宋体" w:hAnsi="宋体"/>
                <w:bCs/>
                <w:color w:val="FF0000"/>
                <w:kern w:val="0"/>
                <w:sz w:val="24"/>
              </w:rPr>
              <w:t>未提供的或提供不符合要求的，不予计分</w:t>
            </w:r>
            <w:r>
              <w:rPr>
                <w:rFonts w:hint="eastAsia" w:ascii="宋体" w:hAnsi="宋体"/>
                <w:bCs/>
                <w:color w:val="FF0000"/>
                <w:sz w:val="24"/>
              </w:rPr>
              <w:t>。</w:t>
            </w:r>
          </w:p>
          <w:p w14:paraId="10FC7F6D">
            <w:pPr>
              <w:snapToGrid w:val="0"/>
              <w:spacing w:line="400" w:lineRule="exact"/>
              <w:rPr>
                <w:rFonts w:ascii="宋体" w:hAnsi="宋体"/>
                <w:bCs/>
                <w:color w:val="FF0000"/>
                <w:sz w:val="24"/>
              </w:rPr>
            </w:pP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w:t>
            </w:r>
            <w:r>
              <w:rPr>
                <w:rFonts w:hint="eastAsia" w:ascii="宋体" w:hAnsi="宋体" w:eastAsia="宋体" w:cs="Times New Roman"/>
                <w:bCs/>
                <w:color w:val="FF0000"/>
                <w:sz w:val="24"/>
                <w:szCs w:val="24"/>
              </w:rPr>
              <w:t>建筑工程相关专业包括建筑、结构、给排水、暖通、电气等专业。</w:t>
            </w:r>
          </w:p>
        </w:tc>
        <w:tc>
          <w:tcPr>
            <w:tcW w:w="1523" w:type="dxa"/>
            <w:tcBorders>
              <w:top w:val="single" w:color="auto" w:sz="4" w:space="0"/>
              <w:left w:val="single" w:color="auto" w:sz="4" w:space="0"/>
              <w:bottom w:val="single" w:color="auto" w:sz="4" w:space="0"/>
              <w:right w:val="single" w:color="auto" w:sz="4" w:space="0"/>
            </w:tcBorders>
            <w:vAlign w:val="center"/>
          </w:tcPr>
          <w:p w14:paraId="4517B4D5">
            <w:pPr>
              <w:spacing w:line="400" w:lineRule="exact"/>
              <w:jc w:val="center"/>
              <w:rPr>
                <w:rFonts w:ascii="宋体" w:hAnsi="宋体"/>
                <w:bCs/>
                <w:kern w:val="0"/>
                <w:sz w:val="24"/>
              </w:rPr>
            </w:pPr>
            <w:r>
              <w:rPr>
                <w:rFonts w:hint="eastAsia" w:ascii="宋体" w:hAnsi="宋体"/>
                <w:bCs/>
                <w:kern w:val="0"/>
                <w:sz w:val="24"/>
              </w:rPr>
              <w:t>3分</w:t>
            </w:r>
          </w:p>
        </w:tc>
      </w:tr>
      <w:tr w14:paraId="420D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65" w:type="dxa"/>
            <w:vMerge w:val="restart"/>
            <w:tcBorders>
              <w:left w:val="single" w:color="auto" w:sz="4" w:space="0"/>
              <w:right w:val="single" w:color="auto" w:sz="4" w:space="0"/>
            </w:tcBorders>
            <w:vAlign w:val="center"/>
          </w:tcPr>
          <w:p w14:paraId="75141C4D">
            <w:pPr>
              <w:snapToGrid w:val="0"/>
              <w:spacing w:line="400" w:lineRule="exact"/>
              <w:jc w:val="center"/>
              <w:rPr>
                <w:rFonts w:ascii="宋体" w:hAnsi="宋体"/>
                <w:bCs/>
                <w:color w:val="000000"/>
                <w:sz w:val="24"/>
              </w:rPr>
            </w:pPr>
            <w:r>
              <w:rPr>
                <w:rFonts w:hint="eastAsia" w:ascii="宋体" w:hAnsi="宋体"/>
                <w:bCs/>
                <w:color w:val="000000"/>
                <w:sz w:val="24"/>
              </w:rPr>
              <w:t>2.2.3</w:t>
            </w:r>
          </w:p>
        </w:tc>
        <w:tc>
          <w:tcPr>
            <w:tcW w:w="1837" w:type="dxa"/>
            <w:vMerge w:val="restart"/>
            <w:tcBorders>
              <w:left w:val="single" w:color="auto" w:sz="4" w:space="0"/>
              <w:right w:val="single" w:color="auto" w:sz="4" w:space="0"/>
            </w:tcBorders>
            <w:vAlign w:val="center"/>
          </w:tcPr>
          <w:p w14:paraId="220B8359">
            <w:pPr>
              <w:snapToGrid w:val="0"/>
              <w:spacing w:line="400" w:lineRule="exact"/>
              <w:jc w:val="center"/>
              <w:rPr>
                <w:rFonts w:ascii="宋体" w:hAnsi="宋体"/>
                <w:bCs/>
                <w:color w:val="000000"/>
                <w:sz w:val="24"/>
              </w:rPr>
            </w:pPr>
            <w:r>
              <w:rPr>
                <w:rFonts w:hint="eastAsia" w:ascii="宋体" w:hAnsi="宋体"/>
                <w:bCs/>
                <w:color w:val="000000"/>
                <w:sz w:val="24"/>
              </w:rPr>
              <w:t>投标人获奖情况</w:t>
            </w: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4B77117F">
            <w:pPr>
              <w:spacing w:line="400" w:lineRule="exact"/>
              <w:rPr>
                <w:rFonts w:ascii="宋体" w:hAnsi="宋体" w:cs="宋体"/>
                <w:kern w:val="0"/>
                <w:sz w:val="24"/>
              </w:rPr>
            </w:pPr>
            <w:r>
              <w:rPr>
                <w:rFonts w:hint="eastAsia" w:ascii="宋体" w:hAnsi="宋体"/>
                <w:sz w:val="24"/>
              </w:rPr>
              <w:t>自</w:t>
            </w:r>
            <w:r>
              <w:rPr>
                <w:rFonts w:ascii="宋体" w:hAnsi="宋体"/>
                <w:color w:val="FF0000"/>
                <w:sz w:val="24"/>
              </w:rPr>
              <w:t>202</w:t>
            </w:r>
            <w:r>
              <w:rPr>
                <w:rFonts w:hint="eastAsia" w:ascii="宋体" w:hAnsi="宋体"/>
                <w:color w:val="FF0000"/>
                <w:sz w:val="24"/>
                <w:lang w:val="en-US" w:eastAsia="zh-CN"/>
              </w:rPr>
              <w:t>2</w:t>
            </w:r>
            <w:r>
              <w:rPr>
                <w:rFonts w:hint="eastAsia" w:ascii="宋体" w:hAnsi="宋体"/>
                <w:sz w:val="24"/>
              </w:rPr>
              <w:t>年1月1日（含）以来，</w:t>
            </w:r>
            <w:r>
              <w:rPr>
                <w:rFonts w:hint="eastAsia" w:ascii="宋体" w:hAnsi="宋体"/>
                <w:sz w:val="24"/>
                <w:highlight w:val="yellow"/>
              </w:rPr>
              <w:t>投标人</w:t>
            </w:r>
            <w:r>
              <w:rPr>
                <w:rFonts w:hint="eastAsia" w:ascii="宋体" w:hAnsi="宋体"/>
                <w:sz w:val="24"/>
              </w:rPr>
              <w:t>获得地级市（含）以上人民政府建设行政主管部门颁发的先进（或示范或优秀）</w:t>
            </w:r>
            <w:r>
              <w:rPr>
                <w:rFonts w:hint="eastAsia" w:ascii="宋体" w:hAnsi="宋体"/>
                <w:sz w:val="24"/>
                <w:lang w:val="en-US" w:eastAsia="zh-CN"/>
              </w:rPr>
              <w:t>监理</w:t>
            </w:r>
            <w:r>
              <w:rPr>
                <w:rFonts w:hint="eastAsia" w:ascii="宋体" w:hAnsi="宋体"/>
                <w:sz w:val="24"/>
              </w:rPr>
              <w:t>企业表彰的，</w:t>
            </w:r>
            <w:r>
              <w:rPr>
                <w:rFonts w:hint="eastAsia" w:ascii="宋体" w:hAnsi="宋体"/>
                <w:bCs/>
                <w:sz w:val="24"/>
              </w:rPr>
              <w:t>提供一个符合上述要求的获奖，</w:t>
            </w:r>
            <w:r>
              <w:rPr>
                <w:rFonts w:hint="eastAsia" w:ascii="宋体" w:hAnsi="宋体"/>
                <w:sz w:val="24"/>
              </w:rPr>
              <w:t>得</w:t>
            </w:r>
            <w:r>
              <w:rPr>
                <w:rFonts w:hint="eastAsia" w:ascii="宋体" w:hAnsi="宋体"/>
                <w:sz w:val="24"/>
                <w:lang w:val="en-US" w:eastAsia="zh-CN"/>
              </w:rPr>
              <w:t>3</w:t>
            </w:r>
            <w:r>
              <w:rPr>
                <w:rFonts w:hint="eastAsia" w:ascii="宋体" w:hAnsi="宋体"/>
                <w:sz w:val="24"/>
              </w:rPr>
              <w:t>分；</w:t>
            </w:r>
            <w:r>
              <w:rPr>
                <w:rFonts w:hint="eastAsia" w:ascii="宋体" w:hAnsi="宋体" w:cs="宋体"/>
                <w:bCs/>
                <w:sz w:val="24"/>
              </w:rPr>
              <w:t>在此基础上，另提供1个符合要求的获奖，另得2分，最多另得</w:t>
            </w:r>
            <w:r>
              <w:rPr>
                <w:rFonts w:ascii="宋体" w:hAnsi="宋体" w:cs="宋体"/>
                <w:bCs/>
                <w:sz w:val="24"/>
              </w:rPr>
              <w:t>2</w:t>
            </w:r>
            <w:r>
              <w:rPr>
                <w:rFonts w:hint="eastAsia" w:ascii="宋体" w:hAnsi="宋体" w:cs="宋体"/>
                <w:bCs/>
                <w:sz w:val="24"/>
              </w:rPr>
              <w:t>分</w:t>
            </w:r>
            <w:r>
              <w:rPr>
                <w:rFonts w:hint="eastAsia" w:ascii="宋体" w:hAnsi="宋体"/>
                <w:sz w:val="24"/>
              </w:rPr>
              <w:t>。</w:t>
            </w:r>
            <w:r>
              <w:rPr>
                <w:rStyle w:val="70"/>
                <w:rFonts w:hint="eastAsia" w:ascii="宋体" w:hAnsi="宋体"/>
                <w:bCs/>
                <w:kern w:val="0"/>
                <w:sz w:val="24"/>
              </w:rPr>
              <w:t>本项满分</w:t>
            </w:r>
            <w:r>
              <w:rPr>
                <w:rStyle w:val="70"/>
                <w:rFonts w:hint="eastAsia" w:ascii="宋体" w:hAnsi="宋体"/>
                <w:bCs/>
                <w:kern w:val="0"/>
                <w:sz w:val="24"/>
                <w:lang w:val="en-US" w:eastAsia="zh-CN"/>
              </w:rPr>
              <w:t>5</w:t>
            </w:r>
            <w:r>
              <w:rPr>
                <w:rStyle w:val="70"/>
                <w:rFonts w:hint="eastAsia" w:ascii="宋体" w:hAnsi="宋体"/>
                <w:bCs/>
                <w:kern w:val="0"/>
                <w:sz w:val="24"/>
              </w:rPr>
              <w:t>分。</w:t>
            </w:r>
          </w:p>
          <w:p w14:paraId="166F1220">
            <w:pPr>
              <w:spacing w:line="400" w:lineRule="exact"/>
              <w:rPr>
                <w:rFonts w:ascii="宋体" w:hAnsi="宋体"/>
                <w:color w:val="FF0000"/>
                <w:kern w:val="0"/>
                <w:sz w:val="24"/>
              </w:rPr>
            </w:pPr>
            <w:r>
              <w:rPr>
                <w:rFonts w:hint="eastAsia" w:ascii="宋体" w:hAnsi="宋体"/>
                <w:color w:val="FF0000"/>
                <w:kern w:val="0"/>
                <w:sz w:val="24"/>
              </w:rPr>
              <w:t>注：</w:t>
            </w:r>
          </w:p>
          <w:p w14:paraId="0406C921">
            <w:pPr>
              <w:spacing w:line="400" w:lineRule="exact"/>
              <w:rPr>
                <w:rFonts w:ascii="宋体" w:hAnsi="宋体"/>
                <w:color w:val="FF0000"/>
                <w:kern w:val="0"/>
                <w:sz w:val="24"/>
              </w:rPr>
            </w:pPr>
            <w:r>
              <w:rPr>
                <w:rFonts w:hint="eastAsia" w:ascii="宋体" w:hAnsi="宋体"/>
                <w:color w:val="FF0000"/>
                <w:kern w:val="0"/>
                <w:sz w:val="24"/>
              </w:rPr>
              <w:t>（1）投标文件中提供获奖证书或表彰文件复印件（或影印件）。</w:t>
            </w:r>
          </w:p>
          <w:p w14:paraId="448A6403">
            <w:pPr>
              <w:spacing w:line="400" w:lineRule="exact"/>
              <w:rPr>
                <w:rFonts w:ascii="宋体" w:hAnsi="宋体"/>
                <w:color w:val="FF0000"/>
                <w:kern w:val="0"/>
                <w:sz w:val="24"/>
              </w:rPr>
            </w:pPr>
            <w:r>
              <w:rPr>
                <w:rFonts w:hint="eastAsia" w:ascii="宋体" w:hAnsi="宋体"/>
                <w:color w:val="FF0000"/>
                <w:kern w:val="0"/>
                <w:sz w:val="24"/>
              </w:rPr>
              <w:t>（2）奖项的认定时间以获奖证书或表彰文件落款日期为准，无落款时间的，评委会不予计分。</w:t>
            </w:r>
          </w:p>
          <w:p w14:paraId="10813934">
            <w:pPr>
              <w:snapToGrid w:val="0"/>
              <w:spacing w:line="400" w:lineRule="exact"/>
              <w:rPr>
                <w:rFonts w:ascii="宋体" w:hAnsi="宋体"/>
                <w:color w:val="FF0000"/>
                <w:kern w:val="0"/>
                <w:sz w:val="24"/>
              </w:rPr>
            </w:pPr>
            <w:r>
              <w:rPr>
                <w:rFonts w:hint="eastAsia" w:ascii="宋体" w:hAnsi="宋体"/>
                <w:color w:val="FF0000"/>
                <w:kern w:val="0"/>
                <w:sz w:val="24"/>
              </w:rPr>
              <w:t>（3）以上表彰可累计得分。</w:t>
            </w:r>
          </w:p>
          <w:p w14:paraId="632DA0F0">
            <w:pPr>
              <w:spacing w:line="400" w:lineRule="exact"/>
              <w:rPr>
                <w:rFonts w:ascii="宋体" w:hAnsi="宋体"/>
                <w:kern w:val="0"/>
                <w:sz w:val="24"/>
              </w:rPr>
            </w:pPr>
            <w:r>
              <w:rPr>
                <w:rFonts w:hint="eastAsia" w:ascii="宋体" w:hAnsi="宋体"/>
                <w:color w:val="FF0000"/>
                <w:sz w:val="24"/>
              </w:rPr>
              <w:t>（4）</w:t>
            </w:r>
            <w:r>
              <w:rPr>
                <w:rFonts w:hint="eastAsia" w:ascii="宋体" w:hAnsi="宋体"/>
                <w:bCs/>
                <w:color w:val="FF0000"/>
                <w:kern w:val="0"/>
                <w:sz w:val="24"/>
              </w:rPr>
              <w:t>未提供的或提供不符合要求的，不予计分</w:t>
            </w:r>
            <w:r>
              <w:rPr>
                <w:rFonts w:hint="eastAsia" w:ascii="宋体" w:hAnsi="宋体"/>
                <w:bCs/>
                <w:color w:val="FF0000"/>
                <w:sz w:val="24"/>
              </w:rPr>
              <w:t>。</w:t>
            </w:r>
          </w:p>
        </w:tc>
        <w:tc>
          <w:tcPr>
            <w:tcW w:w="1523" w:type="dxa"/>
            <w:tcBorders>
              <w:top w:val="single" w:color="auto" w:sz="4" w:space="0"/>
              <w:left w:val="single" w:color="auto" w:sz="4" w:space="0"/>
              <w:bottom w:val="single" w:color="auto" w:sz="4" w:space="0"/>
              <w:right w:val="single" w:color="auto" w:sz="4" w:space="0"/>
            </w:tcBorders>
            <w:vAlign w:val="center"/>
          </w:tcPr>
          <w:p w14:paraId="7A910A53">
            <w:pPr>
              <w:spacing w:line="400" w:lineRule="exact"/>
              <w:jc w:val="center"/>
              <w:rPr>
                <w:rFonts w:ascii="宋体" w:hAnsi="宋体" w:cs="宋体"/>
                <w:sz w:val="24"/>
              </w:rPr>
            </w:pPr>
            <w:r>
              <w:rPr>
                <w:rFonts w:hint="eastAsia" w:ascii="宋体" w:hAnsi="宋体"/>
                <w:kern w:val="0"/>
                <w:sz w:val="24"/>
                <w:lang w:val="en-US" w:eastAsia="zh-CN"/>
              </w:rPr>
              <w:t>5</w:t>
            </w:r>
            <w:r>
              <w:rPr>
                <w:rFonts w:hint="eastAsia" w:ascii="宋体" w:hAnsi="宋体"/>
                <w:bCs/>
                <w:kern w:val="0"/>
                <w:sz w:val="24"/>
              </w:rPr>
              <w:t>分</w:t>
            </w:r>
          </w:p>
        </w:tc>
      </w:tr>
      <w:tr w14:paraId="7814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65" w:type="dxa"/>
            <w:vMerge w:val="continue"/>
            <w:tcBorders>
              <w:left w:val="single" w:color="auto" w:sz="4" w:space="0"/>
              <w:right w:val="single" w:color="auto" w:sz="4" w:space="0"/>
            </w:tcBorders>
            <w:vAlign w:val="center"/>
          </w:tcPr>
          <w:p w14:paraId="14126379">
            <w:pPr>
              <w:snapToGrid w:val="0"/>
              <w:spacing w:line="400" w:lineRule="exact"/>
              <w:jc w:val="center"/>
              <w:rPr>
                <w:rFonts w:ascii="宋体" w:hAnsi="宋体"/>
                <w:bCs/>
                <w:color w:val="000000"/>
                <w:sz w:val="24"/>
              </w:rPr>
            </w:pPr>
          </w:p>
        </w:tc>
        <w:tc>
          <w:tcPr>
            <w:tcW w:w="1837" w:type="dxa"/>
            <w:vMerge w:val="continue"/>
            <w:tcBorders>
              <w:left w:val="single" w:color="auto" w:sz="4" w:space="0"/>
              <w:right w:val="single" w:color="auto" w:sz="4" w:space="0"/>
            </w:tcBorders>
            <w:vAlign w:val="center"/>
          </w:tcPr>
          <w:p w14:paraId="241CCE51">
            <w:pPr>
              <w:snapToGrid w:val="0"/>
              <w:spacing w:line="400" w:lineRule="exact"/>
              <w:jc w:val="center"/>
              <w:rPr>
                <w:rFonts w:ascii="宋体" w:hAnsi="宋体"/>
                <w:bCs/>
                <w:color w:val="000000"/>
                <w:sz w:val="24"/>
              </w:rPr>
            </w:pPr>
          </w:p>
        </w:tc>
        <w:tc>
          <w:tcPr>
            <w:tcW w:w="5529" w:type="dxa"/>
            <w:gridSpan w:val="2"/>
            <w:tcBorders>
              <w:top w:val="single" w:color="auto" w:sz="4" w:space="0"/>
              <w:left w:val="single" w:color="auto" w:sz="4" w:space="0"/>
              <w:bottom w:val="single" w:color="auto" w:sz="4" w:space="0"/>
              <w:right w:val="single" w:color="auto" w:sz="4" w:space="0"/>
            </w:tcBorders>
            <w:vAlign w:val="center"/>
          </w:tcPr>
          <w:p w14:paraId="794C692C">
            <w:pPr>
              <w:snapToGrid w:val="0"/>
              <w:spacing w:line="400" w:lineRule="exact"/>
              <w:rPr>
                <w:rFonts w:ascii="宋体" w:hAnsi="宋体" w:cs="宋体"/>
                <w:color w:val="FF0000"/>
                <w:kern w:val="0"/>
                <w:sz w:val="24"/>
              </w:rPr>
            </w:pPr>
            <w:r>
              <w:rPr>
                <w:rFonts w:ascii="宋体" w:hAnsi="宋体" w:cs="宋体"/>
                <w:sz w:val="24"/>
              </w:rPr>
              <w:t>自20</w:t>
            </w:r>
            <w:r>
              <w:rPr>
                <w:rFonts w:hint="eastAsia" w:ascii="宋体" w:hAnsi="宋体" w:cs="宋体"/>
                <w:sz w:val="24"/>
                <w:lang w:val="en-US" w:eastAsia="zh-CN"/>
              </w:rPr>
              <w:t>22</w:t>
            </w:r>
            <w:r>
              <w:rPr>
                <w:rFonts w:ascii="宋体" w:hAnsi="宋体" w:cs="宋体"/>
                <w:sz w:val="24"/>
              </w:rPr>
              <w:t>年1月1日（含）以来，投标人监理的</w:t>
            </w:r>
            <w:r>
              <w:rPr>
                <w:rFonts w:hint="eastAsia" w:ascii="宋体" w:hAnsi="宋体" w:cs="宋体"/>
                <w:sz w:val="24"/>
                <w:highlight w:val="yellow"/>
              </w:rPr>
              <w:t>房屋建筑</w:t>
            </w:r>
            <w:r>
              <w:rPr>
                <w:rFonts w:ascii="宋体" w:hAnsi="宋体" w:cs="宋体"/>
                <w:sz w:val="24"/>
                <w:highlight w:val="yellow"/>
              </w:rPr>
              <w:t>工程</w:t>
            </w:r>
            <w:r>
              <w:rPr>
                <w:rFonts w:ascii="宋体" w:hAnsi="宋体" w:cs="宋体"/>
                <w:sz w:val="24"/>
              </w:rPr>
              <w:t>获得地级市及以上优质工程表彰的【地级市优质工程：如“翠螺杯”、“琥珀杯”、“广玉兰杯”等；省优质工程：如“黄山杯”、“扬子杯”等；省（含直辖市、自治区）以上优质工程奖:仅指①由中华人民共和国住建部或中国建筑业协会颁发的“鲁班奖”；②由中国施工企业管理协会颁发的“国家优质工程奖”】，提供一个符合上述要求的获奖，得</w:t>
            </w:r>
            <w:r>
              <w:rPr>
                <w:rFonts w:hint="eastAsia" w:ascii="宋体" w:hAnsi="宋体" w:cs="宋体"/>
                <w:sz w:val="24"/>
                <w:lang w:val="en-US" w:eastAsia="zh-CN"/>
              </w:rPr>
              <w:t>3</w:t>
            </w:r>
            <w:r>
              <w:rPr>
                <w:rFonts w:ascii="宋体" w:hAnsi="宋体" w:cs="宋体"/>
                <w:sz w:val="24"/>
              </w:rPr>
              <w:t>分；在此基础上，另提供1个符合要求的获奖，另得</w:t>
            </w:r>
            <w:r>
              <w:rPr>
                <w:rFonts w:hint="eastAsia" w:ascii="宋体" w:hAnsi="宋体" w:cs="宋体"/>
                <w:sz w:val="24"/>
                <w:lang w:val="en-US" w:eastAsia="zh-CN"/>
              </w:rPr>
              <w:t>2</w:t>
            </w:r>
            <w:r>
              <w:rPr>
                <w:rFonts w:ascii="宋体" w:hAnsi="宋体" w:cs="宋体"/>
                <w:sz w:val="24"/>
              </w:rPr>
              <w:t>分，最多另得</w:t>
            </w:r>
            <w:r>
              <w:rPr>
                <w:rFonts w:hint="eastAsia" w:ascii="宋体" w:hAnsi="宋体" w:cs="宋体"/>
                <w:sz w:val="24"/>
                <w:lang w:val="en-US" w:eastAsia="zh-CN"/>
              </w:rPr>
              <w:t>2</w:t>
            </w:r>
            <w:r>
              <w:rPr>
                <w:rFonts w:ascii="宋体" w:hAnsi="宋体" w:cs="宋体"/>
                <w:sz w:val="24"/>
              </w:rPr>
              <w:t>分。</w:t>
            </w:r>
            <w:r>
              <w:rPr>
                <w:rFonts w:ascii="宋体" w:hAnsi="宋体" w:cs="宋体"/>
                <w:sz w:val="24"/>
              </w:rPr>
              <w:br w:type="textWrapping"/>
            </w:r>
            <w:r>
              <w:rPr>
                <w:rFonts w:ascii="宋体" w:hAnsi="宋体" w:cs="宋体"/>
                <w:sz w:val="24"/>
              </w:rPr>
              <w:t>本</w:t>
            </w:r>
            <w:r>
              <w:rPr>
                <w:rFonts w:hint="eastAsia" w:ascii="宋体" w:hAnsi="宋体" w:cs="宋体"/>
                <w:sz w:val="24"/>
              </w:rPr>
              <w:t>小</w:t>
            </w:r>
            <w:r>
              <w:rPr>
                <w:rFonts w:ascii="宋体" w:hAnsi="宋体" w:cs="宋体"/>
                <w:sz w:val="24"/>
              </w:rPr>
              <w:t>项满分</w:t>
            </w:r>
            <w:r>
              <w:rPr>
                <w:rFonts w:hint="eastAsia" w:ascii="宋体" w:hAnsi="宋体" w:cs="宋体"/>
                <w:sz w:val="24"/>
                <w:lang w:val="en-US" w:eastAsia="zh-CN"/>
              </w:rPr>
              <w:t>5</w:t>
            </w:r>
            <w:r>
              <w:rPr>
                <w:rFonts w:ascii="宋体" w:hAnsi="宋体" w:cs="宋体"/>
                <w:sz w:val="24"/>
              </w:rPr>
              <w:t>分。</w:t>
            </w:r>
            <w:r>
              <w:rPr>
                <w:rFonts w:hint="eastAsia" w:ascii="宋体" w:hAnsi="宋体" w:cs="宋体"/>
                <w:color w:val="FF0000"/>
                <w:kern w:val="0"/>
                <w:sz w:val="24"/>
              </w:rPr>
              <w:t>注：</w:t>
            </w:r>
          </w:p>
          <w:p w14:paraId="660C7A3F">
            <w:pPr>
              <w:spacing w:line="400" w:lineRule="exact"/>
              <w:rPr>
                <w:rFonts w:hint="eastAsia" w:ascii="宋体" w:hAnsi="宋体" w:cs="宋体"/>
                <w:color w:val="FF0000"/>
                <w:kern w:val="0"/>
                <w:sz w:val="24"/>
              </w:rPr>
            </w:pPr>
            <w:r>
              <w:rPr>
                <w:rFonts w:hint="eastAsia" w:ascii="宋体" w:hAnsi="宋体" w:cs="宋体"/>
                <w:color w:val="FF0000"/>
                <w:kern w:val="0"/>
                <w:sz w:val="24"/>
              </w:rPr>
              <w:t>(1)投标文件中须附获奖证书(或获奖文件或表彰文件)复印件(或影印件)或官方网站发布文件截图，否则评委会不予计分，(2)认定时间以获奖证书(或获奖文件或表彰文件)上的盖章落款时间或官方网站文件发布时间为准如没有落款时间或官方网站文件发布时间，评委会不予计分。</w:t>
            </w:r>
          </w:p>
          <w:p w14:paraId="6907D5E4">
            <w:pPr>
              <w:spacing w:line="400" w:lineRule="exact"/>
              <w:rPr>
                <w:rFonts w:hint="eastAsia" w:ascii="宋体" w:hAnsi="宋体" w:cs="宋体"/>
                <w:color w:val="FF0000"/>
                <w:kern w:val="0"/>
                <w:sz w:val="24"/>
              </w:rPr>
            </w:pPr>
            <w:r>
              <w:rPr>
                <w:rFonts w:hint="eastAsia" w:ascii="宋体" w:hAnsi="宋体" w:cs="宋体"/>
                <w:color w:val="FF0000"/>
                <w:kern w:val="0"/>
                <w:sz w:val="24"/>
              </w:rPr>
              <w:t>3)若获奖证书或表彰文件无法体现企业名称，则投标文件中须附监理合同等能体现企业名称的证明材料复印件(或影印件)，否则评委会不予计分</w:t>
            </w:r>
          </w:p>
          <w:p w14:paraId="260FD965">
            <w:pPr>
              <w:spacing w:line="400" w:lineRule="exact"/>
              <w:rPr>
                <w:rFonts w:hint="eastAsia" w:ascii="宋体" w:hAnsi="宋体" w:cs="宋体"/>
                <w:color w:val="FF0000"/>
                <w:kern w:val="0"/>
                <w:sz w:val="24"/>
              </w:rPr>
            </w:pPr>
            <w:r>
              <w:rPr>
                <w:rFonts w:hint="eastAsia" w:ascii="宋体" w:hAnsi="宋体" w:cs="宋体"/>
                <w:color w:val="FF0000"/>
                <w:kern w:val="0"/>
                <w:sz w:val="24"/>
              </w:rPr>
              <w:t>(4)同一项目获奖以最高奖项计分，不同项目获奖可累计加分。</w:t>
            </w:r>
          </w:p>
          <w:p w14:paraId="5B8F04A9">
            <w:pPr>
              <w:spacing w:line="400" w:lineRule="exact"/>
              <w:rPr>
                <w:rFonts w:ascii="宋体" w:hAnsi="宋体" w:cs="宋体"/>
                <w:bCs/>
                <w:kern w:val="0"/>
                <w:sz w:val="24"/>
              </w:rPr>
            </w:pPr>
            <w:r>
              <w:rPr>
                <w:rFonts w:hint="eastAsia" w:ascii="宋体" w:hAnsi="宋体" w:cs="宋体"/>
                <w:color w:val="FF0000"/>
                <w:kern w:val="0"/>
                <w:sz w:val="24"/>
              </w:rPr>
              <w:t>5)未提供的或提供不符合要求的，不予计分</w:t>
            </w:r>
          </w:p>
        </w:tc>
        <w:tc>
          <w:tcPr>
            <w:tcW w:w="1523" w:type="dxa"/>
            <w:tcBorders>
              <w:top w:val="single" w:color="auto" w:sz="4" w:space="0"/>
              <w:left w:val="single" w:color="auto" w:sz="4" w:space="0"/>
              <w:bottom w:val="single" w:color="auto" w:sz="4" w:space="0"/>
              <w:right w:val="single" w:color="auto" w:sz="4" w:space="0"/>
            </w:tcBorders>
            <w:vAlign w:val="center"/>
          </w:tcPr>
          <w:p w14:paraId="7F2A4FE5">
            <w:pPr>
              <w:widowControl/>
              <w:spacing w:line="400" w:lineRule="exact"/>
              <w:jc w:val="center"/>
              <w:rPr>
                <w:rFonts w:ascii="宋体" w:hAnsi="宋体" w:cs="宋体"/>
                <w:sz w:val="24"/>
              </w:rPr>
            </w:pPr>
            <w:r>
              <w:rPr>
                <w:rFonts w:hint="eastAsia" w:ascii="宋体" w:hAnsi="宋体"/>
                <w:bCs/>
                <w:kern w:val="0"/>
                <w:sz w:val="24"/>
                <w:lang w:val="en-US" w:eastAsia="zh-CN"/>
              </w:rPr>
              <w:t>5</w:t>
            </w:r>
            <w:r>
              <w:rPr>
                <w:rFonts w:hint="eastAsia" w:ascii="宋体" w:hAnsi="宋体"/>
                <w:bCs/>
                <w:kern w:val="0"/>
                <w:sz w:val="24"/>
              </w:rPr>
              <w:t>分</w:t>
            </w:r>
          </w:p>
        </w:tc>
      </w:tr>
      <w:tr w14:paraId="4FE5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54" w:type="dxa"/>
            <w:gridSpan w:val="5"/>
            <w:tcBorders>
              <w:top w:val="single" w:color="auto" w:sz="4" w:space="0"/>
              <w:left w:val="single" w:color="auto" w:sz="4" w:space="0"/>
              <w:bottom w:val="single" w:color="auto" w:sz="4" w:space="0"/>
              <w:right w:val="single" w:color="auto" w:sz="4" w:space="0"/>
            </w:tcBorders>
            <w:vAlign w:val="center"/>
          </w:tcPr>
          <w:p w14:paraId="77543346">
            <w:pPr>
              <w:spacing w:line="400" w:lineRule="exact"/>
              <w:rPr>
                <w:rFonts w:ascii="宋体" w:hAnsi="宋体"/>
                <w:b/>
                <w:bCs/>
                <w:color w:val="FF0000"/>
                <w:sz w:val="24"/>
              </w:rPr>
            </w:pPr>
            <w:r>
              <w:rPr>
                <w:b/>
                <w:sz w:val="24"/>
                <w:highlight w:val="green"/>
              </w:rPr>
              <w:t>注：</w:t>
            </w:r>
            <w:r>
              <w:rPr>
                <w:rFonts w:hint="eastAsia"/>
                <w:b/>
                <w:sz w:val="24"/>
                <w:highlight w:val="green"/>
              </w:rPr>
              <w:t>以上所述协会必须为“中国社会组织政务服务平台”公布的协会，评审时仅以开标当日"中国社会组织政务服务平台"网站公布的协会为准，该平台上查询不到的，评委会不予计分。</w:t>
            </w:r>
            <w:r>
              <w:rPr>
                <w:rFonts w:hint="eastAsia" w:ascii="宋体" w:hAnsi="宋体" w:cs="宋体"/>
                <w:sz w:val="24"/>
                <w:highlight w:val="green"/>
              </w:rPr>
              <w:t>若协会名称有发生变更的，请投标人在投标文件中说明变更后的名称，未附说明导致查询不到，或者附了说明但变更后的名称仍查询不到的，评委会不予计分。</w:t>
            </w:r>
          </w:p>
        </w:tc>
      </w:tr>
      <w:tr w14:paraId="0756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65" w:type="dxa"/>
            <w:tcBorders>
              <w:top w:val="single" w:color="auto" w:sz="4" w:space="0"/>
              <w:left w:val="single" w:color="auto" w:sz="4" w:space="0"/>
              <w:bottom w:val="single" w:color="auto" w:sz="4" w:space="0"/>
              <w:right w:val="single" w:color="auto" w:sz="4" w:space="0"/>
            </w:tcBorders>
            <w:vAlign w:val="center"/>
          </w:tcPr>
          <w:p w14:paraId="04C51F77">
            <w:pPr>
              <w:snapToGrid w:val="0"/>
              <w:spacing w:line="400" w:lineRule="exact"/>
              <w:jc w:val="center"/>
              <w:rPr>
                <w:rFonts w:ascii="宋体" w:hAnsi="宋体"/>
                <w:bCs/>
                <w:color w:val="000000"/>
                <w:sz w:val="24"/>
              </w:rPr>
            </w:pPr>
            <w:r>
              <w:rPr>
                <w:rFonts w:hint="eastAsia" w:ascii="宋体" w:hAnsi="宋体"/>
                <w:bCs/>
                <w:color w:val="000000"/>
                <w:sz w:val="24"/>
              </w:rPr>
              <w:t>2.2.4</w:t>
            </w:r>
          </w:p>
        </w:tc>
        <w:tc>
          <w:tcPr>
            <w:tcW w:w="2273" w:type="dxa"/>
            <w:gridSpan w:val="2"/>
            <w:tcBorders>
              <w:top w:val="single" w:color="auto" w:sz="4" w:space="0"/>
              <w:left w:val="single" w:color="auto" w:sz="4" w:space="0"/>
              <w:bottom w:val="single" w:color="auto" w:sz="4" w:space="0"/>
              <w:right w:val="single" w:color="auto" w:sz="4" w:space="0"/>
            </w:tcBorders>
            <w:vAlign w:val="center"/>
          </w:tcPr>
          <w:p w14:paraId="6694A6B5">
            <w:pPr>
              <w:snapToGrid w:val="0"/>
              <w:spacing w:line="400" w:lineRule="exact"/>
              <w:jc w:val="center"/>
              <w:rPr>
                <w:rFonts w:ascii="宋体" w:hAnsi="宋体"/>
                <w:bCs/>
                <w:color w:val="000000"/>
                <w:sz w:val="24"/>
              </w:rPr>
            </w:pPr>
            <w:r>
              <w:rPr>
                <w:rFonts w:hint="eastAsia" w:ascii="宋体" w:hAnsi="宋体" w:cs="宋体"/>
                <w:sz w:val="24"/>
              </w:rPr>
              <w:t>投标报价评分标准</w:t>
            </w:r>
          </w:p>
        </w:tc>
        <w:tc>
          <w:tcPr>
            <w:tcW w:w="6616" w:type="dxa"/>
            <w:gridSpan w:val="2"/>
            <w:tcBorders>
              <w:top w:val="single" w:color="auto" w:sz="4" w:space="0"/>
              <w:left w:val="single" w:color="auto" w:sz="4" w:space="0"/>
              <w:bottom w:val="single" w:color="auto" w:sz="4" w:space="0"/>
              <w:right w:val="single" w:color="auto" w:sz="4" w:space="0"/>
            </w:tcBorders>
            <w:vAlign w:val="center"/>
          </w:tcPr>
          <w:p w14:paraId="5385BFAC">
            <w:pPr>
              <w:snapToGrid w:val="0"/>
              <w:spacing w:line="400" w:lineRule="exact"/>
              <w:rPr>
                <w:rStyle w:val="70"/>
                <w:rFonts w:ascii="宋体" w:hAnsi="宋体"/>
                <w:color w:val="000000"/>
                <w:kern w:val="0"/>
                <w:sz w:val="24"/>
              </w:rPr>
            </w:pPr>
            <w:r>
              <w:rPr>
                <w:rStyle w:val="70"/>
                <w:rFonts w:hint="eastAsia" w:ascii="宋体" w:hAnsi="宋体"/>
                <w:color w:val="000000"/>
                <w:kern w:val="0"/>
                <w:sz w:val="24"/>
              </w:rPr>
              <w:t>1、评标委员会对通过“评标办法”初步审查标准的投标人的投标总报价进行评审，发现投标人的投标总报价高于最高投标限价的，为无效投标报价，其投标文件作无效标处理，且不参与评标基准价的计算。</w:t>
            </w:r>
          </w:p>
          <w:p w14:paraId="5E59AA5C">
            <w:pPr>
              <w:snapToGrid w:val="0"/>
              <w:spacing w:line="400" w:lineRule="exact"/>
              <w:rPr>
                <w:rStyle w:val="70"/>
                <w:rFonts w:ascii="宋体" w:hAnsi="宋体"/>
                <w:color w:val="000000"/>
                <w:kern w:val="0"/>
                <w:sz w:val="24"/>
              </w:rPr>
            </w:pPr>
            <w:r>
              <w:rPr>
                <w:rStyle w:val="70"/>
                <w:rFonts w:hint="eastAsia" w:ascii="宋体" w:hAnsi="宋体"/>
                <w:color w:val="000000"/>
                <w:kern w:val="0"/>
                <w:sz w:val="24"/>
              </w:rPr>
              <w:t>2、在评审过程中，评标委员会发现投标人的投标总报价明显低于其他投标人所报的投标总报价，使得其投标总报价可能低于其个别成本的，应当要求该投标人作出说明并提供相应的证明材料。投标人不能合理说明或不能提供相应证明材料或提供了说明及证明材料但评委会不予认可的，由评标委员会认定该投标人以低于成本报价竞标，否决其投标，且不参与评标基准价的计算。</w:t>
            </w:r>
          </w:p>
          <w:p w14:paraId="64F77A0D">
            <w:pPr>
              <w:snapToGrid w:val="0"/>
              <w:spacing w:line="400" w:lineRule="exact"/>
              <w:rPr>
                <w:rStyle w:val="70"/>
                <w:rFonts w:ascii="宋体" w:hAnsi="宋体"/>
                <w:color w:val="000000"/>
                <w:kern w:val="0"/>
                <w:sz w:val="24"/>
                <w:highlight w:val="yellow"/>
              </w:rPr>
            </w:pPr>
            <w:r>
              <w:rPr>
                <w:rStyle w:val="70"/>
                <w:rFonts w:hint="eastAsia" w:ascii="宋体" w:hAnsi="宋体"/>
                <w:color w:val="000000"/>
                <w:kern w:val="0"/>
                <w:sz w:val="24"/>
                <w:highlight w:val="yellow"/>
              </w:rPr>
              <w:t>3、以通过初步审查标准和报价评审要求的各有效投标人的有效投标总报价的算术平均值作为评标基准价。投标总报价与评标基准价相同的投标人，得满分</w:t>
            </w:r>
            <w:r>
              <w:rPr>
                <w:rStyle w:val="70"/>
                <w:rFonts w:hint="eastAsia" w:ascii="宋体" w:hAnsi="宋体"/>
                <w:color w:val="FF0000"/>
                <w:kern w:val="0"/>
                <w:sz w:val="24"/>
                <w:highlight w:val="yellow"/>
                <w:lang w:val="en-US" w:eastAsia="zh-CN"/>
              </w:rPr>
              <w:t>2</w:t>
            </w:r>
            <w:r>
              <w:rPr>
                <w:rStyle w:val="70"/>
                <w:rFonts w:ascii="宋体" w:hAnsi="宋体"/>
                <w:color w:val="FF0000"/>
                <w:kern w:val="0"/>
                <w:sz w:val="24"/>
                <w:highlight w:val="yellow"/>
              </w:rPr>
              <w:t>0</w:t>
            </w:r>
            <w:r>
              <w:rPr>
                <w:rStyle w:val="70"/>
                <w:rFonts w:hint="eastAsia" w:ascii="宋体" w:hAnsi="宋体"/>
                <w:color w:val="000000"/>
                <w:kern w:val="0"/>
                <w:sz w:val="24"/>
                <w:highlight w:val="yellow"/>
              </w:rPr>
              <w:t>分；其他投标人的投标总报价每高于评标基准价一个百分点扣</w:t>
            </w:r>
            <w:r>
              <w:rPr>
                <w:rStyle w:val="70"/>
                <w:rFonts w:hint="eastAsia" w:ascii="宋体" w:hAnsi="宋体"/>
                <w:color w:val="FF0000"/>
                <w:kern w:val="0"/>
                <w:sz w:val="24"/>
                <w:highlight w:val="yellow"/>
                <w:lang w:val="en-US" w:eastAsia="zh-CN"/>
              </w:rPr>
              <w:t>0.2</w:t>
            </w:r>
            <w:r>
              <w:rPr>
                <w:rStyle w:val="70"/>
                <w:rFonts w:hint="eastAsia" w:ascii="宋体" w:hAnsi="宋体"/>
                <w:color w:val="000000"/>
                <w:kern w:val="0"/>
                <w:sz w:val="24"/>
                <w:highlight w:val="yellow"/>
              </w:rPr>
              <w:t>分；其他投标人的投标总报价每低于评标基准价一个百分点扣</w:t>
            </w:r>
            <w:r>
              <w:rPr>
                <w:rStyle w:val="70"/>
                <w:rFonts w:hint="eastAsia" w:ascii="宋体" w:hAnsi="宋体"/>
                <w:color w:val="FF0000"/>
                <w:kern w:val="0"/>
                <w:sz w:val="24"/>
                <w:highlight w:val="yellow"/>
                <w:lang w:val="en-US" w:eastAsia="zh-CN"/>
              </w:rPr>
              <w:t>0.1</w:t>
            </w:r>
            <w:r>
              <w:rPr>
                <w:rStyle w:val="70"/>
                <w:rFonts w:hint="eastAsia" w:ascii="宋体" w:hAnsi="宋体"/>
                <w:color w:val="000000"/>
                <w:kern w:val="0"/>
                <w:sz w:val="24"/>
                <w:highlight w:val="yellow"/>
              </w:rPr>
              <w:t>分；本项扣完为止（不得负分）。中间值按比例内插，得分保留至小数点后两位数，第三位四舍五入。（评标基准价一经评委会确定，不再因任何情况而改变）</w:t>
            </w:r>
          </w:p>
          <w:p w14:paraId="5B9FB82C">
            <w:pPr>
              <w:snapToGrid w:val="0"/>
              <w:spacing w:line="400" w:lineRule="exact"/>
              <w:rPr>
                <w:rStyle w:val="70"/>
                <w:rFonts w:ascii="宋体" w:hAnsi="宋体"/>
                <w:color w:val="000000"/>
                <w:kern w:val="0"/>
                <w:sz w:val="24"/>
                <w:highlight w:val="yellow"/>
              </w:rPr>
            </w:pPr>
            <w:r>
              <w:rPr>
                <w:rStyle w:val="70"/>
                <w:rFonts w:hint="eastAsia" w:ascii="宋体" w:hAnsi="宋体"/>
                <w:color w:val="000000"/>
                <w:kern w:val="0"/>
                <w:sz w:val="24"/>
                <w:highlight w:val="yellow"/>
              </w:rPr>
              <w:t>其他投标人的投标总报价得分计算方法如下：</w:t>
            </w:r>
          </w:p>
          <w:p w14:paraId="28A8F17C">
            <w:pPr>
              <w:snapToGrid w:val="0"/>
              <w:spacing w:line="400" w:lineRule="exact"/>
              <w:rPr>
                <w:rStyle w:val="70"/>
                <w:rFonts w:hint="eastAsia" w:ascii="宋体" w:hAnsi="宋体" w:eastAsia="宋体"/>
                <w:color w:val="000000"/>
                <w:kern w:val="0"/>
                <w:sz w:val="24"/>
                <w:highlight w:val="yellow"/>
                <w:lang w:eastAsia="zh-CN"/>
              </w:rPr>
            </w:pPr>
            <w:r>
              <w:rPr>
                <w:rStyle w:val="70"/>
                <w:rFonts w:hint="eastAsia" w:ascii="宋体" w:hAnsi="宋体"/>
                <w:color w:val="000000"/>
                <w:kern w:val="0"/>
                <w:sz w:val="24"/>
                <w:highlight w:val="yellow"/>
              </w:rPr>
              <w:t>其他投标人的投标总报价高于评标基准价的，得分=</w:t>
            </w:r>
            <w:r>
              <w:rPr>
                <w:rStyle w:val="70"/>
                <w:rFonts w:hint="eastAsia" w:ascii="宋体" w:hAnsi="宋体"/>
                <w:color w:val="FF0000"/>
                <w:kern w:val="0"/>
                <w:sz w:val="24"/>
                <w:highlight w:val="yellow"/>
                <w:lang w:val="en-US" w:eastAsia="zh-CN"/>
              </w:rPr>
              <w:t>20</w:t>
            </w:r>
            <w:r>
              <w:rPr>
                <w:rStyle w:val="70"/>
                <w:rFonts w:hint="eastAsia" w:ascii="宋体" w:hAnsi="宋体"/>
                <w:color w:val="000000"/>
                <w:kern w:val="0"/>
                <w:sz w:val="24"/>
                <w:highlight w:val="yellow"/>
              </w:rPr>
              <w:t>-[（投标总报价-评标基准价）/评标基准价]×100×</w:t>
            </w:r>
            <w:r>
              <w:rPr>
                <w:rStyle w:val="70"/>
                <w:rFonts w:hint="eastAsia" w:ascii="宋体" w:hAnsi="宋体"/>
                <w:color w:val="FF0000"/>
                <w:kern w:val="0"/>
                <w:sz w:val="24"/>
                <w:highlight w:val="yellow"/>
                <w:lang w:val="en-US" w:eastAsia="zh-CN"/>
              </w:rPr>
              <w:t>0.2</w:t>
            </w:r>
          </w:p>
          <w:p w14:paraId="4EF9FBFD">
            <w:pPr>
              <w:snapToGrid w:val="0"/>
              <w:spacing w:line="400" w:lineRule="exact"/>
              <w:rPr>
                <w:rFonts w:hint="eastAsia" w:ascii="宋体" w:hAnsi="宋体" w:eastAsia="宋体"/>
                <w:bCs/>
                <w:color w:val="000000"/>
                <w:sz w:val="24"/>
                <w:lang w:eastAsia="zh-CN"/>
              </w:rPr>
            </w:pPr>
            <w:r>
              <w:rPr>
                <w:rStyle w:val="70"/>
                <w:rFonts w:hint="eastAsia" w:ascii="宋体" w:hAnsi="宋体"/>
                <w:color w:val="000000"/>
                <w:kern w:val="0"/>
                <w:sz w:val="24"/>
                <w:highlight w:val="yellow"/>
              </w:rPr>
              <w:t>其他投标人的投标总报价低于评标基准价的，得分=</w:t>
            </w:r>
            <w:r>
              <w:rPr>
                <w:rStyle w:val="70"/>
                <w:rFonts w:hint="eastAsia" w:ascii="宋体" w:hAnsi="宋体"/>
                <w:color w:val="000000"/>
                <w:kern w:val="0"/>
                <w:sz w:val="24"/>
                <w:highlight w:val="yellow"/>
                <w:lang w:val="en-US" w:eastAsia="zh-CN"/>
              </w:rPr>
              <w:t>2</w:t>
            </w:r>
            <w:r>
              <w:rPr>
                <w:rStyle w:val="70"/>
                <w:rFonts w:ascii="宋体" w:hAnsi="宋体"/>
                <w:color w:val="000000"/>
                <w:kern w:val="0"/>
                <w:sz w:val="24"/>
                <w:highlight w:val="yellow"/>
              </w:rPr>
              <w:t>0</w:t>
            </w:r>
            <w:r>
              <w:rPr>
                <w:rStyle w:val="70"/>
                <w:rFonts w:hint="eastAsia" w:ascii="宋体" w:hAnsi="宋体"/>
                <w:color w:val="000000"/>
                <w:kern w:val="0"/>
                <w:sz w:val="24"/>
                <w:highlight w:val="yellow"/>
              </w:rPr>
              <w:t>-[（评标基准价-投标总报价）/评标基准价]×100×</w:t>
            </w:r>
            <w:r>
              <w:rPr>
                <w:rStyle w:val="70"/>
                <w:rFonts w:hint="eastAsia" w:ascii="宋体" w:hAnsi="宋体"/>
                <w:color w:val="FF0000"/>
                <w:kern w:val="0"/>
                <w:sz w:val="24"/>
                <w:highlight w:val="yellow"/>
                <w:lang w:val="en-US" w:eastAsia="zh-CN"/>
              </w:rPr>
              <w:t>0.1</w:t>
            </w:r>
          </w:p>
        </w:tc>
      </w:tr>
      <w:tr w14:paraId="72D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854" w:type="dxa"/>
            <w:gridSpan w:val="5"/>
            <w:tcBorders>
              <w:top w:val="single" w:color="auto" w:sz="4" w:space="0"/>
              <w:left w:val="single" w:color="auto" w:sz="4" w:space="0"/>
              <w:bottom w:val="single" w:color="auto" w:sz="4" w:space="0"/>
              <w:right w:val="single" w:color="auto" w:sz="4" w:space="0"/>
            </w:tcBorders>
            <w:vAlign w:val="center"/>
          </w:tcPr>
          <w:p w14:paraId="1D77A883">
            <w:pPr>
              <w:spacing w:line="400" w:lineRule="exact"/>
              <w:ind w:firstLine="482" w:firstLineChars="200"/>
              <w:jc w:val="center"/>
              <w:rPr>
                <w:rFonts w:ascii="宋体" w:hAnsi="宋体"/>
                <w:b/>
                <w:spacing w:val="-6"/>
                <w:sz w:val="24"/>
              </w:rPr>
            </w:pPr>
            <w:r>
              <w:rPr>
                <w:rFonts w:hint="eastAsia" w:ascii="宋体" w:hAnsi="宋体"/>
                <w:b/>
                <w:sz w:val="24"/>
              </w:rPr>
              <w:t>推荐</w:t>
            </w:r>
            <w:r>
              <w:rPr>
                <w:rFonts w:hint="eastAsia" w:ascii="宋体" w:hAnsi="宋体"/>
                <w:b/>
                <w:sz w:val="24"/>
                <w:highlight w:val="yellow"/>
              </w:rPr>
              <w:t>定</w:t>
            </w:r>
            <w:r>
              <w:rPr>
                <w:rFonts w:hint="eastAsia" w:ascii="宋体" w:hAnsi="宋体"/>
                <w:b/>
                <w:sz w:val="24"/>
              </w:rPr>
              <w:t>标候选人原则及摇号</w:t>
            </w:r>
            <w:r>
              <w:rPr>
                <w:rFonts w:hint="eastAsia" w:ascii="宋体" w:hAnsi="宋体"/>
                <w:b/>
                <w:spacing w:val="-6"/>
                <w:sz w:val="24"/>
              </w:rPr>
              <w:t>程序</w:t>
            </w:r>
          </w:p>
          <w:p w14:paraId="7100AA3C">
            <w:pPr>
              <w:spacing w:line="400" w:lineRule="exact"/>
              <w:rPr>
                <w:rFonts w:ascii="宋体" w:hAnsi="宋体"/>
                <w:sz w:val="24"/>
              </w:rPr>
            </w:pPr>
            <w:r>
              <w:rPr>
                <w:rFonts w:hint="eastAsia" w:ascii="宋体" w:hAnsi="宋体"/>
                <w:sz w:val="24"/>
              </w:rPr>
              <w:t>1、推荐</w:t>
            </w:r>
            <w:r>
              <w:rPr>
                <w:rFonts w:hint="eastAsia" w:ascii="宋体" w:hAnsi="宋体"/>
                <w:sz w:val="24"/>
                <w:highlight w:val="yellow"/>
              </w:rPr>
              <w:t>定</w:t>
            </w:r>
            <w:r>
              <w:rPr>
                <w:rFonts w:hint="eastAsia" w:ascii="宋体" w:hAnsi="宋体"/>
                <w:sz w:val="24"/>
              </w:rPr>
              <w:t>标候选人原则：</w:t>
            </w:r>
            <w:r>
              <w:rPr>
                <w:rFonts w:hint="eastAsia" w:ascii="宋体" w:hAnsi="宋体"/>
                <w:color w:val="FF0000"/>
                <w:sz w:val="24"/>
              </w:rPr>
              <w:t>各个评委对通过“初步评审表”2.1.1条、2.1.2条、2.1.3条评审</w:t>
            </w:r>
            <w:r>
              <w:rPr>
                <w:rFonts w:hint="eastAsia" w:ascii="宋体" w:hAnsi="宋体"/>
                <w:b/>
                <w:color w:val="FF0000"/>
                <w:sz w:val="24"/>
              </w:rPr>
              <w:t>及围串标</w:t>
            </w:r>
            <w:r>
              <w:rPr>
                <w:rFonts w:hint="eastAsia" w:ascii="宋体" w:hAnsi="宋体"/>
                <w:color w:val="FF0000"/>
                <w:sz w:val="24"/>
              </w:rPr>
              <w:t>标准的投标人逐项进行详细评审并评分，并按投标人最终得分由高到低依次</w:t>
            </w:r>
            <w:r>
              <w:rPr>
                <w:rFonts w:hint="eastAsia" w:ascii="宋体" w:hAnsi="宋体"/>
                <w:color w:val="FF0000"/>
                <w:sz w:val="24"/>
                <w:highlight w:val="green"/>
              </w:rPr>
              <w:t>推荐定标候选人（推荐数量见第二章“投标人须知前附表”）</w:t>
            </w:r>
            <w:r>
              <w:rPr>
                <w:rFonts w:hint="eastAsia" w:ascii="宋体" w:hAnsi="宋体"/>
                <w:color w:val="FF0000"/>
                <w:sz w:val="24"/>
              </w:rPr>
              <w:t>。若投标人最终得分相同的，按照投标报价由低到高推荐。最终得分及投标报价均相同的，按“监理管理文件（监理大纲）”得分由高到低推荐。若最终得分、投标报价及“监理管理文件（监理大纲）”得分均相同的，则通过摇号方式推荐定标候选人。</w:t>
            </w:r>
          </w:p>
          <w:p w14:paraId="6B0EEDA8">
            <w:pPr>
              <w:spacing w:line="400" w:lineRule="exact"/>
              <w:rPr>
                <w:rFonts w:ascii="宋体" w:hAnsi="宋体"/>
                <w:sz w:val="24"/>
              </w:rPr>
            </w:pPr>
            <w:r>
              <w:rPr>
                <w:rFonts w:hint="eastAsia" w:ascii="宋体" w:hAnsi="宋体"/>
                <w:sz w:val="24"/>
              </w:rPr>
              <w:t>（投标人最终得分汇总办法为：各评委对每一个投标人的每一个指标项打分，将每一指标项得分相加得出该投标人总得分；汇总全体评委的评分表，并求出某一投标人的得分平均值，保留至小数点后两位数，第三位四舍五入，即得到该投标人的最终得分。）</w:t>
            </w:r>
          </w:p>
          <w:p w14:paraId="220145E7">
            <w:pPr>
              <w:spacing w:line="440" w:lineRule="exact"/>
              <w:rPr>
                <w:rFonts w:ascii="宋体" w:hAnsi="宋体"/>
                <w:b/>
                <w:sz w:val="24"/>
              </w:rPr>
            </w:pPr>
            <w:r>
              <w:rPr>
                <w:rFonts w:hint="eastAsia" w:ascii="宋体" w:hAnsi="宋体"/>
                <w:b/>
                <w:sz w:val="24"/>
              </w:rPr>
              <w:t>摇号程序为：</w:t>
            </w:r>
          </w:p>
          <w:p w14:paraId="506559B5">
            <w:pPr>
              <w:spacing w:line="440" w:lineRule="exact"/>
              <w:ind w:firstLine="480" w:firstLineChars="200"/>
              <w:rPr>
                <w:rFonts w:ascii="宋体" w:hAnsi="宋体"/>
                <w:sz w:val="24"/>
              </w:rPr>
            </w:pPr>
            <w:r>
              <w:rPr>
                <w:rFonts w:hint="eastAsia" w:ascii="宋体" w:hAnsi="宋体"/>
                <w:color w:val="FF0000"/>
                <w:sz w:val="24"/>
              </w:rPr>
              <w:t>最终得分、投标报价及“监理管理文件（监理大纲）”得分均相同的投标人，</w:t>
            </w:r>
            <w:r>
              <w:rPr>
                <w:rFonts w:hint="eastAsia" w:ascii="宋体" w:hAnsi="宋体"/>
                <w:sz w:val="24"/>
              </w:rPr>
              <w:t>按照</w:t>
            </w:r>
            <w:r>
              <w:rPr>
                <w:rFonts w:hint="eastAsia" w:ascii="宋体" w:hAnsi="宋体"/>
                <w:color w:val="FF0000"/>
                <w:sz w:val="24"/>
              </w:rPr>
              <w:t>不见面开标系统中“唱标”模块序号的先后顺序</w:t>
            </w:r>
            <w:r>
              <w:rPr>
                <w:rFonts w:hint="eastAsia" w:ascii="宋体" w:hAnsi="宋体"/>
                <w:sz w:val="24"/>
              </w:rPr>
              <w:t>进行摇号；</w:t>
            </w:r>
          </w:p>
          <w:p w14:paraId="3985F67E">
            <w:pPr>
              <w:spacing w:line="400" w:lineRule="exact"/>
              <w:ind w:firstLine="480"/>
              <w:rPr>
                <w:rFonts w:ascii="宋体" w:hAnsi="宋体"/>
                <w:sz w:val="24"/>
              </w:rPr>
            </w:pPr>
            <w:r>
              <w:rPr>
                <w:rFonts w:hint="eastAsia" w:ascii="宋体" w:hAnsi="宋体"/>
                <w:sz w:val="24"/>
              </w:rPr>
              <w:t>摇号程序：根据评标办法规定需采用在线抽取方式</w:t>
            </w:r>
            <w:r>
              <w:rPr>
                <w:rFonts w:hint="eastAsia" w:ascii="宋体" w:hAnsi="宋体"/>
                <w:sz w:val="24"/>
                <w:highlight w:val="green"/>
              </w:rPr>
              <w:t>推荐定标候选人，</w:t>
            </w:r>
            <w:r>
              <w:rPr>
                <w:rFonts w:hint="eastAsia" w:ascii="宋体" w:hAnsi="宋体"/>
                <w:sz w:val="24"/>
              </w:rPr>
              <w:t>程序为：</w:t>
            </w:r>
          </w:p>
          <w:p w14:paraId="715B535B">
            <w:pPr>
              <w:spacing w:line="400" w:lineRule="exact"/>
              <w:rPr>
                <w:rFonts w:ascii="宋体" w:hAnsi="宋体"/>
                <w:sz w:val="24"/>
              </w:rPr>
            </w:pPr>
            <w:r>
              <w:rPr>
                <w:rFonts w:hint="eastAsia" w:ascii="宋体" w:hAnsi="宋体"/>
                <w:sz w:val="24"/>
              </w:rPr>
              <w:t>1、按照不见面开标系统中“唱标”模块序号进行抽取，投标人的各自号码为“唱标”模块中对应的序号。</w:t>
            </w:r>
          </w:p>
          <w:p w14:paraId="30A60A11">
            <w:pPr>
              <w:spacing w:line="400" w:lineRule="exact"/>
              <w:rPr>
                <w:rFonts w:ascii="宋体" w:hAnsi="宋体"/>
                <w:sz w:val="24"/>
              </w:rPr>
            </w:pPr>
            <w:r>
              <w:rPr>
                <w:rFonts w:hint="eastAsia" w:ascii="宋体" w:hAnsi="宋体"/>
                <w:sz w:val="24"/>
              </w:rPr>
              <w:t>2、按照在线抽取的先后顺序推荐</w:t>
            </w:r>
            <w:r>
              <w:rPr>
                <w:rFonts w:hint="eastAsia" w:ascii="宋体" w:hAnsi="宋体"/>
                <w:sz w:val="24"/>
                <w:highlight w:val="green"/>
              </w:rPr>
              <w:t>定标</w:t>
            </w:r>
            <w:r>
              <w:rPr>
                <w:rFonts w:hint="eastAsia" w:ascii="宋体" w:hAnsi="宋体"/>
                <w:sz w:val="24"/>
              </w:rPr>
              <w:t>候选人，即先抽取到的号码优先推荐。</w:t>
            </w:r>
          </w:p>
          <w:p w14:paraId="27F3D795">
            <w:pPr>
              <w:spacing w:line="400" w:lineRule="exact"/>
              <w:rPr>
                <w:rFonts w:ascii="宋体" w:hAnsi="宋体"/>
                <w:sz w:val="24"/>
              </w:rPr>
            </w:pPr>
            <w:r>
              <w:rPr>
                <w:rFonts w:hint="eastAsia" w:ascii="宋体" w:hAnsi="宋体"/>
                <w:sz w:val="24"/>
              </w:rPr>
              <w:t>3、以上随机抽取程序由招标代理机构工作人员操作，交易中心见证。抽取全过程不见面开标系统直播。</w:t>
            </w:r>
          </w:p>
          <w:p w14:paraId="04A3D53B">
            <w:pPr>
              <w:spacing w:line="400" w:lineRule="exact"/>
              <w:rPr>
                <w:rFonts w:ascii="宋体" w:hAnsi="宋体"/>
                <w:sz w:val="24"/>
              </w:rPr>
            </w:pPr>
            <w:r>
              <w:rPr>
                <w:rFonts w:hint="eastAsia" w:ascii="宋体" w:hAnsi="宋体"/>
                <w:sz w:val="24"/>
              </w:rPr>
              <w:t>备注：该在线抽取服务已通过江苏省电子信息产品质量监督检验研究院(江苏省信息安全测评中心) 检测，认定抽取的结果具有随机且不可修改性。</w:t>
            </w:r>
          </w:p>
          <w:p w14:paraId="3C254439">
            <w:pPr>
              <w:spacing w:line="400" w:lineRule="exact"/>
              <w:rPr>
                <w:rFonts w:ascii="宋体" w:hAnsi="宋体"/>
                <w:sz w:val="24"/>
              </w:rPr>
            </w:pPr>
            <w:r>
              <w:rPr>
                <w:rFonts w:hint="eastAsia" w:ascii="宋体" w:hAnsi="宋体"/>
                <w:sz w:val="24"/>
              </w:rPr>
              <w:t>4、若因系统原因导致在线抽取服务无法正常进行的，由招标代理机构工作人员利用摇号机人工抽取。摇号机人工抽取方式:</w:t>
            </w:r>
          </w:p>
          <w:p w14:paraId="19917539">
            <w:pPr>
              <w:spacing w:line="400" w:lineRule="exact"/>
              <w:ind w:firstLine="480"/>
              <w:rPr>
                <w:rFonts w:ascii="宋体" w:hAnsi="宋体"/>
                <w:sz w:val="24"/>
              </w:rPr>
            </w:pPr>
            <w:r>
              <w:rPr>
                <w:rFonts w:hint="eastAsia" w:ascii="宋体" w:hAnsi="宋体"/>
                <w:sz w:val="24"/>
              </w:rPr>
              <w:t>摇号程序：</w:t>
            </w:r>
          </w:p>
          <w:p w14:paraId="708B8760">
            <w:pPr>
              <w:spacing w:line="400" w:lineRule="exact"/>
              <w:ind w:firstLine="480"/>
              <w:rPr>
                <w:rFonts w:ascii="宋体" w:hAnsi="宋体"/>
                <w:sz w:val="24"/>
              </w:rPr>
            </w:pPr>
            <w:r>
              <w:rPr>
                <w:rFonts w:hint="eastAsia" w:ascii="宋体" w:hAnsi="宋体"/>
                <w:sz w:val="24"/>
              </w:rPr>
              <w:t>①按照不见面开标系统中“唱标”模块序号的先后顺序进行摇号；</w:t>
            </w:r>
          </w:p>
          <w:p w14:paraId="21FA6442">
            <w:pPr>
              <w:spacing w:line="400" w:lineRule="exact"/>
              <w:ind w:firstLine="480"/>
              <w:rPr>
                <w:rFonts w:ascii="宋体" w:hAnsi="宋体"/>
                <w:sz w:val="24"/>
              </w:rPr>
            </w:pPr>
            <w:r>
              <w:rPr>
                <w:rFonts w:hint="eastAsia" w:ascii="宋体" w:hAnsi="宋体"/>
                <w:sz w:val="24"/>
              </w:rPr>
              <w:t>②</w:t>
            </w:r>
            <w:r>
              <w:rPr>
                <w:rFonts w:ascii="宋体" w:hAnsi="宋体"/>
                <w:sz w:val="24"/>
              </w:rPr>
              <w:t>在交易中心的监督下，由代理机构工作人员</w:t>
            </w:r>
            <w:r>
              <w:rPr>
                <w:rFonts w:hint="eastAsia" w:ascii="宋体" w:hAnsi="宋体"/>
                <w:sz w:val="24"/>
              </w:rPr>
              <w:t>随机摇出</w:t>
            </w:r>
            <w:r>
              <w:rPr>
                <w:rFonts w:ascii="宋体" w:hAnsi="宋体"/>
                <w:sz w:val="24"/>
              </w:rPr>
              <w:t>各</w:t>
            </w:r>
            <w:r>
              <w:rPr>
                <w:rFonts w:hint="eastAsia" w:ascii="宋体" w:hAnsi="宋体"/>
                <w:sz w:val="24"/>
              </w:rPr>
              <w:t>单位的号码；</w:t>
            </w:r>
          </w:p>
          <w:p w14:paraId="6EC0D301">
            <w:pPr>
              <w:spacing w:line="400" w:lineRule="exact"/>
              <w:ind w:firstLine="480"/>
              <w:rPr>
                <w:rFonts w:ascii="宋体" w:hAnsi="宋体"/>
                <w:sz w:val="24"/>
              </w:rPr>
            </w:pPr>
            <w:r>
              <w:rPr>
                <w:rFonts w:hint="eastAsia" w:ascii="宋体" w:hAnsi="宋体"/>
                <w:sz w:val="24"/>
              </w:rPr>
              <w:t>③放入摇号机的号码球数量=进入摇号程序的投标人数量+5。例：如进入摇号程序的投标人数量为2家，则放入摇号机的号码球数量为7个。每次投标人摇出的号码不再重新放入摇号机中进行摇号。</w:t>
            </w:r>
          </w:p>
          <w:p w14:paraId="7A295B7D">
            <w:pPr>
              <w:spacing w:line="400" w:lineRule="exact"/>
              <w:rPr>
                <w:rFonts w:ascii="宋体" w:hAnsi="宋体"/>
                <w:sz w:val="24"/>
              </w:rPr>
            </w:pPr>
            <w:r>
              <w:rPr>
                <w:rFonts w:hint="eastAsia" w:ascii="宋体" w:hAnsi="宋体"/>
                <w:sz w:val="24"/>
              </w:rPr>
              <w:t>④按摇出号码的大小，由大到小推荐定标候选人，即号码大的优先推荐。</w:t>
            </w:r>
          </w:p>
        </w:tc>
      </w:tr>
      <w:tr w14:paraId="1B7A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854" w:type="dxa"/>
            <w:gridSpan w:val="5"/>
            <w:tcBorders>
              <w:top w:val="single" w:color="auto" w:sz="4" w:space="0"/>
              <w:left w:val="single" w:color="auto" w:sz="4" w:space="0"/>
              <w:bottom w:val="single" w:color="auto" w:sz="4" w:space="0"/>
              <w:right w:val="single" w:color="auto" w:sz="4" w:space="0"/>
            </w:tcBorders>
            <w:vAlign w:val="center"/>
          </w:tcPr>
          <w:p w14:paraId="660CE49F">
            <w:pPr>
              <w:spacing w:line="400" w:lineRule="exact"/>
              <w:ind w:left="240" w:hanging="240" w:hangingChars="100"/>
              <w:rPr>
                <w:rFonts w:ascii="宋体" w:hAnsi="宋体"/>
                <w:sz w:val="24"/>
              </w:rPr>
            </w:pPr>
            <w:r>
              <w:rPr>
                <w:rFonts w:hint="eastAsia" w:ascii="宋体" w:hAnsi="宋体"/>
                <w:sz w:val="24"/>
              </w:rPr>
              <w:t>注：</w:t>
            </w:r>
          </w:p>
          <w:p w14:paraId="5233750C">
            <w:pPr>
              <w:spacing w:line="400" w:lineRule="exact"/>
              <w:ind w:left="240" w:hanging="240" w:hangingChars="100"/>
              <w:rPr>
                <w:rFonts w:ascii="宋体" w:hAnsi="宋体"/>
                <w:sz w:val="24"/>
                <w:u w:val="single"/>
              </w:rPr>
            </w:pPr>
            <w:r>
              <w:rPr>
                <w:rFonts w:hint="eastAsia" w:ascii="宋体" w:hAnsi="宋体"/>
                <w:sz w:val="24"/>
              </w:rPr>
              <w:t>1、评审标准中的“╳╳以上”，如果不另行说明,均不含“╳╳”。</w:t>
            </w:r>
          </w:p>
          <w:p w14:paraId="1CA470A2">
            <w:pPr>
              <w:spacing w:line="400" w:lineRule="exact"/>
              <w:rPr>
                <w:rFonts w:ascii="宋体" w:hAnsi="宋体"/>
                <w:sz w:val="24"/>
              </w:rPr>
            </w:pPr>
            <w:r>
              <w:rPr>
                <w:rFonts w:hint="eastAsia" w:ascii="宋体" w:hAnsi="宋体"/>
                <w:sz w:val="24"/>
              </w:rPr>
              <w:t>2、在</w:t>
            </w:r>
            <w:r>
              <w:rPr>
                <w:rFonts w:hint="eastAsia" w:ascii="宋体" w:hAnsi="宋体"/>
                <w:spacing w:val="-6"/>
                <w:sz w:val="24"/>
              </w:rPr>
              <w:t>评标过程中，报价小数点超过两位的均保留两位小数，</w:t>
            </w:r>
            <w:r>
              <w:rPr>
                <w:rFonts w:hint="eastAsia" w:ascii="宋体" w:hAnsi="宋体"/>
                <w:sz w:val="24"/>
              </w:rPr>
              <w:t>小数点后第三位四舍五入。第四位之后均舍去；对投标单位小数点修正后的报价即为投标单位的投标报价。</w:t>
            </w:r>
          </w:p>
          <w:p w14:paraId="215EFBC1">
            <w:pPr>
              <w:spacing w:line="400" w:lineRule="exact"/>
              <w:rPr>
                <w:rFonts w:ascii="宋体" w:hAnsi="宋体"/>
                <w:b/>
                <w:bCs/>
                <w:color w:val="FF0000"/>
                <w:sz w:val="24"/>
                <w:highlight w:val="yellow"/>
              </w:rPr>
            </w:pPr>
            <w:r>
              <w:rPr>
                <w:rFonts w:hint="eastAsia" w:ascii="宋体" w:hAnsi="宋体"/>
                <w:sz w:val="24"/>
              </w:rPr>
              <w:t>3、</w:t>
            </w:r>
            <w:r>
              <w:rPr>
                <w:rFonts w:hint="eastAsia" w:ascii="宋体" w:hAnsi="宋体"/>
                <w:bCs/>
                <w:sz w:val="24"/>
              </w:rPr>
              <w:t>详细评审标准中，如以百分比表述的在评审中均应折算成数字。</w:t>
            </w:r>
          </w:p>
        </w:tc>
      </w:tr>
      <w:bookmarkEnd w:id="55"/>
    </w:tbl>
    <w:p w14:paraId="102A9CA8">
      <w:pPr>
        <w:snapToGrid w:val="0"/>
        <w:spacing w:line="400" w:lineRule="exact"/>
        <w:rPr>
          <w:rFonts w:ascii="宋体" w:hAnsi="宋体"/>
          <w:sz w:val="24"/>
        </w:rPr>
      </w:pPr>
      <w:r>
        <w:rPr>
          <w:rFonts w:hint="eastAsia" w:ascii="宋体" w:hAnsi="宋体"/>
          <w:b/>
          <w:sz w:val="24"/>
        </w:rPr>
        <w:t>三、评标说明</w:t>
      </w:r>
    </w:p>
    <w:p w14:paraId="742443A6">
      <w:pPr>
        <w:snapToGrid w:val="0"/>
        <w:spacing w:line="400" w:lineRule="exact"/>
        <w:rPr>
          <w:rFonts w:ascii="宋体" w:hAnsi="宋体"/>
          <w:sz w:val="24"/>
        </w:rPr>
      </w:pPr>
      <w:r>
        <w:rPr>
          <w:rFonts w:hint="eastAsia" w:ascii="宋体" w:hAnsi="宋体"/>
          <w:sz w:val="24"/>
        </w:rPr>
        <w:t>1.</w:t>
      </w:r>
      <w:r>
        <w:rPr>
          <w:rFonts w:hint="eastAsia"/>
        </w:rPr>
        <w:t>本次评标采用</w:t>
      </w:r>
      <w:r>
        <w:rPr>
          <w:rFonts w:hint="eastAsia"/>
          <w:highlight w:val="yellow"/>
        </w:rPr>
        <w:t>综合评分法</w:t>
      </w:r>
      <w:r>
        <w:rPr>
          <w:rFonts w:hint="eastAsia"/>
        </w:rPr>
        <w:t>。</w:t>
      </w:r>
    </w:p>
    <w:p w14:paraId="33BD0DA0">
      <w:pPr>
        <w:tabs>
          <w:tab w:val="left" w:pos="432"/>
        </w:tabs>
        <w:spacing w:line="400" w:lineRule="exact"/>
        <w:rPr>
          <w:rFonts w:ascii="宋体" w:hAnsi="宋体"/>
          <w:sz w:val="24"/>
        </w:rPr>
      </w:pPr>
      <w:r>
        <w:rPr>
          <w:rFonts w:hint="eastAsia" w:ascii="宋体" w:hAnsi="宋体"/>
          <w:sz w:val="24"/>
        </w:rPr>
        <w:t>1.1评标委员会对满足招标文件实质性要求的投标文件，分别按照本章规定的评审标准进行评审，</w:t>
      </w:r>
      <w:r>
        <w:rPr>
          <w:rFonts w:hint="eastAsia" w:ascii="宋体" w:hAnsi="宋体"/>
          <w:b/>
          <w:sz w:val="24"/>
          <w:highlight w:val="yellow"/>
        </w:rPr>
        <w:t>并在评标报告中载明各定标候选人的优势、不足、风险等内容。</w:t>
      </w:r>
    </w:p>
    <w:p w14:paraId="207B7AA0">
      <w:pPr>
        <w:tabs>
          <w:tab w:val="left" w:pos="432"/>
        </w:tabs>
        <w:spacing w:line="400" w:lineRule="exact"/>
        <w:rPr>
          <w:rFonts w:ascii="宋体" w:hAnsi="宋体"/>
          <w:sz w:val="24"/>
        </w:rPr>
      </w:pPr>
      <w:r>
        <w:rPr>
          <w:rFonts w:hint="eastAsia" w:ascii="宋体" w:hAnsi="宋体"/>
          <w:sz w:val="24"/>
        </w:rPr>
        <w:t>1.2</w:t>
      </w:r>
      <w:r>
        <w:rPr>
          <w:rFonts w:hint="eastAsia" w:ascii="宋体" w:hAnsi="宋体"/>
          <w:color w:val="FF0000"/>
          <w:sz w:val="24"/>
          <w:highlight w:val="green"/>
        </w:rPr>
        <w:t>确定定标候选人规则：见详细评审标准。</w:t>
      </w:r>
    </w:p>
    <w:p w14:paraId="10DDC060">
      <w:pPr>
        <w:tabs>
          <w:tab w:val="left" w:pos="432"/>
        </w:tabs>
        <w:spacing w:line="400" w:lineRule="exact"/>
        <w:rPr>
          <w:rFonts w:ascii="宋体" w:hAnsi="宋体"/>
          <w:sz w:val="24"/>
        </w:rPr>
      </w:pPr>
      <w:r>
        <w:rPr>
          <w:rFonts w:hint="eastAsia" w:ascii="宋体" w:hAnsi="宋体"/>
          <w:sz w:val="24"/>
        </w:rPr>
        <w:t>2、投标人有以下情形之一的，其投标作无效标处理：</w:t>
      </w:r>
    </w:p>
    <w:p w14:paraId="6FAB1B91">
      <w:pPr>
        <w:tabs>
          <w:tab w:val="left" w:pos="432"/>
        </w:tabs>
        <w:spacing w:line="400" w:lineRule="exact"/>
        <w:rPr>
          <w:rFonts w:ascii="宋体" w:hAnsi="宋体"/>
          <w:sz w:val="24"/>
        </w:rPr>
      </w:pPr>
      <w:r>
        <w:rPr>
          <w:rFonts w:hint="eastAsia" w:ascii="宋体" w:hAnsi="宋体"/>
          <w:sz w:val="24"/>
        </w:rPr>
        <w:t>2.1未通过初步审查的；</w:t>
      </w:r>
    </w:p>
    <w:p w14:paraId="322722B1">
      <w:pPr>
        <w:snapToGrid w:val="0"/>
        <w:spacing w:line="400" w:lineRule="exact"/>
        <w:rPr>
          <w:rFonts w:ascii="宋体" w:hAnsi="宋体"/>
          <w:sz w:val="24"/>
        </w:rPr>
      </w:pPr>
      <w:r>
        <w:rPr>
          <w:rFonts w:hint="eastAsia" w:ascii="宋体" w:hAnsi="宋体"/>
          <w:sz w:val="24"/>
        </w:rPr>
        <w:t>2.2有第二章“投标人须知”第1.4.2条、1.4.3条规定的任何一种情形的；</w:t>
      </w:r>
    </w:p>
    <w:p w14:paraId="4E346C2B">
      <w:pPr>
        <w:snapToGrid w:val="0"/>
        <w:spacing w:line="400" w:lineRule="exact"/>
        <w:rPr>
          <w:rFonts w:ascii="宋体" w:hAnsi="宋体"/>
          <w:sz w:val="24"/>
        </w:rPr>
      </w:pPr>
      <w:r>
        <w:rPr>
          <w:rFonts w:hint="eastAsia" w:ascii="宋体" w:hAnsi="宋体"/>
          <w:sz w:val="24"/>
        </w:rPr>
        <w:t>2.3串通投标或弄虚作假的。</w:t>
      </w:r>
    </w:p>
    <w:p w14:paraId="215A61D7">
      <w:pPr>
        <w:tabs>
          <w:tab w:val="left" w:pos="432"/>
        </w:tabs>
        <w:spacing w:line="400" w:lineRule="exact"/>
        <w:rPr>
          <w:rFonts w:ascii="宋体" w:hAnsi="宋体"/>
          <w:sz w:val="24"/>
        </w:rPr>
      </w:pPr>
      <w:r>
        <w:rPr>
          <w:rFonts w:hint="eastAsia" w:ascii="宋体" w:hAnsi="宋体"/>
          <w:sz w:val="24"/>
        </w:rPr>
        <w:t>2.4不按评标委员会要求澄清、说明或补正的。</w:t>
      </w:r>
    </w:p>
    <w:p w14:paraId="4C695617">
      <w:pPr>
        <w:tabs>
          <w:tab w:val="left" w:pos="432"/>
        </w:tabs>
        <w:spacing w:line="400" w:lineRule="exact"/>
        <w:rPr>
          <w:rFonts w:ascii="宋体" w:hAnsi="宋体"/>
          <w:sz w:val="24"/>
        </w:rPr>
      </w:pPr>
      <w:r>
        <w:rPr>
          <w:rFonts w:hint="eastAsia" w:ascii="宋体" w:hAnsi="宋体"/>
          <w:sz w:val="24"/>
        </w:rPr>
        <w:t>3、未通过以上评审标准的，不得推荐为定标候选人、不得确定为中标人。</w:t>
      </w:r>
    </w:p>
    <w:p w14:paraId="028BE8FE">
      <w:pPr>
        <w:tabs>
          <w:tab w:val="left" w:pos="432"/>
        </w:tabs>
        <w:spacing w:line="400" w:lineRule="exact"/>
        <w:rPr>
          <w:rFonts w:ascii="宋体" w:hAnsi="宋体"/>
          <w:sz w:val="24"/>
        </w:rPr>
      </w:pPr>
      <w:r>
        <w:rPr>
          <w:rFonts w:hint="eastAsia" w:ascii="宋体" w:hAnsi="宋体"/>
          <w:sz w:val="24"/>
        </w:rPr>
        <w:t>4、本章没有规定的方法、评审因素和标准，不作为评标依据。</w:t>
      </w:r>
    </w:p>
    <w:p w14:paraId="4F180D9F">
      <w:pPr>
        <w:tabs>
          <w:tab w:val="left" w:pos="432"/>
        </w:tabs>
        <w:spacing w:line="400" w:lineRule="exact"/>
        <w:rPr>
          <w:rFonts w:ascii="宋体" w:hAnsi="宋体"/>
          <w:sz w:val="24"/>
        </w:rPr>
      </w:pPr>
      <w:r>
        <w:rPr>
          <w:rFonts w:hint="eastAsia" w:ascii="宋体" w:hAnsi="宋体"/>
          <w:sz w:val="24"/>
        </w:rPr>
        <w:t>5、评标委员会完成评标后， 应当向招标人提交评标报告。</w:t>
      </w:r>
    </w:p>
    <w:p w14:paraId="0A633165">
      <w:pPr>
        <w:spacing w:after="120" w:line="400" w:lineRule="exact"/>
        <w:jc w:val="center"/>
        <w:rPr>
          <w:rFonts w:ascii="Arial" w:hAnsi="Arial" w:eastAsia="黑体"/>
          <w:b/>
          <w:sz w:val="32"/>
          <w:szCs w:val="20"/>
        </w:rPr>
      </w:pPr>
    </w:p>
    <w:p w14:paraId="63BC5A44">
      <w:pPr>
        <w:spacing w:after="120" w:line="400" w:lineRule="exact"/>
        <w:jc w:val="center"/>
        <w:rPr>
          <w:rFonts w:ascii="Arial" w:hAnsi="Arial" w:eastAsia="黑体"/>
          <w:b/>
          <w:sz w:val="32"/>
          <w:szCs w:val="20"/>
        </w:rPr>
      </w:pPr>
      <w:r>
        <w:rPr>
          <w:rFonts w:hint="eastAsia" w:ascii="Arial" w:hAnsi="Arial" w:eastAsia="黑体"/>
          <w:b/>
          <w:sz w:val="32"/>
          <w:szCs w:val="20"/>
        </w:rPr>
        <w:t>第二节  定标办法</w:t>
      </w:r>
    </w:p>
    <w:p w14:paraId="00BD25B5">
      <w:pPr>
        <w:spacing w:line="400" w:lineRule="exact"/>
        <w:ind w:firstLine="482" w:firstLineChars="200"/>
        <w:rPr>
          <w:rFonts w:ascii="宋体" w:hAnsi="宋体"/>
          <w:b/>
          <w:sz w:val="24"/>
          <w:szCs w:val="22"/>
        </w:rPr>
      </w:pPr>
      <w:r>
        <w:rPr>
          <w:rFonts w:hint="eastAsia" w:ascii="宋体" w:hAnsi="宋体"/>
          <w:b/>
          <w:sz w:val="24"/>
          <w:szCs w:val="22"/>
        </w:rPr>
        <w:t>一、定标方法</w:t>
      </w:r>
    </w:p>
    <w:p w14:paraId="6551F484">
      <w:pPr>
        <w:spacing w:line="400" w:lineRule="exact"/>
        <w:ind w:firstLine="480" w:firstLineChars="200"/>
        <w:rPr>
          <w:rFonts w:ascii="宋体" w:hAnsi="宋体"/>
          <w:sz w:val="24"/>
          <w:szCs w:val="22"/>
        </w:rPr>
      </w:pPr>
      <w:r>
        <w:rPr>
          <w:rFonts w:hint="eastAsia" w:ascii="宋体" w:hAnsi="宋体"/>
          <w:sz w:val="24"/>
          <w:szCs w:val="22"/>
        </w:rPr>
        <w:t>本项目采用的定标方法为：</w:t>
      </w:r>
    </w:p>
    <w:p w14:paraId="1B3C3BAA">
      <w:pPr>
        <w:spacing w:line="400" w:lineRule="exact"/>
        <w:ind w:firstLine="480" w:firstLineChars="200"/>
        <w:rPr>
          <w:rFonts w:ascii="宋体" w:hAnsi="宋体"/>
          <w:sz w:val="24"/>
        </w:rPr>
      </w:pPr>
      <w:r>
        <w:rPr>
          <w:rFonts w:hint="eastAsia" w:ascii="MS Mincho" w:hAnsi="MS Mincho" w:cs="MS Mincho"/>
          <w:sz w:val="24"/>
        </w:rPr>
        <w:t>□</w:t>
      </w:r>
      <w:r>
        <w:rPr>
          <w:rFonts w:hint="eastAsia" w:ascii="宋体" w:hAnsi="宋体"/>
          <w:sz w:val="24"/>
        </w:rPr>
        <w:t xml:space="preserve">集体议事法 </w:t>
      </w:r>
    </w:p>
    <w:p w14:paraId="22D2ECD9">
      <w:pPr>
        <w:spacing w:line="400" w:lineRule="exact"/>
        <w:ind w:firstLine="480" w:firstLineChars="200"/>
        <w:rPr>
          <w:rFonts w:ascii="宋体" w:hAnsi="宋体"/>
          <w:color w:val="FF0000"/>
          <w:sz w:val="24"/>
          <w:szCs w:val="22"/>
        </w:rPr>
      </w:pPr>
      <w:r>
        <w:rPr>
          <w:rFonts w:hint="eastAsia" w:ascii="宋体" w:hAnsi="宋体" w:cs="MS Mincho"/>
          <w:color w:val="FF0000"/>
          <w:sz w:val="24"/>
          <w:highlight w:val="yellow"/>
        </w:rPr>
        <w:t>√</w:t>
      </w:r>
      <w:r>
        <w:rPr>
          <w:rFonts w:hint="eastAsia" w:ascii="宋体" w:hAnsi="宋体"/>
          <w:color w:val="FF0000"/>
          <w:sz w:val="24"/>
          <w:highlight w:val="yellow"/>
        </w:rPr>
        <w:t xml:space="preserve">票决定标法 </w:t>
      </w:r>
      <w:r>
        <w:rPr>
          <w:rFonts w:hint="eastAsia" w:ascii="宋体" w:hAnsi="宋体"/>
          <w:color w:val="FF0000"/>
          <w:sz w:val="24"/>
          <w:szCs w:val="22"/>
        </w:rPr>
        <w:t xml:space="preserve"> </w:t>
      </w:r>
    </w:p>
    <w:p w14:paraId="2C30D8E8">
      <w:pPr>
        <w:spacing w:line="400" w:lineRule="exact"/>
        <w:ind w:firstLine="480" w:firstLineChars="200"/>
        <w:rPr>
          <w:rFonts w:ascii="Calibri" w:hAnsi="Calibri"/>
          <w:szCs w:val="22"/>
        </w:rPr>
      </w:pPr>
      <w:r>
        <w:rPr>
          <w:rFonts w:hint="eastAsia" w:ascii="宋体" w:hAnsi="宋体"/>
          <w:sz w:val="24"/>
          <w:szCs w:val="22"/>
        </w:rPr>
        <w:t>□票决随机定标法</w:t>
      </w:r>
    </w:p>
    <w:p w14:paraId="2AC1A951">
      <w:pPr>
        <w:spacing w:line="400" w:lineRule="exact"/>
        <w:ind w:firstLine="482" w:firstLineChars="200"/>
        <w:rPr>
          <w:rFonts w:ascii="宋体" w:hAnsi="宋体"/>
          <w:b/>
          <w:sz w:val="24"/>
          <w:szCs w:val="22"/>
        </w:rPr>
      </w:pPr>
      <w:r>
        <w:rPr>
          <w:rFonts w:hint="eastAsia" w:ascii="宋体" w:hAnsi="宋体"/>
          <w:b/>
          <w:sz w:val="24"/>
          <w:szCs w:val="22"/>
        </w:rPr>
        <w:t>二、定标程序</w:t>
      </w:r>
    </w:p>
    <w:p w14:paraId="675A2CE3">
      <w:pPr>
        <w:spacing w:line="400" w:lineRule="exact"/>
        <w:ind w:firstLine="480" w:firstLineChars="200"/>
        <w:rPr>
          <w:rFonts w:ascii="宋体" w:hAnsi="宋体"/>
          <w:sz w:val="24"/>
          <w:szCs w:val="22"/>
        </w:rPr>
      </w:pPr>
      <w:r>
        <w:rPr>
          <w:rFonts w:hint="eastAsia" w:ascii="宋体" w:hAnsi="宋体"/>
          <w:sz w:val="24"/>
          <w:szCs w:val="22"/>
        </w:rPr>
        <w:t>定标会议由定标委员会主任主持，按以下程序进行：</w:t>
      </w:r>
    </w:p>
    <w:p w14:paraId="474F7CB7">
      <w:pPr>
        <w:spacing w:line="400" w:lineRule="exact"/>
        <w:ind w:firstLine="480" w:firstLineChars="200"/>
        <w:rPr>
          <w:rFonts w:ascii="宋体" w:hAnsi="宋体"/>
          <w:sz w:val="24"/>
          <w:szCs w:val="22"/>
        </w:rPr>
      </w:pPr>
      <w:r>
        <w:rPr>
          <w:rFonts w:hint="eastAsia" w:ascii="宋体" w:hAnsi="宋体"/>
          <w:sz w:val="24"/>
          <w:szCs w:val="22"/>
        </w:rPr>
        <w:t>1、定标委员会主任介绍与会人员情况；</w:t>
      </w:r>
    </w:p>
    <w:p w14:paraId="4C13B3A3">
      <w:pPr>
        <w:spacing w:line="400" w:lineRule="exact"/>
        <w:ind w:firstLine="480" w:firstLineChars="200"/>
        <w:rPr>
          <w:rFonts w:ascii="宋体" w:hAnsi="宋体"/>
          <w:sz w:val="24"/>
          <w:szCs w:val="22"/>
        </w:rPr>
      </w:pPr>
      <w:r>
        <w:rPr>
          <w:rFonts w:hint="eastAsia" w:ascii="宋体" w:hAnsi="宋体"/>
          <w:sz w:val="24"/>
          <w:szCs w:val="22"/>
        </w:rPr>
        <w:t>2、定标监督小组宣读组织纪律要求，各方签署承诺书；</w:t>
      </w:r>
    </w:p>
    <w:p w14:paraId="455727FC">
      <w:pPr>
        <w:spacing w:line="400" w:lineRule="exact"/>
        <w:ind w:firstLine="480" w:firstLineChars="200"/>
        <w:rPr>
          <w:rFonts w:ascii="宋体" w:hAnsi="宋体"/>
          <w:sz w:val="24"/>
          <w:szCs w:val="22"/>
        </w:rPr>
      </w:pPr>
      <w:r>
        <w:rPr>
          <w:rFonts w:hint="eastAsia" w:ascii="宋体" w:hAnsi="宋体"/>
          <w:sz w:val="24"/>
          <w:szCs w:val="22"/>
        </w:rPr>
        <w:t>3、公管部门介绍项目前期招标情况及定标规则；</w:t>
      </w:r>
    </w:p>
    <w:p w14:paraId="691D6351">
      <w:pPr>
        <w:spacing w:line="400" w:lineRule="exact"/>
        <w:ind w:firstLine="480" w:firstLineChars="200"/>
        <w:rPr>
          <w:rFonts w:ascii="宋体" w:hAnsi="宋体"/>
          <w:sz w:val="24"/>
          <w:szCs w:val="22"/>
        </w:rPr>
      </w:pPr>
      <w:r>
        <w:rPr>
          <w:rFonts w:hint="eastAsia" w:ascii="宋体" w:hAnsi="宋体"/>
          <w:sz w:val="24"/>
          <w:szCs w:val="22"/>
        </w:rPr>
        <w:t>4、招标人介绍项目基本情况、专家评审情况、定标候选人基本情况、函询情况、考察情况（如有）等有关信息；</w:t>
      </w:r>
    </w:p>
    <w:p w14:paraId="008EAD87">
      <w:pPr>
        <w:spacing w:line="400" w:lineRule="exact"/>
        <w:ind w:firstLine="480" w:firstLineChars="200"/>
        <w:rPr>
          <w:rFonts w:ascii="宋体" w:hAnsi="宋体"/>
          <w:sz w:val="24"/>
          <w:szCs w:val="22"/>
        </w:rPr>
      </w:pPr>
      <w:r>
        <w:rPr>
          <w:rFonts w:hint="eastAsia" w:ascii="宋体" w:hAnsi="宋体"/>
          <w:sz w:val="24"/>
          <w:szCs w:val="22"/>
        </w:rPr>
        <w:t>5、定标委员会成员提问，相关人员解答（如有）；</w:t>
      </w:r>
    </w:p>
    <w:p w14:paraId="6E98AD66">
      <w:pPr>
        <w:spacing w:line="400" w:lineRule="exact"/>
        <w:ind w:firstLine="480" w:firstLineChars="200"/>
        <w:rPr>
          <w:rFonts w:ascii="宋体" w:hAnsi="宋体"/>
          <w:sz w:val="24"/>
          <w:szCs w:val="22"/>
        </w:rPr>
      </w:pPr>
      <w:r>
        <w:rPr>
          <w:rFonts w:hint="eastAsia" w:ascii="宋体" w:hAnsi="宋体"/>
          <w:sz w:val="24"/>
          <w:szCs w:val="22"/>
        </w:rPr>
        <w:t>6、组织定标候选人答辩（如有）；</w:t>
      </w:r>
    </w:p>
    <w:p w14:paraId="69BA5A75">
      <w:pPr>
        <w:spacing w:line="400" w:lineRule="exact"/>
        <w:ind w:firstLine="480" w:firstLineChars="200"/>
        <w:rPr>
          <w:rFonts w:ascii="宋体" w:hAnsi="宋体"/>
          <w:sz w:val="24"/>
          <w:szCs w:val="22"/>
        </w:rPr>
      </w:pPr>
      <w:r>
        <w:rPr>
          <w:rFonts w:hint="eastAsia" w:ascii="宋体" w:hAnsi="宋体"/>
          <w:sz w:val="24"/>
          <w:szCs w:val="22"/>
        </w:rPr>
        <w:t>7、定标委员会按照招标文件规定的定标方法确定</w:t>
      </w:r>
      <w:r>
        <w:rPr>
          <w:rFonts w:hint="eastAsia" w:ascii="宋体" w:hAnsi="宋体"/>
          <w:sz w:val="24"/>
        </w:rPr>
        <w:t>中标候选人、中标人</w:t>
      </w:r>
      <w:r>
        <w:rPr>
          <w:rFonts w:hint="eastAsia" w:ascii="宋体" w:hAnsi="宋体"/>
          <w:sz w:val="24"/>
          <w:szCs w:val="22"/>
        </w:rPr>
        <w:t>；</w:t>
      </w:r>
    </w:p>
    <w:p w14:paraId="30C22726">
      <w:pPr>
        <w:spacing w:line="400" w:lineRule="exact"/>
        <w:ind w:firstLine="480" w:firstLineChars="200"/>
        <w:rPr>
          <w:rFonts w:ascii="宋体" w:hAnsi="宋体"/>
          <w:sz w:val="24"/>
          <w:szCs w:val="22"/>
        </w:rPr>
      </w:pPr>
      <w:r>
        <w:rPr>
          <w:rFonts w:hint="eastAsia" w:ascii="宋体" w:hAnsi="宋体"/>
          <w:sz w:val="24"/>
          <w:szCs w:val="22"/>
        </w:rPr>
        <w:t>8、定标监督小组讨论监督情况，形成监督情况告知书；</w:t>
      </w:r>
    </w:p>
    <w:p w14:paraId="7B8AA149">
      <w:pPr>
        <w:spacing w:line="400" w:lineRule="exact"/>
        <w:ind w:firstLine="480" w:firstLineChars="200"/>
        <w:rPr>
          <w:rFonts w:ascii="宋体" w:hAnsi="宋体"/>
          <w:sz w:val="24"/>
          <w:szCs w:val="22"/>
        </w:rPr>
      </w:pPr>
      <w:r>
        <w:rPr>
          <w:rFonts w:hint="eastAsia" w:ascii="宋体" w:hAnsi="宋体"/>
          <w:sz w:val="24"/>
          <w:szCs w:val="22"/>
        </w:rPr>
        <w:t>9、定标委员会形成定标报告；</w:t>
      </w:r>
    </w:p>
    <w:p w14:paraId="30C25733">
      <w:pPr>
        <w:spacing w:line="400" w:lineRule="exact"/>
        <w:ind w:firstLine="480" w:firstLineChars="200"/>
        <w:rPr>
          <w:rFonts w:ascii="宋体" w:hAnsi="宋体"/>
          <w:sz w:val="24"/>
          <w:szCs w:val="22"/>
        </w:rPr>
      </w:pPr>
      <w:r>
        <w:rPr>
          <w:rFonts w:hint="eastAsia" w:ascii="宋体" w:hAnsi="宋体"/>
          <w:sz w:val="24"/>
          <w:szCs w:val="22"/>
        </w:rPr>
        <w:t>10、定标委员会主任宣布定标会议结束。</w:t>
      </w:r>
    </w:p>
    <w:p w14:paraId="05AC0702">
      <w:pPr>
        <w:spacing w:line="400" w:lineRule="exact"/>
        <w:ind w:firstLine="482" w:firstLineChars="200"/>
        <w:rPr>
          <w:rFonts w:ascii="宋体" w:hAnsi="宋体"/>
          <w:b/>
          <w:sz w:val="24"/>
          <w:szCs w:val="22"/>
        </w:rPr>
      </w:pPr>
      <w:r>
        <w:rPr>
          <w:rFonts w:hint="eastAsia" w:ascii="宋体" w:hAnsi="宋体"/>
          <w:b/>
          <w:sz w:val="24"/>
          <w:szCs w:val="22"/>
        </w:rPr>
        <w:t>三、定标因素</w:t>
      </w:r>
    </w:p>
    <w:p w14:paraId="5A6EE691">
      <w:pPr>
        <w:spacing w:line="400" w:lineRule="exact"/>
        <w:ind w:firstLine="480" w:firstLineChars="200"/>
        <w:rPr>
          <w:rFonts w:ascii="宋体" w:hAnsi="宋体"/>
          <w:sz w:val="24"/>
        </w:rPr>
      </w:pPr>
      <w:r>
        <w:rPr>
          <w:rFonts w:hint="eastAsia" w:ascii="宋体" w:hAnsi="宋体"/>
          <w:color w:val="FF0000"/>
          <w:sz w:val="24"/>
        </w:rPr>
        <w:t>定标应当坚持择优与竞价相结合，择优为主。</w:t>
      </w:r>
    </w:p>
    <w:p w14:paraId="4FC3182E">
      <w:pPr>
        <w:spacing w:line="400" w:lineRule="exact"/>
        <w:ind w:firstLine="482" w:firstLineChars="200"/>
        <w:rPr>
          <w:rFonts w:ascii="宋体" w:hAnsi="宋体"/>
          <w:b/>
          <w:sz w:val="24"/>
          <w:szCs w:val="22"/>
        </w:rPr>
      </w:pPr>
      <w:r>
        <w:rPr>
          <w:rFonts w:hint="eastAsia" w:ascii="宋体" w:hAnsi="宋体"/>
          <w:b/>
          <w:sz w:val="24"/>
          <w:szCs w:val="22"/>
        </w:rPr>
        <w:t>择优因素为：</w:t>
      </w:r>
    </w:p>
    <w:p w14:paraId="0C760C70">
      <w:pPr>
        <w:spacing w:line="400" w:lineRule="exact"/>
        <w:ind w:firstLine="480" w:firstLineChars="200"/>
        <w:rPr>
          <w:rFonts w:ascii="宋体" w:hAnsi="宋体"/>
          <w:sz w:val="24"/>
          <w:szCs w:val="22"/>
        </w:rPr>
      </w:pPr>
      <w:r>
        <w:rPr>
          <w:rFonts w:hint="eastAsia" w:ascii="宋体" w:hAnsi="宋体"/>
          <w:sz w:val="24"/>
          <w:szCs w:val="22"/>
        </w:rPr>
        <w:t>1、优先顺序一：企业实力，主要包括企业规模、资质等级、</w:t>
      </w:r>
      <w:r>
        <w:rPr>
          <w:rFonts w:hint="eastAsia" w:ascii="宋体" w:hAnsi="宋体"/>
          <w:sz w:val="24"/>
        </w:rPr>
        <w:t>过往业绩</w:t>
      </w:r>
      <w:r>
        <w:rPr>
          <w:rFonts w:hint="eastAsia" w:ascii="宋体" w:hAnsi="宋体"/>
          <w:sz w:val="24"/>
          <w:szCs w:val="22"/>
        </w:rPr>
        <w:t>等；</w:t>
      </w:r>
    </w:p>
    <w:p w14:paraId="7728BF94">
      <w:pPr>
        <w:spacing w:line="400" w:lineRule="exact"/>
        <w:ind w:firstLine="480" w:firstLineChars="200"/>
        <w:rPr>
          <w:rFonts w:ascii="宋体" w:hAnsi="宋体"/>
          <w:sz w:val="24"/>
          <w:szCs w:val="22"/>
        </w:rPr>
      </w:pPr>
      <w:r>
        <w:rPr>
          <w:rFonts w:hint="eastAsia" w:ascii="宋体" w:hAnsi="宋体"/>
          <w:sz w:val="24"/>
          <w:szCs w:val="22"/>
        </w:rPr>
        <w:t>2、优先顺序二：拟派团队能力与水平，主要包括项目经理、拟派项目团队人员的资信实力；</w:t>
      </w:r>
    </w:p>
    <w:p w14:paraId="22FFCD36">
      <w:pPr>
        <w:spacing w:line="400" w:lineRule="exact"/>
        <w:ind w:firstLine="480" w:firstLineChars="200"/>
        <w:rPr>
          <w:rFonts w:ascii="宋体" w:hAnsi="宋体"/>
          <w:sz w:val="24"/>
          <w:szCs w:val="22"/>
        </w:rPr>
      </w:pPr>
      <w:r>
        <w:rPr>
          <w:rFonts w:hint="eastAsia" w:ascii="宋体" w:hAnsi="宋体"/>
          <w:sz w:val="24"/>
          <w:szCs w:val="22"/>
        </w:rPr>
        <w:t>3、优先顺序三：投标方案，主要包括</w:t>
      </w:r>
      <w:r>
        <w:rPr>
          <w:rFonts w:hint="eastAsia" w:ascii="宋体" w:hAnsi="宋体"/>
          <w:sz w:val="24"/>
        </w:rPr>
        <w:t>技术标情况、工程建设时重难点问题的解决方案；</w:t>
      </w:r>
    </w:p>
    <w:p w14:paraId="25B8A0ED">
      <w:pPr>
        <w:spacing w:line="400" w:lineRule="exact"/>
        <w:ind w:firstLine="480" w:firstLineChars="200"/>
        <w:rPr>
          <w:rFonts w:ascii="宋体" w:hAnsi="宋体"/>
          <w:sz w:val="24"/>
          <w:szCs w:val="22"/>
        </w:rPr>
      </w:pPr>
      <w:r>
        <w:rPr>
          <w:rFonts w:hint="eastAsia" w:ascii="宋体" w:hAnsi="宋体"/>
          <w:sz w:val="24"/>
          <w:szCs w:val="22"/>
        </w:rPr>
        <w:t>4、优先顺序四：投标报价情况；</w:t>
      </w:r>
    </w:p>
    <w:p w14:paraId="7A7370E8">
      <w:pPr>
        <w:spacing w:line="400" w:lineRule="exact"/>
        <w:ind w:firstLine="480" w:firstLineChars="200"/>
        <w:rPr>
          <w:rFonts w:ascii="宋体" w:hAnsi="宋体"/>
          <w:sz w:val="24"/>
          <w:szCs w:val="22"/>
        </w:rPr>
      </w:pPr>
      <w:r>
        <w:rPr>
          <w:rFonts w:hint="eastAsia" w:ascii="宋体" w:hAnsi="宋体"/>
          <w:sz w:val="24"/>
          <w:szCs w:val="22"/>
        </w:rPr>
        <w:t>5、优先顺序五：招标人认为需要考量的其他因素：</w:t>
      </w:r>
      <w:r>
        <w:rPr>
          <w:rFonts w:hint="eastAsia" w:ascii="宋体" w:hAnsi="宋体"/>
          <w:sz w:val="24"/>
          <w:szCs w:val="22"/>
          <w:u w:val="single"/>
        </w:rPr>
        <w:t xml:space="preserve">   无   </w:t>
      </w:r>
      <w:r>
        <w:rPr>
          <w:rFonts w:hint="eastAsia" w:ascii="宋体" w:hAnsi="宋体"/>
          <w:sz w:val="24"/>
          <w:szCs w:val="22"/>
        </w:rPr>
        <w:t>。</w:t>
      </w:r>
    </w:p>
    <w:p w14:paraId="0AB56386">
      <w:pPr>
        <w:spacing w:line="400" w:lineRule="exact"/>
        <w:ind w:firstLine="480" w:firstLineChars="200"/>
        <w:rPr>
          <w:rFonts w:ascii="Calibri" w:hAnsi="Calibri"/>
          <w:szCs w:val="22"/>
        </w:rPr>
      </w:pPr>
      <w:r>
        <w:rPr>
          <w:rFonts w:hint="eastAsia" w:ascii="宋体" w:hAnsi="宋体"/>
          <w:sz w:val="24"/>
        </w:rPr>
        <w:t>定标委员会根据上述因素等对定标候选人进行综合评价，然后由定标委员会确定排序的中标候选人，同时确定第一中标候选人为中标人。</w:t>
      </w:r>
    </w:p>
    <w:p w14:paraId="7A6A10AD">
      <w:pPr>
        <w:spacing w:line="400" w:lineRule="exact"/>
        <w:ind w:firstLine="482" w:firstLineChars="200"/>
        <w:rPr>
          <w:rFonts w:ascii="宋体" w:hAnsi="宋体"/>
          <w:b/>
          <w:sz w:val="24"/>
        </w:rPr>
      </w:pPr>
      <w:r>
        <w:rPr>
          <w:rFonts w:hint="eastAsia" w:ascii="宋体" w:hAnsi="宋体"/>
          <w:b/>
          <w:sz w:val="24"/>
        </w:rPr>
        <w:t>四、定标规则。</w:t>
      </w:r>
    </w:p>
    <w:p w14:paraId="004D2A42">
      <w:pPr>
        <w:spacing w:line="400" w:lineRule="exact"/>
        <w:ind w:firstLine="480" w:firstLineChars="200"/>
        <w:rPr>
          <w:rFonts w:ascii="宋体" w:hAnsi="宋体" w:cs="宋体"/>
          <w:color w:val="FF0000"/>
          <w:sz w:val="24"/>
        </w:rPr>
      </w:pPr>
      <w:r>
        <w:rPr>
          <w:rFonts w:hint="eastAsia" w:ascii="宋体" w:hAnsi="宋体"/>
          <w:bCs/>
          <w:color w:val="FF0000"/>
          <w:sz w:val="24"/>
        </w:rPr>
        <w:t>票决定标法：</w:t>
      </w:r>
      <w:r>
        <w:rPr>
          <w:rFonts w:ascii="宋体" w:hAnsi="宋体" w:cs="宋体"/>
          <w:color w:val="FF0000"/>
          <w:sz w:val="24"/>
        </w:rPr>
        <w:t>定标委员会成员在</w:t>
      </w:r>
      <w:r>
        <w:rPr>
          <w:rFonts w:hint="eastAsia" w:ascii="宋体" w:hAnsi="宋体" w:cs="宋体"/>
          <w:color w:val="FF0000"/>
          <w:sz w:val="24"/>
        </w:rPr>
        <w:t>定</w:t>
      </w:r>
      <w:r>
        <w:rPr>
          <w:rFonts w:ascii="宋体" w:hAnsi="宋体" w:cs="宋体"/>
          <w:color w:val="FF0000"/>
          <w:sz w:val="24"/>
        </w:rPr>
        <w:t>标候选人中选择1家进行投票，推荐的得1票，最终按推荐得票数由高到低推荐中标候选人，确定第一中标候选人为中标人。票决中出现推荐得票数相同以致影响中标候选人确定的，由定标委员会对推荐得票数最高且相同的</w:t>
      </w:r>
      <w:r>
        <w:rPr>
          <w:rFonts w:hint="eastAsia" w:ascii="宋体" w:hAnsi="宋体" w:cs="宋体"/>
          <w:color w:val="FF0000"/>
          <w:sz w:val="24"/>
        </w:rPr>
        <w:t>定</w:t>
      </w:r>
      <w:r>
        <w:rPr>
          <w:rFonts w:ascii="宋体" w:hAnsi="宋体" w:cs="宋体"/>
          <w:color w:val="FF0000"/>
          <w:sz w:val="24"/>
        </w:rPr>
        <w:t>标候选人，报价</w:t>
      </w:r>
      <w:r>
        <w:rPr>
          <w:rFonts w:hint="eastAsia" w:ascii="宋体" w:hAnsi="宋体" w:cs="宋体"/>
          <w:color w:val="FF0000"/>
          <w:sz w:val="24"/>
        </w:rPr>
        <w:t>较</w:t>
      </w:r>
      <w:r>
        <w:rPr>
          <w:rFonts w:ascii="宋体" w:hAnsi="宋体" w:cs="宋体"/>
          <w:color w:val="FF0000"/>
          <w:sz w:val="24"/>
        </w:rPr>
        <w:t>低者</w:t>
      </w:r>
      <w:r>
        <w:rPr>
          <w:rFonts w:hint="eastAsia" w:ascii="宋体" w:hAnsi="宋体" w:cs="宋体"/>
          <w:color w:val="FF0000"/>
          <w:sz w:val="24"/>
        </w:rPr>
        <w:t>在前</w:t>
      </w:r>
      <w:r>
        <w:rPr>
          <w:rFonts w:ascii="宋体" w:hAnsi="宋体" w:cs="宋体"/>
          <w:color w:val="FF0000"/>
          <w:sz w:val="24"/>
        </w:rPr>
        <w:t>(若投标报价也相同的，由定标委员会对投标报价相同的投标人再次进行投票，得票数高的</w:t>
      </w:r>
      <w:r>
        <w:rPr>
          <w:rFonts w:hint="eastAsia" w:ascii="宋体" w:hAnsi="宋体" w:cs="宋体"/>
          <w:color w:val="FF0000"/>
          <w:sz w:val="24"/>
        </w:rPr>
        <w:t>在前</w:t>
      </w:r>
      <w:r>
        <w:rPr>
          <w:rFonts w:ascii="宋体" w:hAnsi="宋体" w:cs="宋体"/>
          <w:color w:val="FF0000"/>
          <w:sz w:val="24"/>
        </w:rPr>
        <w:t>) ，并形成定标报告。</w:t>
      </w:r>
    </w:p>
    <w:p w14:paraId="70DEA6EE">
      <w:pPr>
        <w:spacing w:line="400" w:lineRule="exact"/>
        <w:ind w:firstLine="480" w:firstLineChars="200"/>
        <w:rPr>
          <w:rFonts w:ascii="宋体" w:hAnsi="宋体" w:cs="宋体"/>
          <w:color w:val="FF0000"/>
          <w:sz w:val="24"/>
        </w:rPr>
      </w:pPr>
      <w:r>
        <w:rPr>
          <w:rFonts w:ascii="宋体" w:hAnsi="宋体" w:cs="宋体"/>
          <w:color w:val="FF0000"/>
          <w:sz w:val="24"/>
        </w:rPr>
        <w:t>定标报告由定标委员会全体成员签字。对定标结果有不同意见的定标委员会成员应当在定标报告说明其不同意见和理由。定标委员会成员拒绝在定标报告上签字又不说明其不同意见和理由的，视为同意定标结果。</w:t>
      </w:r>
    </w:p>
    <w:p w14:paraId="6AD3A15B">
      <w:pPr>
        <w:spacing w:line="400" w:lineRule="exact"/>
        <w:ind w:firstLine="482" w:firstLineChars="200"/>
        <w:rPr>
          <w:rFonts w:ascii="宋体" w:hAnsi="宋体"/>
          <w:b/>
          <w:sz w:val="24"/>
        </w:rPr>
      </w:pPr>
      <w:r>
        <w:rPr>
          <w:rFonts w:hint="eastAsia" w:ascii="宋体" w:hAnsi="宋体"/>
          <w:b/>
          <w:sz w:val="24"/>
        </w:rPr>
        <w:t>五、本章没有规定的方法、定标因素和标准，不作为定标依据。</w:t>
      </w:r>
    </w:p>
    <w:p w14:paraId="5FA99992">
      <w:pPr>
        <w:spacing w:line="400" w:lineRule="exact"/>
        <w:ind w:firstLine="482" w:firstLineChars="200"/>
        <w:rPr>
          <w:rFonts w:ascii="宋体" w:hAnsi="宋体"/>
          <w:b/>
          <w:sz w:val="24"/>
        </w:rPr>
      </w:pPr>
      <w:r>
        <w:rPr>
          <w:rFonts w:hint="eastAsia" w:ascii="宋体" w:hAnsi="宋体"/>
          <w:b/>
          <w:sz w:val="24"/>
        </w:rPr>
        <w:t>六、本招标文件最终解释权属于招标人。</w:t>
      </w:r>
    </w:p>
    <w:p w14:paraId="209ED63A">
      <w:pPr>
        <w:snapToGrid w:val="0"/>
        <w:spacing w:line="380" w:lineRule="exact"/>
        <w:rPr>
          <w:rFonts w:ascii="宋体" w:hAnsi="宋体"/>
          <w:bCs/>
          <w:color w:val="000000"/>
          <w:sz w:val="28"/>
        </w:rPr>
      </w:pPr>
    </w:p>
    <w:p w14:paraId="07C7B699">
      <w:pPr>
        <w:snapToGrid w:val="0"/>
        <w:spacing w:line="380" w:lineRule="exact"/>
        <w:rPr>
          <w:rFonts w:ascii="宋体" w:hAnsi="宋体"/>
          <w:bCs/>
          <w:color w:val="000000"/>
          <w:sz w:val="28"/>
        </w:rPr>
      </w:pPr>
    </w:p>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4AE9">
    <w:pPr>
      <w:pStyle w:val="23"/>
      <w:jc w:val="center"/>
    </w:pPr>
    <w:r>
      <w:fldChar w:fldCharType="begin"/>
    </w:r>
    <w:r>
      <w:instrText xml:space="preserve"> PAGE   \* MERGEFORMAT </w:instrText>
    </w:r>
    <w:r>
      <w:fldChar w:fldCharType="separate"/>
    </w:r>
    <w:r>
      <w:rPr>
        <w:lang w:val="zh-CN"/>
      </w:rPr>
      <w:t>1</w:t>
    </w:r>
    <w:r>
      <w:rPr>
        <w:lang w:val="zh-CN"/>
      </w:rPr>
      <w:fldChar w:fldCharType="end"/>
    </w:r>
  </w:p>
  <w:p w14:paraId="6A82A696">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6118">
    <w:pPr>
      <w:tabs>
        <w:tab w:val="center" w:pos="4153"/>
        <w:tab w:val="right"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1" name="文本框 1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a:effectLst/>
                    </wps:spPr>
                    <wps:txbx>
                      <w:txbxContent>
                        <w:p w14:paraId="0E5457EC">
                          <w:pPr>
                            <w:pStyle w:val="23"/>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5"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lDqPLRAAAAAwEAAA8AAAAAAAAAAQAgAAAAIgAAAGRycy9kb3du&#10;cmV2LnhtbFBLAQIUABQAAAAIAIdO4kBRUTTfzQEAAJoDAAAOAAAAAAAAAAEAIAAAACABAABkcnMv&#10;ZTJvRG9jLnhtbFBLBQYAAAAABgAGAFkBAABfBQAAAAA=&#10;">
              <v:fill on="f" focussize="0,0"/>
              <v:stroke on="f"/>
              <v:imagedata o:title=""/>
              <o:lock v:ext="edit" aspectratio="f"/>
              <v:textbox inset="0mm,0mm,0mm,0mm" style="mso-fit-shape-to-text:t;">
                <w:txbxContent>
                  <w:p w14:paraId="0E5457EC">
                    <w:pPr>
                      <w:pStyle w:val="23"/>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BEFE">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C1F5BD">
                          <w:pPr>
                            <w:pStyle w:val="23"/>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LvL8YBAACc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n5ijMrDD345fu3y49fl59f2fIm&#10;6dN7rKjs0VNhHO7dQFszx5GCifbQBpO+RIhRntQ9X9WFITKZLq1X63VJKUm52SH84um6DxjfgjMs&#10;GTUP9HxZVXF6j3EsnUtSN+selNb5CbX9K0CYYwTyDky3E5Nx4mTFYT9M9PauORO7nvag5pbWnjP9&#10;zpLMaWVmI8zGfjJSR/R3x0hj5OkS6ghFrJJDj5b5TQuWtuJPP1c9/VT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SMu8vxgEAAJwDAAAOAAAAAAAAAAEAIAAAAB4BAABkcnMvZTJvRG9jLnht&#10;bFBLBQYAAAAABgAGAFkBAABWBQAAAAA=&#10;">
              <v:fill on="f" focussize="0,0"/>
              <v:stroke on="f"/>
              <v:imagedata o:title=""/>
              <o:lock v:ext="edit" aspectratio="f"/>
              <v:textbox inset="0mm,0mm,0mm,0mm" style="mso-fit-shape-to-text:t;">
                <w:txbxContent>
                  <w:p w14:paraId="61C1F5BD">
                    <w:pPr>
                      <w:pStyle w:val="23"/>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10A4B">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7835" cy="147955"/>
              <wp:effectExtent l="0" t="0" r="0" b="0"/>
              <wp:wrapNone/>
              <wp:docPr id="4" name="文本框 19"/>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a:effectLst/>
                    </wps:spPr>
                    <wps:txbx>
                      <w:txbxContent>
                        <w:p w14:paraId="5EE47FB1">
                          <w:pPr>
                            <w:pStyle w:val="2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9" o:spid="_x0000_s1026" o:spt="202" type="#_x0000_t202" style="position:absolute;left:0pt;margin-top:0pt;height:11.65pt;width:36.05pt;mso-position-horizontal:center;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ZxqQ0QAAAAMBAAAPAAAAAAAAAAEAIAAAACIAAABkcnMvZG93&#10;bnJldi54bWxQSwECFAAUAAAACACHTuJA7DmMa84BAACaAwAADgAAAAAAAAABACAAAAAgAQAAZHJz&#10;L2Uyb0RvYy54bWxQSwUGAAAAAAYABgBZAQAAYAUAAAAA&#10;">
              <v:fill on="f" focussize="0,0"/>
              <v:stroke on="f"/>
              <v:imagedata o:title=""/>
              <o:lock v:ext="edit" aspectratio="f"/>
              <v:textbox inset="0mm,0mm,0mm,0mm" style="mso-fit-shape-to-text:t;">
                <w:txbxContent>
                  <w:p w14:paraId="5EE47FB1">
                    <w:pPr>
                      <w:pStyle w:val="2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AB70">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23936D12"/>
    <w:multiLevelType w:val="singleLevel"/>
    <w:tmpl w:val="23936D1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ODIwYThiYjQzYTE2ZTM2ZTNmZjMzMGQ1MDIxNmUifQ=="/>
  </w:docVars>
  <w:rsids>
    <w:rsidRoot w:val="00172A27"/>
    <w:rsid w:val="0000005E"/>
    <w:rsid w:val="000000D1"/>
    <w:rsid w:val="000000E5"/>
    <w:rsid w:val="0000036A"/>
    <w:rsid w:val="00000821"/>
    <w:rsid w:val="000010C8"/>
    <w:rsid w:val="00002E32"/>
    <w:rsid w:val="00003701"/>
    <w:rsid w:val="00003A38"/>
    <w:rsid w:val="00003D97"/>
    <w:rsid w:val="000042F5"/>
    <w:rsid w:val="0000449A"/>
    <w:rsid w:val="0000470F"/>
    <w:rsid w:val="0000498D"/>
    <w:rsid w:val="00004A3F"/>
    <w:rsid w:val="00005AF2"/>
    <w:rsid w:val="00007AF2"/>
    <w:rsid w:val="00007C4E"/>
    <w:rsid w:val="00010CF8"/>
    <w:rsid w:val="000113CE"/>
    <w:rsid w:val="00011548"/>
    <w:rsid w:val="000115E8"/>
    <w:rsid w:val="00012A17"/>
    <w:rsid w:val="00014135"/>
    <w:rsid w:val="0001472D"/>
    <w:rsid w:val="00016176"/>
    <w:rsid w:val="00017430"/>
    <w:rsid w:val="00017784"/>
    <w:rsid w:val="00017B5C"/>
    <w:rsid w:val="0002022E"/>
    <w:rsid w:val="00020DBC"/>
    <w:rsid w:val="00021FB4"/>
    <w:rsid w:val="0002237B"/>
    <w:rsid w:val="0002244F"/>
    <w:rsid w:val="00022B8D"/>
    <w:rsid w:val="0002478D"/>
    <w:rsid w:val="0002505F"/>
    <w:rsid w:val="00025F09"/>
    <w:rsid w:val="000260D6"/>
    <w:rsid w:val="00026CD3"/>
    <w:rsid w:val="000274E4"/>
    <w:rsid w:val="00027832"/>
    <w:rsid w:val="00027A23"/>
    <w:rsid w:val="00027C35"/>
    <w:rsid w:val="00030229"/>
    <w:rsid w:val="0003150E"/>
    <w:rsid w:val="000318EB"/>
    <w:rsid w:val="00031F1B"/>
    <w:rsid w:val="0003287C"/>
    <w:rsid w:val="00033226"/>
    <w:rsid w:val="000334C3"/>
    <w:rsid w:val="000347AF"/>
    <w:rsid w:val="00034E58"/>
    <w:rsid w:val="00034FFE"/>
    <w:rsid w:val="00035320"/>
    <w:rsid w:val="00035B29"/>
    <w:rsid w:val="00035F31"/>
    <w:rsid w:val="00035FFF"/>
    <w:rsid w:val="00036671"/>
    <w:rsid w:val="000368E8"/>
    <w:rsid w:val="00036BC3"/>
    <w:rsid w:val="00036BD6"/>
    <w:rsid w:val="0003774E"/>
    <w:rsid w:val="00040604"/>
    <w:rsid w:val="00040F8F"/>
    <w:rsid w:val="000413A4"/>
    <w:rsid w:val="00041B6C"/>
    <w:rsid w:val="00041C08"/>
    <w:rsid w:val="00042002"/>
    <w:rsid w:val="000423AC"/>
    <w:rsid w:val="00043164"/>
    <w:rsid w:val="000435B3"/>
    <w:rsid w:val="000437C9"/>
    <w:rsid w:val="00044862"/>
    <w:rsid w:val="000460EB"/>
    <w:rsid w:val="000461B0"/>
    <w:rsid w:val="00046499"/>
    <w:rsid w:val="00046E64"/>
    <w:rsid w:val="00047700"/>
    <w:rsid w:val="00047DD3"/>
    <w:rsid w:val="00050F61"/>
    <w:rsid w:val="00051507"/>
    <w:rsid w:val="00051AE2"/>
    <w:rsid w:val="00051B82"/>
    <w:rsid w:val="00052649"/>
    <w:rsid w:val="000529B3"/>
    <w:rsid w:val="00053447"/>
    <w:rsid w:val="0005395C"/>
    <w:rsid w:val="00054BED"/>
    <w:rsid w:val="00054C23"/>
    <w:rsid w:val="00055DC4"/>
    <w:rsid w:val="00056AB0"/>
    <w:rsid w:val="00056B15"/>
    <w:rsid w:val="00057006"/>
    <w:rsid w:val="00057311"/>
    <w:rsid w:val="00057E18"/>
    <w:rsid w:val="000604DA"/>
    <w:rsid w:val="00060AE0"/>
    <w:rsid w:val="00060FA4"/>
    <w:rsid w:val="00060FA9"/>
    <w:rsid w:val="00060FDF"/>
    <w:rsid w:val="0006131F"/>
    <w:rsid w:val="000617CB"/>
    <w:rsid w:val="000618DB"/>
    <w:rsid w:val="00061B90"/>
    <w:rsid w:val="00062278"/>
    <w:rsid w:val="00062662"/>
    <w:rsid w:val="000626D4"/>
    <w:rsid w:val="00062B21"/>
    <w:rsid w:val="000642E0"/>
    <w:rsid w:val="00064F7B"/>
    <w:rsid w:val="00065E66"/>
    <w:rsid w:val="00065F35"/>
    <w:rsid w:val="000663A4"/>
    <w:rsid w:val="000665AB"/>
    <w:rsid w:val="00066A6C"/>
    <w:rsid w:val="00070573"/>
    <w:rsid w:val="00070ADE"/>
    <w:rsid w:val="00070B8D"/>
    <w:rsid w:val="0007216B"/>
    <w:rsid w:val="000728EF"/>
    <w:rsid w:val="00072EC2"/>
    <w:rsid w:val="00072F3F"/>
    <w:rsid w:val="000734F8"/>
    <w:rsid w:val="00073BA3"/>
    <w:rsid w:val="00075002"/>
    <w:rsid w:val="0007589F"/>
    <w:rsid w:val="00076A44"/>
    <w:rsid w:val="00076F70"/>
    <w:rsid w:val="0007709B"/>
    <w:rsid w:val="0007716A"/>
    <w:rsid w:val="00077467"/>
    <w:rsid w:val="000776BF"/>
    <w:rsid w:val="00080090"/>
    <w:rsid w:val="00080EA8"/>
    <w:rsid w:val="0008157A"/>
    <w:rsid w:val="000817A7"/>
    <w:rsid w:val="00082917"/>
    <w:rsid w:val="000833DC"/>
    <w:rsid w:val="000838D4"/>
    <w:rsid w:val="00083A67"/>
    <w:rsid w:val="000842C9"/>
    <w:rsid w:val="000844E2"/>
    <w:rsid w:val="000844FA"/>
    <w:rsid w:val="00084F07"/>
    <w:rsid w:val="00085292"/>
    <w:rsid w:val="000853E0"/>
    <w:rsid w:val="00085EA7"/>
    <w:rsid w:val="00086183"/>
    <w:rsid w:val="00086471"/>
    <w:rsid w:val="000865BE"/>
    <w:rsid w:val="00086DD5"/>
    <w:rsid w:val="0008704F"/>
    <w:rsid w:val="000876FF"/>
    <w:rsid w:val="000878B1"/>
    <w:rsid w:val="00091889"/>
    <w:rsid w:val="00091A7E"/>
    <w:rsid w:val="0009220D"/>
    <w:rsid w:val="00092CE8"/>
    <w:rsid w:val="00094172"/>
    <w:rsid w:val="00094856"/>
    <w:rsid w:val="00094966"/>
    <w:rsid w:val="00095160"/>
    <w:rsid w:val="00095694"/>
    <w:rsid w:val="00095D5A"/>
    <w:rsid w:val="00096350"/>
    <w:rsid w:val="000964A6"/>
    <w:rsid w:val="0009650F"/>
    <w:rsid w:val="0009670C"/>
    <w:rsid w:val="000968E8"/>
    <w:rsid w:val="00096A9C"/>
    <w:rsid w:val="000970FA"/>
    <w:rsid w:val="000971D3"/>
    <w:rsid w:val="00097F18"/>
    <w:rsid w:val="000A0192"/>
    <w:rsid w:val="000A0309"/>
    <w:rsid w:val="000A036F"/>
    <w:rsid w:val="000A17E9"/>
    <w:rsid w:val="000A18EA"/>
    <w:rsid w:val="000A2091"/>
    <w:rsid w:val="000A3273"/>
    <w:rsid w:val="000A3274"/>
    <w:rsid w:val="000A359B"/>
    <w:rsid w:val="000A3682"/>
    <w:rsid w:val="000A39FD"/>
    <w:rsid w:val="000A3A0D"/>
    <w:rsid w:val="000A42E2"/>
    <w:rsid w:val="000A4477"/>
    <w:rsid w:val="000A45B7"/>
    <w:rsid w:val="000A4E4D"/>
    <w:rsid w:val="000A4EBD"/>
    <w:rsid w:val="000A510A"/>
    <w:rsid w:val="000A52BF"/>
    <w:rsid w:val="000A55F4"/>
    <w:rsid w:val="000A668A"/>
    <w:rsid w:val="000A6DDF"/>
    <w:rsid w:val="000A781E"/>
    <w:rsid w:val="000A7AEC"/>
    <w:rsid w:val="000A7D3E"/>
    <w:rsid w:val="000A7F5A"/>
    <w:rsid w:val="000B025A"/>
    <w:rsid w:val="000B0D4D"/>
    <w:rsid w:val="000B1134"/>
    <w:rsid w:val="000B2E4A"/>
    <w:rsid w:val="000B32AB"/>
    <w:rsid w:val="000B3450"/>
    <w:rsid w:val="000B3979"/>
    <w:rsid w:val="000B4293"/>
    <w:rsid w:val="000B4E5E"/>
    <w:rsid w:val="000B5158"/>
    <w:rsid w:val="000B5220"/>
    <w:rsid w:val="000B5721"/>
    <w:rsid w:val="000B68DD"/>
    <w:rsid w:val="000B776C"/>
    <w:rsid w:val="000C11A0"/>
    <w:rsid w:val="000C14B9"/>
    <w:rsid w:val="000C1691"/>
    <w:rsid w:val="000C1D59"/>
    <w:rsid w:val="000C20BB"/>
    <w:rsid w:val="000C29CD"/>
    <w:rsid w:val="000C2B23"/>
    <w:rsid w:val="000C3BC5"/>
    <w:rsid w:val="000C41C2"/>
    <w:rsid w:val="000C41E1"/>
    <w:rsid w:val="000C4820"/>
    <w:rsid w:val="000C5F89"/>
    <w:rsid w:val="000C610C"/>
    <w:rsid w:val="000C6263"/>
    <w:rsid w:val="000C65B6"/>
    <w:rsid w:val="000C76B6"/>
    <w:rsid w:val="000C7B33"/>
    <w:rsid w:val="000C7D96"/>
    <w:rsid w:val="000D0693"/>
    <w:rsid w:val="000D09B1"/>
    <w:rsid w:val="000D0B9C"/>
    <w:rsid w:val="000D1074"/>
    <w:rsid w:val="000D1337"/>
    <w:rsid w:val="000D1669"/>
    <w:rsid w:val="000D1B4B"/>
    <w:rsid w:val="000D1E0E"/>
    <w:rsid w:val="000D235E"/>
    <w:rsid w:val="000D2383"/>
    <w:rsid w:val="000D2811"/>
    <w:rsid w:val="000D2D3D"/>
    <w:rsid w:val="000D2EF8"/>
    <w:rsid w:val="000D38C1"/>
    <w:rsid w:val="000D38C6"/>
    <w:rsid w:val="000D3BD2"/>
    <w:rsid w:val="000D4377"/>
    <w:rsid w:val="000D52A5"/>
    <w:rsid w:val="000D631F"/>
    <w:rsid w:val="000D694C"/>
    <w:rsid w:val="000D6983"/>
    <w:rsid w:val="000D6B62"/>
    <w:rsid w:val="000D6CDA"/>
    <w:rsid w:val="000D74AD"/>
    <w:rsid w:val="000D7A0B"/>
    <w:rsid w:val="000E0081"/>
    <w:rsid w:val="000E1B2B"/>
    <w:rsid w:val="000E1FB0"/>
    <w:rsid w:val="000E2385"/>
    <w:rsid w:val="000E3149"/>
    <w:rsid w:val="000E3A2B"/>
    <w:rsid w:val="000E3D26"/>
    <w:rsid w:val="000E453B"/>
    <w:rsid w:val="000E4B03"/>
    <w:rsid w:val="000E4B0D"/>
    <w:rsid w:val="000E52D9"/>
    <w:rsid w:val="000E53BF"/>
    <w:rsid w:val="000E5EC0"/>
    <w:rsid w:val="000E7494"/>
    <w:rsid w:val="000E7816"/>
    <w:rsid w:val="000E7AF9"/>
    <w:rsid w:val="000E7C40"/>
    <w:rsid w:val="000E7ECE"/>
    <w:rsid w:val="000F0D47"/>
    <w:rsid w:val="000F0FB2"/>
    <w:rsid w:val="000F1A1B"/>
    <w:rsid w:val="000F2045"/>
    <w:rsid w:val="000F2087"/>
    <w:rsid w:val="000F2436"/>
    <w:rsid w:val="000F289F"/>
    <w:rsid w:val="000F2DC7"/>
    <w:rsid w:val="000F2E72"/>
    <w:rsid w:val="000F3E9A"/>
    <w:rsid w:val="000F3F95"/>
    <w:rsid w:val="000F4023"/>
    <w:rsid w:val="000F4A37"/>
    <w:rsid w:val="000F4B99"/>
    <w:rsid w:val="000F4DA6"/>
    <w:rsid w:val="000F4FA7"/>
    <w:rsid w:val="000F59A5"/>
    <w:rsid w:val="000F6201"/>
    <w:rsid w:val="000F6761"/>
    <w:rsid w:val="000F74C9"/>
    <w:rsid w:val="000F7CCE"/>
    <w:rsid w:val="000F7D47"/>
    <w:rsid w:val="001005A4"/>
    <w:rsid w:val="00100C69"/>
    <w:rsid w:val="00100F18"/>
    <w:rsid w:val="0010103B"/>
    <w:rsid w:val="00101FEC"/>
    <w:rsid w:val="0010213E"/>
    <w:rsid w:val="001028FC"/>
    <w:rsid w:val="0010314D"/>
    <w:rsid w:val="00103F18"/>
    <w:rsid w:val="0010498E"/>
    <w:rsid w:val="00104AD9"/>
    <w:rsid w:val="00104C7E"/>
    <w:rsid w:val="00106083"/>
    <w:rsid w:val="0010621A"/>
    <w:rsid w:val="00106269"/>
    <w:rsid w:val="00106687"/>
    <w:rsid w:val="001104FA"/>
    <w:rsid w:val="001107BF"/>
    <w:rsid w:val="00111046"/>
    <w:rsid w:val="00111090"/>
    <w:rsid w:val="001115B6"/>
    <w:rsid w:val="0011197F"/>
    <w:rsid w:val="00111F3A"/>
    <w:rsid w:val="00112899"/>
    <w:rsid w:val="0011326D"/>
    <w:rsid w:val="0011375A"/>
    <w:rsid w:val="00113901"/>
    <w:rsid w:val="00113CD3"/>
    <w:rsid w:val="00113E04"/>
    <w:rsid w:val="0011466D"/>
    <w:rsid w:val="00114A1B"/>
    <w:rsid w:val="00114C3B"/>
    <w:rsid w:val="001165BC"/>
    <w:rsid w:val="001179F2"/>
    <w:rsid w:val="00120033"/>
    <w:rsid w:val="00120038"/>
    <w:rsid w:val="00120316"/>
    <w:rsid w:val="00120478"/>
    <w:rsid w:val="001209CA"/>
    <w:rsid w:val="00120A7B"/>
    <w:rsid w:val="00121BB5"/>
    <w:rsid w:val="00121C71"/>
    <w:rsid w:val="001224B3"/>
    <w:rsid w:val="0012301D"/>
    <w:rsid w:val="001233B8"/>
    <w:rsid w:val="00123987"/>
    <w:rsid w:val="0012452B"/>
    <w:rsid w:val="001247EF"/>
    <w:rsid w:val="00124E6F"/>
    <w:rsid w:val="00125CBF"/>
    <w:rsid w:val="00126621"/>
    <w:rsid w:val="0012664F"/>
    <w:rsid w:val="001267B6"/>
    <w:rsid w:val="001268D4"/>
    <w:rsid w:val="0012690E"/>
    <w:rsid w:val="00127633"/>
    <w:rsid w:val="00130778"/>
    <w:rsid w:val="0013092C"/>
    <w:rsid w:val="00130B79"/>
    <w:rsid w:val="00131509"/>
    <w:rsid w:val="00131A7D"/>
    <w:rsid w:val="00131FF3"/>
    <w:rsid w:val="001320A2"/>
    <w:rsid w:val="00133816"/>
    <w:rsid w:val="001340BB"/>
    <w:rsid w:val="00134208"/>
    <w:rsid w:val="00134A4B"/>
    <w:rsid w:val="00134AA1"/>
    <w:rsid w:val="00135CEB"/>
    <w:rsid w:val="00135E51"/>
    <w:rsid w:val="00136071"/>
    <w:rsid w:val="001368EE"/>
    <w:rsid w:val="001373D7"/>
    <w:rsid w:val="00141B81"/>
    <w:rsid w:val="00141DC8"/>
    <w:rsid w:val="00141F22"/>
    <w:rsid w:val="0014242A"/>
    <w:rsid w:val="001424FD"/>
    <w:rsid w:val="00142B68"/>
    <w:rsid w:val="001433AD"/>
    <w:rsid w:val="001443C8"/>
    <w:rsid w:val="001448A1"/>
    <w:rsid w:val="0014494A"/>
    <w:rsid w:val="00144AC5"/>
    <w:rsid w:val="001452E1"/>
    <w:rsid w:val="00146D07"/>
    <w:rsid w:val="00147281"/>
    <w:rsid w:val="001477CA"/>
    <w:rsid w:val="00147AE4"/>
    <w:rsid w:val="00150DFD"/>
    <w:rsid w:val="00151100"/>
    <w:rsid w:val="0015245A"/>
    <w:rsid w:val="00153A9B"/>
    <w:rsid w:val="001543C7"/>
    <w:rsid w:val="001548B9"/>
    <w:rsid w:val="00155502"/>
    <w:rsid w:val="00155928"/>
    <w:rsid w:val="00156230"/>
    <w:rsid w:val="0015638C"/>
    <w:rsid w:val="00156EAC"/>
    <w:rsid w:val="0015705A"/>
    <w:rsid w:val="00157A7D"/>
    <w:rsid w:val="00157C2C"/>
    <w:rsid w:val="00160870"/>
    <w:rsid w:val="00160FEE"/>
    <w:rsid w:val="0016113C"/>
    <w:rsid w:val="0016161B"/>
    <w:rsid w:val="001616E2"/>
    <w:rsid w:val="00163361"/>
    <w:rsid w:val="00163C47"/>
    <w:rsid w:val="00163E76"/>
    <w:rsid w:val="00164349"/>
    <w:rsid w:val="00164458"/>
    <w:rsid w:val="001644FC"/>
    <w:rsid w:val="001651D1"/>
    <w:rsid w:val="001655AB"/>
    <w:rsid w:val="001658A3"/>
    <w:rsid w:val="001662B4"/>
    <w:rsid w:val="00166562"/>
    <w:rsid w:val="001673F2"/>
    <w:rsid w:val="00167662"/>
    <w:rsid w:val="00167A49"/>
    <w:rsid w:val="00170010"/>
    <w:rsid w:val="001706AC"/>
    <w:rsid w:val="00170E08"/>
    <w:rsid w:val="00170F56"/>
    <w:rsid w:val="00171600"/>
    <w:rsid w:val="00171F83"/>
    <w:rsid w:val="00172A27"/>
    <w:rsid w:val="0017414E"/>
    <w:rsid w:val="00174D20"/>
    <w:rsid w:val="001760F4"/>
    <w:rsid w:val="001761F3"/>
    <w:rsid w:val="001768F3"/>
    <w:rsid w:val="00177911"/>
    <w:rsid w:val="0018178B"/>
    <w:rsid w:val="00181978"/>
    <w:rsid w:val="001834AD"/>
    <w:rsid w:val="00183668"/>
    <w:rsid w:val="00183734"/>
    <w:rsid w:val="001838B2"/>
    <w:rsid w:val="00183E82"/>
    <w:rsid w:val="00184051"/>
    <w:rsid w:val="0018419B"/>
    <w:rsid w:val="00184911"/>
    <w:rsid w:val="00184952"/>
    <w:rsid w:val="00184D75"/>
    <w:rsid w:val="00186557"/>
    <w:rsid w:val="001870C3"/>
    <w:rsid w:val="00187E62"/>
    <w:rsid w:val="00190AD8"/>
    <w:rsid w:val="00190BBD"/>
    <w:rsid w:val="00191018"/>
    <w:rsid w:val="00191065"/>
    <w:rsid w:val="00191A34"/>
    <w:rsid w:val="0019254B"/>
    <w:rsid w:val="00192F6B"/>
    <w:rsid w:val="00194774"/>
    <w:rsid w:val="00195586"/>
    <w:rsid w:val="001956E3"/>
    <w:rsid w:val="001964E1"/>
    <w:rsid w:val="00197E96"/>
    <w:rsid w:val="001A0340"/>
    <w:rsid w:val="001A0864"/>
    <w:rsid w:val="001A0DCE"/>
    <w:rsid w:val="001A1495"/>
    <w:rsid w:val="001A1F11"/>
    <w:rsid w:val="001A241F"/>
    <w:rsid w:val="001A4393"/>
    <w:rsid w:val="001A4D06"/>
    <w:rsid w:val="001A4F70"/>
    <w:rsid w:val="001A5EBB"/>
    <w:rsid w:val="001A619E"/>
    <w:rsid w:val="001A6ED0"/>
    <w:rsid w:val="001A757F"/>
    <w:rsid w:val="001A7803"/>
    <w:rsid w:val="001A793C"/>
    <w:rsid w:val="001A7EE7"/>
    <w:rsid w:val="001B0752"/>
    <w:rsid w:val="001B1660"/>
    <w:rsid w:val="001B232C"/>
    <w:rsid w:val="001B2917"/>
    <w:rsid w:val="001B3374"/>
    <w:rsid w:val="001B44A7"/>
    <w:rsid w:val="001B44AC"/>
    <w:rsid w:val="001B484A"/>
    <w:rsid w:val="001B4BBD"/>
    <w:rsid w:val="001B5116"/>
    <w:rsid w:val="001B525B"/>
    <w:rsid w:val="001B57E5"/>
    <w:rsid w:val="001B5FE2"/>
    <w:rsid w:val="001B603D"/>
    <w:rsid w:val="001B62B4"/>
    <w:rsid w:val="001B666F"/>
    <w:rsid w:val="001B72D2"/>
    <w:rsid w:val="001B7B32"/>
    <w:rsid w:val="001B7DB8"/>
    <w:rsid w:val="001C002F"/>
    <w:rsid w:val="001C0B25"/>
    <w:rsid w:val="001C1239"/>
    <w:rsid w:val="001C1243"/>
    <w:rsid w:val="001C1278"/>
    <w:rsid w:val="001C19EE"/>
    <w:rsid w:val="001C1D63"/>
    <w:rsid w:val="001C1E88"/>
    <w:rsid w:val="001C201C"/>
    <w:rsid w:val="001C2727"/>
    <w:rsid w:val="001C2C61"/>
    <w:rsid w:val="001C2CAA"/>
    <w:rsid w:val="001C332B"/>
    <w:rsid w:val="001C423F"/>
    <w:rsid w:val="001C43E7"/>
    <w:rsid w:val="001C4B8A"/>
    <w:rsid w:val="001C51C3"/>
    <w:rsid w:val="001C56EF"/>
    <w:rsid w:val="001C5A09"/>
    <w:rsid w:val="001C5F3D"/>
    <w:rsid w:val="001C62A2"/>
    <w:rsid w:val="001C6AFF"/>
    <w:rsid w:val="001C7AC7"/>
    <w:rsid w:val="001C7AE1"/>
    <w:rsid w:val="001D152D"/>
    <w:rsid w:val="001D1AF6"/>
    <w:rsid w:val="001D1DB0"/>
    <w:rsid w:val="001D3B80"/>
    <w:rsid w:val="001D4D29"/>
    <w:rsid w:val="001D57F9"/>
    <w:rsid w:val="001D5BAA"/>
    <w:rsid w:val="001D61ED"/>
    <w:rsid w:val="001D7608"/>
    <w:rsid w:val="001D7CA3"/>
    <w:rsid w:val="001E07EA"/>
    <w:rsid w:val="001E08CF"/>
    <w:rsid w:val="001E155C"/>
    <w:rsid w:val="001E17AB"/>
    <w:rsid w:val="001E292C"/>
    <w:rsid w:val="001E4A5B"/>
    <w:rsid w:val="001E4A89"/>
    <w:rsid w:val="001E4B98"/>
    <w:rsid w:val="001E4EA6"/>
    <w:rsid w:val="001E50C1"/>
    <w:rsid w:val="001E529B"/>
    <w:rsid w:val="001E574D"/>
    <w:rsid w:val="001E610D"/>
    <w:rsid w:val="001E6917"/>
    <w:rsid w:val="001E6C59"/>
    <w:rsid w:val="001E6E99"/>
    <w:rsid w:val="001E6F03"/>
    <w:rsid w:val="001E76D9"/>
    <w:rsid w:val="001E79E1"/>
    <w:rsid w:val="001E7EF7"/>
    <w:rsid w:val="001F0F57"/>
    <w:rsid w:val="001F20AF"/>
    <w:rsid w:val="001F2353"/>
    <w:rsid w:val="001F24AD"/>
    <w:rsid w:val="001F2EBF"/>
    <w:rsid w:val="001F3AE4"/>
    <w:rsid w:val="001F3E1E"/>
    <w:rsid w:val="001F47C2"/>
    <w:rsid w:val="001F4DAE"/>
    <w:rsid w:val="001F5DBD"/>
    <w:rsid w:val="001F5F25"/>
    <w:rsid w:val="001F65E2"/>
    <w:rsid w:val="001F6EDA"/>
    <w:rsid w:val="001F7210"/>
    <w:rsid w:val="0020097B"/>
    <w:rsid w:val="00201244"/>
    <w:rsid w:val="00201A2B"/>
    <w:rsid w:val="00201A96"/>
    <w:rsid w:val="0020203F"/>
    <w:rsid w:val="002025E6"/>
    <w:rsid w:val="002029CB"/>
    <w:rsid w:val="00202BD3"/>
    <w:rsid w:val="00203609"/>
    <w:rsid w:val="002039A1"/>
    <w:rsid w:val="00203D06"/>
    <w:rsid w:val="00203E0D"/>
    <w:rsid w:val="002046BB"/>
    <w:rsid w:val="00204974"/>
    <w:rsid w:val="00204AF9"/>
    <w:rsid w:val="00205306"/>
    <w:rsid w:val="00205B11"/>
    <w:rsid w:val="00205F63"/>
    <w:rsid w:val="00206E4E"/>
    <w:rsid w:val="0020748F"/>
    <w:rsid w:val="00207A17"/>
    <w:rsid w:val="0021003F"/>
    <w:rsid w:val="002100CF"/>
    <w:rsid w:val="00210170"/>
    <w:rsid w:val="002106D8"/>
    <w:rsid w:val="002107C9"/>
    <w:rsid w:val="002107DE"/>
    <w:rsid w:val="00210C57"/>
    <w:rsid w:val="002116C8"/>
    <w:rsid w:val="002127C9"/>
    <w:rsid w:val="00212AA4"/>
    <w:rsid w:val="002130FB"/>
    <w:rsid w:val="00213C66"/>
    <w:rsid w:val="00214302"/>
    <w:rsid w:val="002149E5"/>
    <w:rsid w:val="00215AC0"/>
    <w:rsid w:val="00215F1C"/>
    <w:rsid w:val="002162C6"/>
    <w:rsid w:val="00217F49"/>
    <w:rsid w:val="0022059F"/>
    <w:rsid w:val="0022062F"/>
    <w:rsid w:val="00220ACB"/>
    <w:rsid w:val="00220C50"/>
    <w:rsid w:val="00220F33"/>
    <w:rsid w:val="00220F50"/>
    <w:rsid w:val="00220FB0"/>
    <w:rsid w:val="002218A8"/>
    <w:rsid w:val="002222E8"/>
    <w:rsid w:val="0022242B"/>
    <w:rsid w:val="002225EF"/>
    <w:rsid w:val="00222DC4"/>
    <w:rsid w:val="00223348"/>
    <w:rsid w:val="002236EF"/>
    <w:rsid w:val="002237A8"/>
    <w:rsid w:val="00223873"/>
    <w:rsid w:val="00223B27"/>
    <w:rsid w:val="00223E0D"/>
    <w:rsid w:val="00224294"/>
    <w:rsid w:val="0022429E"/>
    <w:rsid w:val="002246B8"/>
    <w:rsid w:val="002247FB"/>
    <w:rsid w:val="00224C16"/>
    <w:rsid w:val="0022522A"/>
    <w:rsid w:val="00225319"/>
    <w:rsid w:val="00225780"/>
    <w:rsid w:val="00225D7A"/>
    <w:rsid w:val="00226044"/>
    <w:rsid w:val="00226CA2"/>
    <w:rsid w:val="00226F36"/>
    <w:rsid w:val="0022730A"/>
    <w:rsid w:val="00227615"/>
    <w:rsid w:val="002308CF"/>
    <w:rsid w:val="00230ABD"/>
    <w:rsid w:val="00231D2E"/>
    <w:rsid w:val="00232376"/>
    <w:rsid w:val="00232D2A"/>
    <w:rsid w:val="00234164"/>
    <w:rsid w:val="002350F7"/>
    <w:rsid w:val="00235197"/>
    <w:rsid w:val="002356DB"/>
    <w:rsid w:val="0023672A"/>
    <w:rsid w:val="00236F04"/>
    <w:rsid w:val="00237191"/>
    <w:rsid w:val="0024066B"/>
    <w:rsid w:val="00240A4D"/>
    <w:rsid w:val="00240CAF"/>
    <w:rsid w:val="00240D52"/>
    <w:rsid w:val="00240DD1"/>
    <w:rsid w:val="00241757"/>
    <w:rsid w:val="002418D6"/>
    <w:rsid w:val="00242CF1"/>
    <w:rsid w:val="002434B6"/>
    <w:rsid w:val="00243618"/>
    <w:rsid w:val="00243A08"/>
    <w:rsid w:val="00244A15"/>
    <w:rsid w:val="0024603B"/>
    <w:rsid w:val="002468D8"/>
    <w:rsid w:val="00246E2E"/>
    <w:rsid w:val="002472E2"/>
    <w:rsid w:val="00247D92"/>
    <w:rsid w:val="00250B75"/>
    <w:rsid w:val="00250F8D"/>
    <w:rsid w:val="002513A7"/>
    <w:rsid w:val="002517BA"/>
    <w:rsid w:val="00251905"/>
    <w:rsid w:val="00251911"/>
    <w:rsid w:val="00251C06"/>
    <w:rsid w:val="00251D03"/>
    <w:rsid w:val="00252ECC"/>
    <w:rsid w:val="0025315B"/>
    <w:rsid w:val="002535A2"/>
    <w:rsid w:val="002535D0"/>
    <w:rsid w:val="0025490E"/>
    <w:rsid w:val="00254F0C"/>
    <w:rsid w:val="00255A7B"/>
    <w:rsid w:val="00256992"/>
    <w:rsid w:val="00257011"/>
    <w:rsid w:val="00257383"/>
    <w:rsid w:val="00257822"/>
    <w:rsid w:val="002578A9"/>
    <w:rsid w:val="0026012C"/>
    <w:rsid w:val="00260269"/>
    <w:rsid w:val="0026036A"/>
    <w:rsid w:val="00260866"/>
    <w:rsid w:val="002610C8"/>
    <w:rsid w:val="00261315"/>
    <w:rsid w:val="0026152D"/>
    <w:rsid w:val="002617FC"/>
    <w:rsid w:val="00262819"/>
    <w:rsid w:val="00264157"/>
    <w:rsid w:val="002642FB"/>
    <w:rsid w:val="002654E9"/>
    <w:rsid w:val="00266644"/>
    <w:rsid w:val="00266EC9"/>
    <w:rsid w:val="00266F63"/>
    <w:rsid w:val="002671E1"/>
    <w:rsid w:val="00267AB6"/>
    <w:rsid w:val="00267B3F"/>
    <w:rsid w:val="00270645"/>
    <w:rsid w:val="00270C14"/>
    <w:rsid w:val="00270C6B"/>
    <w:rsid w:val="00271453"/>
    <w:rsid w:val="0027189D"/>
    <w:rsid w:val="002727E8"/>
    <w:rsid w:val="0027283F"/>
    <w:rsid w:val="00274E8F"/>
    <w:rsid w:val="002756D5"/>
    <w:rsid w:val="002770A4"/>
    <w:rsid w:val="0027721B"/>
    <w:rsid w:val="00277445"/>
    <w:rsid w:val="0027765C"/>
    <w:rsid w:val="00277BC2"/>
    <w:rsid w:val="00280932"/>
    <w:rsid w:val="00280CAB"/>
    <w:rsid w:val="00281985"/>
    <w:rsid w:val="00281B90"/>
    <w:rsid w:val="00281BF3"/>
    <w:rsid w:val="00281C15"/>
    <w:rsid w:val="00282059"/>
    <w:rsid w:val="00282386"/>
    <w:rsid w:val="002824E8"/>
    <w:rsid w:val="0028271F"/>
    <w:rsid w:val="002832DC"/>
    <w:rsid w:val="00284114"/>
    <w:rsid w:val="002843E6"/>
    <w:rsid w:val="002848A1"/>
    <w:rsid w:val="00284B66"/>
    <w:rsid w:val="00284B7F"/>
    <w:rsid w:val="00284C6D"/>
    <w:rsid w:val="00284EA9"/>
    <w:rsid w:val="0028546E"/>
    <w:rsid w:val="0028638E"/>
    <w:rsid w:val="002864B0"/>
    <w:rsid w:val="002864FB"/>
    <w:rsid w:val="00286A32"/>
    <w:rsid w:val="00286DA4"/>
    <w:rsid w:val="00286E6C"/>
    <w:rsid w:val="00287090"/>
    <w:rsid w:val="00287527"/>
    <w:rsid w:val="0029039A"/>
    <w:rsid w:val="00290BAC"/>
    <w:rsid w:val="002911C0"/>
    <w:rsid w:val="002912A5"/>
    <w:rsid w:val="00291315"/>
    <w:rsid w:val="0029152E"/>
    <w:rsid w:val="00291A3A"/>
    <w:rsid w:val="00291DF7"/>
    <w:rsid w:val="0029340B"/>
    <w:rsid w:val="00293F44"/>
    <w:rsid w:val="00293FAE"/>
    <w:rsid w:val="00294112"/>
    <w:rsid w:val="002945CF"/>
    <w:rsid w:val="00294A31"/>
    <w:rsid w:val="0029541B"/>
    <w:rsid w:val="00295A4B"/>
    <w:rsid w:val="00295AD0"/>
    <w:rsid w:val="00296456"/>
    <w:rsid w:val="00296F1B"/>
    <w:rsid w:val="0029724A"/>
    <w:rsid w:val="002972B3"/>
    <w:rsid w:val="0029747D"/>
    <w:rsid w:val="002977F7"/>
    <w:rsid w:val="002A056A"/>
    <w:rsid w:val="002A064B"/>
    <w:rsid w:val="002A0E81"/>
    <w:rsid w:val="002A152D"/>
    <w:rsid w:val="002A20BC"/>
    <w:rsid w:val="002A3A85"/>
    <w:rsid w:val="002A4148"/>
    <w:rsid w:val="002A4D6F"/>
    <w:rsid w:val="002A5CDE"/>
    <w:rsid w:val="002A648C"/>
    <w:rsid w:val="002A6EA2"/>
    <w:rsid w:val="002A6EC8"/>
    <w:rsid w:val="002A72FB"/>
    <w:rsid w:val="002B095E"/>
    <w:rsid w:val="002B0CFA"/>
    <w:rsid w:val="002B118F"/>
    <w:rsid w:val="002B1AED"/>
    <w:rsid w:val="002B1BAC"/>
    <w:rsid w:val="002B249A"/>
    <w:rsid w:val="002B2FC8"/>
    <w:rsid w:val="002B37E2"/>
    <w:rsid w:val="002B3F6B"/>
    <w:rsid w:val="002B4B19"/>
    <w:rsid w:val="002B4BFD"/>
    <w:rsid w:val="002B61E0"/>
    <w:rsid w:val="002B62F6"/>
    <w:rsid w:val="002B6E9C"/>
    <w:rsid w:val="002B73A5"/>
    <w:rsid w:val="002B7C2E"/>
    <w:rsid w:val="002B7FE5"/>
    <w:rsid w:val="002C05BB"/>
    <w:rsid w:val="002C088E"/>
    <w:rsid w:val="002C09A8"/>
    <w:rsid w:val="002C1634"/>
    <w:rsid w:val="002C1EA8"/>
    <w:rsid w:val="002C2FC1"/>
    <w:rsid w:val="002C3036"/>
    <w:rsid w:val="002C33F3"/>
    <w:rsid w:val="002C3953"/>
    <w:rsid w:val="002C4106"/>
    <w:rsid w:val="002C4486"/>
    <w:rsid w:val="002C4573"/>
    <w:rsid w:val="002C4C10"/>
    <w:rsid w:val="002C56BE"/>
    <w:rsid w:val="002C58F2"/>
    <w:rsid w:val="002C5AD4"/>
    <w:rsid w:val="002C6441"/>
    <w:rsid w:val="002C6B55"/>
    <w:rsid w:val="002C6FC8"/>
    <w:rsid w:val="002C71B5"/>
    <w:rsid w:val="002C72B9"/>
    <w:rsid w:val="002C7996"/>
    <w:rsid w:val="002C79FE"/>
    <w:rsid w:val="002C7B69"/>
    <w:rsid w:val="002D0190"/>
    <w:rsid w:val="002D12C1"/>
    <w:rsid w:val="002D23EA"/>
    <w:rsid w:val="002D3058"/>
    <w:rsid w:val="002D34EE"/>
    <w:rsid w:val="002D3CBF"/>
    <w:rsid w:val="002D3EEA"/>
    <w:rsid w:val="002D410C"/>
    <w:rsid w:val="002D4244"/>
    <w:rsid w:val="002D439F"/>
    <w:rsid w:val="002D4B50"/>
    <w:rsid w:val="002D4EE3"/>
    <w:rsid w:val="002D5566"/>
    <w:rsid w:val="002D5DBE"/>
    <w:rsid w:val="002D60CC"/>
    <w:rsid w:val="002D63EA"/>
    <w:rsid w:val="002D7530"/>
    <w:rsid w:val="002D7B32"/>
    <w:rsid w:val="002D7CD4"/>
    <w:rsid w:val="002D7D1D"/>
    <w:rsid w:val="002E05A2"/>
    <w:rsid w:val="002E1270"/>
    <w:rsid w:val="002E133D"/>
    <w:rsid w:val="002E16CB"/>
    <w:rsid w:val="002E17CA"/>
    <w:rsid w:val="002E1FF1"/>
    <w:rsid w:val="002E2286"/>
    <w:rsid w:val="002E2738"/>
    <w:rsid w:val="002E2E7A"/>
    <w:rsid w:val="002E3996"/>
    <w:rsid w:val="002E4363"/>
    <w:rsid w:val="002E476E"/>
    <w:rsid w:val="002E48B2"/>
    <w:rsid w:val="002E616C"/>
    <w:rsid w:val="002E61DA"/>
    <w:rsid w:val="002E6AE3"/>
    <w:rsid w:val="002E6C48"/>
    <w:rsid w:val="002E7081"/>
    <w:rsid w:val="002E77A7"/>
    <w:rsid w:val="002E7CA4"/>
    <w:rsid w:val="002E7CFD"/>
    <w:rsid w:val="002E7F44"/>
    <w:rsid w:val="002F061C"/>
    <w:rsid w:val="002F0ABB"/>
    <w:rsid w:val="002F1420"/>
    <w:rsid w:val="002F1F9B"/>
    <w:rsid w:val="002F2487"/>
    <w:rsid w:val="002F2A47"/>
    <w:rsid w:val="002F2E58"/>
    <w:rsid w:val="002F33B4"/>
    <w:rsid w:val="002F3F71"/>
    <w:rsid w:val="002F5490"/>
    <w:rsid w:val="002F5502"/>
    <w:rsid w:val="002F596D"/>
    <w:rsid w:val="002F605B"/>
    <w:rsid w:val="002F64B7"/>
    <w:rsid w:val="002F6556"/>
    <w:rsid w:val="002F6628"/>
    <w:rsid w:val="002F69BE"/>
    <w:rsid w:val="002F69E5"/>
    <w:rsid w:val="002F6A1A"/>
    <w:rsid w:val="002F7047"/>
    <w:rsid w:val="002F70E6"/>
    <w:rsid w:val="002F78BB"/>
    <w:rsid w:val="002F7C58"/>
    <w:rsid w:val="003000C0"/>
    <w:rsid w:val="0030028D"/>
    <w:rsid w:val="00300A96"/>
    <w:rsid w:val="00302028"/>
    <w:rsid w:val="00303128"/>
    <w:rsid w:val="00303467"/>
    <w:rsid w:val="003057F0"/>
    <w:rsid w:val="00305827"/>
    <w:rsid w:val="00305D05"/>
    <w:rsid w:val="00305EA4"/>
    <w:rsid w:val="003062BC"/>
    <w:rsid w:val="00306742"/>
    <w:rsid w:val="00306B02"/>
    <w:rsid w:val="00306CDE"/>
    <w:rsid w:val="00306EAA"/>
    <w:rsid w:val="00306F75"/>
    <w:rsid w:val="00307CBC"/>
    <w:rsid w:val="00310CCE"/>
    <w:rsid w:val="00312021"/>
    <w:rsid w:val="003121C6"/>
    <w:rsid w:val="00312D21"/>
    <w:rsid w:val="003136AC"/>
    <w:rsid w:val="003136BD"/>
    <w:rsid w:val="00313D7B"/>
    <w:rsid w:val="00313EB8"/>
    <w:rsid w:val="00314FAF"/>
    <w:rsid w:val="00315370"/>
    <w:rsid w:val="0031539D"/>
    <w:rsid w:val="0031679E"/>
    <w:rsid w:val="00316D12"/>
    <w:rsid w:val="00320892"/>
    <w:rsid w:val="003217E0"/>
    <w:rsid w:val="00322042"/>
    <w:rsid w:val="003220A1"/>
    <w:rsid w:val="003221AF"/>
    <w:rsid w:val="00322317"/>
    <w:rsid w:val="00322989"/>
    <w:rsid w:val="003229FC"/>
    <w:rsid w:val="00323F61"/>
    <w:rsid w:val="00323FCD"/>
    <w:rsid w:val="003243C0"/>
    <w:rsid w:val="00324609"/>
    <w:rsid w:val="00324945"/>
    <w:rsid w:val="00324FD8"/>
    <w:rsid w:val="003251B9"/>
    <w:rsid w:val="00325463"/>
    <w:rsid w:val="003255B4"/>
    <w:rsid w:val="003269E6"/>
    <w:rsid w:val="00326A7F"/>
    <w:rsid w:val="00327621"/>
    <w:rsid w:val="00327BE3"/>
    <w:rsid w:val="00330D25"/>
    <w:rsid w:val="00330EA6"/>
    <w:rsid w:val="003316CD"/>
    <w:rsid w:val="00331795"/>
    <w:rsid w:val="003320E8"/>
    <w:rsid w:val="003323C5"/>
    <w:rsid w:val="00332886"/>
    <w:rsid w:val="00332D83"/>
    <w:rsid w:val="00333570"/>
    <w:rsid w:val="003341BE"/>
    <w:rsid w:val="00334F62"/>
    <w:rsid w:val="0033569E"/>
    <w:rsid w:val="00335B7C"/>
    <w:rsid w:val="00335D55"/>
    <w:rsid w:val="0033776E"/>
    <w:rsid w:val="00337BA3"/>
    <w:rsid w:val="003405ED"/>
    <w:rsid w:val="00342C0D"/>
    <w:rsid w:val="00342DC0"/>
    <w:rsid w:val="00342EE0"/>
    <w:rsid w:val="0034329A"/>
    <w:rsid w:val="00343ADF"/>
    <w:rsid w:val="00343FB7"/>
    <w:rsid w:val="0034463C"/>
    <w:rsid w:val="003446F1"/>
    <w:rsid w:val="00344F8A"/>
    <w:rsid w:val="003451C5"/>
    <w:rsid w:val="0034657A"/>
    <w:rsid w:val="00346A59"/>
    <w:rsid w:val="00346D54"/>
    <w:rsid w:val="00346F65"/>
    <w:rsid w:val="00347191"/>
    <w:rsid w:val="00347956"/>
    <w:rsid w:val="00347C8C"/>
    <w:rsid w:val="00347D6C"/>
    <w:rsid w:val="003508C4"/>
    <w:rsid w:val="003511C9"/>
    <w:rsid w:val="00351A25"/>
    <w:rsid w:val="003522BA"/>
    <w:rsid w:val="00352311"/>
    <w:rsid w:val="00354A61"/>
    <w:rsid w:val="0035507F"/>
    <w:rsid w:val="00355B43"/>
    <w:rsid w:val="00355EFB"/>
    <w:rsid w:val="003575EE"/>
    <w:rsid w:val="00357997"/>
    <w:rsid w:val="00357E0C"/>
    <w:rsid w:val="0036025C"/>
    <w:rsid w:val="00360465"/>
    <w:rsid w:val="00362080"/>
    <w:rsid w:val="00362101"/>
    <w:rsid w:val="003627D2"/>
    <w:rsid w:val="003634B8"/>
    <w:rsid w:val="0036381F"/>
    <w:rsid w:val="003638D9"/>
    <w:rsid w:val="00363B25"/>
    <w:rsid w:val="00363D9F"/>
    <w:rsid w:val="00364086"/>
    <w:rsid w:val="00364B54"/>
    <w:rsid w:val="003659A6"/>
    <w:rsid w:val="00365C74"/>
    <w:rsid w:val="00365D4E"/>
    <w:rsid w:val="00366F58"/>
    <w:rsid w:val="0036704F"/>
    <w:rsid w:val="0036709A"/>
    <w:rsid w:val="00367417"/>
    <w:rsid w:val="00367667"/>
    <w:rsid w:val="0036767B"/>
    <w:rsid w:val="00370685"/>
    <w:rsid w:val="003707AB"/>
    <w:rsid w:val="00371CD3"/>
    <w:rsid w:val="00371D6A"/>
    <w:rsid w:val="003722BD"/>
    <w:rsid w:val="00372707"/>
    <w:rsid w:val="00372C4D"/>
    <w:rsid w:val="00372DEE"/>
    <w:rsid w:val="00373074"/>
    <w:rsid w:val="0037309C"/>
    <w:rsid w:val="00373B90"/>
    <w:rsid w:val="00374720"/>
    <w:rsid w:val="00375465"/>
    <w:rsid w:val="00375D39"/>
    <w:rsid w:val="00375FAD"/>
    <w:rsid w:val="00376177"/>
    <w:rsid w:val="003767B8"/>
    <w:rsid w:val="003802C6"/>
    <w:rsid w:val="0038143F"/>
    <w:rsid w:val="00381629"/>
    <w:rsid w:val="00381A49"/>
    <w:rsid w:val="003821C3"/>
    <w:rsid w:val="00382BD5"/>
    <w:rsid w:val="003833A0"/>
    <w:rsid w:val="003839DD"/>
    <w:rsid w:val="00384B4B"/>
    <w:rsid w:val="0038554C"/>
    <w:rsid w:val="00385970"/>
    <w:rsid w:val="0038598B"/>
    <w:rsid w:val="00385FA6"/>
    <w:rsid w:val="00385FC9"/>
    <w:rsid w:val="00386207"/>
    <w:rsid w:val="0038684C"/>
    <w:rsid w:val="00387184"/>
    <w:rsid w:val="00390B67"/>
    <w:rsid w:val="00390BA0"/>
    <w:rsid w:val="00391194"/>
    <w:rsid w:val="00391BDC"/>
    <w:rsid w:val="0039206B"/>
    <w:rsid w:val="00392587"/>
    <w:rsid w:val="00392ADF"/>
    <w:rsid w:val="003938E2"/>
    <w:rsid w:val="00393971"/>
    <w:rsid w:val="00393AD7"/>
    <w:rsid w:val="00393C17"/>
    <w:rsid w:val="0039438E"/>
    <w:rsid w:val="003945F4"/>
    <w:rsid w:val="00394C98"/>
    <w:rsid w:val="003959F0"/>
    <w:rsid w:val="0039621E"/>
    <w:rsid w:val="003965A3"/>
    <w:rsid w:val="00396BA3"/>
    <w:rsid w:val="00396BF2"/>
    <w:rsid w:val="00396CAC"/>
    <w:rsid w:val="00397B9B"/>
    <w:rsid w:val="00397EC3"/>
    <w:rsid w:val="003A0587"/>
    <w:rsid w:val="003A078E"/>
    <w:rsid w:val="003A1904"/>
    <w:rsid w:val="003A1CB7"/>
    <w:rsid w:val="003A258A"/>
    <w:rsid w:val="003A351F"/>
    <w:rsid w:val="003A3B1B"/>
    <w:rsid w:val="003A3D62"/>
    <w:rsid w:val="003A40EF"/>
    <w:rsid w:val="003A4492"/>
    <w:rsid w:val="003A5B60"/>
    <w:rsid w:val="003A6888"/>
    <w:rsid w:val="003B08EA"/>
    <w:rsid w:val="003B0E3D"/>
    <w:rsid w:val="003B1105"/>
    <w:rsid w:val="003B134B"/>
    <w:rsid w:val="003B1446"/>
    <w:rsid w:val="003B1536"/>
    <w:rsid w:val="003B15CA"/>
    <w:rsid w:val="003B1795"/>
    <w:rsid w:val="003B2DFE"/>
    <w:rsid w:val="003B313B"/>
    <w:rsid w:val="003B31DD"/>
    <w:rsid w:val="003B55E0"/>
    <w:rsid w:val="003B6079"/>
    <w:rsid w:val="003B6263"/>
    <w:rsid w:val="003B6423"/>
    <w:rsid w:val="003B6E4B"/>
    <w:rsid w:val="003B724F"/>
    <w:rsid w:val="003B7680"/>
    <w:rsid w:val="003B7E86"/>
    <w:rsid w:val="003C0133"/>
    <w:rsid w:val="003C0537"/>
    <w:rsid w:val="003C13F6"/>
    <w:rsid w:val="003C1A51"/>
    <w:rsid w:val="003C30A5"/>
    <w:rsid w:val="003C372D"/>
    <w:rsid w:val="003C379C"/>
    <w:rsid w:val="003C41F6"/>
    <w:rsid w:val="003C42AA"/>
    <w:rsid w:val="003C43D3"/>
    <w:rsid w:val="003C4A7E"/>
    <w:rsid w:val="003C4CF2"/>
    <w:rsid w:val="003C53C7"/>
    <w:rsid w:val="003C5483"/>
    <w:rsid w:val="003C6B1C"/>
    <w:rsid w:val="003C6E95"/>
    <w:rsid w:val="003C79B1"/>
    <w:rsid w:val="003D0AAC"/>
    <w:rsid w:val="003D0C38"/>
    <w:rsid w:val="003D0D1C"/>
    <w:rsid w:val="003D1871"/>
    <w:rsid w:val="003D1C55"/>
    <w:rsid w:val="003D2416"/>
    <w:rsid w:val="003D28C2"/>
    <w:rsid w:val="003D2C1A"/>
    <w:rsid w:val="003D30D9"/>
    <w:rsid w:val="003D3125"/>
    <w:rsid w:val="003D3772"/>
    <w:rsid w:val="003D39AA"/>
    <w:rsid w:val="003D3ED9"/>
    <w:rsid w:val="003D4253"/>
    <w:rsid w:val="003D4CDE"/>
    <w:rsid w:val="003D520A"/>
    <w:rsid w:val="003D5D01"/>
    <w:rsid w:val="003D6889"/>
    <w:rsid w:val="003D7364"/>
    <w:rsid w:val="003D74A3"/>
    <w:rsid w:val="003D7E5C"/>
    <w:rsid w:val="003E056D"/>
    <w:rsid w:val="003E0BED"/>
    <w:rsid w:val="003E1096"/>
    <w:rsid w:val="003E201D"/>
    <w:rsid w:val="003E26DD"/>
    <w:rsid w:val="003E36B3"/>
    <w:rsid w:val="003E387F"/>
    <w:rsid w:val="003E3A14"/>
    <w:rsid w:val="003E3C93"/>
    <w:rsid w:val="003E42D0"/>
    <w:rsid w:val="003E4A7A"/>
    <w:rsid w:val="003E4E65"/>
    <w:rsid w:val="003E53F6"/>
    <w:rsid w:val="003E6034"/>
    <w:rsid w:val="003E6353"/>
    <w:rsid w:val="003E683A"/>
    <w:rsid w:val="003E6A3A"/>
    <w:rsid w:val="003E6FA8"/>
    <w:rsid w:val="003E7F88"/>
    <w:rsid w:val="003F0111"/>
    <w:rsid w:val="003F036B"/>
    <w:rsid w:val="003F0724"/>
    <w:rsid w:val="003F11AA"/>
    <w:rsid w:val="003F1E68"/>
    <w:rsid w:val="003F27CB"/>
    <w:rsid w:val="003F2AE4"/>
    <w:rsid w:val="003F2B2C"/>
    <w:rsid w:val="003F314B"/>
    <w:rsid w:val="003F431C"/>
    <w:rsid w:val="003F43E8"/>
    <w:rsid w:val="003F59A9"/>
    <w:rsid w:val="003F6081"/>
    <w:rsid w:val="003F713A"/>
    <w:rsid w:val="003F7363"/>
    <w:rsid w:val="003F7A9B"/>
    <w:rsid w:val="003F7F84"/>
    <w:rsid w:val="0040073F"/>
    <w:rsid w:val="00400AE3"/>
    <w:rsid w:val="00400EC0"/>
    <w:rsid w:val="00400F05"/>
    <w:rsid w:val="00401C50"/>
    <w:rsid w:val="004022AA"/>
    <w:rsid w:val="00402655"/>
    <w:rsid w:val="0040309E"/>
    <w:rsid w:val="004039D1"/>
    <w:rsid w:val="00404150"/>
    <w:rsid w:val="00404846"/>
    <w:rsid w:val="00405BA9"/>
    <w:rsid w:val="00405CDD"/>
    <w:rsid w:val="00405FDD"/>
    <w:rsid w:val="00406902"/>
    <w:rsid w:val="00406AB8"/>
    <w:rsid w:val="00406E7E"/>
    <w:rsid w:val="00406FEF"/>
    <w:rsid w:val="0040717C"/>
    <w:rsid w:val="0041117F"/>
    <w:rsid w:val="00411804"/>
    <w:rsid w:val="004128C7"/>
    <w:rsid w:val="00412ABC"/>
    <w:rsid w:val="00412EAE"/>
    <w:rsid w:val="0041484B"/>
    <w:rsid w:val="00414E34"/>
    <w:rsid w:val="00414E3A"/>
    <w:rsid w:val="00415405"/>
    <w:rsid w:val="00415739"/>
    <w:rsid w:val="00415B7F"/>
    <w:rsid w:val="0041601E"/>
    <w:rsid w:val="004161D2"/>
    <w:rsid w:val="004223A9"/>
    <w:rsid w:val="00422FC9"/>
    <w:rsid w:val="00424018"/>
    <w:rsid w:val="004248C5"/>
    <w:rsid w:val="00425258"/>
    <w:rsid w:val="0042555C"/>
    <w:rsid w:val="0042590A"/>
    <w:rsid w:val="00425B4D"/>
    <w:rsid w:val="004260FA"/>
    <w:rsid w:val="004262F3"/>
    <w:rsid w:val="00426891"/>
    <w:rsid w:val="00426F01"/>
    <w:rsid w:val="00431179"/>
    <w:rsid w:val="004319C9"/>
    <w:rsid w:val="00432233"/>
    <w:rsid w:val="00432FBF"/>
    <w:rsid w:val="004330C2"/>
    <w:rsid w:val="0043317F"/>
    <w:rsid w:val="004332B5"/>
    <w:rsid w:val="00433CEE"/>
    <w:rsid w:val="00434362"/>
    <w:rsid w:val="00434531"/>
    <w:rsid w:val="00434B11"/>
    <w:rsid w:val="00435FE7"/>
    <w:rsid w:val="004369C5"/>
    <w:rsid w:val="004408FE"/>
    <w:rsid w:val="004414DB"/>
    <w:rsid w:val="00441662"/>
    <w:rsid w:val="00441A8E"/>
    <w:rsid w:val="00441C02"/>
    <w:rsid w:val="00441C92"/>
    <w:rsid w:val="004425FF"/>
    <w:rsid w:val="00442B68"/>
    <w:rsid w:val="004438FE"/>
    <w:rsid w:val="00443CBF"/>
    <w:rsid w:val="0044435C"/>
    <w:rsid w:val="00444BA3"/>
    <w:rsid w:val="00444FE1"/>
    <w:rsid w:val="0044514F"/>
    <w:rsid w:val="00445426"/>
    <w:rsid w:val="00445AE0"/>
    <w:rsid w:val="00445E96"/>
    <w:rsid w:val="004463CD"/>
    <w:rsid w:val="004463D1"/>
    <w:rsid w:val="004479C3"/>
    <w:rsid w:val="00447FB5"/>
    <w:rsid w:val="004505D8"/>
    <w:rsid w:val="004516CC"/>
    <w:rsid w:val="00451EF3"/>
    <w:rsid w:val="00452382"/>
    <w:rsid w:val="00452E53"/>
    <w:rsid w:val="0045360E"/>
    <w:rsid w:val="00453A44"/>
    <w:rsid w:val="00455B44"/>
    <w:rsid w:val="00456E04"/>
    <w:rsid w:val="00457780"/>
    <w:rsid w:val="00457C87"/>
    <w:rsid w:val="00457EBF"/>
    <w:rsid w:val="00460A61"/>
    <w:rsid w:val="004613D8"/>
    <w:rsid w:val="00461B00"/>
    <w:rsid w:val="0046232E"/>
    <w:rsid w:val="00462546"/>
    <w:rsid w:val="00462559"/>
    <w:rsid w:val="004625BC"/>
    <w:rsid w:val="00463D91"/>
    <w:rsid w:val="00464277"/>
    <w:rsid w:val="004642CF"/>
    <w:rsid w:val="00465028"/>
    <w:rsid w:val="00465260"/>
    <w:rsid w:val="00465490"/>
    <w:rsid w:val="00465A78"/>
    <w:rsid w:val="00465B57"/>
    <w:rsid w:val="004660B9"/>
    <w:rsid w:val="0046656D"/>
    <w:rsid w:val="00467187"/>
    <w:rsid w:val="00467314"/>
    <w:rsid w:val="004675A3"/>
    <w:rsid w:val="00467B12"/>
    <w:rsid w:val="00467BD8"/>
    <w:rsid w:val="0047010D"/>
    <w:rsid w:val="00470302"/>
    <w:rsid w:val="0047051A"/>
    <w:rsid w:val="00472AAF"/>
    <w:rsid w:val="00473EBF"/>
    <w:rsid w:val="00474163"/>
    <w:rsid w:val="004743A7"/>
    <w:rsid w:val="00474754"/>
    <w:rsid w:val="00475074"/>
    <w:rsid w:val="0047523D"/>
    <w:rsid w:val="0047532E"/>
    <w:rsid w:val="004754BF"/>
    <w:rsid w:val="00475901"/>
    <w:rsid w:val="00475A6E"/>
    <w:rsid w:val="00475F9C"/>
    <w:rsid w:val="004763BE"/>
    <w:rsid w:val="00476C06"/>
    <w:rsid w:val="00476D0F"/>
    <w:rsid w:val="004777CF"/>
    <w:rsid w:val="0048062A"/>
    <w:rsid w:val="00480C0D"/>
    <w:rsid w:val="00480E10"/>
    <w:rsid w:val="00481283"/>
    <w:rsid w:val="00481FA1"/>
    <w:rsid w:val="0048240A"/>
    <w:rsid w:val="004824A8"/>
    <w:rsid w:val="0048263F"/>
    <w:rsid w:val="00483653"/>
    <w:rsid w:val="004843B7"/>
    <w:rsid w:val="00485214"/>
    <w:rsid w:val="00485C71"/>
    <w:rsid w:val="00486021"/>
    <w:rsid w:val="0048614D"/>
    <w:rsid w:val="00486304"/>
    <w:rsid w:val="0048690A"/>
    <w:rsid w:val="00486DBE"/>
    <w:rsid w:val="00487197"/>
    <w:rsid w:val="004878AE"/>
    <w:rsid w:val="00487A03"/>
    <w:rsid w:val="0049105B"/>
    <w:rsid w:val="0049106D"/>
    <w:rsid w:val="004913B0"/>
    <w:rsid w:val="004914AD"/>
    <w:rsid w:val="0049184B"/>
    <w:rsid w:val="00491CAF"/>
    <w:rsid w:val="0049279B"/>
    <w:rsid w:val="00493128"/>
    <w:rsid w:val="004931E1"/>
    <w:rsid w:val="0049418D"/>
    <w:rsid w:val="00495481"/>
    <w:rsid w:val="00495FF6"/>
    <w:rsid w:val="00496315"/>
    <w:rsid w:val="00496C6F"/>
    <w:rsid w:val="00496D80"/>
    <w:rsid w:val="00497366"/>
    <w:rsid w:val="0049754B"/>
    <w:rsid w:val="004978DB"/>
    <w:rsid w:val="004A09FC"/>
    <w:rsid w:val="004A0C4C"/>
    <w:rsid w:val="004A1674"/>
    <w:rsid w:val="004A169B"/>
    <w:rsid w:val="004A19EC"/>
    <w:rsid w:val="004A2E23"/>
    <w:rsid w:val="004A32AE"/>
    <w:rsid w:val="004A3341"/>
    <w:rsid w:val="004A33DC"/>
    <w:rsid w:val="004A48D2"/>
    <w:rsid w:val="004A4C58"/>
    <w:rsid w:val="004A502C"/>
    <w:rsid w:val="004A56CA"/>
    <w:rsid w:val="004A5C20"/>
    <w:rsid w:val="004A5D80"/>
    <w:rsid w:val="004A6930"/>
    <w:rsid w:val="004A7C03"/>
    <w:rsid w:val="004B022C"/>
    <w:rsid w:val="004B0505"/>
    <w:rsid w:val="004B05EA"/>
    <w:rsid w:val="004B1043"/>
    <w:rsid w:val="004B1422"/>
    <w:rsid w:val="004B157C"/>
    <w:rsid w:val="004B1629"/>
    <w:rsid w:val="004B1A35"/>
    <w:rsid w:val="004B1B46"/>
    <w:rsid w:val="004B24B0"/>
    <w:rsid w:val="004B328A"/>
    <w:rsid w:val="004B3CCA"/>
    <w:rsid w:val="004B40DF"/>
    <w:rsid w:val="004B47A1"/>
    <w:rsid w:val="004B4DE7"/>
    <w:rsid w:val="004B513B"/>
    <w:rsid w:val="004B5809"/>
    <w:rsid w:val="004B5B96"/>
    <w:rsid w:val="004B61C5"/>
    <w:rsid w:val="004B6236"/>
    <w:rsid w:val="004B6258"/>
    <w:rsid w:val="004B69C3"/>
    <w:rsid w:val="004B69E6"/>
    <w:rsid w:val="004B7224"/>
    <w:rsid w:val="004B75F3"/>
    <w:rsid w:val="004B7FC4"/>
    <w:rsid w:val="004C003D"/>
    <w:rsid w:val="004C039B"/>
    <w:rsid w:val="004C0AB9"/>
    <w:rsid w:val="004C0F5B"/>
    <w:rsid w:val="004C2347"/>
    <w:rsid w:val="004C256D"/>
    <w:rsid w:val="004C2A19"/>
    <w:rsid w:val="004C3390"/>
    <w:rsid w:val="004C3646"/>
    <w:rsid w:val="004C38E2"/>
    <w:rsid w:val="004C42F7"/>
    <w:rsid w:val="004C50A8"/>
    <w:rsid w:val="004C63E8"/>
    <w:rsid w:val="004C6419"/>
    <w:rsid w:val="004C6B76"/>
    <w:rsid w:val="004C7274"/>
    <w:rsid w:val="004C776E"/>
    <w:rsid w:val="004C7E8A"/>
    <w:rsid w:val="004D092F"/>
    <w:rsid w:val="004D0983"/>
    <w:rsid w:val="004D0FF4"/>
    <w:rsid w:val="004D1AD5"/>
    <w:rsid w:val="004D22DC"/>
    <w:rsid w:val="004D40D2"/>
    <w:rsid w:val="004D42EF"/>
    <w:rsid w:val="004D4410"/>
    <w:rsid w:val="004D444E"/>
    <w:rsid w:val="004D4EA8"/>
    <w:rsid w:val="004D53AD"/>
    <w:rsid w:val="004D666C"/>
    <w:rsid w:val="004D690B"/>
    <w:rsid w:val="004D6BF9"/>
    <w:rsid w:val="004D769B"/>
    <w:rsid w:val="004D775C"/>
    <w:rsid w:val="004D7941"/>
    <w:rsid w:val="004E0625"/>
    <w:rsid w:val="004E0660"/>
    <w:rsid w:val="004E06C7"/>
    <w:rsid w:val="004E0892"/>
    <w:rsid w:val="004E1052"/>
    <w:rsid w:val="004E1249"/>
    <w:rsid w:val="004E15BC"/>
    <w:rsid w:val="004E231F"/>
    <w:rsid w:val="004E34EF"/>
    <w:rsid w:val="004E366A"/>
    <w:rsid w:val="004E3E8C"/>
    <w:rsid w:val="004E47A0"/>
    <w:rsid w:val="004E4A33"/>
    <w:rsid w:val="004E4BF6"/>
    <w:rsid w:val="004E600D"/>
    <w:rsid w:val="004E64A2"/>
    <w:rsid w:val="004E64D6"/>
    <w:rsid w:val="004E7818"/>
    <w:rsid w:val="004E7CFA"/>
    <w:rsid w:val="004F04C6"/>
    <w:rsid w:val="004F1145"/>
    <w:rsid w:val="004F1729"/>
    <w:rsid w:val="004F173C"/>
    <w:rsid w:val="004F1EF5"/>
    <w:rsid w:val="004F2E04"/>
    <w:rsid w:val="004F402C"/>
    <w:rsid w:val="004F41D5"/>
    <w:rsid w:val="004F43FD"/>
    <w:rsid w:val="004F476B"/>
    <w:rsid w:val="004F56DD"/>
    <w:rsid w:val="004F57F3"/>
    <w:rsid w:val="004F60E7"/>
    <w:rsid w:val="0050092F"/>
    <w:rsid w:val="00500CE6"/>
    <w:rsid w:val="00501E12"/>
    <w:rsid w:val="00502073"/>
    <w:rsid w:val="005022B9"/>
    <w:rsid w:val="00503A46"/>
    <w:rsid w:val="005042E0"/>
    <w:rsid w:val="005045CD"/>
    <w:rsid w:val="00504B74"/>
    <w:rsid w:val="00505604"/>
    <w:rsid w:val="00505A94"/>
    <w:rsid w:val="00505CA8"/>
    <w:rsid w:val="00505DC2"/>
    <w:rsid w:val="00506176"/>
    <w:rsid w:val="00507319"/>
    <w:rsid w:val="0050785C"/>
    <w:rsid w:val="0051044E"/>
    <w:rsid w:val="00511474"/>
    <w:rsid w:val="00511CA2"/>
    <w:rsid w:val="00514623"/>
    <w:rsid w:val="005149AA"/>
    <w:rsid w:val="005149F3"/>
    <w:rsid w:val="0051541F"/>
    <w:rsid w:val="00515964"/>
    <w:rsid w:val="00515B6D"/>
    <w:rsid w:val="0051607B"/>
    <w:rsid w:val="00516590"/>
    <w:rsid w:val="00516EF5"/>
    <w:rsid w:val="005171BF"/>
    <w:rsid w:val="00517F24"/>
    <w:rsid w:val="005208ED"/>
    <w:rsid w:val="005212B3"/>
    <w:rsid w:val="00521748"/>
    <w:rsid w:val="00521810"/>
    <w:rsid w:val="0052263C"/>
    <w:rsid w:val="00522677"/>
    <w:rsid w:val="00522BE0"/>
    <w:rsid w:val="00522E70"/>
    <w:rsid w:val="00523FF7"/>
    <w:rsid w:val="00524F16"/>
    <w:rsid w:val="00525014"/>
    <w:rsid w:val="0052519D"/>
    <w:rsid w:val="0052577C"/>
    <w:rsid w:val="00526359"/>
    <w:rsid w:val="0052653F"/>
    <w:rsid w:val="005268A4"/>
    <w:rsid w:val="005305FF"/>
    <w:rsid w:val="00530CD8"/>
    <w:rsid w:val="005314EE"/>
    <w:rsid w:val="00531690"/>
    <w:rsid w:val="005316C4"/>
    <w:rsid w:val="00531B5D"/>
    <w:rsid w:val="00532597"/>
    <w:rsid w:val="005329E4"/>
    <w:rsid w:val="00532E01"/>
    <w:rsid w:val="00532F46"/>
    <w:rsid w:val="00533430"/>
    <w:rsid w:val="0053352F"/>
    <w:rsid w:val="00533D92"/>
    <w:rsid w:val="00533F34"/>
    <w:rsid w:val="00534139"/>
    <w:rsid w:val="00534290"/>
    <w:rsid w:val="005345F1"/>
    <w:rsid w:val="005348AD"/>
    <w:rsid w:val="00534AB1"/>
    <w:rsid w:val="00535225"/>
    <w:rsid w:val="0053561E"/>
    <w:rsid w:val="00535E9E"/>
    <w:rsid w:val="005360CF"/>
    <w:rsid w:val="005363EB"/>
    <w:rsid w:val="00536A44"/>
    <w:rsid w:val="00536B49"/>
    <w:rsid w:val="00536D7B"/>
    <w:rsid w:val="00537A04"/>
    <w:rsid w:val="00537BDA"/>
    <w:rsid w:val="005406C7"/>
    <w:rsid w:val="00540C2F"/>
    <w:rsid w:val="0054127E"/>
    <w:rsid w:val="0054194D"/>
    <w:rsid w:val="00542532"/>
    <w:rsid w:val="00542600"/>
    <w:rsid w:val="0054301F"/>
    <w:rsid w:val="0054319F"/>
    <w:rsid w:val="0054351F"/>
    <w:rsid w:val="00543796"/>
    <w:rsid w:val="00543FC9"/>
    <w:rsid w:val="0054424E"/>
    <w:rsid w:val="00544763"/>
    <w:rsid w:val="00544CF9"/>
    <w:rsid w:val="0054502E"/>
    <w:rsid w:val="00545A80"/>
    <w:rsid w:val="00545B25"/>
    <w:rsid w:val="005464F0"/>
    <w:rsid w:val="005465C0"/>
    <w:rsid w:val="00546976"/>
    <w:rsid w:val="00546D87"/>
    <w:rsid w:val="005477AF"/>
    <w:rsid w:val="00547F72"/>
    <w:rsid w:val="005500A2"/>
    <w:rsid w:val="005505CF"/>
    <w:rsid w:val="00551DA7"/>
    <w:rsid w:val="0055201B"/>
    <w:rsid w:val="0055243B"/>
    <w:rsid w:val="00552946"/>
    <w:rsid w:val="00552B1E"/>
    <w:rsid w:val="00553720"/>
    <w:rsid w:val="00553EF0"/>
    <w:rsid w:val="005542C2"/>
    <w:rsid w:val="00554A99"/>
    <w:rsid w:val="005550C7"/>
    <w:rsid w:val="00555354"/>
    <w:rsid w:val="00556020"/>
    <w:rsid w:val="005562F0"/>
    <w:rsid w:val="00556B86"/>
    <w:rsid w:val="00556EA4"/>
    <w:rsid w:val="00557CC4"/>
    <w:rsid w:val="00557D2E"/>
    <w:rsid w:val="00557E18"/>
    <w:rsid w:val="005602AB"/>
    <w:rsid w:val="00560CC6"/>
    <w:rsid w:val="00561338"/>
    <w:rsid w:val="005620A4"/>
    <w:rsid w:val="00562D69"/>
    <w:rsid w:val="0056314B"/>
    <w:rsid w:val="00563225"/>
    <w:rsid w:val="00563501"/>
    <w:rsid w:val="00563B54"/>
    <w:rsid w:val="0056424A"/>
    <w:rsid w:val="00564738"/>
    <w:rsid w:val="00564778"/>
    <w:rsid w:val="00565696"/>
    <w:rsid w:val="005662D7"/>
    <w:rsid w:val="0056673C"/>
    <w:rsid w:val="00566DAC"/>
    <w:rsid w:val="00567171"/>
    <w:rsid w:val="005671D1"/>
    <w:rsid w:val="00567D7E"/>
    <w:rsid w:val="00570C32"/>
    <w:rsid w:val="00570DCB"/>
    <w:rsid w:val="005716D1"/>
    <w:rsid w:val="005718B0"/>
    <w:rsid w:val="00571CDC"/>
    <w:rsid w:val="00571DF2"/>
    <w:rsid w:val="00572693"/>
    <w:rsid w:val="00572D63"/>
    <w:rsid w:val="0057309C"/>
    <w:rsid w:val="0057343D"/>
    <w:rsid w:val="0057352B"/>
    <w:rsid w:val="00573AC0"/>
    <w:rsid w:val="00573CE7"/>
    <w:rsid w:val="00573E6A"/>
    <w:rsid w:val="005742EF"/>
    <w:rsid w:val="005746A9"/>
    <w:rsid w:val="005748D3"/>
    <w:rsid w:val="005749E4"/>
    <w:rsid w:val="00574EB4"/>
    <w:rsid w:val="0057518E"/>
    <w:rsid w:val="00575551"/>
    <w:rsid w:val="00576347"/>
    <w:rsid w:val="0057696C"/>
    <w:rsid w:val="00576F2B"/>
    <w:rsid w:val="0057731F"/>
    <w:rsid w:val="005776DE"/>
    <w:rsid w:val="00577D2D"/>
    <w:rsid w:val="00577E90"/>
    <w:rsid w:val="005800E8"/>
    <w:rsid w:val="0058067C"/>
    <w:rsid w:val="005809EA"/>
    <w:rsid w:val="005815B1"/>
    <w:rsid w:val="00581CFD"/>
    <w:rsid w:val="00582228"/>
    <w:rsid w:val="00582DA8"/>
    <w:rsid w:val="00582E2B"/>
    <w:rsid w:val="00583818"/>
    <w:rsid w:val="00583B5C"/>
    <w:rsid w:val="00583F9E"/>
    <w:rsid w:val="005849D0"/>
    <w:rsid w:val="00584BBB"/>
    <w:rsid w:val="0058522A"/>
    <w:rsid w:val="00585722"/>
    <w:rsid w:val="00585C71"/>
    <w:rsid w:val="00586EDF"/>
    <w:rsid w:val="005877D3"/>
    <w:rsid w:val="005878EC"/>
    <w:rsid w:val="00587A34"/>
    <w:rsid w:val="00587B78"/>
    <w:rsid w:val="00587EA8"/>
    <w:rsid w:val="005909E7"/>
    <w:rsid w:val="00590D14"/>
    <w:rsid w:val="00591F82"/>
    <w:rsid w:val="005922E0"/>
    <w:rsid w:val="005926CA"/>
    <w:rsid w:val="0059294B"/>
    <w:rsid w:val="00592B4E"/>
    <w:rsid w:val="00593618"/>
    <w:rsid w:val="00593D35"/>
    <w:rsid w:val="00593D54"/>
    <w:rsid w:val="00594A74"/>
    <w:rsid w:val="005951F8"/>
    <w:rsid w:val="00595FD4"/>
    <w:rsid w:val="0059602C"/>
    <w:rsid w:val="00596910"/>
    <w:rsid w:val="0059772A"/>
    <w:rsid w:val="0059777F"/>
    <w:rsid w:val="005979AB"/>
    <w:rsid w:val="005A03C5"/>
    <w:rsid w:val="005A0964"/>
    <w:rsid w:val="005A1217"/>
    <w:rsid w:val="005A1937"/>
    <w:rsid w:val="005A199B"/>
    <w:rsid w:val="005A2D94"/>
    <w:rsid w:val="005A3345"/>
    <w:rsid w:val="005A35FD"/>
    <w:rsid w:val="005A3910"/>
    <w:rsid w:val="005A3CB5"/>
    <w:rsid w:val="005A3F6D"/>
    <w:rsid w:val="005A47D8"/>
    <w:rsid w:val="005A4812"/>
    <w:rsid w:val="005A4BDE"/>
    <w:rsid w:val="005A4D46"/>
    <w:rsid w:val="005A6499"/>
    <w:rsid w:val="005A7396"/>
    <w:rsid w:val="005A7D10"/>
    <w:rsid w:val="005A7EA4"/>
    <w:rsid w:val="005B01D6"/>
    <w:rsid w:val="005B092E"/>
    <w:rsid w:val="005B1941"/>
    <w:rsid w:val="005B228A"/>
    <w:rsid w:val="005B2856"/>
    <w:rsid w:val="005B2FA8"/>
    <w:rsid w:val="005B36A7"/>
    <w:rsid w:val="005B3A1C"/>
    <w:rsid w:val="005B4008"/>
    <w:rsid w:val="005B43DD"/>
    <w:rsid w:val="005B4BD6"/>
    <w:rsid w:val="005B5928"/>
    <w:rsid w:val="005B5FA7"/>
    <w:rsid w:val="005B703D"/>
    <w:rsid w:val="005B74E1"/>
    <w:rsid w:val="005C080A"/>
    <w:rsid w:val="005C18DC"/>
    <w:rsid w:val="005C207E"/>
    <w:rsid w:val="005C29D6"/>
    <w:rsid w:val="005C2BDB"/>
    <w:rsid w:val="005C3349"/>
    <w:rsid w:val="005C3558"/>
    <w:rsid w:val="005C36B0"/>
    <w:rsid w:val="005C3D56"/>
    <w:rsid w:val="005C463F"/>
    <w:rsid w:val="005C4666"/>
    <w:rsid w:val="005C4A40"/>
    <w:rsid w:val="005C643F"/>
    <w:rsid w:val="005C653D"/>
    <w:rsid w:val="005C7302"/>
    <w:rsid w:val="005C76DF"/>
    <w:rsid w:val="005D0797"/>
    <w:rsid w:val="005D1627"/>
    <w:rsid w:val="005D2020"/>
    <w:rsid w:val="005D2199"/>
    <w:rsid w:val="005D2625"/>
    <w:rsid w:val="005D4311"/>
    <w:rsid w:val="005D5034"/>
    <w:rsid w:val="005D59A8"/>
    <w:rsid w:val="005D5C7D"/>
    <w:rsid w:val="005D6821"/>
    <w:rsid w:val="005D77FF"/>
    <w:rsid w:val="005E09DD"/>
    <w:rsid w:val="005E0E31"/>
    <w:rsid w:val="005E1616"/>
    <w:rsid w:val="005E1BDA"/>
    <w:rsid w:val="005E1DA1"/>
    <w:rsid w:val="005E2CD8"/>
    <w:rsid w:val="005E2E2B"/>
    <w:rsid w:val="005E2EE9"/>
    <w:rsid w:val="005E437B"/>
    <w:rsid w:val="005E68D4"/>
    <w:rsid w:val="005E697A"/>
    <w:rsid w:val="005E6B5D"/>
    <w:rsid w:val="005E734C"/>
    <w:rsid w:val="005E7493"/>
    <w:rsid w:val="005E7892"/>
    <w:rsid w:val="005E7BAC"/>
    <w:rsid w:val="005F0C9B"/>
    <w:rsid w:val="005F280B"/>
    <w:rsid w:val="005F29FC"/>
    <w:rsid w:val="005F2CBC"/>
    <w:rsid w:val="005F2D26"/>
    <w:rsid w:val="005F332D"/>
    <w:rsid w:val="005F38B0"/>
    <w:rsid w:val="005F397E"/>
    <w:rsid w:val="005F39B2"/>
    <w:rsid w:val="005F3E8D"/>
    <w:rsid w:val="005F46DC"/>
    <w:rsid w:val="005F49B4"/>
    <w:rsid w:val="005F4AFF"/>
    <w:rsid w:val="005F4DDB"/>
    <w:rsid w:val="005F4F5C"/>
    <w:rsid w:val="005F4F8B"/>
    <w:rsid w:val="005F5217"/>
    <w:rsid w:val="005F5441"/>
    <w:rsid w:val="005F5573"/>
    <w:rsid w:val="005F5796"/>
    <w:rsid w:val="005F61CD"/>
    <w:rsid w:val="005F6792"/>
    <w:rsid w:val="005F6ADD"/>
    <w:rsid w:val="005F6BB3"/>
    <w:rsid w:val="005F7235"/>
    <w:rsid w:val="00600794"/>
    <w:rsid w:val="00601120"/>
    <w:rsid w:val="00601DBE"/>
    <w:rsid w:val="00602626"/>
    <w:rsid w:val="00602B12"/>
    <w:rsid w:val="0060315C"/>
    <w:rsid w:val="0060361C"/>
    <w:rsid w:val="00603AEB"/>
    <w:rsid w:val="0060432B"/>
    <w:rsid w:val="006046D5"/>
    <w:rsid w:val="0060470F"/>
    <w:rsid w:val="0060512E"/>
    <w:rsid w:val="006052D4"/>
    <w:rsid w:val="00605A62"/>
    <w:rsid w:val="00605AE4"/>
    <w:rsid w:val="0060652D"/>
    <w:rsid w:val="0060749A"/>
    <w:rsid w:val="00607F78"/>
    <w:rsid w:val="006101A4"/>
    <w:rsid w:val="00611537"/>
    <w:rsid w:val="006119CC"/>
    <w:rsid w:val="00613796"/>
    <w:rsid w:val="006145F6"/>
    <w:rsid w:val="00614E88"/>
    <w:rsid w:val="00614EC5"/>
    <w:rsid w:val="00615D33"/>
    <w:rsid w:val="0061697B"/>
    <w:rsid w:val="00616B87"/>
    <w:rsid w:val="00617509"/>
    <w:rsid w:val="00617824"/>
    <w:rsid w:val="00617A33"/>
    <w:rsid w:val="00617BDE"/>
    <w:rsid w:val="00620355"/>
    <w:rsid w:val="00620AB1"/>
    <w:rsid w:val="0062181D"/>
    <w:rsid w:val="00621C5F"/>
    <w:rsid w:val="00621F15"/>
    <w:rsid w:val="0062212C"/>
    <w:rsid w:val="00622381"/>
    <w:rsid w:val="00622603"/>
    <w:rsid w:val="00622AA4"/>
    <w:rsid w:val="00622BB4"/>
    <w:rsid w:val="0062452E"/>
    <w:rsid w:val="0062463C"/>
    <w:rsid w:val="00624779"/>
    <w:rsid w:val="00626316"/>
    <w:rsid w:val="0062677E"/>
    <w:rsid w:val="00627DFD"/>
    <w:rsid w:val="00630689"/>
    <w:rsid w:val="00630766"/>
    <w:rsid w:val="00630850"/>
    <w:rsid w:val="00631FD1"/>
    <w:rsid w:val="00632586"/>
    <w:rsid w:val="006328AA"/>
    <w:rsid w:val="00633123"/>
    <w:rsid w:val="006342A8"/>
    <w:rsid w:val="0063462E"/>
    <w:rsid w:val="00634C11"/>
    <w:rsid w:val="006351A4"/>
    <w:rsid w:val="006351C9"/>
    <w:rsid w:val="00635A55"/>
    <w:rsid w:val="00635AAE"/>
    <w:rsid w:val="00635C7F"/>
    <w:rsid w:val="006363DA"/>
    <w:rsid w:val="00636DF5"/>
    <w:rsid w:val="00637786"/>
    <w:rsid w:val="00640065"/>
    <w:rsid w:val="00640621"/>
    <w:rsid w:val="00640D87"/>
    <w:rsid w:val="00641136"/>
    <w:rsid w:val="006430AA"/>
    <w:rsid w:val="00644020"/>
    <w:rsid w:val="00644E2D"/>
    <w:rsid w:val="00644F24"/>
    <w:rsid w:val="0064501D"/>
    <w:rsid w:val="0064546F"/>
    <w:rsid w:val="00645664"/>
    <w:rsid w:val="00645874"/>
    <w:rsid w:val="00645BDE"/>
    <w:rsid w:val="00645EFE"/>
    <w:rsid w:val="0064618A"/>
    <w:rsid w:val="006464F6"/>
    <w:rsid w:val="006467A4"/>
    <w:rsid w:val="00646B09"/>
    <w:rsid w:val="00646CB8"/>
    <w:rsid w:val="00646DEA"/>
    <w:rsid w:val="006476A6"/>
    <w:rsid w:val="00647E40"/>
    <w:rsid w:val="00650B37"/>
    <w:rsid w:val="006517C0"/>
    <w:rsid w:val="006525EC"/>
    <w:rsid w:val="006528DB"/>
    <w:rsid w:val="00653590"/>
    <w:rsid w:val="00653FC6"/>
    <w:rsid w:val="00653FD6"/>
    <w:rsid w:val="00654EE6"/>
    <w:rsid w:val="00655321"/>
    <w:rsid w:val="006558C6"/>
    <w:rsid w:val="00656340"/>
    <w:rsid w:val="00656829"/>
    <w:rsid w:val="006569C2"/>
    <w:rsid w:val="0065703F"/>
    <w:rsid w:val="0066057D"/>
    <w:rsid w:val="00660E49"/>
    <w:rsid w:val="00660F88"/>
    <w:rsid w:val="0066129B"/>
    <w:rsid w:val="00661487"/>
    <w:rsid w:val="00661E48"/>
    <w:rsid w:val="00662122"/>
    <w:rsid w:val="0066328A"/>
    <w:rsid w:val="00663A94"/>
    <w:rsid w:val="00664703"/>
    <w:rsid w:val="00664D55"/>
    <w:rsid w:val="0066530F"/>
    <w:rsid w:val="006660D8"/>
    <w:rsid w:val="00667312"/>
    <w:rsid w:val="00667903"/>
    <w:rsid w:val="0067016C"/>
    <w:rsid w:val="00670556"/>
    <w:rsid w:val="00670B40"/>
    <w:rsid w:val="006715BB"/>
    <w:rsid w:val="006716CF"/>
    <w:rsid w:val="00671735"/>
    <w:rsid w:val="00672332"/>
    <w:rsid w:val="0067237C"/>
    <w:rsid w:val="006724F7"/>
    <w:rsid w:val="00672D21"/>
    <w:rsid w:val="006735A3"/>
    <w:rsid w:val="006739D9"/>
    <w:rsid w:val="006746A4"/>
    <w:rsid w:val="00674C75"/>
    <w:rsid w:val="00674FD7"/>
    <w:rsid w:val="00675359"/>
    <w:rsid w:val="00675396"/>
    <w:rsid w:val="00675508"/>
    <w:rsid w:val="00675902"/>
    <w:rsid w:val="00675A43"/>
    <w:rsid w:val="00675B8D"/>
    <w:rsid w:val="00675BED"/>
    <w:rsid w:val="006766C0"/>
    <w:rsid w:val="0067750C"/>
    <w:rsid w:val="00680030"/>
    <w:rsid w:val="00680530"/>
    <w:rsid w:val="006805A4"/>
    <w:rsid w:val="006819AD"/>
    <w:rsid w:val="00681F49"/>
    <w:rsid w:val="0068254C"/>
    <w:rsid w:val="00682DEB"/>
    <w:rsid w:val="00683928"/>
    <w:rsid w:val="00683A48"/>
    <w:rsid w:val="006842F9"/>
    <w:rsid w:val="00684378"/>
    <w:rsid w:val="006848D8"/>
    <w:rsid w:val="00685AC2"/>
    <w:rsid w:val="00686598"/>
    <w:rsid w:val="006865B4"/>
    <w:rsid w:val="00686952"/>
    <w:rsid w:val="00686E05"/>
    <w:rsid w:val="00690483"/>
    <w:rsid w:val="006906C2"/>
    <w:rsid w:val="00690D38"/>
    <w:rsid w:val="0069122A"/>
    <w:rsid w:val="00691804"/>
    <w:rsid w:val="006918AE"/>
    <w:rsid w:val="00692320"/>
    <w:rsid w:val="00692516"/>
    <w:rsid w:val="00692810"/>
    <w:rsid w:val="00692B5E"/>
    <w:rsid w:val="00692D56"/>
    <w:rsid w:val="00693029"/>
    <w:rsid w:val="00693813"/>
    <w:rsid w:val="00693977"/>
    <w:rsid w:val="00693A4E"/>
    <w:rsid w:val="00693F7A"/>
    <w:rsid w:val="006947E9"/>
    <w:rsid w:val="006955FA"/>
    <w:rsid w:val="0069566E"/>
    <w:rsid w:val="00695EFE"/>
    <w:rsid w:val="00696464"/>
    <w:rsid w:val="00696AB8"/>
    <w:rsid w:val="006975BB"/>
    <w:rsid w:val="00697992"/>
    <w:rsid w:val="006A00A5"/>
    <w:rsid w:val="006A0BEA"/>
    <w:rsid w:val="006A0F0C"/>
    <w:rsid w:val="006A265D"/>
    <w:rsid w:val="006A3013"/>
    <w:rsid w:val="006A3278"/>
    <w:rsid w:val="006A398B"/>
    <w:rsid w:val="006A4EE8"/>
    <w:rsid w:val="006A595E"/>
    <w:rsid w:val="006A6401"/>
    <w:rsid w:val="006A682F"/>
    <w:rsid w:val="006A6867"/>
    <w:rsid w:val="006B00BB"/>
    <w:rsid w:val="006B0194"/>
    <w:rsid w:val="006B01F0"/>
    <w:rsid w:val="006B0A85"/>
    <w:rsid w:val="006B18CD"/>
    <w:rsid w:val="006B1D65"/>
    <w:rsid w:val="006B2334"/>
    <w:rsid w:val="006B2730"/>
    <w:rsid w:val="006B3361"/>
    <w:rsid w:val="006B347D"/>
    <w:rsid w:val="006B3780"/>
    <w:rsid w:val="006B398A"/>
    <w:rsid w:val="006B3F6D"/>
    <w:rsid w:val="006B4860"/>
    <w:rsid w:val="006B49C6"/>
    <w:rsid w:val="006B666F"/>
    <w:rsid w:val="006B7157"/>
    <w:rsid w:val="006B7633"/>
    <w:rsid w:val="006B7658"/>
    <w:rsid w:val="006B76AC"/>
    <w:rsid w:val="006B79A6"/>
    <w:rsid w:val="006B7AFD"/>
    <w:rsid w:val="006B7C3F"/>
    <w:rsid w:val="006C00D4"/>
    <w:rsid w:val="006C0288"/>
    <w:rsid w:val="006C02EE"/>
    <w:rsid w:val="006C03B5"/>
    <w:rsid w:val="006C0843"/>
    <w:rsid w:val="006C1D62"/>
    <w:rsid w:val="006C2195"/>
    <w:rsid w:val="006C25CB"/>
    <w:rsid w:val="006C35E7"/>
    <w:rsid w:val="006C4090"/>
    <w:rsid w:val="006C4B91"/>
    <w:rsid w:val="006C5AE0"/>
    <w:rsid w:val="006C77A2"/>
    <w:rsid w:val="006D0198"/>
    <w:rsid w:val="006D0288"/>
    <w:rsid w:val="006D121F"/>
    <w:rsid w:val="006D156B"/>
    <w:rsid w:val="006D2837"/>
    <w:rsid w:val="006D390A"/>
    <w:rsid w:val="006D3FCF"/>
    <w:rsid w:val="006D480F"/>
    <w:rsid w:val="006D4B60"/>
    <w:rsid w:val="006D4EBC"/>
    <w:rsid w:val="006D4FE7"/>
    <w:rsid w:val="006D54D2"/>
    <w:rsid w:val="006D5EC9"/>
    <w:rsid w:val="006D6280"/>
    <w:rsid w:val="006D7452"/>
    <w:rsid w:val="006D79CC"/>
    <w:rsid w:val="006E018E"/>
    <w:rsid w:val="006E0195"/>
    <w:rsid w:val="006E0491"/>
    <w:rsid w:val="006E0CFE"/>
    <w:rsid w:val="006E106E"/>
    <w:rsid w:val="006E1E1E"/>
    <w:rsid w:val="006E2872"/>
    <w:rsid w:val="006E3F4C"/>
    <w:rsid w:val="006E40C4"/>
    <w:rsid w:val="006E4392"/>
    <w:rsid w:val="006E4545"/>
    <w:rsid w:val="006E4A07"/>
    <w:rsid w:val="006E5080"/>
    <w:rsid w:val="006E5428"/>
    <w:rsid w:val="006E5B07"/>
    <w:rsid w:val="006E6906"/>
    <w:rsid w:val="006E767F"/>
    <w:rsid w:val="006F0083"/>
    <w:rsid w:val="006F018E"/>
    <w:rsid w:val="006F0750"/>
    <w:rsid w:val="006F1969"/>
    <w:rsid w:val="006F1D98"/>
    <w:rsid w:val="006F266A"/>
    <w:rsid w:val="006F2A95"/>
    <w:rsid w:val="006F2E90"/>
    <w:rsid w:val="006F3780"/>
    <w:rsid w:val="006F3DD4"/>
    <w:rsid w:val="006F4054"/>
    <w:rsid w:val="006F4270"/>
    <w:rsid w:val="006F48FE"/>
    <w:rsid w:val="006F5146"/>
    <w:rsid w:val="006F6283"/>
    <w:rsid w:val="006F6632"/>
    <w:rsid w:val="006F66B6"/>
    <w:rsid w:val="006F6840"/>
    <w:rsid w:val="006F6CEE"/>
    <w:rsid w:val="006F77C9"/>
    <w:rsid w:val="006F786C"/>
    <w:rsid w:val="006F7B46"/>
    <w:rsid w:val="006F7DB6"/>
    <w:rsid w:val="007009E9"/>
    <w:rsid w:val="00700EBE"/>
    <w:rsid w:val="0070100C"/>
    <w:rsid w:val="00701B73"/>
    <w:rsid w:val="00701E76"/>
    <w:rsid w:val="00702068"/>
    <w:rsid w:val="007022FC"/>
    <w:rsid w:val="007023C5"/>
    <w:rsid w:val="00702E70"/>
    <w:rsid w:val="00704E32"/>
    <w:rsid w:val="007053E8"/>
    <w:rsid w:val="00705A96"/>
    <w:rsid w:val="00706688"/>
    <w:rsid w:val="00706A2A"/>
    <w:rsid w:val="00706B7C"/>
    <w:rsid w:val="00706E28"/>
    <w:rsid w:val="0070764C"/>
    <w:rsid w:val="00707959"/>
    <w:rsid w:val="00707B1C"/>
    <w:rsid w:val="00707CF9"/>
    <w:rsid w:val="00707D84"/>
    <w:rsid w:val="00707D8F"/>
    <w:rsid w:val="00707DDF"/>
    <w:rsid w:val="0071043C"/>
    <w:rsid w:val="00710AC9"/>
    <w:rsid w:val="00712582"/>
    <w:rsid w:val="00712654"/>
    <w:rsid w:val="007129B2"/>
    <w:rsid w:val="00712A1E"/>
    <w:rsid w:val="00712AF1"/>
    <w:rsid w:val="00712BA9"/>
    <w:rsid w:val="00712E80"/>
    <w:rsid w:val="0071340D"/>
    <w:rsid w:val="00713573"/>
    <w:rsid w:val="0071421F"/>
    <w:rsid w:val="0071457C"/>
    <w:rsid w:val="00714A06"/>
    <w:rsid w:val="00714A39"/>
    <w:rsid w:val="00714C7C"/>
    <w:rsid w:val="00715611"/>
    <w:rsid w:val="00715684"/>
    <w:rsid w:val="007156B9"/>
    <w:rsid w:val="00716407"/>
    <w:rsid w:val="00717FBD"/>
    <w:rsid w:val="0072069C"/>
    <w:rsid w:val="00720725"/>
    <w:rsid w:val="007209E2"/>
    <w:rsid w:val="0072194F"/>
    <w:rsid w:val="0072253F"/>
    <w:rsid w:val="0072257A"/>
    <w:rsid w:val="007225E0"/>
    <w:rsid w:val="00722CBA"/>
    <w:rsid w:val="00723193"/>
    <w:rsid w:val="00723474"/>
    <w:rsid w:val="0072390E"/>
    <w:rsid w:val="00724336"/>
    <w:rsid w:val="007244E5"/>
    <w:rsid w:val="00724FD9"/>
    <w:rsid w:val="007253C1"/>
    <w:rsid w:val="00726E28"/>
    <w:rsid w:val="00726F13"/>
    <w:rsid w:val="00727422"/>
    <w:rsid w:val="00727A85"/>
    <w:rsid w:val="00727CDE"/>
    <w:rsid w:val="00730C41"/>
    <w:rsid w:val="00731249"/>
    <w:rsid w:val="007315B4"/>
    <w:rsid w:val="00731EF8"/>
    <w:rsid w:val="00732314"/>
    <w:rsid w:val="007329A4"/>
    <w:rsid w:val="00733A29"/>
    <w:rsid w:val="00733DAD"/>
    <w:rsid w:val="00734F8D"/>
    <w:rsid w:val="00735A88"/>
    <w:rsid w:val="00735BF0"/>
    <w:rsid w:val="007367DB"/>
    <w:rsid w:val="00737122"/>
    <w:rsid w:val="00737154"/>
    <w:rsid w:val="007376F0"/>
    <w:rsid w:val="007400C2"/>
    <w:rsid w:val="007401D1"/>
    <w:rsid w:val="00740738"/>
    <w:rsid w:val="00740AE8"/>
    <w:rsid w:val="00740BFF"/>
    <w:rsid w:val="00740C37"/>
    <w:rsid w:val="007410F1"/>
    <w:rsid w:val="00741BD2"/>
    <w:rsid w:val="00741C5D"/>
    <w:rsid w:val="00742844"/>
    <w:rsid w:val="00743112"/>
    <w:rsid w:val="00743136"/>
    <w:rsid w:val="0074329F"/>
    <w:rsid w:val="0074359B"/>
    <w:rsid w:val="00744017"/>
    <w:rsid w:val="007442CA"/>
    <w:rsid w:val="0074432A"/>
    <w:rsid w:val="00744956"/>
    <w:rsid w:val="007450DC"/>
    <w:rsid w:val="0074541D"/>
    <w:rsid w:val="00745D6C"/>
    <w:rsid w:val="00745F87"/>
    <w:rsid w:val="00746FC8"/>
    <w:rsid w:val="00747730"/>
    <w:rsid w:val="007479F7"/>
    <w:rsid w:val="007509A4"/>
    <w:rsid w:val="00750DAE"/>
    <w:rsid w:val="00751A7B"/>
    <w:rsid w:val="00751E12"/>
    <w:rsid w:val="007522E1"/>
    <w:rsid w:val="00752380"/>
    <w:rsid w:val="00753467"/>
    <w:rsid w:val="007538B5"/>
    <w:rsid w:val="007538E7"/>
    <w:rsid w:val="00753AD2"/>
    <w:rsid w:val="00753BBD"/>
    <w:rsid w:val="00753DE0"/>
    <w:rsid w:val="0075449D"/>
    <w:rsid w:val="007546D2"/>
    <w:rsid w:val="00754E71"/>
    <w:rsid w:val="00754E83"/>
    <w:rsid w:val="0075547B"/>
    <w:rsid w:val="007561C2"/>
    <w:rsid w:val="007572FF"/>
    <w:rsid w:val="00757BF2"/>
    <w:rsid w:val="00760231"/>
    <w:rsid w:val="007605AF"/>
    <w:rsid w:val="007609C9"/>
    <w:rsid w:val="007611EB"/>
    <w:rsid w:val="00762183"/>
    <w:rsid w:val="007632EF"/>
    <w:rsid w:val="00763488"/>
    <w:rsid w:val="00763BE3"/>
    <w:rsid w:val="00763BF4"/>
    <w:rsid w:val="00764B09"/>
    <w:rsid w:val="00764FD8"/>
    <w:rsid w:val="007655FC"/>
    <w:rsid w:val="00765A3D"/>
    <w:rsid w:val="00765B26"/>
    <w:rsid w:val="007676F0"/>
    <w:rsid w:val="007677FA"/>
    <w:rsid w:val="00767EE2"/>
    <w:rsid w:val="0077004E"/>
    <w:rsid w:val="007706A1"/>
    <w:rsid w:val="0077078D"/>
    <w:rsid w:val="007709DF"/>
    <w:rsid w:val="00770D62"/>
    <w:rsid w:val="007710DB"/>
    <w:rsid w:val="007715D5"/>
    <w:rsid w:val="007718FC"/>
    <w:rsid w:val="00771B0A"/>
    <w:rsid w:val="00771FFD"/>
    <w:rsid w:val="00773FEE"/>
    <w:rsid w:val="007752E5"/>
    <w:rsid w:val="007763DD"/>
    <w:rsid w:val="00776AF5"/>
    <w:rsid w:val="00777495"/>
    <w:rsid w:val="00781916"/>
    <w:rsid w:val="00781F12"/>
    <w:rsid w:val="007826A7"/>
    <w:rsid w:val="0078301A"/>
    <w:rsid w:val="00783593"/>
    <w:rsid w:val="00784AC2"/>
    <w:rsid w:val="00784D4F"/>
    <w:rsid w:val="0078504B"/>
    <w:rsid w:val="007877C0"/>
    <w:rsid w:val="0079039D"/>
    <w:rsid w:val="00790613"/>
    <w:rsid w:val="00790CB0"/>
    <w:rsid w:val="00791088"/>
    <w:rsid w:val="00791C3F"/>
    <w:rsid w:val="00791F60"/>
    <w:rsid w:val="00792453"/>
    <w:rsid w:val="00794925"/>
    <w:rsid w:val="00794F4A"/>
    <w:rsid w:val="00794F91"/>
    <w:rsid w:val="00795741"/>
    <w:rsid w:val="00795917"/>
    <w:rsid w:val="00795C4D"/>
    <w:rsid w:val="007961B5"/>
    <w:rsid w:val="00796B47"/>
    <w:rsid w:val="007972A7"/>
    <w:rsid w:val="007976D3"/>
    <w:rsid w:val="00797725"/>
    <w:rsid w:val="007A0082"/>
    <w:rsid w:val="007A0C5A"/>
    <w:rsid w:val="007A0C95"/>
    <w:rsid w:val="007A0FC1"/>
    <w:rsid w:val="007A127B"/>
    <w:rsid w:val="007A18E6"/>
    <w:rsid w:val="007A2086"/>
    <w:rsid w:val="007A223F"/>
    <w:rsid w:val="007A3299"/>
    <w:rsid w:val="007A4C90"/>
    <w:rsid w:val="007A58A1"/>
    <w:rsid w:val="007A6DCC"/>
    <w:rsid w:val="007A7311"/>
    <w:rsid w:val="007A77ED"/>
    <w:rsid w:val="007B0252"/>
    <w:rsid w:val="007B07D5"/>
    <w:rsid w:val="007B0A91"/>
    <w:rsid w:val="007B1FD8"/>
    <w:rsid w:val="007B2B83"/>
    <w:rsid w:val="007B2E3C"/>
    <w:rsid w:val="007B2FDC"/>
    <w:rsid w:val="007B351A"/>
    <w:rsid w:val="007B3F98"/>
    <w:rsid w:val="007B5BD6"/>
    <w:rsid w:val="007B5FBD"/>
    <w:rsid w:val="007B6092"/>
    <w:rsid w:val="007B6793"/>
    <w:rsid w:val="007B6828"/>
    <w:rsid w:val="007B7F06"/>
    <w:rsid w:val="007C01E6"/>
    <w:rsid w:val="007C08AC"/>
    <w:rsid w:val="007C0CED"/>
    <w:rsid w:val="007C1CFD"/>
    <w:rsid w:val="007C2046"/>
    <w:rsid w:val="007C24BE"/>
    <w:rsid w:val="007C32FF"/>
    <w:rsid w:val="007C38E7"/>
    <w:rsid w:val="007C394B"/>
    <w:rsid w:val="007C3B63"/>
    <w:rsid w:val="007C3D1B"/>
    <w:rsid w:val="007C4205"/>
    <w:rsid w:val="007C4356"/>
    <w:rsid w:val="007C4B9B"/>
    <w:rsid w:val="007C4D21"/>
    <w:rsid w:val="007C4D52"/>
    <w:rsid w:val="007C564B"/>
    <w:rsid w:val="007C5B3D"/>
    <w:rsid w:val="007C6601"/>
    <w:rsid w:val="007C6729"/>
    <w:rsid w:val="007C67CE"/>
    <w:rsid w:val="007C71BE"/>
    <w:rsid w:val="007C7FD6"/>
    <w:rsid w:val="007D08B4"/>
    <w:rsid w:val="007D169E"/>
    <w:rsid w:val="007D1D76"/>
    <w:rsid w:val="007D263E"/>
    <w:rsid w:val="007D2A24"/>
    <w:rsid w:val="007D2E63"/>
    <w:rsid w:val="007D487F"/>
    <w:rsid w:val="007D5192"/>
    <w:rsid w:val="007D5800"/>
    <w:rsid w:val="007D59CB"/>
    <w:rsid w:val="007D5A95"/>
    <w:rsid w:val="007D5D95"/>
    <w:rsid w:val="007D6849"/>
    <w:rsid w:val="007D6CFB"/>
    <w:rsid w:val="007D71E4"/>
    <w:rsid w:val="007D75FC"/>
    <w:rsid w:val="007D79B1"/>
    <w:rsid w:val="007D7D51"/>
    <w:rsid w:val="007D7D75"/>
    <w:rsid w:val="007E0C50"/>
    <w:rsid w:val="007E13DB"/>
    <w:rsid w:val="007E163B"/>
    <w:rsid w:val="007E172A"/>
    <w:rsid w:val="007E2664"/>
    <w:rsid w:val="007E2B96"/>
    <w:rsid w:val="007E2BC9"/>
    <w:rsid w:val="007E2E7B"/>
    <w:rsid w:val="007E334F"/>
    <w:rsid w:val="007E3B89"/>
    <w:rsid w:val="007E4532"/>
    <w:rsid w:val="007E4C41"/>
    <w:rsid w:val="007E5641"/>
    <w:rsid w:val="007E5E59"/>
    <w:rsid w:val="007E634A"/>
    <w:rsid w:val="007E7C61"/>
    <w:rsid w:val="007F02B9"/>
    <w:rsid w:val="007F037B"/>
    <w:rsid w:val="007F0449"/>
    <w:rsid w:val="007F095C"/>
    <w:rsid w:val="007F0F19"/>
    <w:rsid w:val="007F11E2"/>
    <w:rsid w:val="007F191F"/>
    <w:rsid w:val="007F1FBC"/>
    <w:rsid w:val="007F2364"/>
    <w:rsid w:val="007F2610"/>
    <w:rsid w:val="007F282F"/>
    <w:rsid w:val="007F2E25"/>
    <w:rsid w:val="007F2FE4"/>
    <w:rsid w:val="007F3AF3"/>
    <w:rsid w:val="007F4797"/>
    <w:rsid w:val="007F531F"/>
    <w:rsid w:val="007F5602"/>
    <w:rsid w:val="007F6378"/>
    <w:rsid w:val="007F645C"/>
    <w:rsid w:val="007F6493"/>
    <w:rsid w:val="007F744A"/>
    <w:rsid w:val="007F7BFE"/>
    <w:rsid w:val="007F7CAE"/>
    <w:rsid w:val="007F7FF1"/>
    <w:rsid w:val="00800FC8"/>
    <w:rsid w:val="008014C6"/>
    <w:rsid w:val="008015FA"/>
    <w:rsid w:val="00801ECD"/>
    <w:rsid w:val="00802754"/>
    <w:rsid w:val="008038DD"/>
    <w:rsid w:val="008039A9"/>
    <w:rsid w:val="00803B54"/>
    <w:rsid w:val="00803CD0"/>
    <w:rsid w:val="0080530A"/>
    <w:rsid w:val="00805E84"/>
    <w:rsid w:val="008066BC"/>
    <w:rsid w:val="008079BF"/>
    <w:rsid w:val="00807F44"/>
    <w:rsid w:val="0081021E"/>
    <w:rsid w:val="0081072B"/>
    <w:rsid w:val="008108A8"/>
    <w:rsid w:val="00810A20"/>
    <w:rsid w:val="008114CB"/>
    <w:rsid w:val="008118BB"/>
    <w:rsid w:val="008118D0"/>
    <w:rsid w:val="00812195"/>
    <w:rsid w:val="008139AF"/>
    <w:rsid w:val="008142B9"/>
    <w:rsid w:val="0081457E"/>
    <w:rsid w:val="00815200"/>
    <w:rsid w:val="00815D27"/>
    <w:rsid w:val="0081682F"/>
    <w:rsid w:val="008172D7"/>
    <w:rsid w:val="0081782B"/>
    <w:rsid w:val="00817C60"/>
    <w:rsid w:val="008200F0"/>
    <w:rsid w:val="00820342"/>
    <w:rsid w:val="00820B96"/>
    <w:rsid w:val="00820E68"/>
    <w:rsid w:val="00821B58"/>
    <w:rsid w:val="00822088"/>
    <w:rsid w:val="008230B8"/>
    <w:rsid w:val="008247C5"/>
    <w:rsid w:val="008248B4"/>
    <w:rsid w:val="008262A6"/>
    <w:rsid w:val="00827376"/>
    <w:rsid w:val="008277AC"/>
    <w:rsid w:val="00830159"/>
    <w:rsid w:val="0083035F"/>
    <w:rsid w:val="00832E5F"/>
    <w:rsid w:val="00833404"/>
    <w:rsid w:val="00834289"/>
    <w:rsid w:val="008350C2"/>
    <w:rsid w:val="00835578"/>
    <w:rsid w:val="008355D2"/>
    <w:rsid w:val="00836692"/>
    <w:rsid w:val="008370B0"/>
    <w:rsid w:val="00840D12"/>
    <w:rsid w:val="0084143E"/>
    <w:rsid w:val="008434CA"/>
    <w:rsid w:val="00843C87"/>
    <w:rsid w:val="00844217"/>
    <w:rsid w:val="00844BE5"/>
    <w:rsid w:val="00844CA7"/>
    <w:rsid w:val="0084551D"/>
    <w:rsid w:val="00845A70"/>
    <w:rsid w:val="00845F61"/>
    <w:rsid w:val="00846D75"/>
    <w:rsid w:val="00846E9C"/>
    <w:rsid w:val="00847EF8"/>
    <w:rsid w:val="00847FDC"/>
    <w:rsid w:val="008501E3"/>
    <w:rsid w:val="00850685"/>
    <w:rsid w:val="0085075B"/>
    <w:rsid w:val="00850C25"/>
    <w:rsid w:val="00850FCA"/>
    <w:rsid w:val="0085196F"/>
    <w:rsid w:val="00851B57"/>
    <w:rsid w:val="008523D0"/>
    <w:rsid w:val="008537D7"/>
    <w:rsid w:val="008541D6"/>
    <w:rsid w:val="00854252"/>
    <w:rsid w:val="00854BD4"/>
    <w:rsid w:val="00855900"/>
    <w:rsid w:val="0085594E"/>
    <w:rsid w:val="00855FB4"/>
    <w:rsid w:val="00856E4B"/>
    <w:rsid w:val="00856EC5"/>
    <w:rsid w:val="00857398"/>
    <w:rsid w:val="00857677"/>
    <w:rsid w:val="008578D9"/>
    <w:rsid w:val="00857D40"/>
    <w:rsid w:val="00861BF9"/>
    <w:rsid w:val="00861DDA"/>
    <w:rsid w:val="00861EE6"/>
    <w:rsid w:val="008625D0"/>
    <w:rsid w:val="0086294A"/>
    <w:rsid w:val="00864A68"/>
    <w:rsid w:val="00864B66"/>
    <w:rsid w:val="00865A49"/>
    <w:rsid w:val="00865C2F"/>
    <w:rsid w:val="00866965"/>
    <w:rsid w:val="00866A9E"/>
    <w:rsid w:val="00866FE5"/>
    <w:rsid w:val="00867146"/>
    <w:rsid w:val="00867197"/>
    <w:rsid w:val="00867567"/>
    <w:rsid w:val="00867A26"/>
    <w:rsid w:val="00867F9E"/>
    <w:rsid w:val="00870026"/>
    <w:rsid w:val="00870CC9"/>
    <w:rsid w:val="00871BFC"/>
    <w:rsid w:val="00872101"/>
    <w:rsid w:val="00872129"/>
    <w:rsid w:val="00872712"/>
    <w:rsid w:val="008729B5"/>
    <w:rsid w:val="00872FE4"/>
    <w:rsid w:val="00873256"/>
    <w:rsid w:val="0087346D"/>
    <w:rsid w:val="00874632"/>
    <w:rsid w:val="00874823"/>
    <w:rsid w:val="00874F9F"/>
    <w:rsid w:val="00875469"/>
    <w:rsid w:val="008756E5"/>
    <w:rsid w:val="00875A3B"/>
    <w:rsid w:val="00876531"/>
    <w:rsid w:val="00876E16"/>
    <w:rsid w:val="00876EE7"/>
    <w:rsid w:val="008774CE"/>
    <w:rsid w:val="00877532"/>
    <w:rsid w:val="008778C6"/>
    <w:rsid w:val="0088072A"/>
    <w:rsid w:val="00880F79"/>
    <w:rsid w:val="008811CD"/>
    <w:rsid w:val="00882386"/>
    <w:rsid w:val="0088266D"/>
    <w:rsid w:val="00882BD2"/>
    <w:rsid w:val="008838C2"/>
    <w:rsid w:val="00883EB4"/>
    <w:rsid w:val="008844D9"/>
    <w:rsid w:val="00884949"/>
    <w:rsid w:val="00884E7B"/>
    <w:rsid w:val="008854F4"/>
    <w:rsid w:val="00886FD6"/>
    <w:rsid w:val="00890BF3"/>
    <w:rsid w:val="00891883"/>
    <w:rsid w:val="00891934"/>
    <w:rsid w:val="00891978"/>
    <w:rsid w:val="008919C9"/>
    <w:rsid w:val="00891CE3"/>
    <w:rsid w:val="00892D03"/>
    <w:rsid w:val="00892FC1"/>
    <w:rsid w:val="00893208"/>
    <w:rsid w:val="00896596"/>
    <w:rsid w:val="00896610"/>
    <w:rsid w:val="008A1252"/>
    <w:rsid w:val="008A141D"/>
    <w:rsid w:val="008A1CC6"/>
    <w:rsid w:val="008A24C1"/>
    <w:rsid w:val="008A2F5B"/>
    <w:rsid w:val="008A32A9"/>
    <w:rsid w:val="008A337A"/>
    <w:rsid w:val="008A33C4"/>
    <w:rsid w:val="008A3F77"/>
    <w:rsid w:val="008A4366"/>
    <w:rsid w:val="008A43BB"/>
    <w:rsid w:val="008A5470"/>
    <w:rsid w:val="008A5487"/>
    <w:rsid w:val="008A5AE6"/>
    <w:rsid w:val="008A5D84"/>
    <w:rsid w:val="008A5E59"/>
    <w:rsid w:val="008A64D5"/>
    <w:rsid w:val="008A6856"/>
    <w:rsid w:val="008A6BB1"/>
    <w:rsid w:val="008A77E5"/>
    <w:rsid w:val="008A7E88"/>
    <w:rsid w:val="008B038F"/>
    <w:rsid w:val="008B0DE8"/>
    <w:rsid w:val="008B10EF"/>
    <w:rsid w:val="008B1553"/>
    <w:rsid w:val="008B1BE8"/>
    <w:rsid w:val="008B35FC"/>
    <w:rsid w:val="008B5771"/>
    <w:rsid w:val="008B6290"/>
    <w:rsid w:val="008B65B9"/>
    <w:rsid w:val="008B6A9B"/>
    <w:rsid w:val="008B6CF5"/>
    <w:rsid w:val="008B705C"/>
    <w:rsid w:val="008B7E76"/>
    <w:rsid w:val="008C0226"/>
    <w:rsid w:val="008C0546"/>
    <w:rsid w:val="008C0618"/>
    <w:rsid w:val="008C0E5B"/>
    <w:rsid w:val="008C1130"/>
    <w:rsid w:val="008C1794"/>
    <w:rsid w:val="008C18CF"/>
    <w:rsid w:val="008C195C"/>
    <w:rsid w:val="008C32F8"/>
    <w:rsid w:val="008C33D9"/>
    <w:rsid w:val="008C33E3"/>
    <w:rsid w:val="008C36D5"/>
    <w:rsid w:val="008C3A55"/>
    <w:rsid w:val="008C3E0F"/>
    <w:rsid w:val="008C4252"/>
    <w:rsid w:val="008C45B2"/>
    <w:rsid w:val="008C45F6"/>
    <w:rsid w:val="008C47E6"/>
    <w:rsid w:val="008C49B2"/>
    <w:rsid w:val="008C5343"/>
    <w:rsid w:val="008C55C2"/>
    <w:rsid w:val="008C6BF2"/>
    <w:rsid w:val="008C6C09"/>
    <w:rsid w:val="008C6EF7"/>
    <w:rsid w:val="008C7332"/>
    <w:rsid w:val="008D02FD"/>
    <w:rsid w:val="008D0331"/>
    <w:rsid w:val="008D0523"/>
    <w:rsid w:val="008D0584"/>
    <w:rsid w:val="008D161D"/>
    <w:rsid w:val="008D164C"/>
    <w:rsid w:val="008D30C7"/>
    <w:rsid w:val="008D3214"/>
    <w:rsid w:val="008D3B0D"/>
    <w:rsid w:val="008D41AE"/>
    <w:rsid w:val="008D450F"/>
    <w:rsid w:val="008D4D5D"/>
    <w:rsid w:val="008D51EA"/>
    <w:rsid w:val="008D5C6F"/>
    <w:rsid w:val="008D6767"/>
    <w:rsid w:val="008D7731"/>
    <w:rsid w:val="008D7F91"/>
    <w:rsid w:val="008E0AAB"/>
    <w:rsid w:val="008E0D19"/>
    <w:rsid w:val="008E10E9"/>
    <w:rsid w:val="008E11AC"/>
    <w:rsid w:val="008E24DC"/>
    <w:rsid w:val="008E2543"/>
    <w:rsid w:val="008E2AC7"/>
    <w:rsid w:val="008E3DAD"/>
    <w:rsid w:val="008E415C"/>
    <w:rsid w:val="008E4410"/>
    <w:rsid w:val="008E44F9"/>
    <w:rsid w:val="008E45DF"/>
    <w:rsid w:val="008E46CE"/>
    <w:rsid w:val="008E4800"/>
    <w:rsid w:val="008E4987"/>
    <w:rsid w:val="008E4E4C"/>
    <w:rsid w:val="008E4E7E"/>
    <w:rsid w:val="008E6272"/>
    <w:rsid w:val="008E6BA9"/>
    <w:rsid w:val="008E6C36"/>
    <w:rsid w:val="008E726F"/>
    <w:rsid w:val="008E7283"/>
    <w:rsid w:val="008E7721"/>
    <w:rsid w:val="008E7AD7"/>
    <w:rsid w:val="008F0C14"/>
    <w:rsid w:val="008F0C51"/>
    <w:rsid w:val="008F1C66"/>
    <w:rsid w:val="008F1EE8"/>
    <w:rsid w:val="008F2B34"/>
    <w:rsid w:val="008F2DE7"/>
    <w:rsid w:val="008F3210"/>
    <w:rsid w:val="008F3784"/>
    <w:rsid w:val="008F4E2E"/>
    <w:rsid w:val="008F4FF6"/>
    <w:rsid w:val="008F5057"/>
    <w:rsid w:val="008F668D"/>
    <w:rsid w:val="008F6964"/>
    <w:rsid w:val="008F75A9"/>
    <w:rsid w:val="008F7968"/>
    <w:rsid w:val="008F7B23"/>
    <w:rsid w:val="009003E9"/>
    <w:rsid w:val="00900660"/>
    <w:rsid w:val="00901591"/>
    <w:rsid w:val="00901992"/>
    <w:rsid w:val="00901DAE"/>
    <w:rsid w:val="00901F0D"/>
    <w:rsid w:val="009021BD"/>
    <w:rsid w:val="009029FD"/>
    <w:rsid w:val="00902CDB"/>
    <w:rsid w:val="0090309E"/>
    <w:rsid w:val="009036B9"/>
    <w:rsid w:val="009039AA"/>
    <w:rsid w:val="00903A4D"/>
    <w:rsid w:val="0090445F"/>
    <w:rsid w:val="0090480E"/>
    <w:rsid w:val="009048C4"/>
    <w:rsid w:val="0090526D"/>
    <w:rsid w:val="00905A2D"/>
    <w:rsid w:val="009070AE"/>
    <w:rsid w:val="009071DF"/>
    <w:rsid w:val="00907F0D"/>
    <w:rsid w:val="00911D2D"/>
    <w:rsid w:val="0091254C"/>
    <w:rsid w:val="00913946"/>
    <w:rsid w:val="00914A80"/>
    <w:rsid w:val="00915D38"/>
    <w:rsid w:val="00915F47"/>
    <w:rsid w:val="0091695F"/>
    <w:rsid w:val="0091707F"/>
    <w:rsid w:val="00917F46"/>
    <w:rsid w:val="00920FB6"/>
    <w:rsid w:val="00921453"/>
    <w:rsid w:val="009215D5"/>
    <w:rsid w:val="009223B7"/>
    <w:rsid w:val="009224AB"/>
    <w:rsid w:val="0092283A"/>
    <w:rsid w:val="00922BA0"/>
    <w:rsid w:val="00922EFE"/>
    <w:rsid w:val="00924C6D"/>
    <w:rsid w:val="00924F4E"/>
    <w:rsid w:val="00925083"/>
    <w:rsid w:val="00925206"/>
    <w:rsid w:val="00925518"/>
    <w:rsid w:val="00925936"/>
    <w:rsid w:val="00925B1C"/>
    <w:rsid w:val="00926B36"/>
    <w:rsid w:val="00927761"/>
    <w:rsid w:val="0092792C"/>
    <w:rsid w:val="00927988"/>
    <w:rsid w:val="00927B2A"/>
    <w:rsid w:val="00927F29"/>
    <w:rsid w:val="0093011F"/>
    <w:rsid w:val="00930506"/>
    <w:rsid w:val="00930909"/>
    <w:rsid w:val="00930D27"/>
    <w:rsid w:val="00931124"/>
    <w:rsid w:val="0093226B"/>
    <w:rsid w:val="00932AE0"/>
    <w:rsid w:val="009336E9"/>
    <w:rsid w:val="00933CC9"/>
    <w:rsid w:val="009340A6"/>
    <w:rsid w:val="00934705"/>
    <w:rsid w:val="009349B1"/>
    <w:rsid w:val="00934D5B"/>
    <w:rsid w:val="00935314"/>
    <w:rsid w:val="00935B81"/>
    <w:rsid w:val="009361CF"/>
    <w:rsid w:val="009368CA"/>
    <w:rsid w:val="00937BEB"/>
    <w:rsid w:val="00940C76"/>
    <w:rsid w:val="00942FFA"/>
    <w:rsid w:val="00943004"/>
    <w:rsid w:val="00943123"/>
    <w:rsid w:val="009435AC"/>
    <w:rsid w:val="009441F9"/>
    <w:rsid w:val="00944FF1"/>
    <w:rsid w:val="009451CD"/>
    <w:rsid w:val="0094572B"/>
    <w:rsid w:val="009457E8"/>
    <w:rsid w:val="00945C3A"/>
    <w:rsid w:val="0094642C"/>
    <w:rsid w:val="009468AE"/>
    <w:rsid w:val="009478EB"/>
    <w:rsid w:val="009507A6"/>
    <w:rsid w:val="00951D9D"/>
    <w:rsid w:val="00952661"/>
    <w:rsid w:val="00952714"/>
    <w:rsid w:val="00953E62"/>
    <w:rsid w:val="00953F54"/>
    <w:rsid w:val="00954078"/>
    <w:rsid w:val="00954569"/>
    <w:rsid w:val="00954BC4"/>
    <w:rsid w:val="00954CDF"/>
    <w:rsid w:val="00955D11"/>
    <w:rsid w:val="00955FF3"/>
    <w:rsid w:val="0095656A"/>
    <w:rsid w:val="00956845"/>
    <w:rsid w:val="0095751D"/>
    <w:rsid w:val="00960530"/>
    <w:rsid w:val="00960A9C"/>
    <w:rsid w:val="00961DD5"/>
    <w:rsid w:val="009628F2"/>
    <w:rsid w:val="00962C6D"/>
    <w:rsid w:val="009635A2"/>
    <w:rsid w:val="00963B41"/>
    <w:rsid w:val="00963D51"/>
    <w:rsid w:val="0096497F"/>
    <w:rsid w:val="009653D5"/>
    <w:rsid w:val="009658E6"/>
    <w:rsid w:val="00966188"/>
    <w:rsid w:val="0096666C"/>
    <w:rsid w:val="00966CBA"/>
    <w:rsid w:val="00966D23"/>
    <w:rsid w:val="00967776"/>
    <w:rsid w:val="009701BC"/>
    <w:rsid w:val="009708F2"/>
    <w:rsid w:val="009708F4"/>
    <w:rsid w:val="00970B70"/>
    <w:rsid w:val="00971B87"/>
    <w:rsid w:val="00971D34"/>
    <w:rsid w:val="00972803"/>
    <w:rsid w:val="0097321F"/>
    <w:rsid w:val="0097367F"/>
    <w:rsid w:val="00973B75"/>
    <w:rsid w:val="00976207"/>
    <w:rsid w:val="00976304"/>
    <w:rsid w:val="00977131"/>
    <w:rsid w:val="0098009B"/>
    <w:rsid w:val="00981D56"/>
    <w:rsid w:val="009822EC"/>
    <w:rsid w:val="00982BBE"/>
    <w:rsid w:val="00982BE0"/>
    <w:rsid w:val="00983A66"/>
    <w:rsid w:val="00984E5A"/>
    <w:rsid w:val="00985913"/>
    <w:rsid w:val="0098707E"/>
    <w:rsid w:val="0098726C"/>
    <w:rsid w:val="009872DD"/>
    <w:rsid w:val="0098787A"/>
    <w:rsid w:val="00987A4D"/>
    <w:rsid w:val="00987D2D"/>
    <w:rsid w:val="0099034D"/>
    <w:rsid w:val="00991418"/>
    <w:rsid w:val="0099152D"/>
    <w:rsid w:val="0099166B"/>
    <w:rsid w:val="0099193F"/>
    <w:rsid w:val="0099205D"/>
    <w:rsid w:val="00992164"/>
    <w:rsid w:val="00992185"/>
    <w:rsid w:val="009930F8"/>
    <w:rsid w:val="00995805"/>
    <w:rsid w:val="00995856"/>
    <w:rsid w:val="00995B92"/>
    <w:rsid w:val="00996928"/>
    <w:rsid w:val="00996DA9"/>
    <w:rsid w:val="009970CB"/>
    <w:rsid w:val="00997816"/>
    <w:rsid w:val="00997DA1"/>
    <w:rsid w:val="009A0A30"/>
    <w:rsid w:val="009A0AB9"/>
    <w:rsid w:val="009A1621"/>
    <w:rsid w:val="009A19C0"/>
    <w:rsid w:val="009A1DBE"/>
    <w:rsid w:val="009A1DEA"/>
    <w:rsid w:val="009A1F4C"/>
    <w:rsid w:val="009A2DE9"/>
    <w:rsid w:val="009A3BD9"/>
    <w:rsid w:val="009A3ECC"/>
    <w:rsid w:val="009A449B"/>
    <w:rsid w:val="009A47D9"/>
    <w:rsid w:val="009A54BF"/>
    <w:rsid w:val="009A5F29"/>
    <w:rsid w:val="009A7637"/>
    <w:rsid w:val="009A7CDA"/>
    <w:rsid w:val="009B06DB"/>
    <w:rsid w:val="009B2962"/>
    <w:rsid w:val="009B2BD3"/>
    <w:rsid w:val="009B2CD8"/>
    <w:rsid w:val="009B325E"/>
    <w:rsid w:val="009B32AB"/>
    <w:rsid w:val="009B3FCC"/>
    <w:rsid w:val="009B403C"/>
    <w:rsid w:val="009B4505"/>
    <w:rsid w:val="009B4CE8"/>
    <w:rsid w:val="009B522B"/>
    <w:rsid w:val="009B5C43"/>
    <w:rsid w:val="009B64A2"/>
    <w:rsid w:val="009B728C"/>
    <w:rsid w:val="009B7799"/>
    <w:rsid w:val="009B7C29"/>
    <w:rsid w:val="009C073F"/>
    <w:rsid w:val="009C0CAF"/>
    <w:rsid w:val="009C17D5"/>
    <w:rsid w:val="009C1D50"/>
    <w:rsid w:val="009C1DDA"/>
    <w:rsid w:val="009C21BA"/>
    <w:rsid w:val="009C236F"/>
    <w:rsid w:val="009C24DC"/>
    <w:rsid w:val="009C28AB"/>
    <w:rsid w:val="009C3025"/>
    <w:rsid w:val="009C32E1"/>
    <w:rsid w:val="009C3347"/>
    <w:rsid w:val="009C4519"/>
    <w:rsid w:val="009C4FFD"/>
    <w:rsid w:val="009C5CC2"/>
    <w:rsid w:val="009C621A"/>
    <w:rsid w:val="009C6B35"/>
    <w:rsid w:val="009C6D37"/>
    <w:rsid w:val="009C772B"/>
    <w:rsid w:val="009C7A1F"/>
    <w:rsid w:val="009C7DC0"/>
    <w:rsid w:val="009D0520"/>
    <w:rsid w:val="009D0781"/>
    <w:rsid w:val="009D0CB1"/>
    <w:rsid w:val="009D118D"/>
    <w:rsid w:val="009D297E"/>
    <w:rsid w:val="009D2AF8"/>
    <w:rsid w:val="009D2D06"/>
    <w:rsid w:val="009D2DB9"/>
    <w:rsid w:val="009D2F18"/>
    <w:rsid w:val="009D3106"/>
    <w:rsid w:val="009D31EF"/>
    <w:rsid w:val="009D3E4C"/>
    <w:rsid w:val="009D4166"/>
    <w:rsid w:val="009D4DA1"/>
    <w:rsid w:val="009D4EA5"/>
    <w:rsid w:val="009D54F5"/>
    <w:rsid w:val="009D5BA9"/>
    <w:rsid w:val="009D5C8A"/>
    <w:rsid w:val="009D6004"/>
    <w:rsid w:val="009D6474"/>
    <w:rsid w:val="009D70BA"/>
    <w:rsid w:val="009D7EC6"/>
    <w:rsid w:val="009E0975"/>
    <w:rsid w:val="009E12AC"/>
    <w:rsid w:val="009E13AD"/>
    <w:rsid w:val="009E230A"/>
    <w:rsid w:val="009E25B4"/>
    <w:rsid w:val="009E2C4D"/>
    <w:rsid w:val="009E32B2"/>
    <w:rsid w:val="009E3742"/>
    <w:rsid w:val="009E39C7"/>
    <w:rsid w:val="009E4060"/>
    <w:rsid w:val="009E4123"/>
    <w:rsid w:val="009E4176"/>
    <w:rsid w:val="009E41A2"/>
    <w:rsid w:val="009E48B1"/>
    <w:rsid w:val="009E4B0D"/>
    <w:rsid w:val="009E5210"/>
    <w:rsid w:val="009E53F8"/>
    <w:rsid w:val="009E61DF"/>
    <w:rsid w:val="009E64C8"/>
    <w:rsid w:val="009E68BD"/>
    <w:rsid w:val="009E739A"/>
    <w:rsid w:val="009E73A1"/>
    <w:rsid w:val="009E774F"/>
    <w:rsid w:val="009E7840"/>
    <w:rsid w:val="009E7C19"/>
    <w:rsid w:val="009F052A"/>
    <w:rsid w:val="009F16EB"/>
    <w:rsid w:val="009F1FAE"/>
    <w:rsid w:val="009F21AA"/>
    <w:rsid w:val="009F26DF"/>
    <w:rsid w:val="009F2AA7"/>
    <w:rsid w:val="009F3409"/>
    <w:rsid w:val="009F4C27"/>
    <w:rsid w:val="009F51FF"/>
    <w:rsid w:val="009F68E7"/>
    <w:rsid w:val="009F755C"/>
    <w:rsid w:val="00A018B6"/>
    <w:rsid w:val="00A02567"/>
    <w:rsid w:val="00A03A2B"/>
    <w:rsid w:val="00A03F90"/>
    <w:rsid w:val="00A045E1"/>
    <w:rsid w:val="00A04DC8"/>
    <w:rsid w:val="00A0521E"/>
    <w:rsid w:val="00A05A3B"/>
    <w:rsid w:val="00A05BC3"/>
    <w:rsid w:val="00A05E9B"/>
    <w:rsid w:val="00A06E5C"/>
    <w:rsid w:val="00A071F5"/>
    <w:rsid w:val="00A07204"/>
    <w:rsid w:val="00A0770B"/>
    <w:rsid w:val="00A078E7"/>
    <w:rsid w:val="00A07AE0"/>
    <w:rsid w:val="00A07BA3"/>
    <w:rsid w:val="00A10188"/>
    <w:rsid w:val="00A1063F"/>
    <w:rsid w:val="00A11298"/>
    <w:rsid w:val="00A11496"/>
    <w:rsid w:val="00A11684"/>
    <w:rsid w:val="00A11E35"/>
    <w:rsid w:val="00A11E94"/>
    <w:rsid w:val="00A12472"/>
    <w:rsid w:val="00A124DC"/>
    <w:rsid w:val="00A124FE"/>
    <w:rsid w:val="00A127ED"/>
    <w:rsid w:val="00A12D82"/>
    <w:rsid w:val="00A12F04"/>
    <w:rsid w:val="00A13B95"/>
    <w:rsid w:val="00A145C7"/>
    <w:rsid w:val="00A15711"/>
    <w:rsid w:val="00A1588F"/>
    <w:rsid w:val="00A1654D"/>
    <w:rsid w:val="00A16D56"/>
    <w:rsid w:val="00A2004A"/>
    <w:rsid w:val="00A20AB5"/>
    <w:rsid w:val="00A20C31"/>
    <w:rsid w:val="00A21F7D"/>
    <w:rsid w:val="00A230BE"/>
    <w:rsid w:val="00A23F23"/>
    <w:rsid w:val="00A259A0"/>
    <w:rsid w:val="00A25A7C"/>
    <w:rsid w:val="00A25DE0"/>
    <w:rsid w:val="00A27B04"/>
    <w:rsid w:val="00A27E69"/>
    <w:rsid w:val="00A27FFE"/>
    <w:rsid w:val="00A316B7"/>
    <w:rsid w:val="00A3184D"/>
    <w:rsid w:val="00A31B51"/>
    <w:rsid w:val="00A3210C"/>
    <w:rsid w:val="00A32350"/>
    <w:rsid w:val="00A32E6A"/>
    <w:rsid w:val="00A33254"/>
    <w:rsid w:val="00A333B7"/>
    <w:rsid w:val="00A335EB"/>
    <w:rsid w:val="00A33F25"/>
    <w:rsid w:val="00A354EF"/>
    <w:rsid w:val="00A35BFE"/>
    <w:rsid w:val="00A3710A"/>
    <w:rsid w:val="00A372D5"/>
    <w:rsid w:val="00A40373"/>
    <w:rsid w:val="00A40A43"/>
    <w:rsid w:val="00A41010"/>
    <w:rsid w:val="00A41169"/>
    <w:rsid w:val="00A4184E"/>
    <w:rsid w:val="00A421D7"/>
    <w:rsid w:val="00A42533"/>
    <w:rsid w:val="00A42A1D"/>
    <w:rsid w:val="00A42EEC"/>
    <w:rsid w:val="00A43D52"/>
    <w:rsid w:val="00A43F54"/>
    <w:rsid w:val="00A44429"/>
    <w:rsid w:val="00A44A45"/>
    <w:rsid w:val="00A44AF1"/>
    <w:rsid w:val="00A4523A"/>
    <w:rsid w:val="00A456CA"/>
    <w:rsid w:val="00A458EC"/>
    <w:rsid w:val="00A45D26"/>
    <w:rsid w:val="00A45E81"/>
    <w:rsid w:val="00A46878"/>
    <w:rsid w:val="00A47400"/>
    <w:rsid w:val="00A478F6"/>
    <w:rsid w:val="00A51079"/>
    <w:rsid w:val="00A5123E"/>
    <w:rsid w:val="00A513FD"/>
    <w:rsid w:val="00A51581"/>
    <w:rsid w:val="00A51587"/>
    <w:rsid w:val="00A51847"/>
    <w:rsid w:val="00A519EB"/>
    <w:rsid w:val="00A51CCA"/>
    <w:rsid w:val="00A51E77"/>
    <w:rsid w:val="00A51FDF"/>
    <w:rsid w:val="00A52393"/>
    <w:rsid w:val="00A533B1"/>
    <w:rsid w:val="00A53A40"/>
    <w:rsid w:val="00A5452F"/>
    <w:rsid w:val="00A55105"/>
    <w:rsid w:val="00A553A2"/>
    <w:rsid w:val="00A5641B"/>
    <w:rsid w:val="00A564BF"/>
    <w:rsid w:val="00A56DF8"/>
    <w:rsid w:val="00A56EFB"/>
    <w:rsid w:val="00A570BF"/>
    <w:rsid w:val="00A5765C"/>
    <w:rsid w:val="00A5771E"/>
    <w:rsid w:val="00A57844"/>
    <w:rsid w:val="00A57B8A"/>
    <w:rsid w:val="00A60390"/>
    <w:rsid w:val="00A60579"/>
    <w:rsid w:val="00A60C6B"/>
    <w:rsid w:val="00A60F91"/>
    <w:rsid w:val="00A6113C"/>
    <w:rsid w:val="00A612DB"/>
    <w:rsid w:val="00A62B03"/>
    <w:rsid w:val="00A63383"/>
    <w:rsid w:val="00A63D35"/>
    <w:rsid w:val="00A64459"/>
    <w:rsid w:val="00A650BA"/>
    <w:rsid w:val="00A66B54"/>
    <w:rsid w:val="00A66E06"/>
    <w:rsid w:val="00A67077"/>
    <w:rsid w:val="00A672C1"/>
    <w:rsid w:val="00A67B4A"/>
    <w:rsid w:val="00A67EFE"/>
    <w:rsid w:val="00A706EA"/>
    <w:rsid w:val="00A70E29"/>
    <w:rsid w:val="00A70E46"/>
    <w:rsid w:val="00A71236"/>
    <w:rsid w:val="00A71C1F"/>
    <w:rsid w:val="00A72479"/>
    <w:rsid w:val="00A72E51"/>
    <w:rsid w:val="00A732B8"/>
    <w:rsid w:val="00A73C4C"/>
    <w:rsid w:val="00A74270"/>
    <w:rsid w:val="00A746A5"/>
    <w:rsid w:val="00A754D9"/>
    <w:rsid w:val="00A75E81"/>
    <w:rsid w:val="00A7601F"/>
    <w:rsid w:val="00A764AC"/>
    <w:rsid w:val="00A765CB"/>
    <w:rsid w:val="00A76CD1"/>
    <w:rsid w:val="00A76CD2"/>
    <w:rsid w:val="00A76DAC"/>
    <w:rsid w:val="00A7761D"/>
    <w:rsid w:val="00A776A1"/>
    <w:rsid w:val="00A777AD"/>
    <w:rsid w:val="00A806A0"/>
    <w:rsid w:val="00A81454"/>
    <w:rsid w:val="00A81D22"/>
    <w:rsid w:val="00A81F14"/>
    <w:rsid w:val="00A822C5"/>
    <w:rsid w:val="00A829C5"/>
    <w:rsid w:val="00A82B2A"/>
    <w:rsid w:val="00A82C50"/>
    <w:rsid w:val="00A83162"/>
    <w:rsid w:val="00A834D4"/>
    <w:rsid w:val="00A84540"/>
    <w:rsid w:val="00A8532D"/>
    <w:rsid w:val="00A85B71"/>
    <w:rsid w:val="00A86090"/>
    <w:rsid w:val="00A86097"/>
    <w:rsid w:val="00A86195"/>
    <w:rsid w:val="00A87070"/>
    <w:rsid w:val="00A878A0"/>
    <w:rsid w:val="00A87CF7"/>
    <w:rsid w:val="00A9028F"/>
    <w:rsid w:val="00A9056D"/>
    <w:rsid w:val="00A90A0F"/>
    <w:rsid w:val="00A90C38"/>
    <w:rsid w:val="00A912DE"/>
    <w:rsid w:val="00A91A2D"/>
    <w:rsid w:val="00A93B13"/>
    <w:rsid w:val="00A9415B"/>
    <w:rsid w:val="00A95BD4"/>
    <w:rsid w:val="00A95FF0"/>
    <w:rsid w:val="00A96833"/>
    <w:rsid w:val="00A96B98"/>
    <w:rsid w:val="00A96C16"/>
    <w:rsid w:val="00A971CE"/>
    <w:rsid w:val="00A97225"/>
    <w:rsid w:val="00A97DBD"/>
    <w:rsid w:val="00A97E07"/>
    <w:rsid w:val="00AA0A96"/>
    <w:rsid w:val="00AA0F84"/>
    <w:rsid w:val="00AA32C7"/>
    <w:rsid w:val="00AA3342"/>
    <w:rsid w:val="00AA3B4F"/>
    <w:rsid w:val="00AA3DC3"/>
    <w:rsid w:val="00AA4123"/>
    <w:rsid w:val="00AA436A"/>
    <w:rsid w:val="00AA4438"/>
    <w:rsid w:val="00AA4C05"/>
    <w:rsid w:val="00AA5378"/>
    <w:rsid w:val="00AA5B35"/>
    <w:rsid w:val="00AA5C56"/>
    <w:rsid w:val="00AA6EB9"/>
    <w:rsid w:val="00AB0512"/>
    <w:rsid w:val="00AB1C9A"/>
    <w:rsid w:val="00AB2FE6"/>
    <w:rsid w:val="00AB395C"/>
    <w:rsid w:val="00AB4212"/>
    <w:rsid w:val="00AB4308"/>
    <w:rsid w:val="00AB4492"/>
    <w:rsid w:val="00AB4641"/>
    <w:rsid w:val="00AB5440"/>
    <w:rsid w:val="00AB56A0"/>
    <w:rsid w:val="00AB5F7B"/>
    <w:rsid w:val="00AB767E"/>
    <w:rsid w:val="00AB7A5F"/>
    <w:rsid w:val="00AB7D4A"/>
    <w:rsid w:val="00AC073F"/>
    <w:rsid w:val="00AC17FD"/>
    <w:rsid w:val="00AC1CE1"/>
    <w:rsid w:val="00AC242D"/>
    <w:rsid w:val="00AC2EA3"/>
    <w:rsid w:val="00AC3FE3"/>
    <w:rsid w:val="00AC4588"/>
    <w:rsid w:val="00AC542E"/>
    <w:rsid w:val="00AC60CE"/>
    <w:rsid w:val="00AC62AA"/>
    <w:rsid w:val="00AC6AE0"/>
    <w:rsid w:val="00AC6BA9"/>
    <w:rsid w:val="00AC6C25"/>
    <w:rsid w:val="00AC73FD"/>
    <w:rsid w:val="00AC7697"/>
    <w:rsid w:val="00AC7D55"/>
    <w:rsid w:val="00AD032E"/>
    <w:rsid w:val="00AD04A3"/>
    <w:rsid w:val="00AD0726"/>
    <w:rsid w:val="00AD13DB"/>
    <w:rsid w:val="00AD17F2"/>
    <w:rsid w:val="00AD1BEE"/>
    <w:rsid w:val="00AD3E67"/>
    <w:rsid w:val="00AD46CD"/>
    <w:rsid w:val="00AD4BFC"/>
    <w:rsid w:val="00AD545A"/>
    <w:rsid w:val="00AD5AC5"/>
    <w:rsid w:val="00AD688A"/>
    <w:rsid w:val="00AD7139"/>
    <w:rsid w:val="00AD758C"/>
    <w:rsid w:val="00AD7938"/>
    <w:rsid w:val="00AE10D7"/>
    <w:rsid w:val="00AE16B0"/>
    <w:rsid w:val="00AE16E3"/>
    <w:rsid w:val="00AE1B0D"/>
    <w:rsid w:val="00AE1C4B"/>
    <w:rsid w:val="00AE20AE"/>
    <w:rsid w:val="00AE2244"/>
    <w:rsid w:val="00AE257E"/>
    <w:rsid w:val="00AE260C"/>
    <w:rsid w:val="00AE262B"/>
    <w:rsid w:val="00AE2DFD"/>
    <w:rsid w:val="00AE2FF1"/>
    <w:rsid w:val="00AE3718"/>
    <w:rsid w:val="00AE4792"/>
    <w:rsid w:val="00AE4BFB"/>
    <w:rsid w:val="00AE4E36"/>
    <w:rsid w:val="00AE5226"/>
    <w:rsid w:val="00AE642D"/>
    <w:rsid w:val="00AE71FE"/>
    <w:rsid w:val="00AE72AF"/>
    <w:rsid w:val="00AE7FC3"/>
    <w:rsid w:val="00AF0133"/>
    <w:rsid w:val="00AF0358"/>
    <w:rsid w:val="00AF0522"/>
    <w:rsid w:val="00AF0DF0"/>
    <w:rsid w:val="00AF1504"/>
    <w:rsid w:val="00AF1952"/>
    <w:rsid w:val="00AF200B"/>
    <w:rsid w:val="00AF278C"/>
    <w:rsid w:val="00AF2B45"/>
    <w:rsid w:val="00AF37FE"/>
    <w:rsid w:val="00AF38B8"/>
    <w:rsid w:val="00AF3B92"/>
    <w:rsid w:val="00AF3DE1"/>
    <w:rsid w:val="00AF3E7D"/>
    <w:rsid w:val="00AF4015"/>
    <w:rsid w:val="00AF4CA2"/>
    <w:rsid w:val="00AF4EC2"/>
    <w:rsid w:val="00AF5846"/>
    <w:rsid w:val="00AF60B4"/>
    <w:rsid w:val="00AF6292"/>
    <w:rsid w:val="00AF670B"/>
    <w:rsid w:val="00AF75F1"/>
    <w:rsid w:val="00AF76C3"/>
    <w:rsid w:val="00AF7BAD"/>
    <w:rsid w:val="00AF7D6E"/>
    <w:rsid w:val="00AF7DE3"/>
    <w:rsid w:val="00B00144"/>
    <w:rsid w:val="00B00502"/>
    <w:rsid w:val="00B00CAC"/>
    <w:rsid w:val="00B00D8E"/>
    <w:rsid w:val="00B014A7"/>
    <w:rsid w:val="00B02A89"/>
    <w:rsid w:val="00B038B6"/>
    <w:rsid w:val="00B04546"/>
    <w:rsid w:val="00B0563D"/>
    <w:rsid w:val="00B06758"/>
    <w:rsid w:val="00B06B83"/>
    <w:rsid w:val="00B073CA"/>
    <w:rsid w:val="00B073F7"/>
    <w:rsid w:val="00B109EC"/>
    <w:rsid w:val="00B10EA3"/>
    <w:rsid w:val="00B10FFC"/>
    <w:rsid w:val="00B127F9"/>
    <w:rsid w:val="00B1420A"/>
    <w:rsid w:val="00B15116"/>
    <w:rsid w:val="00B15EAA"/>
    <w:rsid w:val="00B1672E"/>
    <w:rsid w:val="00B20AF2"/>
    <w:rsid w:val="00B20B73"/>
    <w:rsid w:val="00B219ED"/>
    <w:rsid w:val="00B21C06"/>
    <w:rsid w:val="00B2249A"/>
    <w:rsid w:val="00B22584"/>
    <w:rsid w:val="00B229AD"/>
    <w:rsid w:val="00B230AA"/>
    <w:rsid w:val="00B23186"/>
    <w:rsid w:val="00B23E77"/>
    <w:rsid w:val="00B24084"/>
    <w:rsid w:val="00B24280"/>
    <w:rsid w:val="00B24FF4"/>
    <w:rsid w:val="00B2515B"/>
    <w:rsid w:val="00B252A6"/>
    <w:rsid w:val="00B25A51"/>
    <w:rsid w:val="00B25CE3"/>
    <w:rsid w:val="00B25CED"/>
    <w:rsid w:val="00B27E07"/>
    <w:rsid w:val="00B305E4"/>
    <w:rsid w:val="00B3065C"/>
    <w:rsid w:val="00B30DF1"/>
    <w:rsid w:val="00B31CC5"/>
    <w:rsid w:val="00B31DFC"/>
    <w:rsid w:val="00B34053"/>
    <w:rsid w:val="00B346EF"/>
    <w:rsid w:val="00B36413"/>
    <w:rsid w:val="00B36810"/>
    <w:rsid w:val="00B37B83"/>
    <w:rsid w:val="00B40F75"/>
    <w:rsid w:val="00B422E5"/>
    <w:rsid w:val="00B42653"/>
    <w:rsid w:val="00B42656"/>
    <w:rsid w:val="00B42E00"/>
    <w:rsid w:val="00B43467"/>
    <w:rsid w:val="00B43FF0"/>
    <w:rsid w:val="00B44014"/>
    <w:rsid w:val="00B45FD5"/>
    <w:rsid w:val="00B46E23"/>
    <w:rsid w:val="00B46F00"/>
    <w:rsid w:val="00B47188"/>
    <w:rsid w:val="00B478FD"/>
    <w:rsid w:val="00B47C8A"/>
    <w:rsid w:val="00B47D40"/>
    <w:rsid w:val="00B5007A"/>
    <w:rsid w:val="00B5043C"/>
    <w:rsid w:val="00B507E9"/>
    <w:rsid w:val="00B508BB"/>
    <w:rsid w:val="00B508F4"/>
    <w:rsid w:val="00B51144"/>
    <w:rsid w:val="00B52517"/>
    <w:rsid w:val="00B5273C"/>
    <w:rsid w:val="00B533FE"/>
    <w:rsid w:val="00B53801"/>
    <w:rsid w:val="00B539CC"/>
    <w:rsid w:val="00B53F6F"/>
    <w:rsid w:val="00B541B9"/>
    <w:rsid w:val="00B5445B"/>
    <w:rsid w:val="00B54812"/>
    <w:rsid w:val="00B54CB6"/>
    <w:rsid w:val="00B551FE"/>
    <w:rsid w:val="00B5564C"/>
    <w:rsid w:val="00B55707"/>
    <w:rsid w:val="00B56346"/>
    <w:rsid w:val="00B56E5C"/>
    <w:rsid w:val="00B56E6A"/>
    <w:rsid w:val="00B57AFD"/>
    <w:rsid w:val="00B60CC4"/>
    <w:rsid w:val="00B614F0"/>
    <w:rsid w:val="00B6194A"/>
    <w:rsid w:val="00B61BA3"/>
    <w:rsid w:val="00B61FC6"/>
    <w:rsid w:val="00B62A75"/>
    <w:rsid w:val="00B62C66"/>
    <w:rsid w:val="00B6439F"/>
    <w:rsid w:val="00B6492F"/>
    <w:rsid w:val="00B64FE6"/>
    <w:rsid w:val="00B6500E"/>
    <w:rsid w:val="00B66186"/>
    <w:rsid w:val="00B6621B"/>
    <w:rsid w:val="00B6654F"/>
    <w:rsid w:val="00B666F2"/>
    <w:rsid w:val="00B6703C"/>
    <w:rsid w:val="00B672C6"/>
    <w:rsid w:val="00B67637"/>
    <w:rsid w:val="00B676B9"/>
    <w:rsid w:val="00B67BB5"/>
    <w:rsid w:val="00B70678"/>
    <w:rsid w:val="00B714FA"/>
    <w:rsid w:val="00B7267C"/>
    <w:rsid w:val="00B728EE"/>
    <w:rsid w:val="00B72EE6"/>
    <w:rsid w:val="00B73F6C"/>
    <w:rsid w:val="00B7540D"/>
    <w:rsid w:val="00B75ECB"/>
    <w:rsid w:val="00B770DF"/>
    <w:rsid w:val="00B773B4"/>
    <w:rsid w:val="00B80001"/>
    <w:rsid w:val="00B804F0"/>
    <w:rsid w:val="00B80632"/>
    <w:rsid w:val="00B806F4"/>
    <w:rsid w:val="00B80E96"/>
    <w:rsid w:val="00B812FE"/>
    <w:rsid w:val="00B820DD"/>
    <w:rsid w:val="00B8218D"/>
    <w:rsid w:val="00B82D7C"/>
    <w:rsid w:val="00B82E02"/>
    <w:rsid w:val="00B82E63"/>
    <w:rsid w:val="00B834CF"/>
    <w:rsid w:val="00B83F94"/>
    <w:rsid w:val="00B8491B"/>
    <w:rsid w:val="00B84A7E"/>
    <w:rsid w:val="00B85EFA"/>
    <w:rsid w:val="00B863F6"/>
    <w:rsid w:val="00B870F4"/>
    <w:rsid w:val="00B9156B"/>
    <w:rsid w:val="00B919E5"/>
    <w:rsid w:val="00B92C17"/>
    <w:rsid w:val="00B93BB0"/>
    <w:rsid w:val="00B93E0D"/>
    <w:rsid w:val="00B955E8"/>
    <w:rsid w:val="00B959CC"/>
    <w:rsid w:val="00B967E5"/>
    <w:rsid w:val="00B96A1A"/>
    <w:rsid w:val="00B96A96"/>
    <w:rsid w:val="00B96AAD"/>
    <w:rsid w:val="00B96D7D"/>
    <w:rsid w:val="00B97031"/>
    <w:rsid w:val="00B97074"/>
    <w:rsid w:val="00BA06E3"/>
    <w:rsid w:val="00BA0860"/>
    <w:rsid w:val="00BA0CFD"/>
    <w:rsid w:val="00BA0DED"/>
    <w:rsid w:val="00BA1CCB"/>
    <w:rsid w:val="00BA233A"/>
    <w:rsid w:val="00BA2B8A"/>
    <w:rsid w:val="00BA3B2C"/>
    <w:rsid w:val="00BA3DDC"/>
    <w:rsid w:val="00BA5311"/>
    <w:rsid w:val="00BA68C2"/>
    <w:rsid w:val="00BA6A2D"/>
    <w:rsid w:val="00BA774B"/>
    <w:rsid w:val="00BA795E"/>
    <w:rsid w:val="00BB0611"/>
    <w:rsid w:val="00BB0B52"/>
    <w:rsid w:val="00BB1137"/>
    <w:rsid w:val="00BB16A5"/>
    <w:rsid w:val="00BB2BAB"/>
    <w:rsid w:val="00BB2EC5"/>
    <w:rsid w:val="00BB470D"/>
    <w:rsid w:val="00BB4B00"/>
    <w:rsid w:val="00BB5078"/>
    <w:rsid w:val="00BB61F4"/>
    <w:rsid w:val="00BB6A73"/>
    <w:rsid w:val="00BB6AA0"/>
    <w:rsid w:val="00BB6DC6"/>
    <w:rsid w:val="00BC1B10"/>
    <w:rsid w:val="00BC1E08"/>
    <w:rsid w:val="00BC2A87"/>
    <w:rsid w:val="00BC3328"/>
    <w:rsid w:val="00BC53A2"/>
    <w:rsid w:val="00BC5908"/>
    <w:rsid w:val="00BC5C15"/>
    <w:rsid w:val="00BC61A5"/>
    <w:rsid w:val="00BC68F8"/>
    <w:rsid w:val="00BD0A75"/>
    <w:rsid w:val="00BD0AB7"/>
    <w:rsid w:val="00BD1659"/>
    <w:rsid w:val="00BD17DD"/>
    <w:rsid w:val="00BD264E"/>
    <w:rsid w:val="00BD3C5C"/>
    <w:rsid w:val="00BD46A4"/>
    <w:rsid w:val="00BD4813"/>
    <w:rsid w:val="00BD4995"/>
    <w:rsid w:val="00BD5103"/>
    <w:rsid w:val="00BD5EE6"/>
    <w:rsid w:val="00BD6139"/>
    <w:rsid w:val="00BD63E9"/>
    <w:rsid w:val="00BD6EDC"/>
    <w:rsid w:val="00BD7E7C"/>
    <w:rsid w:val="00BE0BC6"/>
    <w:rsid w:val="00BE0CC3"/>
    <w:rsid w:val="00BE0DAB"/>
    <w:rsid w:val="00BE0FDC"/>
    <w:rsid w:val="00BE1177"/>
    <w:rsid w:val="00BE14C8"/>
    <w:rsid w:val="00BE18D9"/>
    <w:rsid w:val="00BE1D67"/>
    <w:rsid w:val="00BE2C5D"/>
    <w:rsid w:val="00BE3113"/>
    <w:rsid w:val="00BE32A5"/>
    <w:rsid w:val="00BE3F17"/>
    <w:rsid w:val="00BE48A4"/>
    <w:rsid w:val="00BE4959"/>
    <w:rsid w:val="00BE499B"/>
    <w:rsid w:val="00BE51EF"/>
    <w:rsid w:val="00BE541D"/>
    <w:rsid w:val="00BE7877"/>
    <w:rsid w:val="00BF0B33"/>
    <w:rsid w:val="00BF0CF6"/>
    <w:rsid w:val="00BF0D7A"/>
    <w:rsid w:val="00BF0F59"/>
    <w:rsid w:val="00BF100D"/>
    <w:rsid w:val="00BF13E5"/>
    <w:rsid w:val="00BF145A"/>
    <w:rsid w:val="00BF14F4"/>
    <w:rsid w:val="00BF1953"/>
    <w:rsid w:val="00BF1B35"/>
    <w:rsid w:val="00BF1CCD"/>
    <w:rsid w:val="00BF3CD7"/>
    <w:rsid w:val="00BF48CB"/>
    <w:rsid w:val="00BF4979"/>
    <w:rsid w:val="00BF591A"/>
    <w:rsid w:val="00BF5BBB"/>
    <w:rsid w:val="00BF5ECF"/>
    <w:rsid w:val="00BF6484"/>
    <w:rsid w:val="00C00752"/>
    <w:rsid w:val="00C0076F"/>
    <w:rsid w:val="00C014AC"/>
    <w:rsid w:val="00C0172A"/>
    <w:rsid w:val="00C0184B"/>
    <w:rsid w:val="00C01CD4"/>
    <w:rsid w:val="00C01D15"/>
    <w:rsid w:val="00C020C2"/>
    <w:rsid w:val="00C0292D"/>
    <w:rsid w:val="00C02CFD"/>
    <w:rsid w:val="00C0420C"/>
    <w:rsid w:val="00C043E0"/>
    <w:rsid w:val="00C058FC"/>
    <w:rsid w:val="00C05C63"/>
    <w:rsid w:val="00C05D07"/>
    <w:rsid w:val="00C07615"/>
    <w:rsid w:val="00C10F37"/>
    <w:rsid w:val="00C11999"/>
    <w:rsid w:val="00C12090"/>
    <w:rsid w:val="00C12478"/>
    <w:rsid w:val="00C125B5"/>
    <w:rsid w:val="00C1267C"/>
    <w:rsid w:val="00C134A0"/>
    <w:rsid w:val="00C134B3"/>
    <w:rsid w:val="00C138E4"/>
    <w:rsid w:val="00C14477"/>
    <w:rsid w:val="00C149DD"/>
    <w:rsid w:val="00C14C74"/>
    <w:rsid w:val="00C15341"/>
    <w:rsid w:val="00C1554C"/>
    <w:rsid w:val="00C15FB3"/>
    <w:rsid w:val="00C17509"/>
    <w:rsid w:val="00C176DA"/>
    <w:rsid w:val="00C2114A"/>
    <w:rsid w:val="00C213C5"/>
    <w:rsid w:val="00C216B0"/>
    <w:rsid w:val="00C21EFE"/>
    <w:rsid w:val="00C22CDF"/>
    <w:rsid w:val="00C22DB3"/>
    <w:rsid w:val="00C22FF9"/>
    <w:rsid w:val="00C23267"/>
    <w:rsid w:val="00C23A22"/>
    <w:rsid w:val="00C24B5F"/>
    <w:rsid w:val="00C24F26"/>
    <w:rsid w:val="00C254E4"/>
    <w:rsid w:val="00C257FE"/>
    <w:rsid w:val="00C25DE6"/>
    <w:rsid w:val="00C26A71"/>
    <w:rsid w:val="00C26DC3"/>
    <w:rsid w:val="00C26F14"/>
    <w:rsid w:val="00C300D1"/>
    <w:rsid w:val="00C3161E"/>
    <w:rsid w:val="00C31C8C"/>
    <w:rsid w:val="00C32587"/>
    <w:rsid w:val="00C330B1"/>
    <w:rsid w:val="00C332C6"/>
    <w:rsid w:val="00C346F5"/>
    <w:rsid w:val="00C347EB"/>
    <w:rsid w:val="00C34D65"/>
    <w:rsid w:val="00C353D8"/>
    <w:rsid w:val="00C3574E"/>
    <w:rsid w:val="00C35E7C"/>
    <w:rsid w:val="00C37157"/>
    <w:rsid w:val="00C37A9A"/>
    <w:rsid w:val="00C408CB"/>
    <w:rsid w:val="00C416E4"/>
    <w:rsid w:val="00C41E86"/>
    <w:rsid w:val="00C42A79"/>
    <w:rsid w:val="00C42E70"/>
    <w:rsid w:val="00C42F2C"/>
    <w:rsid w:val="00C432A2"/>
    <w:rsid w:val="00C432E3"/>
    <w:rsid w:val="00C43A19"/>
    <w:rsid w:val="00C44446"/>
    <w:rsid w:val="00C44712"/>
    <w:rsid w:val="00C448D0"/>
    <w:rsid w:val="00C457BB"/>
    <w:rsid w:val="00C45A56"/>
    <w:rsid w:val="00C45A9A"/>
    <w:rsid w:val="00C466CF"/>
    <w:rsid w:val="00C467F7"/>
    <w:rsid w:val="00C46F9F"/>
    <w:rsid w:val="00C477BA"/>
    <w:rsid w:val="00C50B53"/>
    <w:rsid w:val="00C51608"/>
    <w:rsid w:val="00C51A80"/>
    <w:rsid w:val="00C52697"/>
    <w:rsid w:val="00C52D39"/>
    <w:rsid w:val="00C539E9"/>
    <w:rsid w:val="00C53A58"/>
    <w:rsid w:val="00C53C69"/>
    <w:rsid w:val="00C53D4C"/>
    <w:rsid w:val="00C5418B"/>
    <w:rsid w:val="00C56921"/>
    <w:rsid w:val="00C57268"/>
    <w:rsid w:val="00C5749B"/>
    <w:rsid w:val="00C57602"/>
    <w:rsid w:val="00C57935"/>
    <w:rsid w:val="00C57CF1"/>
    <w:rsid w:val="00C57D09"/>
    <w:rsid w:val="00C619A2"/>
    <w:rsid w:val="00C62D08"/>
    <w:rsid w:val="00C66165"/>
    <w:rsid w:val="00C66683"/>
    <w:rsid w:val="00C66D77"/>
    <w:rsid w:val="00C67967"/>
    <w:rsid w:val="00C67A4D"/>
    <w:rsid w:val="00C67CBC"/>
    <w:rsid w:val="00C67CD4"/>
    <w:rsid w:val="00C67F08"/>
    <w:rsid w:val="00C705A1"/>
    <w:rsid w:val="00C70967"/>
    <w:rsid w:val="00C710DB"/>
    <w:rsid w:val="00C7121E"/>
    <w:rsid w:val="00C71232"/>
    <w:rsid w:val="00C712E4"/>
    <w:rsid w:val="00C7197E"/>
    <w:rsid w:val="00C719F6"/>
    <w:rsid w:val="00C71CFC"/>
    <w:rsid w:val="00C72E32"/>
    <w:rsid w:val="00C737B0"/>
    <w:rsid w:val="00C74286"/>
    <w:rsid w:val="00C74F84"/>
    <w:rsid w:val="00C75360"/>
    <w:rsid w:val="00C75760"/>
    <w:rsid w:val="00C76DFA"/>
    <w:rsid w:val="00C774F0"/>
    <w:rsid w:val="00C77972"/>
    <w:rsid w:val="00C805F4"/>
    <w:rsid w:val="00C8128A"/>
    <w:rsid w:val="00C812BF"/>
    <w:rsid w:val="00C816DE"/>
    <w:rsid w:val="00C81E95"/>
    <w:rsid w:val="00C81F57"/>
    <w:rsid w:val="00C820BB"/>
    <w:rsid w:val="00C82252"/>
    <w:rsid w:val="00C82E41"/>
    <w:rsid w:val="00C82E49"/>
    <w:rsid w:val="00C82FAF"/>
    <w:rsid w:val="00C830DB"/>
    <w:rsid w:val="00C83421"/>
    <w:rsid w:val="00C83CF7"/>
    <w:rsid w:val="00C83D5D"/>
    <w:rsid w:val="00C83EBD"/>
    <w:rsid w:val="00C83ED6"/>
    <w:rsid w:val="00C84356"/>
    <w:rsid w:val="00C84727"/>
    <w:rsid w:val="00C85945"/>
    <w:rsid w:val="00C85B5F"/>
    <w:rsid w:val="00C85B7F"/>
    <w:rsid w:val="00C86B74"/>
    <w:rsid w:val="00C877FC"/>
    <w:rsid w:val="00C8798A"/>
    <w:rsid w:val="00C90843"/>
    <w:rsid w:val="00C90E7B"/>
    <w:rsid w:val="00C90F0D"/>
    <w:rsid w:val="00C916F8"/>
    <w:rsid w:val="00C916FB"/>
    <w:rsid w:val="00C91992"/>
    <w:rsid w:val="00C91E9F"/>
    <w:rsid w:val="00C920D8"/>
    <w:rsid w:val="00C941FE"/>
    <w:rsid w:val="00C94326"/>
    <w:rsid w:val="00C9434E"/>
    <w:rsid w:val="00C94A95"/>
    <w:rsid w:val="00C95496"/>
    <w:rsid w:val="00C96260"/>
    <w:rsid w:val="00C96F7E"/>
    <w:rsid w:val="00C9744E"/>
    <w:rsid w:val="00C9772F"/>
    <w:rsid w:val="00CA19AF"/>
    <w:rsid w:val="00CA206B"/>
    <w:rsid w:val="00CA2953"/>
    <w:rsid w:val="00CA2E8B"/>
    <w:rsid w:val="00CA30BC"/>
    <w:rsid w:val="00CA333B"/>
    <w:rsid w:val="00CA34A1"/>
    <w:rsid w:val="00CA41C4"/>
    <w:rsid w:val="00CA421E"/>
    <w:rsid w:val="00CA44BE"/>
    <w:rsid w:val="00CA4BE6"/>
    <w:rsid w:val="00CA4C14"/>
    <w:rsid w:val="00CA5E39"/>
    <w:rsid w:val="00CA632A"/>
    <w:rsid w:val="00CA6398"/>
    <w:rsid w:val="00CA6EE5"/>
    <w:rsid w:val="00CA7208"/>
    <w:rsid w:val="00CA7392"/>
    <w:rsid w:val="00CA7B40"/>
    <w:rsid w:val="00CA7B7F"/>
    <w:rsid w:val="00CA7DC8"/>
    <w:rsid w:val="00CA7E61"/>
    <w:rsid w:val="00CB011B"/>
    <w:rsid w:val="00CB0628"/>
    <w:rsid w:val="00CB1BAE"/>
    <w:rsid w:val="00CB21D3"/>
    <w:rsid w:val="00CB296F"/>
    <w:rsid w:val="00CB2BCA"/>
    <w:rsid w:val="00CB2CD0"/>
    <w:rsid w:val="00CB2D3C"/>
    <w:rsid w:val="00CB392D"/>
    <w:rsid w:val="00CB45D2"/>
    <w:rsid w:val="00CB5283"/>
    <w:rsid w:val="00CB5990"/>
    <w:rsid w:val="00CB5BB1"/>
    <w:rsid w:val="00CB5FBB"/>
    <w:rsid w:val="00CB6088"/>
    <w:rsid w:val="00CB620A"/>
    <w:rsid w:val="00CB6523"/>
    <w:rsid w:val="00CB6560"/>
    <w:rsid w:val="00CB738F"/>
    <w:rsid w:val="00CB762E"/>
    <w:rsid w:val="00CB7F9F"/>
    <w:rsid w:val="00CC03A0"/>
    <w:rsid w:val="00CC0468"/>
    <w:rsid w:val="00CC0AEA"/>
    <w:rsid w:val="00CC0AF2"/>
    <w:rsid w:val="00CC138C"/>
    <w:rsid w:val="00CC1672"/>
    <w:rsid w:val="00CC16CA"/>
    <w:rsid w:val="00CC21F8"/>
    <w:rsid w:val="00CC2C25"/>
    <w:rsid w:val="00CC34DF"/>
    <w:rsid w:val="00CC3A22"/>
    <w:rsid w:val="00CC45AF"/>
    <w:rsid w:val="00CC487B"/>
    <w:rsid w:val="00CC4AE3"/>
    <w:rsid w:val="00CC4CA5"/>
    <w:rsid w:val="00CC5136"/>
    <w:rsid w:val="00CC5571"/>
    <w:rsid w:val="00CC5A1C"/>
    <w:rsid w:val="00CC5DBC"/>
    <w:rsid w:val="00CC608F"/>
    <w:rsid w:val="00CC6325"/>
    <w:rsid w:val="00CC76DB"/>
    <w:rsid w:val="00CD0773"/>
    <w:rsid w:val="00CD0CD4"/>
    <w:rsid w:val="00CD167C"/>
    <w:rsid w:val="00CD1CD9"/>
    <w:rsid w:val="00CD1FF7"/>
    <w:rsid w:val="00CD2773"/>
    <w:rsid w:val="00CD2946"/>
    <w:rsid w:val="00CD31BC"/>
    <w:rsid w:val="00CD32EE"/>
    <w:rsid w:val="00CD36A0"/>
    <w:rsid w:val="00CD38E6"/>
    <w:rsid w:val="00CD3C84"/>
    <w:rsid w:val="00CD3D88"/>
    <w:rsid w:val="00CD45A0"/>
    <w:rsid w:val="00CD4863"/>
    <w:rsid w:val="00CD4945"/>
    <w:rsid w:val="00CD7906"/>
    <w:rsid w:val="00CD7F6F"/>
    <w:rsid w:val="00CE15AC"/>
    <w:rsid w:val="00CE2024"/>
    <w:rsid w:val="00CE2E44"/>
    <w:rsid w:val="00CE2E53"/>
    <w:rsid w:val="00CE3B75"/>
    <w:rsid w:val="00CE3D09"/>
    <w:rsid w:val="00CE4684"/>
    <w:rsid w:val="00CE4828"/>
    <w:rsid w:val="00CE488E"/>
    <w:rsid w:val="00CE4F47"/>
    <w:rsid w:val="00CE54F2"/>
    <w:rsid w:val="00CE6678"/>
    <w:rsid w:val="00CE6CCE"/>
    <w:rsid w:val="00CE7843"/>
    <w:rsid w:val="00CE79FE"/>
    <w:rsid w:val="00CE7A41"/>
    <w:rsid w:val="00CF05AC"/>
    <w:rsid w:val="00CF1733"/>
    <w:rsid w:val="00CF186A"/>
    <w:rsid w:val="00CF1B0E"/>
    <w:rsid w:val="00CF293A"/>
    <w:rsid w:val="00CF2974"/>
    <w:rsid w:val="00CF3393"/>
    <w:rsid w:val="00CF33AF"/>
    <w:rsid w:val="00CF3474"/>
    <w:rsid w:val="00CF3F0F"/>
    <w:rsid w:val="00CF3F74"/>
    <w:rsid w:val="00CF40D7"/>
    <w:rsid w:val="00CF4168"/>
    <w:rsid w:val="00CF4414"/>
    <w:rsid w:val="00CF4606"/>
    <w:rsid w:val="00CF5229"/>
    <w:rsid w:val="00CF5ADE"/>
    <w:rsid w:val="00CF6569"/>
    <w:rsid w:val="00CF6E13"/>
    <w:rsid w:val="00CF6EF5"/>
    <w:rsid w:val="00CF7D36"/>
    <w:rsid w:val="00D003B0"/>
    <w:rsid w:val="00D00E5A"/>
    <w:rsid w:val="00D0181D"/>
    <w:rsid w:val="00D01986"/>
    <w:rsid w:val="00D01A1E"/>
    <w:rsid w:val="00D02468"/>
    <w:rsid w:val="00D02DAD"/>
    <w:rsid w:val="00D02F6F"/>
    <w:rsid w:val="00D034C3"/>
    <w:rsid w:val="00D03B1B"/>
    <w:rsid w:val="00D03CD8"/>
    <w:rsid w:val="00D04286"/>
    <w:rsid w:val="00D0492E"/>
    <w:rsid w:val="00D04967"/>
    <w:rsid w:val="00D0565C"/>
    <w:rsid w:val="00D059AD"/>
    <w:rsid w:val="00D059CD"/>
    <w:rsid w:val="00D0618F"/>
    <w:rsid w:val="00D06D35"/>
    <w:rsid w:val="00D06F19"/>
    <w:rsid w:val="00D071FE"/>
    <w:rsid w:val="00D074C0"/>
    <w:rsid w:val="00D079C1"/>
    <w:rsid w:val="00D07B16"/>
    <w:rsid w:val="00D1020A"/>
    <w:rsid w:val="00D10243"/>
    <w:rsid w:val="00D10742"/>
    <w:rsid w:val="00D110C2"/>
    <w:rsid w:val="00D111FB"/>
    <w:rsid w:val="00D113FD"/>
    <w:rsid w:val="00D11F27"/>
    <w:rsid w:val="00D128BC"/>
    <w:rsid w:val="00D12FFE"/>
    <w:rsid w:val="00D1327B"/>
    <w:rsid w:val="00D132D2"/>
    <w:rsid w:val="00D1380D"/>
    <w:rsid w:val="00D15499"/>
    <w:rsid w:val="00D154A8"/>
    <w:rsid w:val="00D154D4"/>
    <w:rsid w:val="00D16426"/>
    <w:rsid w:val="00D16431"/>
    <w:rsid w:val="00D17531"/>
    <w:rsid w:val="00D17FD7"/>
    <w:rsid w:val="00D207AD"/>
    <w:rsid w:val="00D208D7"/>
    <w:rsid w:val="00D20DE1"/>
    <w:rsid w:val="00D20FAA"/>
    <w:rsid w:val="00D2125A"/>
    <w:rsid w:val="00D21A84"/>
    <w:rsid w:val="00D21CF3"/>
    <w:rsid w:val="00D2217D"/>
    <w:rsid w:val="00D225E1"/>
    <w:rsid w:val="00D226D2"/>
    <w:rsid w:val="00D22F32"/>
    <w:rsid w:val="00D23383"/>
    <w:rsid w:val="00D2374B"/>
    <w:rsid w:val="00D23878"/>
    <w:rsid w:val="00D23A01"/>
    <w:rsid w:val="00D23F0D"/>
    <w:rsid w:val="00D240CF"/>
    <w:rsid w:val="00D24460"/>
    <w:rsid w:val="00D244DD"/>
    <w:rsid w:val="00D24954"/>
    <w:rsid w:val="00D25FD2"/>
    <w:rsid w:val="00D261B2"/>
    <w:rsid w:val="00D26FCC"/>
    <w:rsid w:val="00D30604"/>
    <w:rsid w:val="00D31010"/>
    <w:rsid w:val="00D312C9"/>
    <w:rsid w:val="00D3148A"/>
    <w:rsid w:val="00D3199E"/>
    <w:rsid w:val="00D31A70"/>
    <w:rsid w:val="00D31C94"/>
    <w:rsid w:val="00D32419"/>
    <w:rsid w:val="00D328EC"/>
    <w:rsid w:val="00D32918"/>
    <w:rsid w:val="00D34EB2"/>
    <w:rsid w:val="00D34F27"/>
    <w:rsid w:val="00D35615"/>
    <w:rsid w:val="00D36388"/>
    <w:rsid w:val="00D37672"/>
    <w:rsid w:val="00D37971"/>
    <w:rsid w:val="00D37AA9"/>
    <w:rsid w:val="00D37E8C"/>
    <w:rsid w:val="00D40643"/>
    <w:rsid w:val="00D40A17"/>
    <w:rsid w:val="00D40E36"/>
    <w:rsid w:val="00D41EF7"/>
    <w:rsid w:val="00D42509"/>
    <w:rsid w:val="00D42686"/>
    <w:rsid w:val="00D42C5F"/>
    <w:rsid w:val="00D4303E"/>
    <w:rsid w:val="00D4327E"/>
    <w:rsid w:val="00D4336D"/>
    <w:rsid w:val="00D4347E"/>
    <w:rsid w:val="00D43BC1"/>
    <w:rsid w:val="00D44261"/>
    <w:rsid w:val="00D44865"/>
    <w:rsid w:val="00D44A5A"/>
    <w:rsid w:val="00D44AF3"/>
    <w:rsid w:val="00D45024"/>
    <w:rsid w:val="00D4509A"/>
    <w:rsid w:val="00D45767"/>
    <w:rsid w:val="00D45C5E"/>
    <w:rsid w:val="00D462DF"/>
    <w:rsid w:val="00D463E0"/>
    <w:rsid w:val="00D46FEE"/>
    <w:rsid w:val="00D50706"/>
    <w:rsid w:val="00D511DF"/>
    <w:rsid w:val="00D528C3"/>
    <w:rsid w:val="00D52E59"/>
    <w:rsid w:val="00D53137"/>
    <w:rsid w:val="00D539ED"/>
    <w:rsid w:val="00D53ABF"/>
    <w:rsid w:val="00D55B60"/>
    <w:rsid w:val="00D56DF2"/>
    <w:rsid w:val="00D56EA4"/>
    <w:rsid w:val="00D5777A"/>
    <w:rsid w:val="00D57BA4"/>
    <w:rsid w:val="00D6020A"/>
    <w:rsid w:val="00D607C0"/>
    <w:rsid w:val="00D61377"/>
    <w:rsid w:val="00D61F4E"/>
    <w:rsid w:val="00D6253E"/>
    <w:rsid w:val="00D62735"/>
    <w:rsid w:val="00D6279E"/>
    <w:rsid w:val="00D63083"/>
    <w:rsid w:val="00D63D03"/>
    <w:rsid w:val="00D63ED5"/>
    <w:rsid w:val="00D64239"/>
    <w:rsid w:val="00D64683"/>
    <w:rsid w:val="00D646E4"/>
    <w:rsid w:val="00D647C3"/>
    <w:rsid w:val="00D64A8A"/>
    <w:rsid w:val="00D653E2"/>
    <w:rsid w:val="00D65C4D"/>
    <w:rsid w:val="00D66ABE"/>
    <w:rsid w:val="00D66AE4"/>
    <w:rsid w:val="00D66CFA"/>
    <w:rsid w:val="00D6704C"/>
    <w:rsid w:val="00D6787D"/>
    <w:rsid w:val="00D700D7"/>
    <w:rsid w:val="00D715EF"/>
    <w:rsid w:val="00D71BFD"/>
    <w:rsid w:val="00D71FB5"/>
    <w:rsid w:val="00D72B51"/>
    <w:rsid w:val="00D74809"/>
    <w:rsid w:val="00D74914"/>
    <w:rsid w:val="00D74DDB"/>
    <w:rsid w:val="00D75728"/>
    <w:rsid w:val="00D758BD"/>
    <w:rsid w:val="00D75D0E"/>
    <w:rsid w:val="00D761B5"/>
    <w:rsid w:val="00D76B91"/>
    <w:rsid w:val="00D76E23"/>
    <w:rsid w:val="00D773B8"/>
    <w:rsid w:val="00D80224"/>
    <w:rsid w:val="00D80891"/>
    <w:rsid w:val="00D80F5B"/>
    <w:rsid w:val="00D8102B"/>
    <w:rsid w:val="00D8259A"/>
    <w:rsid w:val="00D83B1F"/>
    <w:rsid w:val="00D83B5B"/>
    <w:rsid w:val="00D8417B"/>
    <w:rsid w:val="00D84B4E"/>
    <w:rsid w:val="00D85D4E"/>
    <w:rsid w:val="00D86BA1"/>
    <w:rsid w:val="00D8723A"/>
    <w:rsid w:val="00D87C74"/>
    <w:rsid w:val="00D87C9E"/>
    <w:rsid w:val="00D92015"/>
    <w:rsid w:val="00D92A0C"/>
    <w:rsid w:val="00D93B3C"/>
    <w:rsid w:val="00D96F2D"/>
    <w:rsid w:val="00D977C0"/>
    <w:rsid w:val="00D97AE5"/>
    <w:rsid w:val="00D97D3F"/>
    <w:rsid w:val="00D97DE6"/>
    <w:rsid w:val="00D97FAB"/>
    <w:rsid w:val="00DA0C36"/>
    <w:rsid w:val="00DA1015"/>
    <w:rsid w:val="00DA1729"/>
    <w:rsid w:val="00DA18FB"/>
    <w:rsid w:val="00DA202F"/>
    <w:rsid w:val="00DA2D87"/>
    <w:rsid w:val="00DA43CE"/>
    <w:rsid w:val="00DA43E0"/>
    <w:rsid w:val="00DA4827"/>
    <w:rsid w:val="00DA4ADF"/>
    <w:rsid w:val="00DA5187"/>
    <w:rsid w:val="00DA5209"/>
    <w:rsid w:val="00DA6571"/>
    <w:rsid w:val="00DA65D3"/>
    <w:rsid w:val="00DA75B7"/>
    <w:rsid w:val="00DA7899"/>
    <w:rsid w:val="00DA7BDF"/>
    <w:rsid w:val="00DA7D2C"/>
    <w:rsid w:val="00DB0491"/>
    <w:rsid w:val="00DB0B0E"/>
    <w:rsid w:val="00DB1A50"/>
    <w:rsid w:val="00DB1DCB"/>
    <w:rsid w:val="00DB2572"/>
    <w:rsid w:val="00DB2D48"/>
    <w:rsid w:val="00DB3011"/>
    <w:rsid w:val="00DB313D"/>
    <w:rsid w:val="00DB3A0A"/>
    <w:rsid w:val="00DB410D"/>
    <w:rsid w:val="00DB427C"/>
    <w:rsid w:val="00DB4718"/>
    <w:rsid w:val="00DB50A8"/>
    <w:rsid w:val="00DB55CA"/>
    <w:rsid w:val="00DB7615"/>
    <w:rsid w:val="00DB7787"/>
    <w:rsid w:val="00DB7E3F"/>
    <w:rsid w:val="00DC0914"/>
    <w:rsid w:val="00DC1108"/>
    <w:rsid w:val="00DC1473"/>
    <w:rsid w:val="00DC18C2"/>
    <w:rsid w:val="00DC19FF"/>
    <w:rsid w:val="00DC1A10"/>
    <w:rsid w:val="00DC2E81"/>
    <w:rsid w:val="00DC3575"/>
    <w:rsid w:val="00DC3E6B"/>
    <w:rsid w:val="00DC3F20"/>
    <w:rsid w:val="00DC4573"/>
    <w:rsid w:val="00DC4B4F"/>
    <w:rsid w:val="00DC4CA8"/>
    <w:rsid w:val="00DC51FF"/>
    <w:rsid w:val="00DC63D4"/>
    <w:rsid w:val="00DC78F3"/>
    <w:rsid w:val="00DC7A7E"/>
    <w:rsid w:val="00DD15D1"/>
    <w:rsid w:val="00DD17CC"/>
    <w:rsid w:val="00DD282C"/>
    <w:rsid w:val="00DD37F5"/>
    <w:rsid w:val="00DD3B55"/>
    <w:rsid w:val="00DD4071"/>
    <w:rsid w:val="00DD42FE"/>
    <w:rsid w:val="00DD43B2"/>
    <w:rsid w:val="00DD4AE5"/>
    <w:rsid w:val="00DD6693"/>
    <w:rsid w:val="00DD6B12"/>
    <w:rsid w:val="00DD71C7"/>
    <w:rsid w:val="00DD751D"/>
    <w:rsid w:val="00DD7D1D"/>
    <w:rsid w:val="00DD7E34"/>
    <w:rsid w:val="00DE04A2"/>
    <w:rsid w:val="00DE1AF6"/>
    <w:rsid w:val="00DE2298"/>
    <w:rsid w:val="00DE2B2F"/>
    <w:rsid w:val="00DE3468"/>
    <w:rsid w:val="00DE4AC5"/>
    <w:rsid w:val="00DE5DA7"/>
    <w:rsid w:val="00DE6F18"/>
    <w:rsid w:val="00DF0128"/>
    <w:rsid w:val="00DF09C6"/>
    <w:rsid w:val="00DF15B7"/>
    <w:rsid w:val="00DF1816"/>
    <w:rsid w:val="00DF18B3"/>
    <w:rsid w:val="00DF1AF6"/>
    <w:rsid w:val="00DF292C"/>
    <w:rsid w:val="00DF2997"/>
    <w:rsid w:val="00DF3B7C"/>
    <w:rsid w:val="00DF3B87"/>
    <w:rsid w:val="00DF3C7C"/>
    <w:rsid w:val="00DF666C"/>
    <w:rsid w:val="00DF6A11"/>
    <w:rsid w:val="00DF6D69"/>
    <w:rsid w:val="00E00219"/>
    <w:rsid w:val="00E0023F"/>
    <w:rsid w:val="00E00E3A"/>
    <w:rsid w:val="00E01233"/>
    <w:rsid w:val="00E0139D"/>
    <w:rsid w:val="00E013FA"/>
    <w:rsid w:val="00E02AE2"/>
    <w:rsid w:val="00E02C3A"/>
    <w:rsid w:val="00E036D2"/>
    <w:rsid w:val="00E0451B"/>
    <w:rsid w:val="00E05460"/>
    <w:rsid w:val="00E05855"/>
    <w:rsid w:val="00E05D44"/>
    <w:rsid w:val="00E0640B"/>
    <w:rsid w:val="00E070F1"/>
    <w:rsid w:val="00E0715F"/>
    <w:rsid w:val="00E075BA"/>
    <w:rsid w:val="00E106D8"/>
    <w:rsid w:val="00E110C9"/>
    <w:rsid w:val="00E114A9"/>
    <w:rsid w:val="00E118BC"/>
    <w:rsid w:val="00E118CE"/>
    <w:rsid w:val="00E11AD6"/>
    <w:rsid w:val="00E1305B"/>
    <w:rsid w:val="00E132E9"/>
    <w:rsid w:val="00E138AE"/>
    <w:rsid w:val="00E14CB6"/>
    <w:rsid w:val="00E14D77"/>
    <w:rsid w:val="00E15461"/>
    <w:rsid w:val="00E15E8F"/>
    <w:rsid w:val="00E16CBC"/>
    <w:rsid w:val="00E20C44"/>
    <w:rsid w:val="00E219C0"/>
    <w:rsid w:val="00E229FE"/>
    <w:rsid w:val="00E23705"/>
    <w:rsid w:val="00E245F8"/>
    <w:rsid w:val="00E24D25"/>
    <w:rsid w:val="00E25453"/>
    <w:rsid w:val="00E25E35"/>
    <w:rsid w:val="00E2609B"/>
    <w:rsid w:val="00E2737A"/>
    <w:rsid w:val="00E27C77"/>
    <w:rsid w:val="00E27FC9"/>
    <w:rsid w:val="00E30C12"/>
    <w:rsid w:val="00E3161E"/>
    <w:rsid w:val="00E31986"/>
    <w:rsid w:val="00E3229E"/>
    <w:rsid w:val="00E3269B"/>
    <w:rsid w:val="00E32CD4"/>
    <w:rsid w:val="00E32E17"/>
    <w:rsid w:val="00E33219"/>
    <w:rsid w:val="00E3372A"/>
    <w:rsid w:val="00E33A88"/>
    <w:rsid w:val="00E34546"/>
    <w:rsid w:val="00E34A20"/>
    <w:rsid w:val="00E350D4"/>
    <w:rsid w:val="00E35116"/>
    <w:rsid w:val="00E3644C"/>
    <w:rsid w:val="00E3716E"/>
    <w:rsid w:val="00E372CE"/>
    <w:rsid w:val="00E37611"/>
    <w:rsid w:val="00E376D4"/>
    <w:rsid w:val="00E40099"/>
    <w:rsid w:val="00E404EA"/>
    <w:rsid w:val="00E40C50"/>
    <w:rsid w:val="00E40CA4"/>
    <w:rsid w:val="00E40EFE"/>
    <w:rsid w:val="00E41635"/>
    <w:rsid w:val="00E4180F"/>
    <w:rsid w:val="00E419D7"/>
    <w:rsid w:val="00E41AAE"/>
    <w:rsid w:val="00E41C41"/>
    <w:rsid w:val="00E424E8"/>
    <w:rsid w:val="00E42B61"/>
    <w:rsid w:val="00E43BC9"/>
    <w:rsid w:val="00E43EEE"/>
    <w:rsid w:val="00E4442C"/>
    <w:rsid w:val="00E449C7"/>
    <w:rsid w:val="00E45C0C"/>
    <w:rsid w:val="00E46168"/>
    <w:rsid w:val="00E46EF0"/>
    <w:rsid w:val="00E470EB"/>
    <w:rsid w:val="00E473E0"/>
    <w:rsid w:val="00E4775D"/>
    <w:rsid w:val="00E4795C"/>
    <w:rsid w:val="00E51546"/>
    <w:rsid w:val="00E519A9"/>
    <w:rsid w:val="00E51E13"/>
    <w:rsid w:val="00E51EA1"/>
    <w:rsid w:val="00E527B9"/>
    <w:rsid w:val="00E52DB8"/>
    <w:rsid w:val="00E53ADC"/>
    <w:rsid w:val="00E54566"/>
    <w:rsid w:val="00E545F9"/>
    <w:rsid w:val="00E5496F"/>
    <w:rsid w:val="00E54D03"/>
    <w:rsid w:val="00E55096"/>
    <w:rsid w:val="00E553F1"/>
    <w:rsid w:val="00E5602D"/>
    <w:rsid w:val="00E5613B"/>
    <w:rsid w:val="00E5637A"/>
    <w:rsid w:val="00E56602"/>
    <w:rsid w:val="00E56609"/>
    <w:rsid w:val="00E568B5"/>
    <w:rsid w:val="00E56DDB"/>
    <w:rsid w:val="00E57BEF"/>
    <w:rsid w:val="00E602FF"/>
    <w:rsid w:val="00E60427"/>
    <w:rsid w:val="00E6057E"/>
    <w:rsid w:val="00E613BB"/>
    <w:rsid w:val="00E613BE"/>
    <w:rsid w:val="00E61549"/>
    <w:rsid w:val="00E61AAC"/>
    <w:rsid w:val="00E64084"/>
    <w:rsid w:val="00E641A1"/>
    <w:rsid w:val="00E65241"/>
    <w:rsid w:val="00E65AA9"/>
    <w:rsid w:val="00E65AB0"/>
    <w:rsid w:val="00E65DCC"/>
    <w:rsid w:val="00E6764B"/>
    <w:rsid w:val="00E70CD5"/>
    <w:rsid w:val="00E71C6A"/>
    <w:rsid w:val="00E72A67"/>
    <w:rsid w:val="00E72F89"/>
    <w:rsid w:val="00E7338F"/>
    <w:rsid w:val="00E7352B"/>
    <w:rsid w:val="00E73C54"/>
    <w:rsid w:val="00E73CD2"/>
    <w:rsid w:val="00E73F30"/>
    <w:rsid w:val="00E73FD7"/>
    <w:rsid w:val="00E74490"/>
    <w:rsid w:val="00E74D04"/>
    <w:rsid w:val="00E75B7D"/>
    <w:rsid w:val="00E7686F"/>
    <w:rsid w:val="00E77044"/>
    <w:rsid w:val="00E775A9"/>
    <w:rsid w:val="00E77693"/>
    <w:rsid w:val="00E807E1"/>
    <w:rsid w:val="00E80C04"/>
    <w:rsid w:val="00E80D84"/>
    <w:rsid w:val="00E81162"/>
    <w:rsid w:val="00E8141A"/>
    <w:rsid w:val="00E819E4"/>
    <w:rsid w:val="00E82FC4"/>
    <w:rsid w:val="00E83ADD"/>
    <w:rsid w:val="00E841AD"/>
    <w:rsid w:val="00E84385"/>
    <w:rsid w:val="00E84A52"/>
    <w:rsid w:val="00E851A4"/>
    <w:rsid w:val="00E85568"/>
    <w:rsid w:val="00E85A96"/>
    <w:rsid w:val="00E85BAA"/>
    <w:rsid w:val="00E8616A"/>
    <w:rsid w:val="00E865B6"/>
    <w:rsid w:val="00E90318"/>
    <w:rsid w:val="00E908CD"/>
    <w:rsid w:val="00E90F9D"/>
    <w:rsid w:val="00E9176C"/>
    <w:rsid w:val="00E92019"/>
    <w:rsid w:val="00E92044"/>
    <w:rsid w:val="00E92163"/>
    <w:rsid w:val="00E9216B"/>
    <w:rsid w:val="00E925F6"/>
    <w:rsid w:val="00E929A2"/>
    <w:rsid w:val="00E93838"/>
    <w:rsid w:val="00E93B59"/>
    <w:rsid w:val="00E94405"/>
    <w:rsid w:val="00E95168"/>
    <w:rsid w:val="00E95184"/>
    <w:rsid w:val="00E96BAE"/>
    <w:rsid w:val="00E97E4E"/>
    <w:rsid w:val="00EA0431"/>
    <w:rsid w:val="00EA04B7"/>
    <w:rsid w:val="00EA052F"/>
    <w:rsid w:val="00EA054B"/>
    <w:rsid w:val="00EA0C14"/>
    <w:rsid w:val="00EA146A"/>
    <w:rsid w:val="00EA2519"/>
    <w:rsid w:val="00EA26F5"/>
    <w:rsid w:val="00EA2A62"/>
    <w:rsid w:val="00EA312F"/>
    <w:rsid w:val="00EA32DE"/>
    <w:rsid w:val="00EA34AF"/>
    <w:rsid w:val="00EA3719"/>
    <w:rsid w:val="00EA4062"/>
    <w:rsid w:val="00EA4836"/>
    <w:rsid w:val="00EA4B34"/>
    <w:rsid w:val="00EA54FC"/>
    <w:rsid w:val="00EA594C"/>
    <w:rsid w:val="00EA63C1"/>
    <w:rsid w:val="00EA66E7"/>
    <w:rsid w:val="00EA7045"/>
    <w:rsid w:val="00EA736F"/>
    <w:rsid w:val="00EA7D41"/>
    <w:rsid w:val="00EB0F3A"/>
    <w:rsid w:val="00EB28EE"/>
    <w:rsid w:val="00EB3209"/>
    <w:rsid w:val="00EB3266"/>
    <w:rsid w:val="00EB32DA"/>
    <w:rsid w:val="00EB3555"/>
    <w:rsid w:val="00EB35DB"/>
    <w:rsid w:val="00EB4136"/>
    <w:rsid w:val="00EB4895"/>
    <w:rsid w:val="00EB5547"/>
    <w:rsid w:val="00EB6A5E"/>
    <w:rsid w:val="00EC0286"/>
    <w:rsid w:val="00EC0767"/>
    <w:rsid w:val="00EC0791"/>
    <w:rsid w:val="00EC1CE1"/>
    <w:rsid w:val="00EC212A"/>
    <w:rsid w:val="00EC2C3F"/>
    <w:rsid w:val="00EC3CA1"/>
    <w:rsid w:val="00EC3E0F"/>
    <w:rsid w:val="00EC609F"/>
    <w:rsid w:val="00EC6BA3"/>
    <w:rsid w:val="00EC6D0F"/>
    <w:rsid w:val="00EC71F7"/>
    <w:rsid w:val="00EC75B5"/>
    <w:rsid w:val="00ED09F9"/>
    <w:rsid w:val="00ED0B55"/>
    <w:rsid w:val="00ED0F86"/>
    <w:rsid w:val="00ED1B46"/>
    <w:rsid w:val="00ED1C57"/>
    <w:rsid w:val="00ED25BA"/>
    <w:rsid w:val="00ED26C7"/>
    <w:rsid w:val="00ED26E5"/>
    <w:rsid w:val="00ED2BDE"/>
    <w:rsid w:val="00ED3B9D"/>
    <w:rsid w:val="00ED4235"/>
    <w:rsid w:val="00ED46CE"/>
    <w:rsid w:val="00ED471D"/>
    <w:rsid w:val="00ED5523"/>
    <w:rsid w:val="00ED5944"/>
    <w:rsid w:val="00ED5F5F"/>
    <w:rsid w:val="00ED5FF0"/>
    <w:rsid w:val="00ED6912"/>
    <w:rsid w:val="00ED7421"/>
    <w:rsid w:val="00ED77D3"/>
    <w:rsid w:val="00ED7A9C"/>
    <w:rsid w:val="00ED7F19"/>
    <w:rsid w:val="00EE0139"/>
    <w:rsid w:val="00EE1164"/>
    <w:rsid w:val="00EE18AB"/>
    <w:rsid w:val="00EE31DD"/>
    <w:rsid w:val="00EE3B67"/>
    <w:rsid w:val="00EE451C"/>
    <w:rsid w:val="00EE47FA"/>
    <w:rsid w:val="00EE5AA3"/>
    <w:rsid w:val="00EE61BF"/>
    <w:rsid w:val="00EE622F"/>
    <w:rsid w:val="00EE7306"/>
    <w:rsid w:val="00EE7D78"/>
    <w:rsid w:val="00EF03C1"/>
    <w:rsid w:val="00EF08E0"/>
    <w:rsid w:val="00EF2A3F"/>
    <w:rsid w:val="00EF3403"/>
    <w:rsid w:val="00EF37A9"/>
    <w:rsid w:val="00EF3ABD"/>
    <w:rsid w:val="00EF3BD4"/>
    <w:rsid w:val="00EF3C62"/>
    <w:rsid w:val="00EF57C1"/>
    <w:rsid w:val="00EF57E0"/>
    <w:rsid w:val="00EF592D"/>
    <w:rsid w:val="00EF5CA3"/>
    <w:rsid w:val="00EF6174"/>
    <w:rsid w:val="00EF6300"/>
    <w:rsid w:val="00EF7428"/>
    <w:rsid w:val="00EF7A90"/>
    <w:rsid w:val="00EF7ABE"/>
    <w:rsid w:val="00EF7CBE"/>
    <w:rsid w:val="00F00400"/>
    <w:rsid w:val="00F00957"/>
    <w:rsid w:val="00F00B44"/>
    <w:rsid w:val="00F01AEB"/>
    <w:rsid w:val="00F01D39"/>
    <w:rsid w:val="00F02E56"/>
    <w:rsid w:val="00F038FE"/>
    <w:rsid w:val="00F04679"/>
    <w:rsid w:val="00F054C2"/>
    <w:rsid w:val="00F06282"/>
    <w:rsid w:val="00F06C0B"/>
    <w:rsid w:val="00F06C63"/>
    <w:rsid w:val="00F0796F"/>
    <w:rsid w:val="00F079F5"/>
    <w:rsid w:val="00F07C1C"/>
    <w:rsid w:val="00F07E0F"/>
    <w:rsid w:val="00F07EF0"/>
    <w:rsid w:val="00F10719"/>
    <w:rsid w:val="00F10A3A"/>
    <w:rsid w:val="00F11886"/>
    <w:rsid w:val="00F11E79"/>
    <w:rsid w:val="00F12067"/>
    <w:rsid w:val="00F12AA2"/>
    <w:rsid w:val="00F12BDC"/>
    <w:rsid w:val="00F13750"/>
    <w:rsid w:val="00F13B6E"/>
    <w:rsid w:val="00F13C33"/>
    <w:rsid w:val="00F13C7A"/>
    <w:rsid w:val="00F14993"/>
    <w:rsid w:val="00F14DB9"/>
    <w:rsid w:val="00F14F52"/>
    <w:rsid w:val="00F15159"/>
    <w:rsid w:val="00F1553D"/>
    <w:rsid w:val="00F16236"/>
    <w:rsid w:val="00F16294"/>
    <w:rsid w:val="00F1631F"/>
    <w:rsid w:val="00F16AC1"/>
    <w:rsid w:val="00F21A61"/>
    <w:rsid w:val="00F21BA7"/>
    <w:rsid w:val="00F2248E"/>
    <w:rsid w:val="00F224B9"/>
    <w:rsid w:val="00F22E98"/>
    <w:rsid w:val="00F230A4"/>
    <w:rsid w:val="00F23BF5"/>
    <w:rsid w:val="00F24503"/>
    <w:rsid w:val="00F247C9"/>
    <w:rsid w:val="00F24CB1"/>
    <w:rsid w:val="00F25C33"/>
    <w:rsid w:val="00F26B3F"/>
    <w:rsid w:val="00F26B7B"/>
    <w:rsid w:val="00F27262"/>
    <w:rsid w:val="00F273F0"/>
    <w:rsid w:val="00F27DB0"/>
    <w:rsid w:val="00F30A8C"/>
    <w:rsid w:val="00F30C34"/>
    <w:rsid w:val="00F318E1"/>
    <w:rsid w:val="00F31D3A"/>
    <w:rsid w:val="00F3235F"/>
    <w:rsid w:val="00F32B9A"/>
    <w:rsid w:val="00F33084"/>
    <w:rsid w:val="00F33895"/>
    <w:rsid w:val="00F33F71"/>
    <w:rsid w:val="00F3402B"/>
    <w:rsid w:val="00F343E7"/>
    <w:rsid w:val="00F346C4"/>
    <w:rsid w:val="00F34936"/>
    <w:rsid w:val="00F34BBC"/>
    <w:rsid w:val="00F35670"/>
    <w:rsid w:val="00F3603B"/>
    <w:rsid w:val="00F3605D"/>
    <w:rsid w:val="00F36078"/>
    <w:rsid w:val="00F365C3"/>
    <w:rsid w:val="00F3697D"/>
    <w:rsid w:val="00F36B27"/>
    <w:rsid w:val="00F37423"/>
    <w:rsid w:val="00F3771B"/>
    <w:rsid w:val="00F37E92"/>
    <w:rsid w:val="00F40C2A"/>
    <w:rsid w:val="00F41019"/>
    <w:rsid w:val="00F41325"/>
    <w:rsid w:val="00F41371"/>
    <w:rsid w:val="00F41657"/>
    <w:rsid w:val="00F418D4"/>
    <w:rsid w:val="00F41B81"/>
    <w:rsid w:val="00F41D04"/>
    <w:rsid w:val="00F41D32"/>
    <w:rsid w:val="00F4216A"/>
    <w:rsid w:val="00F42753"/>
    <w:rsid w:val="00F42833"/>
    <w:rsid w:val="00F42BE9"/>
    <w:rsid w:val="00F42C85"/>
    <w:rsid w:val="00F42CFA"/>
    <w:rsid w:val="00F443D5"/>
    <w:rsid w:val="00F44492"/>
    <w:rsid w:val="00F44537"/>
    <w:rsid w:val="00F448FA"/>
    <w:rsid w:val="00F44FE2"/>
    <w:rsid w:val="00F45CFD"/>
    <w:rsid w:val="00F460C4"/>
    <w:rsid w:val="00F46C00"/>
    <w:rsid w:val="00F46E35"/>
    <w:rsid w:val="00F4714D"/>
    <w:rsid w:val="00F47692"/>
    <w:rsid w:val="00F50119"/>
    <w:rsid w:val="00F5052C"/>
    <w:rsid w:val="00F51E14"/>
    <w:rsid w:val="00F51F91"/>
    <w:rsid w:val="00F52018"/>
    <w:rsid w:val="00F52668"/>
    <w:rsid w:val="00F528E3"/>
    <w:rsid w:val="00F53585"/>
    <w:rsid w:val="00F53B68"/>
    <w:rsid w:val="00F5404A"/>
    <w:rsid w:val="00F5417B"/>
    <w:rsid w:val="00F541EF"/>
    <w:rsid w:val="00F549D8"/>
    <w:rsid w:val="00F5540F"/>
    <w:rsid w:val="00F55A54"/>
    <w:rsid w:val="00F563BD"/>
    <w:rsid w:val="00F56650"/>
    <w:rsid w:val="00F56679"/>
    <w:rsid w:val="00F5677F"/>
    <w:rsid w:val="00F569F9"/>
    <w:rsid w:val="00F57B3C"/>
    <w:rsid w:val="00F60014"/>
    <w:rsid w:val="00F600CD"/>
    <w:rsid w:val="00F6179A"/>
    <w:rsid w:val="00F62B6F"/>
    <w:rsid w:val="00F62DEB"/>
    <w:rsid w:val="00F63201"/>
    <w:rsid w:val="00F63682"/>
    <w:rsid w:val="00F6391B"/>
    <w:rsid w:val="00F6497F"/>
    <w:rsid w:val="00F649FC"/>
    <w:rsid w:val="00F65170"/>
    <w:rsid w:val="00F6554C"/>
    <w:rsid w:val="00F6564A"/>
    <w:rsid w:val="00F65988"/>
    <w:rsid w:val="00F65ECE"/>
    <w:rsid w:val="00F673FB"/>
    <w:rsid w:val="00F67865"/>
    <w:rsid w:val="00F70990"/>
    <w:rsid w:val="00F70C9B"/>
    <w:rsid w:val="00F70E7A"/>
    <w:rsid w:val="00F71025"/>
    <w:rsid w:val="00F7111D"/>
    <w:rsid w:val="00F71405"/>
    <w:rsid w:val="00F72259"/>
    <w:rsid w:val="00F72A14"/>
    <w:rsid w:val="00F74908"/>
    <w:rsid w:val="00F7492D"/>
    <w:rsid w:val="00F74979"/>
    <w:rsid w:val="00F759C0"/>
    <w:rsid w:val="00F76588"/>
    <w:rsid w:val="00F76A57"/>
    <w:rsid w:val="00F77281"/>
    <w:rsid w:val="00F7772C"/>
    <w:rsid w:val="00F77740"/>
    <w:rsid w:val="00F77BFA"/>
    <w:rsid w:val="00F808FB"/>
    <w:rsid w:val="00F82E15"/>
    <w:rsid w:val="00F83014"/>
    <w:rsid w:val="00F8401E"/>
    <w:rsid w:val="00F850EE"/>
    <w:rsid w:val="00F855ED"/>
    <w:rsid w:val="00F85B65"/>
    <w:rsid w:val="00F8635F"/>
    <w:rsid w:val="00F87F07"/>
    <w:rsid w:val="00F87FBB"/>
    <w:rsid w:val="00F905CD"/>
    <w:rsid w:val="00F909ED"/>
    <w:rsid w:val="00F90FFF"/>
    <w:rsid w:val="00F91853"/>
    <w:rsid w:val="00F91A02"/>
    <w:rsid w:val="00F91B61"/>
    <w:rsid w:val="00F92203"/>
    <w:rsid w:val="00F92663"/>
    <w:rsid w:val="00F92D4E"/>
    <w:rsid w:val="00F92E59"/>
    <w:rsid w:val="00F92F52"/>
    <w:rsid w:val="00F933E2"/>
    <w:rsid w:val="00F94044"/>
    <w:rsid w:val="00F941A4"/>
    <w:rsid w:val="00F94A49"/>
    <w:rsid w:val="00F95973"/>
    <w:rsid w:val="00F95D68"/>
    <w:rsid w:val="00F967BC"/>
    <w:rsid w:val="00F96AB8"/>
    <w:rsid w:val="00F97B5D"/>
    <w:rsid w:val="00FA0C13"/>
    <w:rsid w:val="00FA37EF"/>
    <w:rsid w:val="00FA3D7A"/>
    <w:rsid w:val="00FA595E"/>
    <w:rsid w:val="00FA7156"/>
    <w:rsid w:val="00FA719E"/>
    <w:rsid w:val="00FA7225"/>
    <w:rsid w:val="00FA7D75"/>
    <w:rsid w:val="00FB1129"/>
    <w:rsid w:val="00FB1827"/>
    <w:rsid w:val="00FB278C"/>
    <w:rsid w:val="00FB2AD4"/>
    <w:rsid w:val="00FB2ADA"/>
    <w:rsid w:val="00FB2AFA"/>
    <w:rsid w:val="00FB34C3"/>
    <w:rsid w:val="00FB3632"/>
    <w:rsid w:val="00FB3AB1"/>
    <w:rsid w:val="00FB40F1"/>
    <w:rsid w:val="00FB4100"/>
    <w:rsid w:val="00FB4217"/>
    <w:rsid w:val="00FB435A"/>
    <w:rsid w:val="00FB4BEF"/>
    <w:rsid w:val="00FB4F2C"/>
    <w:rsid w:val="00FB56A3"/>
    <w:rsid w:val="00FB60D2"/>
    <w:rsid w:val="00FB6350"/>
    <w:rsid w:val="00FB686D"/>
    <w:rsid w:val="00FB68B5"/>
    <w:rsid w:val="00FB68DF"/>
    <w:rsid w:val="00FB70FB"/>
    <w:rsid w:val="00FB76DF"/>
    <w:rsid w:val="00FB7E78"/>
    <w:rsid w:val="00FB7F5E"/>
    <w:rsid w:val="00FC05AC"/>
    <w:rsid w:val="00FC11A3"/>
    <w:rsid w:val="00FC171B"/>
    <w:rsid w:val="00FC1BDC"/>
    <w:rsid w:val="00FC1FEC"/>
    <w:rsid w:val="00FC2D88"/>
    <w:rsid w:val="00FC3467"/>
    <w:rsid w:val="00FC3557"/>
    <w:rsid w:val="00FC3878"/>
    <w:rsid w:val="00FC3E17"/>
    <w:rsid w:val="00FC4C0D"/>
    <w:rsid w:val="00FC546D"/>
    <w:rsid w:val="00FC5796"/>
    <w:rsid w:val="00FC5B72"/>
    <w:rsid w:val="00FC5D4C"/>
    <w:rsid w:val="00FC619F"/>
    <w:rsid w:val="00FC69BC"/>
    <w:rsid w:val="00FC6ABA"/>
    <w:rsid w:val="00FC6B25"/>
    <w:rsid w:val="00FC70B6"/>
    <w:rsid w:val="00FD1A59"/>
    <w:rsid w:val="00FD1AAF"/>
    <w:rsid w:val="00FD1B11"/>
    <w:rsid w:val="00FD2BD8"/>
    <w:rsid w:val="00FD334A"/>
    <w:rsid w:val="00FD367E"/>
    <w:rsid w:val="00FD3B78"/>
    <w:rsid w:val="00FD4453"/>
    <w:rsid w:val="00FD449D"/>
    <w:rsid w:val="00FD468F"/>
    <w:rsid w:val="00FD46C8"/>
    <w:rsid w:val="00FD4756"/>
    <w:rsid w:val="00FD48DE"/>
    <w:rsid w:val="00FD49F9"/>
    <w:rsid w:val="00FD5C78"/>
    <w:rsid w:val="00FD6F49"/>
    <w:rsid w:val="00FD70CD"/>
    <w:rsid w:val="00FD73E1"/>
    <w:rsid w:val="00FD76DF"/>
    <w:rsid w:val="00FD7724"/>
    <w:rsid w:val="00FD77D0"/>
    <w:rsid w:val="00FD7E33"/>
    <w:rsid w:val="00FD7F82"/>
    <w:rsid w:val="00FE06A7"/>
    <w:rsid w:val="00FE0B48"/>
    <w:rsid w:val="00FE10C8"/>
    <w:rsid w:val="00FE1AEC"/>
    <w:rsid w:val="00FE1CDE"/>
    <w:rsid w:val="00FE224A"/>
    <w:rsid w:val="00FE2318"/>
    <w:rsid w:val="00FE289E"/>
    <w:rsid w:val="00FE33B4"/>
    <w:rsid w:val="00FE3CB5"/>
    <w:rsid w:val="00FE4184"/>
    <w:rsid w:val="00FE433D"/>
    <w:rsid w:val="00FE4FEE"/>
    <w:rsid w:val="00FE5ABF"/>
    <w:rsid w:val="00FE63B0"/>
    <w:rsid w:val="00FE6AB6"/>
    <w:rsid w:val="00FE6FEE"/>
    <w:rsid w:val="00FE72C6"/>
    <w:rsid w:val="00FE7336"/>
    <w:rsid w:val="00FF0D69"/>
    <w:rsid w:val="00FF12FA"/>
    <w:rsid w:val="00FF1C59"/>
    <w:rsid w:val="00FF27A2"/>
    <w:rsid w:val="00FF2A9F"/>
    <w:rsid w:val="00FF2DCF"/>
    <w:rsid w:val="00FF2F4C"/>
    <w:rsid w:val="00FF3220"/>
    <w:rsid w:val="00FF3634"/>
    <w:rsid w:val="00FF3A4A"/>
    <w:rsid w:val="00FF4286"/>
    <w:rsid w:val="00FF4FA4"/>
    <w:rsid w:val="00FF53D0"/>
    <w:rsid w:val="00FF5544"/>
    <w:rsid w:val="00FF5B80"/>
    <w:rsid w:val="00FF5C0F"/>
    <w:rsid w:val="00FF5E72"/>
    <w:rsid w:val="00FF6040"/>
    <w:rsid w:val="00FF6721"/>
    <w:rsid w:val="00FF6CF6"/>
    <w:rsid w:val="00FF6D00"/>
    <w:rsid w:val="00FF722F"/>
    <w:rsid w:val="01087485"/>
    <w:rsid w:val="01296033"/>
    <w:rsid w:val="01312AF3"/>
    <w:rsid w:val="0135518E"/>
    <w:rsid w:val="014D36D3"/>
    <w:rsid w:val="016F7120"/>
    <w:rsid w:val="01767BF9"/>
    <w:rsid w:val="01BF0AE9"/>
    <w:rsid w:val="01E85E89"/>
    <w:rsid w:val="01EC6285"/>
    <w:rsid w:val="02585D04"/>
    <w:rsid w:val="026452A7"/>
    <w:rsid w:val="02776E8A"/>
    <w:rsid w:val="02C359B1"/>
    <w:rsid w:val="02D71C76"/>
    <w:rsid w:val="0301120E"/>
    <w:rsid w:val="03073D2C"/>
    <w:rsid w:val="03435D32"/>
    <w:rsid w:val="035F31CF"/>
    <w:rsid w:val="03657A72"/>
    <w:rsid w:val="038122B2"/>
    <w:rsid w:val="038B3771"/>
    <w:rsid w:val="039D6453"/>
    <w:rsid w:val="03A567D5"/>
    <w:rsid w:val="040E360C"/>
    <w:rsid w:val="041B280B"/>
    <w:rsid w:val="04435BF4"/>
    <w:rsid w:val="045B70AB"/>
    <w:rsid w:val="04844854"/>
    <w:rsid w:val="048859C2"/>
    <w:rsid w:val="04945EA0"/>
    <w:rsid w:val="04BA0275"/>
    <w:rsid w:val="04D72BD5"/>
    <w:rsid w:val="04DF4BBE"/>
    <w:rsid w:val="04E2157A"/>
    <w:rsid w:val="04FA6670"/>
    <w:rsid w:val="05365AE1"/>
    <w:rsid w:val="053A33FE"/>
    <w:rsid w:val="05595CE0"/>
    <w:rsid w:val="058A7C48"/>
    <w:rsid w:val="05963E68"/>
    <w:rsid w:val="0597787F"/>
    <w:rsid w:val="05B53CD8"/>
    <w:rsid w:val="05F0597E"/>
    <w:rsid w:val="062B26E6"/>
    <w:rsid w:val="06C51B24"/>
    <w:rsid w:val="06DD226E"/>
    <w:rsid w:val="07004FB3"/>
    <w:rsid w:val="07286D06"/>
    <w:rsid w:val="07467B4A"/>
    <w:rsid w:val="074F27BB"/>
    <w:rsid w:val="0757352E"/>
    <w:rsid w:val="075D7F0D"/>
    <w:rsid w:val="075E313A"/>
    <w:rsid w:val="075F3636"/>
    <w:rsid w:val="0779613A"/>
    <w:rsid w:val="07833DAE"/>
    <w:rsid w:val="07877140"/>
    <w:rsid w:val="07AA3238"/>
    <w:rsid w:val="07AE7583"/>
    <w:rsid w:val="07E94EC9"/>
    <w:rsid w:val="085B58CB"/>
    <w:rsid w:val="0864199A"/>
    <w:rsid w:val="086E2256"/>
    <w:rsid w:val="08752EA7"/>
    <w:rsid w:val="0882554E"/>
    <w:rsid w:val="089247D2"/>
    <w:rsid w:val="08B4130F"/>
    <w:rsid w:val="08C711B3"/>
    <w:rsid w:val="08E90355"/>
    <w:rsid w:val="08F706EF"/>
    <w:rsid w:val="090B3D15"/>
    <w:rsid w:val="091B47E4"/>
    <w:rsid w:val="09783A3C"/>
    <w:rsid w:val="09AA50B9"/>
    <w:rsid w:val="09C0632E"/>
    <w:rsid w:val="09CF6206"/>
    <w:rsid w:val="09EB4EBD"/>
    <w:rsid w:val="0A4C2EDC"/>
    <w:rsid w:val="0A4E3AAC"/>
    <w:rsid w:val="0A5A50C4"/>
    <w:rsid w:val="0A784300"/>
    <w:rsid w:val="0AA33B33"/>
    <w:rsid w:val="0AA36535"/>
    <w:rsid w:val="0AA86F00"/>
    <w:rsid w:val="0AAF2140"/>
    <w:rsid w:val="0AC401F1"/>
    <w:rsid w:val="0AE45272"/>
    <w:rsid w:val="0AEF51D6"/>
    <w:rsid w:val="0B15162E"/>
    <w:rsid w:val="0B402D17"/>
    <w:rsid w:val="0BD13484"/>
    <w:rsid w:val="0BD47BDB"/>
    <w:rsid w:val="0BE4725F"/>
    <w:rsid w:val="0BF028A5"/>
    <w:rsid w:val="0C2F4091"/>
    <w:rsid w:val="0C3252AB"/>
    <w:rsid w:val="0C3338D5"/>
    <w:rsid w:val="0C393996"/>
    <w:rsid w:val="0C4A6383"/>
    <w:rsid w:val="0C80462F"/>
    <w:rsid w:val="0CA912FB"/>
    <w:rsid w:val="0CF628C9"/>
    <w:rsid w:val="0D133832"/>
    <w:rsid w:val="0D1930A5"/>
    <w:rsid w:val="0D25454A"/>
    <w:rsid w:val="0D986E81"/>
    <w:rsid w:val="0D9A5F35"/>
    <w:rsid w:val="0D9B3A54"/>
    <w:rsid w:val="0DE14AC5"/>
    <w:rsid w:val="0DFE5BD8"/>
    <w:rsid w:val="0E11358A"/>
    <w:rsid w:val="0E400A29"/>
    <w:rsid w:val="0E6F0323"/>
    <w:rsid w:val="0E851E12"/>
    <w:rsid w:val="0E930049"/>
    <w:rsid w:val="0EAC3751"/>
    <w:rsid w:val="0EBF68A8"/>
    <w:rsid w:val="0EE960C1"/>
    <w:rsid w:val="0EEC1C7D"/>
    <w:rsid w:val="0EFB13ED"/>
    <w:rsid w:val="0F0722B2"/>
    <w:rsid w:val="0F1066B1"/>
    <w:rsid w:val="0F340CB3"/>
    <w:rsid w:val="0F6972E3"/>
    <w:rsid w:val="0F6C6EDB"/>
    <w:rsid w:val="0F8B7F41"/>
    <w:rsid w:val="0FEA2672"/>
    <w:rsid w:val="10462845"/>
    <w:rsid w:val="108F08A3"/>
    <w:rsid w:val="109D7254"/>
    <w:rsid w:val="11021117"/>
    <w:rsid w:val="111807FE"/>
    <w:rsid w:val="114354CF"/>
    <w:rsid w:val="11744854"/>
    <w:rsid w:val="11C807DD"/>
    <w:rsid w:val="11E66C7C"/>
    <w:rsid w:val="11F66AFD"/>
    <w:rsid w:val="120212BA"/>
    <w:rsid w:val="120314AE"/>
    <w:rsid w:val="121228E4"/>
    <w:rsid w:val="127D2FF5"/>
    <w:rsid w:val="12823EF2"/>
    <w:rsid w:val="128669A2"/>
    <w:rsid w:val="12E76FDA"/>
    <w:rsid w:val="130F15FC"/>
    <w:rsid w:val="13133586"/>
    <w:rsid w:val="13144FF5"/>
    <w:rsid w:val="13D614D3"/>
    <w:rsid w:val="13E5609C"/>
    <w:rsid w:val="13EC7D20"/>
    <w:rsid w:val="13EE3A98"/>
    <w:rsid w:val="14015AF6"/>
    <w:rsid w:val="14290F74"/>
    <w:rsid w:val="14461466"/>
    <w:rsid w:val="144906E2"/>
    <w:rsid w:val="149C3E91"/>
    <w:rsid w:val="14FA6659"/>
    <w:rsid w:val="152D4730"/>
    <w:rsid w:val="153B0F5F"/>
    <w:rsid w:val="157E2B48"/>
    <w:rsid w:val="158F47FB"/>
    <w:rsid w:val="159B2A89"/>
    <w:rsid w:val="15B17473"/>
    <w:rsid w:val="15BB38F0"/>
    <w:rsid w:val="15BD0CF9"/>
    <w:rsid w:val="15C9656A"/>
    <w:rsid w:val="15D46A1A"/>
    <w:rsid w:val="15E0562B"/>
    <w:rsid w:val="163C1ADE"/>
    <w:rsid w:val="16406583"/>
    <w:rsid w:val="16534086"/>
    <w:rsid w:val="1659653C"/>
    <w:rsid w:val="16616FCD"/>
    <w:rsid w:val="16A869C3"/>
    <w:rsid w:val="16B7364B"/>
    <w:rsid w:val="16D443F2"/>
    <w:rsid w:val="16E0693D"/>
    <w:rsid w:val="16F15F64"/>
    <w:rsid w:val="17322C2D"/>
    <w:rsid w:val="173E6789"/>
    <w:rsid w:val="173F5D8E"/>
    <w:rsid w:val="174D7DA7"/>
    <w:rsid w:val="17996480"/>
    <w:rsid w:val="17AD5A18"/>
    <w:rsid w:val="17C321E9"/>
    <w:rsid w:val="17CA7261"/>
    <w:rsid w:val="17E15753"/>
    <w:rsid w:val="180343BE"/>
    <w:rsid w:val="18216CDF"/>
    <w:rsid w:val="183052CC"/>
    <w:rsid w:val="18463EA2"/>
    <w:rsid w:val="18A24E51"/>
    <w:rsid w:val="18BF75B4"/>
    <w:rsid w:val="192D5062"/>
    <w:rsid w:val="19435693"/>
    <w:rsid w:val="1967654F"/>
    <w:rsid w:val="197C38F4"/>
    <w:rsid w:val="199C674B"/>
    <w:rsid w:val="19A7600C"/>
    <w:rsid w:val="19B1359D"/>
    <w:rsid w:val="19D90D46"/>
    <w:rsid w:val="19FB0B4E"/>
    <w:rsid w:val="1A197394"/>
    <w:rsid w:val="1A49397C"/>
    <w:rsid w:val="1A5A4CF5"/>
    <w:rsid w:val="1A9A4D11"/>
    <w:rsid w:val="1AB04085"/>
    <w:rsid w:val="1AC77DF2"/>
    <w:rsid w:val="1AD50009"/>
    <w:rsid w:val="1ADD2A68"/>
    <w:rsid w:val="1AF55664"/>
    <w:rsid w:val="1AFE69FF"/>
    <w:rsid w:val="1B0066F7"/>
    <w:rsid w:val="1B10334B"/>
    <w:rsid w:val="1B216501"/>
    <w:rsid w:val="1B3C158C"/>
    <w:rsid w:val="1B8B018D"/>
    <w:rsid w:val="1BA965F7"/>
    <w:rsid w:val="1BB82069"/>
    <w:rsid w:val="1BE7774A"/>
    <w:rsid w:val="1C1F27D9"/>
    <w:rsid w:val="1C6C5EA1"/>
    <w:rsid w:val="1C880BA6"/>
    <w:rsid w:val="1C9B0535"/>
    <w:rsid w:val="1CA2272D"/>
    <w:rsid w:val="1CA662F3"/>
    <w:rsid w:val="1CA70C88"/>
    <w:rsid w:val="1CAD289B"/>
    <w:rsid w:val="1CB95A67"/>
    <w:rsid w:val="1CC93DBD"/>
    <w:rsid w:val="1D173982"/>
    <w:rsid w:val="1D8D4321"/>
    <w:rsid w:val="1E3044F1"/>
    <w:rsid w:val="1E32209D"/>
    <w:rsid w:val="1E69138C"/>
    <w:rsid w:val="1E707ECB"/>
    <w:rsid w:val="1E7E2A50"/>
    <w:rsid w:val="1EA15CF1"/>
    <w:rsid w:val="1ECA1D45"/>
    <w:rsid w:val="1EEE7042"/>
    <w:rsid w:val="1EF129DA"/>
    <w:rsid w:val="1EFA2475"/>
    <w:rsid w:val="1F0B72B2"/>
    <w:rsid w:val="1F2D7B6A"/>
    <w:rsid w:val="1F533349"/>
    <w:rsid w:val="1F5660C8"/>
    <w:rsid w:val="1F8F4381"/>
    <w:rsid w:val="1F952153"/>
    <w:rsid w:val="1F9569E0"/>
    <w:rsid w:val="1FAE057F"/>
    <w:rsid w:val="1FB23D4D"/>
    <w:rsid w:val="203763B8"/>
    <w:rsid w:val="203E05B2"/>
    <w:rsid w:val="2054156D"/>
    <w:rsid w:val="20776A4F"/>
    <w:rsid w:val="20862837"/>
    <w:rsid w:val="20872988"/>
    <w:rsid w:val="209A0F66"/>
    <w:rsid w:val="20D44015"/>
    <w:rsid w:val="2170194D"/>
    <w:rsid w:val="219316E7"/>
    <w:rsid w:val="2198413F"/>
    <w:rsid w:val="21AE0BA2"/>
    <w:rsid w:val="21AF3615"/>
    <w:rsid w:val="21E9375C"/>
    <w:rsid w:val="22063C14"/>
    <w:rsid w:val="220D0A26"/>
    <w:rsid w:val="221D4A20"/>
    <w:rsid w:val="222F4653"/>
    <w:rsid w:val="228737B6"/>
    <w:rsid w:val="22C04E0D"/>
    <w:rsid w:val="22C407E5"/>
    <w:rsid w:val="22E22A17"/>
    <w:rsid w:val="23264F75"/>
    <w:rsid w:val="232B478C"/>
    <w:rsid w:val="234C7799"/>
    <w:rsid w:val="23641680"/>
    <w:rsid w:val="23983EC5"/>
    <w:rsid w:val="23D4734D"/>
    <w:rsid w:val="241902B9"/>
    <w:rsid w:val="24387F32"/>
    <w:rsid w:val="246B5E60"/>
    <w:rsid w:val="24BB515F"/>
    <w:rsid w:val="2564005E"/>
    <w:rsid w:val="257D3806"/>
    <w:rsid w:val="25940956"/>
    <w:rsid w:val="25B01B24"/>
    <w:rsid w:val="260F3771"/>
    <w:rsid w:val="26103D41"/>
    <w:rsid w:val="26127ABA"/>
    <w:rsid w:val="26376B83"/>
    <w:rsid w:val="26A54310"/>
    <w:rsid w:val="26B157D9"/>
    <w:rsid w:val="26D37269"/>
    <w:rsid w:val="26DC009A"/>
    <w:rsid w:val="26E8081A"/>
    <w:rsid w:val="26E864F3"/>
    <w:rsid w:val="26F85C3C"/>
    <w:rsid w:val="270243C0"/>
    <w:rsid w:val="271A696D"/>
    <w:rsid w:val="273677D8"/>
    <w:rsid w:val="275461D9"/>
    <w:rsid w:val="27576E7D"/>
    <w:rsid w:val="27744CAA"/>
    <w:rsid w:val="27AB225E"/>
    <w:rsid w:val="27B83664"/>
    <w:rsid w:val="281125F8"/>
    <w:rsid w:val="2857615A"/>
    <w:rsid w:val="28665DA8"/>
    <w:rsid w:val="28B0358A"/>
    <w:rsid w:val="28B13B21"/>
    <w:rsid w:val="28D21A73"/>
    <w:rsid w:val="292C1031"/>
    <w:rsid w:val="29426E0B"/>
    <w:rsid w:val="29514599"/>
    <w:rsid w:val="299707EE"/>
    <w:rsid w:val="2A087522"/>
    <w:rsid w:val="2A39265B"/>
    <w:rsid w:val="2A4122E4"/>
    <w:rsid w:val="2A741BC9"/>
    <w:rsid w:val="2A7B401F"/>
    <w:rsid w:val="2AEE6937"/>
    <w:rsid w:val="2AEE7949"/>
    <w:rsid w:val="2B5049E3"/>
    <w:rsid w:val="2B57254E"/>
    <w:rsid w:val="2B6749E7"/>
    <w:rsid w:val="2B794137"/>
    <w:rsid w:val="2B9227EC"/>
    <w:rsid w:val="2B997E8A"/>
    <w:rsid w:val="2B9D6077"/>
    <w:rsid w:val="2C0A4D8F"/>
    <w:rsid w:val="2C0E4635"/>
    <w:rsid w:val="2C3A38C6"/>
    <w:rsid w:val="2C675FA1"/>
    <w:rsid w:val="2C6D0E5D"/>
    <w:rsid w:val="2C9166C3"/>
    <w:rsid w:val="2CC11B4D"/>
    <w:rsid w:val="2CDF446E"/>
    <w:rsid w:val="2CDF621C"/>
    <w:rsid w:val="2CFD4606"/>
    <w:rsid w:val="2D2533E2"/>
    <w:rsid w:val="2D323220"/>
    <w:rsid w:val="2D8D73FB"/>
    <w:rsid w:val="2D9E5A15"/>
    <w:rsid w:val="2DB928EE"/>
    <w:rsid w:val="2DF9281B"/>
    <w:rsid w:val="2E1B00CA"/>
    <w:rsid w:val="2E627104"/>
    <w:rsid w:val="2E8C6D51"/>
    <w:rsid w:val="2E99359B"/>
    <w:rsid w:val="2EA46AA3"/>
    <w:rsid w:val="2ECE592B"/>
    <w:rsid w:val="2ED6247B"/>
    <w:rsid w:val="2F104F84"/>
    <w:rsid w:val="2F1A1196"/>
    <w:rsid w:val="2F2A48A2"/>
    <w:rsid w:val="2F855881"/>
    <w:rsid w:val="2F8E6DDE"/>
    <w:rsid w:val="2FAA2B98"/>
    <w:rsid w:val="2FBB4AA0"/>
    <w:rsid w:val="2FE834FD"/>
    <w:rsid w:val="300E5E25"/>
    <w:rsid w:val="301C04AD"/>
    <w:rsid w:val="3034721D"/>
    <w:rsid w:val="3067448C"/>
    <w:rsid w:val="309208D1"/>
    <w:rsid w:val="30C41D67"/>
    <w:rsid w:val="30D45ECA"/>
    <w:rsid w:val="30E32F5A"/>
    <w:rsid w:val="310467FF"/>
    <w:rsid w:val="31576CC8"/>
    <w:rsid w:val="31834D67"/>
    <w:rsid w:val="31A13CD0"/>
    <w:rsid w:val="31B934DF"/>
    <w:rsid w:val="31C37EBA"/>
    <w:rsid w:val="32093675"/>
    <w:rsid w:val="320F4EAD"/>
    <w:rsid w:val="321F522E"/>
    <w:rsid w:val="322109D9"/>
    <w:rsid w:val="324850D3"/>
    <w:rsid w:val="324C6D03"/>
    <w:rsid w:val="32AE31AE"/>
    <w:rsid w:val="32BF4B25"/>
    <w:rsid w:val="32CA3C16"/>
    <w:rsid w:val="334738B9"/>
    <w:rsid w:val="33486867"/>
    <w:rsid w:val="334D6E2E"/>
    <w:rsid w:val="33651A2E"/>
    <w:rsid w:val="338F67BE"/>
    <w:rsid w:val="33BE30A1"/>
    <w:rsid w:val="33CD60D9"/>
    <w:rsid w:val="33F54C68"/>
    <w:rsid w:val="346753EA"/>
    <w:rsid w:val="3471309D"/>
    <w:rsid w:val="353D4CE4"/>
    <w:rsid w:val="354E18CB"/>
    <w:rsid w:val="355419D4"/>
    <w:rsid w:val="355D626C"/>
    <w:rsid w:val="35D96BAF"/>
    <w:rsid w:val="35EC768A"/>
    <w:rsid w:val="360577FB"/>
    <w:rsid w:val="362F1036"/>
    <w:rsid w:val="363953EE"/>
    <w:rsid w:val="364146A2"/>
    <w:rsid w:val="367749D0"/>
    <w:rsid w:val="368D6CE8"/>
    <w:rsid w:val="36C75AB6"/>
    <w:rsid w:val="36D9700E"/>
    <w:rsid w:val="36E14CCF"/>
    <w:rsid w:val="36F303B8"/>
    <w:rsid w:val="373F405D"/>
    <w:rsid w:val="375148F4"/>
    <w:rsid w:val="37520674"/>
    <w:rsid w:val="37755CB2"/>
    <w:rsid w:val="378E77FB"/>
    <w:rsid w:val="37AB74C2"/>
    <w:rsid w:val="37B85F3F"/>
    <w:rsid w:val="37BE4583"/>
    <w:rsid w:val="37C7746F"/>
    <w:rsid w:val="37C80DFE"/>
    <w:rsid w:val="37CA21FC"/>
    <w:rsid w:val="37DD15AA"/>
    <w:rsid w:val="382D5664"/>
    <w:rsid w:val="38434FDC"/>
    <w:rsid w:val="38576AE0"/>
    <w:rsid w:val="385826FD"/>
    <w:rsid w:val="38D806EF"/>
    <w:rsid w:val="38F56849"/>
    <w:rsid w:val="39194863"/>
    <w:rsid w:val="396C25EB"/>
    <w:rsid w:val="398E7518"/>
    <w:rsid w:val="39BE7648"/>
    <w:rsid w:val="39C051F3"/>
    <w:rsid w:val="39E62997"/>
    <w:rsid w:val="3A832F28"/>
    <w:rsid w:val="3A900B55"/>
    <w:rsid w:val="3AA04626"/>
    <w:rsid w:val="3AEA18B6"/>
    <w:rsid w:val="3AF235BE"/>
    <w:rsid w:val="3B0C1D2F"/>
    <w:rsid w:val="3B3E772C"/>
    <w:rsid w:val="3B402050"/>
    <w:rsid w:val="3B5F79F3"/>
    <w:rsid w:val="3B8E79A3"/>
    <w:rsid w:val="3BB8460C"/>
    <w:rsid w:val="3BF048DE"/>
    <w:rsid w:val="3BF250BB"/>
    <w:rsid w:val="3C2915F0"/>
    <w:rsid w:val="3C4C6786"/>
    <w:rsid w:val="3C655DA2"/>
    <w:rsid w:val="3C922C40"/>
    <w:rsid w:val="3CA65793"/>
    <w:rsid w:val="3CB13E93"/>
    <w:rsid w:val="3CDB3330"/>
    <w:rsid w:val="3CF82B17"/>
    <w:rsid w:val="3CF94870"/>
    <w:rsid w:val="3D09097A"/>
    <w:rsid w:val="3D16362E"/>
    <w:rsid w:val="3D16560F"/>
    <w:rsid w:val="3D4855BE"/>
    <w:rsid w:val="3D49542E"/>
    <w:rsid w:val="3D6C5B91"/>
    <w:rsid w:val="3D8318DD"/>
    <w:rsid w:val="3DB946E3"/>
    <w:rsid w:val="3E1877DF"/>
    <w:rsid w:val="3E2D0AB6"/>
    <w:rsid w:val="3E334630"/>
    <w:rsid w:val="3E382F82"/>
    <w:rsid w:val="3E6F2FA3"/>
    <w:rsid w:val="3EAD7FDA"/>
    <w:rsid w:val="3EC6602F"/>
    <w:rsid w:val="3EDE27D7"/>
    <w:rsid w:val="3EEB7877"/>
    <w:rsid w:val="3F185547"/>
    <w:rsid w:val="3F242C9A"/>
    <w:rsid w:val="3F3B5533"/>
    <w:rsid w:val="3F414EA9"/>
    <w:rsid w:val="3F556729"/>
    <w:rsid w:val="3F91679D"/>
    <w:rsid w:val="3FB36987"/>
    <w:rsid w:val="3FD20CD6"/>
    <w:rsid w:val="3FE77C54"/>
    <w:rsid w:val="3FF42DD7"/>
    <w:rsid w:val="40067577"/>
    <w:rsid w:val="407D3FAD"/>
    <w:rsid w:val="40B2583E"/>
    <w:rsid w:val="40B557B9"/>
    <w:rsid w:val="40C94F9E"/>
    <w:rsid w:val="40DD2836"/>
    <w:rsid w:val="40F6093D"/>
    <w:rsid w:val="41702A37"/>
    <w:rsid w:val="418F2B70"/>
    <w:rsid w:val="41AB3F9B"/>
    <w:rsid w:val="41AF0299"/>
    <w:rsid w:val="41B54A59"/>
    <w:rsid w:val="42163B4B"/>
    <w:rsid w:val="42185BBC"/>
    <w:rsid w:val="424032B6"/>
    <w:rsid w:val="42436362"/>
    <w:rsid w:val="42593362"/>
    <w:rsid w:val="427969AF"/>
    <w:rsid w:val="42CE66BF"/>
    <w:rsid w:val="42D464ED"/>
    <w:rsid w:val="43153D7C"/>
    <w:rsid w:val="43290DA5"/>
    <w:rsid w:val="43923106"/>
    <w:rsid w:val="439F4AA1"/>
    <w:rsid w:val="43AA4374"/>
    <w:rsid w:val="43B342D5"/>
    <w:rsid w:val="43B974E7"/>
    <w:rsid w:val="441963AE"/>
    <w:rsid w:val="442948A2"/>
    <w:rsid w:val="44315B5B"/>
    <w:rsid w:val="44A45A81"/>
    <w:rsid w:val="44C85ABB"/>
    <w:rsid w:val="44DF7968"/>
    <w:rsid w:val="45612233"/>
    <w:rsid w:val="456F4189"/>
    <w:rsid w:val="458E446B"/>
    <w:rsid w:val="459825F9"/>
    <w:rsid w:val="45AF27D7"/>
    <w:rsid w:val="45E414A3"/>
    <w:rsid w:val="45EB137F"/>
    <w:rsid w:val="46117CDF"/>
    <w:rsid w:val="46327776"/>
    <w:rsid w:val="46422C0C"/>
    <w:rsid w:val="46441C4B"/>
    <w:rsid w:val="46465923"/>
    <w:rsid w:val="4662784A"/>
    <w:rsid w:val="466F38C9"/>
    <w:rsid w:val="468554EC"/>
    <w:rsid w:val="468B735A"/>
    <w:rsid w:val="46A307E8"/>
    <w:rsid w:val="46A70ADB"/>
    <w:rsid w:val="46D677FC"/>
    <w:rsid w:val="470C4272"/>
    <w:rsid w:val="47283A1D"/>
    <w:rsid w:val="47415718"/>
    <w:rsid w:val="475362AA"/>
    <w:rsid w:val="47732E08"/>
    <w:rsid w:val="47ED75E7"/>
    <w:rsid w:val="47F61D99"/>
    <w:rsid w:val="48256267"/>
    <w:rsid w:val="482676D3"/>
    <w:rsid w:val="48311BC9"/>
    <w:rsid w:val="484E0CA7"/>
    <w:rsid w:val="48AF4E1E"/>
    <w:rsid w:val="48B84099"/>
    <w:rsid w:val="49C650D0"/>
    <w:rsid w:val="49DE7B2F"/>
    <w:rsid w:val="4A012B73"/>
    <w:rsid w:val="4A0A13F3"/>
    <w:rsid w:val="4A0E1E4D"/>
    <w:rsid w:val="4A2006D1"/>
    <w:rsid w:val="4A526D84"/>
    <w:rsid w:val="4A614DAF"/>
    <w:rsid w:val="4A6379FE"/>
    <w:rsid w:val="4A8E6670"/>
    <w:rsid w:val="4ACC6B41"/>
    <w:rsid w:val="4B1527CD"/>
    <w:rsid w:val="4B945279"/>
    <w:rsid w:val="4C20261C"/>
    <w:rsid w:val="4C79296F"/>
    <w:rsid w:val="4C856040"/>
    <w:rsid w:val="4CD91AE8"/>
    <w:rsid w:val="4CEF370E"/>
    <w:rsid w:val="4CFF787E"/>
    <w:rsid w:val="4D2B0B90"/>
    <w:rsid w:val="4D2B6656"/>
    <w:rsid w:val="4D2E492A"/>
    <w:rsid w:val="4D396DA9"/>
    <w:rsid w:val="4D5325E2"/>
    <w:rsid w:val="4DA44664"/>
    <w:rsid w:val="4DB97F68"/>
    <w:rsid w:val="4E1137BD"/>
    <w:rsid w:val="4E2723EE"/>
    <w:rsid w:val="4E4E4A57"/>
    <w:rsid w:val="4E994CD7"/>
    <w:rsid w:val="4EA07161"/>
    <w:rsid w:val="4F2E7EA8"/>
    <w:rsid w:val="4F4D77C0"/>
    <w:rsid w:val="4F932E42"/>
    <w:rsid w:val="4F9D7648"/>
    <w:rsid w:val="4FC06AC2"/>
    <w:rsid w:val="4FE17A31"/>
    <w:rsid w:val="4FE31A4C"/>
    <w:rsid w:val="4FE4081E"/>
    <w:rsid w:val="4FE46FC9"/>
    <w:rsid w:val="4FE85264"/>
    <w:rsid w:val="501C4992"/>
    <w:rsid w:val="50715F8C"/>
    <w:rsid w:val="50863716"/>
    <w:rsid w:val="509E31DF"/>
    <w:rsid w:val="50C80BF1"/>
    <w:rsid w:val="50E27F05"/>
    <w:rsid w:val="51464F91"/>
    <w:rsid w:val="51493CE1"/>
    <w:rsid w:val="51680A77"/>
    <w:rsid w:val="51912DBA"/>
    <w:rsid w:val="519531C9"/>
    <w:rsid w:val="519A0A8B"/>
    <w:rsid w:val="519F5706"/>
    <w:rsid w:val="519F6953"/>
    <w:rsid w:val="51A9395E"/>
    <w:rsid w:val="52484980"/>
    <w:rsid w:val="52515085"/>
    <w:rsid w:val="526861E8"/>
    <w:rsid w:val="52A17DE0"/>
    <w:rsid w:val="52BC7EE0"/>
    <w:rsid w:val="52C63F4D"/>
    <w:rsid w:val="533D114F"/>
    <w:rsid w:val="53EC1537"/>
    <w:rsid w:val="53F8037A"/>
    <w:rsid w:val="53FC0A0F"/>
    <w:rsid w:val="54161C40"/>
    <w:rsid w:val="54184D0B"/>
    <w:rsid w:val="5438608E"/>
    <w:rsid w:val="543C16DA"/>
    <w:rsid w:val="545F7344"/>
    <w:rsid w:val="546724CF"/>
    <w:rsid w:val="54692CE2"/>
    <w:rsid w:val="548D234C"/>
    <w:rsid w:val="54FB23D7"/>
    <w:rsid w:val="55212EB5"/>
    <w:rsid w:val="552F17E2"/>
    <w:rsid w:val="55521571"/>
    <w:rsid w:val="55527E26"/>
    <w:rsid w:val="557E675B"/>
    <w:rsid w:val="55BA08BF"/>
    <w:rsid w:val="55C40F9B"/>
    <w:rsid w:val="5604382A"/>
    <w:rsid w:val="56617B1E"/>
    <w:rsid w:val="56824F71"/>
    <w:rsid w:val="568B6949"/>
    <w:rsid w:val="56B0555C"/>
    <w:rsid w:val="56DA4CC5"/>
    <w:rsid w:val="571A1A7B"/>
    <w:rsid w:val="572224A2"/>
    <w:rsid w:val="572762E2"/>
    <w:rsid w:val="57296058"/>
    <w:rsid w:val="57371B1E"/>
    <w:rsid w:val="57595F84"/>
    <w:rsid w:val="5766532E"/>
    <w:rsid w:val="579825A4"/>
    <w:rsid w:val="579F6793"/>
    <w:rsid w:val="57B77B36"/>
    <w:rsid w:val="58070251"/>
    <w:rsid w:val="58353F27"/>
    <w:rsid w:val="583D527F"/>
    <w:rsid w:val="584A71E1"/>
    <w:rsid w:val="58600A9F"/>
    <w:rsid w:val="58F46ECC"/>
    <w:rsid w:val="591F15CA"/>
    <w:rsid w:val="592D018B"/>
    <w:rsid w:val="595A479B"/>
    <w:rsid w:val="5971499C"/>
    <w:rsid w:val="59796E64"/>
    <w:rsid w:val="5A327E45"/>
    <w:rsid w:val="5A33357F"/>
    <w:rsid w:val="5A551621"/>
    <w:rsid w:val="5AE22550"/>
    <w:rsid w:val="5AE660B8"/>
    <w:rsid w:val="5AF81C3F"/>
    <w:rsid w:val="5B015DC5"/>
    <w:rsid w:val="5B1D1A88"/>
    <w:rsid w:val="5B28634B"/>
    <w:rsid w:val="5B2D3149"/>
    <w:rsid w:val="5B9A16D6"/>
    <w:rsid w:val="5BF81B2D"/>
    <w:rsid w:val="5C04259C"/>
    <w:rsid w:val="5C1F4C60"/>
    <w:rsid w:val="5C877BB2"/>
    <w:rsid w:val="5CC4489F"/>
    <w:rsid w:val="5CD22880"/>
    <w:rsid w:val="5CD44430"/>
    <w:rsid w:val="5CD971D9"/>
    <w:rsid w:val="5CEE456C"/>
    <w:rsid w:val="5D2C6095"/>
    <w:rsid w:val="5D494646"/>
    <w:rsid w:val="5D526412"/>
    <w:rsid w:val="5D9156AC"/>
    <w:rsid w:val="5DFB2606"/>
    <w:rsid w:val="5E1C432A"/>
    <w:rsid w:val="5E3C1624"/>
    <w:rsid w:val="5E473A9D"/>
    <w:rsid w:val="5E556307"/>
    <w:rsid w:val="5E6461B2"/>
    <w:rsid w:val="5E6F1790"/>
    <w:rsid w:val="5E734882"/>
    <w:rsid w:val="5EA572BF"/>
    <w:rsid w:val="5EC24ED2"/>
    <w:rsid w:val="5ED0158C"/>
    <w:rsid w:val="5EDF7832"/>
    <w:rsid w:val="5EE22593"/>
    <w:rsid w:val="5EFB7086"/>
    <w:rsid w:val="5F147679"/>
    <w:rsid w:val="5F4225ED"/>
    <w:rsid w:val="5F657DDD"/>
    <w:rsid w:val="5F662EE8"/>
    <w:rsid w:val="5F7005FB"/>
    <w:rsid w:val="5F90762F"/>
    <w:rsid w:val="5FD623FA"/>
    <w:rsid w:val="60017C7C"/>
    <w:rsid w:val="604D2EC1"/>
    <w:rsid w:val="606C5A50"/>
    <w:rsid w:val="606F4BE5"/>
    <w:rsid w:val="60CB1314"/>
    <w:rsid w:val="60D44C97"/>
    <w:rsid w:val="60DE0679"/>
    <w:rsid w:val="60E47381"/>
    <w:rsid w:val="60EC4CE6"/>
    <w:rsid w:val="61083491"/>
    <w:rsid w:val="6108662C"/>
    <w:rsid w:val="611B6B1B"/>
    <w:rsid w:val="615C7CC1"/>
    <w:rsid w:val="61691F7C"/>
    <w:rsid w:val="618A594D"/>
    <w:rsid w:val="619F774C"/>
    <w:rsid w:val="61BA4321"/>
    <w:rsid w:val="62145F54"/>
    <w:rsid w:val="62725DA4"/>
    <w:rsid w:val="62737156"/>
    <w:rsid w:val="62B67640"/>
    <w:rsid w:val="62E84DD5"/>
    <w:rsid w:val="63136976"/>
    <w:rsid w:val="635B0140"/>
    <w:rsid w:val="636533F9"/>
    <w:rsid w:val="638135AD"/>
    <w:rsid w:val="6387289F"/>
    <w:rsid w:val="63D27965"/>
    <w:rsid w:val="645B4931"/>
    <w:rsid w:val="645E67D5"/>
    <w:rsid w:val="64601118"/>
    <w:rsid w:val="64BE613B"/>
    <w:rsid w:val="64D35098"/>
    <w:rsid w:val="64EA3E34"/>
    <w:rsid w:val="65540164"/>
    <w:rsid w:val="65677E68"/>
    <w:rsid w:val="65784F2C"/>
    <w:rsid w:val="659B19D3"/>
    <w:rsid w:val="65A5012E"/>
    <w:rsid w:val="65E52AEA"/>
    <w:rsid w:val="65E77D38"/>
    <w:rsid w:val="667F2DFA"/>
    <w:rsid w:val="66D9725C"/>
    <w:rsid w:val="66F729A2"/>
    <w:rsid w:val="66F75934"/>
    <w:rsid w:val="670B3F5A"/>
    <w:rsid w:val="67B010E5"/>
    <w:rsid w:val="67E934CF"/>
    <w:rsid w:val="67ED7463"/>
    <w:rsid w:val="67F0761E"/>
    <w:rsid w:val="68137735"/>
    <w:rsid w:val="681427DE"/>
    <w:rsid w:val="68703307"/>
    <w:rsid w:val="6876240D"/>
    <w:rsid w:val="68780C13"/>
    <w:rsid w:val="68A5225B"/>
    <w:rsid w:val="691E1040"/>
    <w:rsid w:val="69282CC5"/>
    <w:rsid w:val="69357F7A"/>
    <w:rsid w:val="696602A3"/>
    <w:rsid w:val="698C2070"/>
    <w:rsid w:val="699102C2"/>
    <w:rsid w:val="69AA03A4"/>
    <w:rsid w:val="69BE349F"/>
    <w:rsid w:val="69CF6A2B"/>
    <w:rsid w:val="69D145F0"/>
    <w:rsid w:val="6A161929"/>
    <w:rsid w:val="6A425119"/>
    <w:rsid w:val="6A46545B"/>
    <w:rsid w:val="6AA33E09"/>
    <w:rsid w:val="6ADA35A3"/>
    <w:rsid w:val="6AF95A5A"/>
    <w:rsid w:val="6AFF6C3F"/>
    <w:rsid w:val="6B166185"/>
    <w:rsid w:val="6B604102"/>
    <w:rsid w:val="6B621BE1"/>
    <w:rsid w:val="6B664723"/>
    <w:rsid w:val="6B673089"/>
    <w:rsid w:val="6B6E06F9"/>
    <w:rsid w:val="6B7D1988"/>
    <w:rsid w:val="6BB40298"/>
    <w:rsid w:val="6BB60498"/>
    <w:rsid w:val="6BEF6F1F"/>
    <w:rsid w:val="6C1A20A5"/>
    <w:rsid w:val="6C586C69"/>
    <w:rsid w:val="6C916411"/>
    <w:rsid w:val="6C9902B9"/>
    <w:rsid w:val="6D4C58AF"/>
    <w:rsid w:val="6DA30DFF"/>
    <w:rsid w:val="6DCC371C"/>
    <w:rsid w:val="6DCF48EC"/>
    <w:rsid w:val="6DE3797D"/>
    <w:rsid w:val="6DED7CA8"/>
    <w:rsid w:val="6E194413"/>
    <w:rsid w:val="6E1F6B32"/>
    <w:rsid w:val="6E4007B9"/>
    <w:rsid w:val="6E726E1B"/>
    <w:rsid w:val="6E887B11"/>
    <w:rsid w:val="6E937924"/>
    <w:rsid w:val="6ED2513F"/>
    <w:rsid w:val="6EDD6ABA"/>
    <w:rsid w:val="6F286902"/>
    <w:rsid w:val="6F2A06D2"/>
    <w:rsid w:val="6F432D05"/>
    <w:rsid w:val="6F4656AB"/>
    <w:rsid w:val="6F8410C0"/>
    <w:rsid w:val="6FD4773B"/>
    <w:rsid w:val="70131A31"/>
    <w:rsid w:val="705F71C5"/>
    <w:rsid w:val="7071718D"/>
    <w:rsid w:val="7072272B"/>
    <w:rsid w:val="70A63911"/>
    <w:rsid w:val="70BF270F"/>
    <w:rsid w:val="70FF666A"/>
    <w:rsid w:val="711C4915"/>
    <w:rsid w:val="71633154"/>
    <w:rsid w:val="71826D0E"/>
    <w:rsid w:val="71841207"/>
    <w:rsid w:val="71A94723"/>
    <w:rsid w:val="71AE78AE"/>
    <w:rsid w:val="71CC47A4"/>
    <w:rsid w:val="71EA1945"/>
    <w:rsid w:val="72280FCA"/>
    <w:rsid w:val="7264613C"/>
    <w:rsid w:val="7274122C"/>
    <w:rsid w:val="72B871B3"/>
    <w:rsid w:val="72CE2C88"/>
    <w:rsid w:val="72D44C64"/>
    <w:rsid w:val="73104006"/>
    <w:rsid w:val="73157ABF"/>
    <w:rsid w:val="735A5E8F"/>
    <w:rsid w:val="73875D83"/>
    <w:rsid w:val="73A814E3"/>
    <w:rsid w:val="73E77DE2"/>
    <w:rsid w:val="74114F34"/>
    <w:rsid w:val="743B19BF"/>
    <w:rsid w:val="74872948"/>
    <w:rsid w:val="7487696F"/>
    <w:rsid w:val="74D23C6B"/>
    <w:rsid w:val="74E26EA4"/>
    <w:rsid w:val="74E43E27"/>
    <w:rsid w:val="74EB3946"/>
    <w:rsid w:val="752B4092"/>
    <w:rsid w:val="753128F1"/>
    <w:rsid w:val="757321D0"/>
    <w:rsid w:val="758A2B6A"/>
    <w:rsid w:val="75BE41ED"/>
    <w:rsid w:val="75D13D3E"/>
    <w:rsid w:val="760C3DC5"/>
    <w:rsid w:val="760D2DE0"/>
    <w:rsid w:val="76522B87"/>
    <w:rsid w:val="766E5C13"/>
    <w:rsid w:val="76743BEB"/>
    <w:rsid w:val="768161B7"/>
    <w:rsid w:val="769762D9"/>
    <w:rsid w:val="76A34ED6"/>
    <w:rsid w:val="76A827A7"/>
    <w:rsid w:val="76BB072D"/>
    <w:rsid w:val="76CD309E"/>
    <w:rsid w:val="76D927D5"/>
    <w:rsid w:val="76DC1F2C"/>
    <w:rsid w:val="771C29AC"/>
    <w:rsid w:val="77246CC7"/>
    <w:rsid w:val="77770AF7"/>
    <w:rsid w:val="77927BA0"/>
    <w:rsid w:val="779A2A38"/>
    <w:rsid w:val="77B40621"/>
    <w:rsid w:val="77C27828"/>
    <w:rsid w:val="781B6D37"/>
    <w:rsid w:val="78941235"/>
    <w:rsid w:val="78CB5911"/>
    <w:rsid w:val="78D6184E"/>
    <w:rsid w:val="78EE0EA9"/>
    <w:rsid w:val="79182EA6"/>
    <w:rsid w:val="79314952"/>
    <w:rsid w:val="795D3852"/>
    <w:rsid w:val="79654200"/>
    <w:rsid w:val="796735E5"/>
    <w:rsid w:val="79733540"/>
    <w:rsid w:val="79875CE2"/>
    <w:rsid w:val="79F12AC3"/>
    <w:rsid w:val="7A531067"/>
    <w:rsid w:val="7A615E13"/>
    <w:rsid w:val="7A66320E"/>
    <w:rsid w:val="7A9715F7"/>
    <w:rsid w:val="7AC12B61"/>
    <w:rsid w:val="7ACD4934"/>
    <w:rsid w:val="7AD037C6"/>
    <w:rsid w:val="7AD152C5"/>
    <w:rsid w:val="7B035A81"/>
    <w:rsid w:val="7BA55EEB"/>
    <w:rsid w:val="7BBC2F7D"/>
    <w:rsid w:val="7BC1784F"/>
    <w:rsid w:val="7C056800"/>
    <w:rsid w:val="7C0D7003"/>
    <w:rsid w:val="7C2D79DB"/>
    <w:rsid w:val="7C2E6707"/>
    <w:rsid w:val="7C3505CD"/>
    <w:rsid w:val="7C765450"/>
    <w:rsid w:val="7C783C48"/>
    <w:rsid w:val="7C7E4211"/>
    <w:rsid w:val="7C966533"/>
    <w:rsid w:val="7CA3413D"/>
    <w:rsid w:val="7CB94B42"/>
    <w:rsid w:val="7CED7833"/>
    <w:rsid w:val="7D1E37C3"/>
    <w:rsid w:val="7D1F1EF7"/>
    <w:rsid w:val="7D466541"/>
    <w:rsid w:val="7D4B0223"/>
    <w:rsid w:val="7D565ED0"/>
    <w:rsid w:val="7D8E19EC"/>
    <w:rsid w:val="7D916930"/>
    <w:rsid w:val="7DA53113"/>
    <w:rsid w:val="7DA90112"/>
    <w:rsid w:val="7DC91135"/>
    <w:rsid w:val="7DCC321F"/>
    <w:rsid w:val="7DDB07C3"/>
    <w:rsid w:val="7E245DE4"/>
    <w:rsid w:val="7E3A5DDA"/>
    <w:rsid w:val="7E5D2115"/>
    <w:rsid w:val="7EA1645A"/>
    <w:rsid w:val="7EB404BB"/>
    <w:rsid w:val="7EDE145C"/>
    <w:rsid w:val="7EDF4219"/>
    <w:rsid w:val="7EDF669B"/>
    <w:rsid w:val="7F182BC0"/>
    <w:rsid w:val="7F506103"/>
    <w:rsid w:val="7F595CD5"/>
    <w:rsid w:val="7F6F2285"/>
    <w:rsid w:val="7F7C0457"/>
    <w:rsid w:val="7F8F30A1"/>
    <w:rsid w:val="7FA13919"/>
    <w:rsid w:val="7FB30988"/>
    <w:rsid w:val="7FBB354B"/>
    <w:rsid w:val="7FD109AF"/>
    <w:rsid w:val="7FD1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hAnsi="黑体" w:eastAsia="新宋体"/>
      <w:b/>
      <w:kern w:val="0"/>
      <w:sz w:val="32"/>
      <w:szCs w:val="20"/>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6"/>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7">
    <w:name w:val="heading 4"/>
    <w:basedOn w:val="1"/>
    <w:next w:val="1"/>
    <w:qFormat/>
    <w:uiPriority w:val="0"/>
    <w:pPr>
      <w:keepNext/>
      <w:keepLines/>
      <w:spacing w:before="280" w:after="290" w:line="376" w:lineRule="auto"/>
      <w:outlineLvl w:val="3"/>
    </w:pPr>
    <w:rPr>
      <w:rFonts w:ascii="Calibri Light" w:hAnsi="Calibri Light"/>
      <w:b/>
      <w:sz w:val="28"/>
      <w:szCs w:val="20"/>
    </w:rPr>
  </w:style>
  <w:style w:type="paragraph" w:styleId="8">
    <w:name w:val="heading 5"/>
    <w:basedOn w:val="9"/>
    <w:next w:val="9"/>
    <w:link w:val="87"/>
    <w:unhideWhenUsed/>
    <w:qFormat/>
    <w:uiPriority w:val="9"/>
    <w:pPr>
      <w:keepNext/>
      <w:keepLines/>
      <w:spacing w:before="200" w:after="200"/>
      <w:outlineLvl w:val="4"/>
    </w:pPr>
    <w:rPr>
      <w:b/>
      <w:bCs/>
      <w:sz w:val="18"/>
      <w:szCs w:val="28"/>
    </w:rPr>
  </w:style>
  <w:style w:type="paragraph" w:styleId="10">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0"/>
    <w:pPr>
      <w:ind w:left="600" w:leftChars="600"/>
    </w:pPr>
  </w:style>
  <w:style w:type="paragraph" w:styleId="6">
    <w:name w:val="Normal Indent"/>
    <w:basedOn w:val="1"/>
    <w:qFormat/>
    <w:uiPriority w:val="0"/>
    <w:pPr>
      <w:ind w:firstLine="420" w:firstLineChars="200"/>
    </w:pPr>
  </w:style>
  <w:style w:type="paragraph" w:customStyle="1" w:styleId="9">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annotation text"/>
    <w:basedOn w:val="1"/>
    <w:link w:val="48"/>
    <w:qFormat/>
    <w:uiPriority w:val="0"/>
    <w:pPr>
      <w:jc w:val="left"/>
    </w:pPr>
  </w:style>
  <w:style w:type="paragraph" w:styleId="16">
    <w:name w:val="Body Text"/>
    <w:basedOn w:val="1"/>
    <w:next w:val="1"/>
    <w:qFormat/>
    <w:uiPriority w:val="0"/>
    <w:rPr>
      <w:rFonts w:ascii="黑体" w:eastAsia="黑体"/>
      <w:sz w:val="30"/>
    </w:rPr>
  </w:style>
  <w:style w:type="paragraph" w:styleId="17">
    <w:name w:val="Body Text Indent"/>
    <w:basedOn w:val="1"/>
    <w:next w:val="18"/>
    <w:qFormat/>
    <w:uiPriority w:val="0"/>
    <w:pPr>
      <w:spacing w:line="360" w:lineRule="auto"/>
      <w:ind w:firstLine="480" w:firstLineChars="200"/>
    </w:pPr>
    <w:rPr>
      <w:sz w:val="24"/>
    </w:rPr>
  </w:style>
  <w:style w:type="paragraph" w:styleId="18">
    <w:name w:val="envelope return"/>
    <w:basedOn w:val="1"/>
    <w:next w:val="14"/>
    <w:qFormat/>
    <w:uiPriority w:val="0"/>
    <w:pPr>
      <w:snapToGrid w:val="0"/>
    </w:pPr>
    <w:rPr>
      <w:rFonts w:ascii="Arial" w:hAnsi="Arial" w:cs="Arial"/>
      <w:b/>
      <w:bCs/>
      <w:color w:val="FF0000"/>
      <w:sz w:val="48"/>
    </w:rPr>
  </w:style>
  <w:style w:type="paragraph" w:styleId="19">
    <w:name w:val="Plain Text"/>
    <w:basedOn w:val="1"/>
    <w:link w:val="49"/>
    <w:qFormat/>
    <w:uiPriority w:val="0"/>
    <w:rPr>
      <w:rFonts w:ascii="宋体" w:hAnsi="Courier New" w:cs="Courier New"/>
      <w:szCs w:val="21"/>
    </w:rPr>
  </w:style>
  <w:style w:type="paragraph" w:styleId="20">
    <w:name w:val="Date"/>
    <w:basedOn w:val="1"/>
    <w:next w:val="1"/>
    <w:link w:val="50"/>
    <w:qFormat/>
    <w:uiPriority w:val="0"/>
    <w:rPr>
      <w:sz w:val="24"/>
      <w:szCs w:val="20"/>
    </w:rPr>
  </w:style>
  <w:style w:type="paragraph" w:styleId="21">
    <w:name w:val="Body Text Indent 2"/>
    <w:basedOn w:val="1"/>
    <w:qFormat/>
    <w:uiPriority w:val="0"/>
    <w:pPr>
      <w:ind w:firstLine="480" w:firstLineChars="200"/>
    </w:pPr>
    <w:rPr>
      <w:sz w:val="24"/>
      <w:u w:val="single"/>
    </w:rPr>
  </w:style>
  <w:style w:type="paragraph" w:styleId="22">
    <w:name w:val="Balloon Text"/>
    <w:basedOn w:val="1"/>
    <w:link w:val="91"/>
    <w:qFormat/>
    <w:uiPriority w:val="0"/>
    <w:rPr>
      <w:sz w:val="18"/>
      <w:szCs w:val="18"/>
    </w:rPr>
  </w:style>
  <w:style w:type="paragraph" w:styleId="23">
    <w:name w:val="footer"/>
    <w:basedOn w:val="1"/>
    <w:link w:val="51"/>
    <w:qFormat/>
    <w:uiPriority w:val="99"/>
    <w:pPr>
      <w:tabs>
        <w:tab w:val="center" w:pos="4153"/>
        <w:tab w:val="right" w:pos="8306"/>
      </w:tabs>
      <w:snapToGrid w:val="0"/>
      <w:jc w:val="left"/>
    </w:pPr>
    <w:rPr>
      <w:sz w:val="18"/>
    </w:rPr>
  </w:style>
  <w:style w:type="paragraph" w:styleId="24">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6"/>
    <w:basedOn w:val="1"/>
    <w:next w:val="1"/>
    <w:qFormat/>
    <w:uiPriority w:val="0"/>
    <w:pPr>
      <w:ind w:left="2100" w:leftChars="1000"/>
    </w:pPr>
  </w:style>
  <w:style w:type="paragraph" w:styleId="27">
    <w:name w:val="Body Text 2"/>
    <w:basedOn w:val="1"/>
    <w:link w:val="52"/>
    <w:qFormat/>
    <w:uiPriority w:val="0"/>
    <w:pPr>
      <w:spacing w:line="360" w:lineRule="auto"/>
    </w:pPr>
    <w:rPr>
      <w:rFonts w:ascii="宋体" w:hAnsi="宋体"/>
      <w:sz w:val="24"/>
    </w:rPr>
  </w:style>
  <w:style w:type="paragraph" w:styleId="28">
    <w:name w:val="Normal (Web)"/>
    <w:basedOn w:val="1"/>
    <w:link w:val="53"/>
    <w:qFormat/>
    <w:uiPriority w:val="99"/>
    <w:pPr>
      <w:widowControl/>
      <w:spacing w:beforeAutospacing="1" w:afterAutospacing="1"/>
      <w:jc w:val="left"/>
    </w:pPr>
    <w:rPr>
      <w:rFonts w:ascii="宋体" w:hAnsi="宋体"/>
      <w:kern w:val="0"/>
      <w:sz w:val="24"/>
    </w:rPr>
  </w:style>
  <w:style w:type="paragraph" w:styleId="29">
    <w:name w:val="annotation subject"/>
    <w:basedOn w:val="15"/>
    <w:next w:val="15"/>
    <w:link w:val="93"/>
    <w:semiHidden/>
    <w:qFormat/>
    <w:uiPriority w:val="0"/>
    <w:rPr>
      <w:b/>
      <w:bCs/>
    </w:rPr>
  </w:style>
  <w:style w:type="paragraph" w:styleId="30">
    <w:name w:val="Body Text First Indent"/>
    <w:basedOn w:val="1"/>
    <w:unhideWhenUsed/>
    <w:qFormat/>
    <w:uiPriority w:val="99"/>
    <w:pPr>
      <w:spacing w:line="312" w:lineRule="auto"/>
      <w:ind w:firstLine="420"/>
    </w:pPr>
    <w:rPr>
      <w:rFonts w:ascii="Cambria" w:hAnsi="Cambria" w:eastAsia="黑体"/>
      <w:sz w:val="24"/>
      <w:lang w:eastAsia="en-US"/>
    </w:rPr>
  </w:style>
  <w:style w:type="paragraph" w:styleId="31">
    <w:name w:val="Body Text First Indent 2"/>
    <w:basedOn w:val="17"/>
    <w:next w:val="1"/>
    <w:qFormat/>
    <w:uiPriority w:val="0"/>
    <w:pPr>
      <w:ind w:firstLine="420"/>
    </w:pPr>
  </w:style>
  <w:style w:type="character" w:styleId="34">
    <w:name w:val="Strong"/>
    <w:qFormat/>
    <w:uiPriority w:val="22"/>
    <w:rPr>
      <w:b/>
      <w:bCs/>
    </w:rPr>
  </w:style>
  <w:style w:type="character" w:styleId="35">
    <w:name w:val="FollowedHyperlink"/>
    <w:qFormat/>
    <w:uiPriority w:val="0"/>
    <w:rPr>
      <w:color w:val="333333"/>
      <w:u w:val="none"/>
    </w:rPr>
  </w:style>
  <w:style w:type="character" w:styleId="36">
    <w:name w:val="Emphasis"/>
    <w:qFormat/>
    <w:uiPriority w:val="0"/>
    <w:rPr>
      <w:b/>
      <w:bCs/>
    </w:rPr>
  </w:style>
  <w:style w:type="character" w:styleId="37">
    <w:name w:val="line number"/>
    <w:qFormat/>
    <w:uiPriority w:val="0"/>
  </w:style>
  <w:style w:type="character" w:styleId="38">
    <w:name w:val="HTML Definition"/>
    <w:qFormat/>
    <w:uiPriority w:val="0"/>
  </w:style>
  <w:style w:type="character" w:styleId="39">
    <w:name w:val="HTML Typewriter"/>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qFormat/>
    <w:uiPriority w:val="0"/>
  </w:style>
  <w:style w:type="character" w:styleId="42">
    <w:name w:val="Hyperlink"/>
    <w:qFormat/>
    <w:uiPriority w:val="99"/>
    <w:rPr>
      <w:color w:val="333333"/>
      <w:u w:val="none"/>
    </w:rPr>
  </w:style>
  <w:style w:type="character" w:styleId="43">
    <w:name w:val="HTML Code"/>
    <w:qFormat/>
    <w:uiPriority w:val="0"/>
    <w:rPr>
      <w:rFonts w:ascii="monospace" w:hAnsi="monospace" w:eastAsia="monospace" w:cs="monospace"/>
      <w:sz w:val="20"/>
    </w:rPr>
  </w:style>
  <w:style w:type="character" w:styleId="44">
    <w:name w:val="annotation reference"/>
    <w:qFormat/>
    <w:uiPriority w:val="0"/>
    <w:rPr>
      <w:sz w:val="21"/>
      <w:szCs w:val="21"/>
    </w:rPr>
  </w:style>
  <w:style w:type="character" w:styleId="45">
    <w:name w:val="HTML Cite"/>
    <w:qFormat/>
    <w:uiPriority w:val="0"/>
  </w:style>
  <w:style w:type="character" w:styleId="46">
    <w:name w:val="HTML Keyboard"/>
    <w:qFormat/>
    <w:uiPriority w:val="0"/>
    <w:rPr>
      <w:rFonts w:hint="default" w:ascii="monospace" w:hAnsi="monospace" w:eastAsia="monospace" w:cs="monospace"/>
      <w:sz w:val="20"/>
    </w:rPr>
  </w:style>
  <w:style w:type="character" w:styleId="47">
    <w:name w:val="HTML Sample"/>
    <w:qFormat/>
    <w:uiPriority w:val="0"/>
    <w:rPr>
      <w:rFonts w:hint="default" w:ascii="monospace" w:hAnsi="monospace" w:eastAsia="monospace" w:cs="monospace"/>
      <w:color w:val="5C5C5C"/>
      <w:sz w:val="21"/>
      <w:szCs w:val="21"/>
    </w:rPr>
  </w:style>
  <w:style w:type="character" w:customStyle="1" w:styleId="48">
    <w:name w:val="批注文字 字符"/>
    <w:link w:val="15"/>
    <w:qFormat/>
    <w:uiPriority w:val="0"/>
    <w:rPr>
      <w:kern w:val="2"/>
      <w:sz w:val="21"/>
      <w:szCs w:val="24"/>
    </w:rPr>
  </w:style>
  <w:style w:type="character" w:customStyle="1" w:styleId="49">
    <w:name w:val="纯文本 字符"/>
    <w:link w:val="19"/>
    <w:qFormat/>
    <w:uiPriority w:val="0"/>
    <w:rPr>
      <w:rFonts w:ascii="宋体" w:hAnsi="Courier New" w:eastAsia="宋体" w:cs="Courier New"/>
      <w:kern w:val="2"/>
      <w:sz w:val="21"/>
      <w:szCs w:val="21"/>
      <w:lang w:val="en-US" w:eastAsia="zh-CN" w:bidi="ar-SA"/>
    </w:rPr>
  </w:style>
  <w:style w:type="character" w:customStyle="1" w:styleId="50">
    <w:name w:val="日期 字符"/>
    <w:link w:val="20"/>
    <w:qFormat/>
    <w:uiPriority w:val="0"/>
    <w:rPr>
      <w:rFonts w:eastAsia="宋体"/>
      <w:kern w:val="2"/>
      <w:sz w:val="24"/>
      <w:lang w:val="en-US" w:eastAsia="zh-CN" w:bidi="ar-SA"/>
    </w:rPr>
  </w:style>
  <w:style w:type="character" w:customStyle="1" w:styleId="51">
    <w:name w:val="页脚 字符"/>
    <w:link w:val="23"/>
    <w:qFormat/>
    <w:uiPriority w:val="99"/>
    <w:rPr>
      <w:kern w:val="2"/>
      <w:sz w:val="18"/>
      <w:szCs w:val="24"/>
    </w:rPr>
  </w:style>
  <w:style w:type="character" w:customStyle="1" w:styleId="52">
    <w:name w:val="正文文本 2 字符"/>
    <w:link w:val="27"/>
    <w:qFormat/>
    <w:uiPriority w:val="0"/>
    <w:rPr>
      <w:rFonts w:ascii="宋体" w:hAnsi="宋体"/>
      <w:kern w:val="2"/>
      <w:sz w:val="24"/>
      <w:szCs w:val="24"/>
    </w:rPr>
  </w:style>
  <w:style w:type="character" w:customStyle="1" w:styleId="53">
    <w:name w:val="普通(网站) 字符1"/>
    <w:link w:val="28"/>
    <w:qFormat/>
    <w:uiPriority w:val="99"/>
    <w:rPr>
      <w:rFonts w:ascii="宋体" w:hAnsi="宋体" w:cs="宋体"/>
      <w:sz w:val="24"/>
      <w:szCs w:val="24"/>
    </w:rPr>
  </w:style>
  <w:style w:type="character" w:customStyle="1" w:styleId="54">
    <w:name w:val="Blockquote Char"/>
    <w:link w:val="55"/>
    <w:qFormat/>
    <w:locked/>
    <w:uiPriority w:val="0"/>
    <w:rPr>
      <w:rFonts w:eastAsia="宋体"/>
      <w:sz w:val="24"/>
      <w:lang w:val="en-US" w:eastAsia="zh-CN" w:bidi="ar-SA"/>
    </w:rPr>
  </w:style>
  <w:style w:type="paragraph" w:customStyle="1" w:styleId="55">
    <w:name w:val="Blockquote"/>
    <w:basedOn w:val="1"/>
    <w:link w:val="54"/>
    <w:qFormat/>
    <w:uiPriority w:val="0"/>
    <w:pPr>
      <w:autoSpaceDE w:val="0"/>
      <w:autoSpaceDN w:val="0"/>
      <w:adjustRightInd w:val="0"/>
      <w:spacing w:before="100" w:after="100"/>
      <w:ind w:left="360" w:right="360"/>
      <w:jc w:val="left"/>
    </w:pPr>
    <w:rPr>
      <w:kern w:val="0"/>
      <w:sz w:val="24"/>
      <w:szCs w:val="20"/>
    </w:rPr>
  </w:style>
  <w:style w:type="character" w:customStyle="1" w:styleId="56">
    <w:name w:val="Char Char9"/>
    <w:qFormat/>
    <w:locked/>
    <w:uiPriority w:val="0"/>
    <w:rPr>
      <w:rFonts w:ascii="宋体" w:hAnsi="宋体" w:eastAsia="宋体"/>
      <w:sz w:val="24"/>
      <w:lang w:val="en-US" w:eastAsia="zh-CN" w:bidi="ar-SA"/>
    </w:rPr>
  </w:style>
  <w:style w:type="character" w:customStyle="1" w:styleId="57">
    <w:name w:val="可研正文 Char"/>
    <w:qFormat/>
    <w:uiPriority w:val="0"/>
    <w:rPr>
      <w:rFonts w:ascii="宋体" w:hAnsi="宋体" w:eastAsia="宋体"/>
      <w:kern w:val="2"/>
      <w:sz w:val="28"/>
      <w:lang w:bidi="ar-SA"/>
    </w:rPr>
  </w:style>
  <w:style w:type="character" w:customStyle="1" w:styleId="58">
    <w:name w:val="可研正文 Char Char"/>
    <w:link w:val="59"/>
    <w:qFormat/>
    <w:uiPriority w:val="0"/>
    <w:rPr>
      <w:rFonts w:ascii="宋体" w:hAnsi="宋体"/>
      <w:kern w:val="2"/>
      <w:sz w:val="28"/>
    </w:rPr>
  </w:style>
  <w:style w:type="paragraph" w:customStyle="1" w:styleId="59">
    <w:name w:val="可研正文"/>
    <w:basedOn w:val="1"/>
    <w:link w:val="58"/>
    <w:qFormat/>
    <w:uiPriority w:val="0"/>
    <w:pPr>
      <w:spacing w:line="360" w:lineRule="auto"/>
      <w:ind w:firstLine="560" w:firstLineChars="200"/>
    </w:pPr>
    <w:rPr>
      <w:rFonts w:ascii="宋体" w:hAnsi="宋体"/>
      <w:sz w:val="28"/>
      <w:szCs w:val="20"/>
    </w:rPr>
  </w:style>
  <w:style w:type="paragraph" w:customStyle="1" w:styleId="60">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styleId="61">
    <w:name w:val="List Paragraph"/>
    <w:basedOn w:val="1"/>
    <w:qFormat/>
    <w:uiPriority w:val="34"/>
    <w:pPr>
      <w:ind w:firstLine="420" w:firstLineChars="200"/>
    </w:pPr>
    <w:rPr>
      <w:rFonts w:ascii="Calibri" w:hAnsi="Calibri"/>
    </w:rPr>
  </w:style>
  <w:style w:type="paragraph" w:customStyle="1" w:styleId="62">
    <w:name w:val="z-窗体底端1"/>
    <w:basedOn w:val="1"/>
    <w:next w:val="1"/>
    <w:qFormat/>
    <w:uiPriority w:val="0"/>
    <w:pPr>
      <w:pBdr>
        <w:top w:val="single" w:color="auto" w:sz="6" w:space="1"/>
      </w:pBdr>
      <w:jc w:val="center"/>
    </w:pPr>
    <w:rPr>
      <w:rFonts w:ascii="Arial"/>
      <w:vanish/>
      <w:sz w:val="16"/>
    </w:rPr>
  </w:style>
  <w:style w:type="paragraph" w:customStyle="1" w:styleId="63">
    <w:name w:val="Char Char Char Char"/>
    <w:basedOn w:val="1"/>
    <w:qFormat/>
    <w:uiPriority w:val="0"/>
    <w:pPr>
      <w:widowControl/>
      <w:adjustRightInd w:val="0"/>
      <w:snapToGrid w:val="0"/>
      <w:spacing w:line="240" w:lineRule="exact"/>
      <w:ind w:firstLine="200" w:firstLineChars="200"/>
      <w:jc w:val="left"/>
    </w:pPr>
    <w:rPr>
      <w:rFonts w:ascii="Verdana" w:hAnsi="Verdana"/>
      <w:kern w:val="0"/>
      <w:sz w:val="20"/>
      <w:szCs w:val="20"/>
      <w:lang w:eastAsia="en-US"/>
    </w:rPr>
  </w:style>
  <w:style w:type="paragraph" w:customStyle="1" w:styleId="64">
    <w:name w:val="Char1"/>
    <w:basedOn w:val="1"/>
    <w:qFormat/>
    <w:uiPriority w:val="0"/>
    <w:pPr>
      <w:widowControl/>
      <w:spacing w:line="240" w:lineRule="exact"/>
      <w:jc w:val="left"/>
    </w:pPr>
    <w:rPr>
      <w:rFonts w:ascii="Tahoma" w:hAnsi="Tahoma"/>
      <w:sz w:val="24"/>
      <w:szCs w:val="20"/>
    </w:rPr>
  </w:style>
  <w:style w:type="paragraph" w:customStyle="1" w:styleId="65">
    <w:name w:val="Char"/>
    <w:basedOn w:val="1"/>
    <w:qFormat/>
    <w:uiPriority w:val="0"/>
    <w:rPr>
      <w:szCs w:val="20"/>
    </w:rPr>
  </w:style>
  <w:style w:type="paragraph" w:customStyle="1" w:styleId="66">
    <w:name w:val="z-窗体顶端1"/>
    <w:basedOn w:val="1"/>
    <w:next w:val="1"/>
    <w:qFormat/>
    <w:uiPriority w:val="0"/>
    <w:pPr>
      <w:pBdr>
        <w:bottom w:val="single" w:color="auto" w:sz="6" w:space="1"/>
      </w:pBdr>
      <w:jc w:val="center"/>
    </w:pPr>
    <w:rPr>
      <w:rFonts w:ascii="Arial"/>
      <w:vanish/>
      <w:sz w:val="16"/>
    </w:rPr>
  </w:style>
  <w:style w:type="paragraph" w:customStyle="1" w:styleId="67">
    <w:name w:val="Char Char Char Char1"/>
    <w:basedOn w:val="1"/>
    <w:qFormat/>
    <w:uiPriority w:val="0"/>
    <w:pPr>
      <w:spacing w:line="360" w:lineRule="auto"/>
    </w:pPr>
    <w:rPr>
      <w:rFonts w:ascii="宋体" w:hAnsi="宋体"/>
      <w:b/>
      <w:sz w:val="28"/>
      <w:szCs w:val="28"/>
    </w:rPr>
  </w:style>
  <w:style w:type="paragraph" w:customStyle="1" w:styleId="68">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0">
    <w:name w:val="NormalCharacter"/>
    <w:semiHidden/>
    <w:qFormat/>
    <w:uiPriority w:val="0"/>
  </w:style>
  <w:style w:type="character" w:customStyle="1" w:styleId="71">
    <w:name w:val="fontstyle01"/>
    <w:qFormat/>
    <w:uiPriority w:val="0"/>
    <w:rPr>
      <w:rFonts w:hint="eastAsia" w:ascii="宋体" w:hAnsi="宋体" w:eastAsia="宋体"/>
      <w:color w:val="000000"/>
      <w:sz w:val="22"/>
      <w:szCs w:val="22"/>
    </w:rPr>
  </w:style>
  <w:style w:type="character" w:customStyle="1" w:styleId="72">
    <w:name w:val="hover"/>
    <w:qFormat/>
    <w:uiPriority w:val="0"/>
    <w:rPr>
      <w:color w:val="2590EB"/>
    </w:rPr>
  </w:style>
  <w:style w:type="character" w:customStyle="1" w:styleId="73">
    <w:name w:val="hover1"/>
    <w:qFormat/>
    <w:uiPriority w:val="0"/>
    <w:rPr>
      <w:color w:val="2590EB"/>
    </w:rPr>
  </w:style>
  <w:style w:type="character" w:customStyle="1" w:styleId="74">
    <w:name w:val="hover2"/>
    <w:qFormat/>
    <w:uiPriority w:val="0"/>
    <w:rPr>
      <w:color w:val="2590EB"/>
      <w:shd w:val="clear" w:color="auto" w:fill="E9F4FD"/>
    </w:rPr>
  </w:style>
  <w:style w:type="character" w:customStyle="1" w:styleId="75">
    <w:name w:val="hover3"/>
    <w:qFormat/>
    <w:uiPriority w:val="0"/>
  </w:style>
  <w:style w:type="character" w:customStyle="1" w:styleId="76">
    <w:name w:val="hover4"/>
    <w:qFormat/>
    <w:uiPriority w:val="0"/>
    <w:rPr>
      <w:color w:val="2590EB"/>
      <w:shd w:val="clear" w:color="auto" w:fill="E9F4FD"/>
    </w:rPr>
  </w:style>
  <w:style w:type="character" w:customStyle="1" w:styleId="77">
    <w:name w:val="普通(网站) 字符"/>
    <w:qFormat/>
    <w:uiPriority w:val="99"/>
    <w:rPr>
      <w:rFonts w:ascii="宋体" w:hAnsi="宋体" w:cs="宋体"/>
      <w:sz w:val="24"/>
      <w:szCs w:val="24"/>
    </w:rPr>
  </w:style>
  <w:style w:type="character" w:customStyle="1" w:styleId="78">
    <w:name w:val="mini-outputtext1"/>
    <w:basedOn w:val="33"/>
    <w:qFormat/>
    <w:uiPriority w:val="0"/>
  </w:style>
  <w:style w:type="character" w:customStyle="1" w:styleId="79">
    <w:name w:val="first-child1"/>
    <w:basedOn w:val="33"/>
    <w:qFormat/>
    <w:uiPriority w:val="0"/>
  </w:style>
  <w:style w:type="character" w:customStyle="1" w:styleId="80">
    <w:name w:val="layui-laypage-curr"/>
    <w:basedOn w:val="33"/>
    <w:qFormat/>
    <w:uiPriority w:val="0"/>
  </w:style>
  <w:style w:type="character" w:customStyle="1" w:styleId="81">
    <w:name w:val="done"/>
    <w:basedOn w:val="33"/>
    <w:qFormat/>
    <w:uiPriority w:val="0"/>
  </w:style>
  <w:style w:type="character" w:customStyle="1" w:styleId="82">
    <w:name w:val="hover18"/>
    <w:basedOn w:val="33"/>
    <w:qFormat/>
    <w:uiPriority w:val="0"/>
    <w:rPr>
      <w:color w:val="5FB878"/>
    </w:rPr>
  </w:style>
  <w:style w:type="character" w:customStyle="1" w:styleId="83">
    <w:name w:val="hover19"/>
    <w:basedOn w:val="33"/>
    <w:qFormat/>
    <w:uiPriority w:val="0"/>
    <w:rPr>
      <w:color w:val="5FB878"/>
    </w:rPr>
  </w:style>
  <w:style w:type="character" w:customStyle="1" w:styleId="84">
    <w:name w:val="hover20"/>
    <w:basedOn w:val="33"/>
    <w:qFormat/>
    <w:uiPriority w:val="0"/>
    <w:rPr>
      <w:color w:val="FFFFFF"/>
    </w:rPr>
  </w:style>
  <w:style w:type="character" w:customStyle="1" w:styleId="85">
    <w:name w:val="layui-laydate-preview"/>
    <w:basedOn w:val="33"/>
    <w:qFormat/>
    <w:uiPriority w:val="0"/>
  </w:style>
  <w:style w:type="character" w:customStyle="1" w:styleId="86">
    <w:name w:val="layui-this4"/>
    <w:basedOn w:val="33"/>
    <w:qFormat/>
    <w:uiPriority w:val="0"/>
    <w:rPr>
      <w:bdr w:val="single" w:color="EEEEEE" w:sz="4" w:space="0"/>
      <w:shd w:val="clear" w:color="auto" w:fill="FFFFFF"/>
    </w:rPr>
  </w:style>
  <w:style w:type="character" w:customStyle="1" w:styleId="87">
    <w:name w:val="标题 5 字符"/>
    <w:basedOn w:val="33"/>
    <w:link w:val="8"/>
    <w:qFormat/>
    <w:uiPriority w:val="9"/>
    <w:rPr>
      <w:rFonts w:asciiTheme="minorHAnsi" w:hAnsiTheme="minorHAnsi" w:eastAsiaTheme="minorEastAsia" w:cstheme="minorBidi"/>
      <w:b/>
      <w:bCs/>
      <w:kern w:val="2"/>
      <w:sz w:val="18"/>
      <w:szCs w:val="28"/>
    </w:rPr>
  </w:style>
  <w:style w:type="character" w:customStyle="1" w:styleId="88">
    <w:name w:val="标题 1 Char"/>
    <w:basedOn w:val="33"/>
    <w:link w:val="89"/>
    <w:qFormat/>
    <w:uiPriority w:val="9"/>
    <w:rPr>
      <w:b/>
      <w:bCs/>
      <w:kern w:val="44"/>
      <w:sz w:val="44"/>
      <w:szCs w:val="44"/>
    </w:rPr>
  </w:style>
  <w:style w:type="paragraph" w:customStyle="1" w:styleId="89">
    <w:name w:val="Heading 1_0"/>
    <w:basedOn w:val="9"/>
    <w:next w:val="9"/>
    <w:link w:val="88"/>
    <w:qFormat/>
    <w:uiPriority w:val="9"/>
    <w:pPr>
      <w:keepNext/>
      <w:keepLines/>
      <w:spacing w:line="360" w:lineRule="auto"/>
      <w:outlineLvl w:val="0"/>
    </w:pPr>
    <w:rPr>
      <w:rFonts w:ascii="Times New Roman" w:hAnsi="Times New Roman" w:eastAsia="宋体" w:cs="Times New Roman"/>
      <w:b/>
      <w:bCs/>
      <w:kern w:val="44"/>
      <w:sz w:val="44"/>
      <w:szCs w:val="44"/>
    </w:rPr>
  </w:style>
  <w:style w:type="paragraph" w:customStyle="1" w:styleId="90">
    <w:name w:val="TOC 标题1"/>
    <w:basedOn w:val="89"/>
    <w:next w:val="9"/>
    <w:unhideWhenUsed/>
    <w:qFormat/>
    <w:uiPriority w:val="39"/>
    <w:pPr>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91">
    <w:name w:val="批注框文本 字符"/>
    <w:basedOn w:val="33"/>
    <w:link w:val="22"/>
    <w:qFormat/>
    <w:uiPriority w:val="0"/>
    <w:rPr>
      <w:kern w:val="2"/>
      <w:sz w:val="18"/>
      <w:szCs w:val="18"/>
    </w:rPr>
  </w:style>
  <w:style w:type="character" w:customStyle="1" w:styleId="92">
    <w:name w:val="页眉 字符"/>
    <w:basedOn w:val="33"/>
    <w:link w:val="24"/>
    <w:qFormat/>
    <w:uiPriority w:val="0"/>
    <w:rPr>
      <w:kern w:val="2"/>
      <w:sz w:val="18"/>
      <w:szCs w:val="18"/>
    </w:rPr>
  </w:style>
  <w:style w:type="character" w:customStyle="1" w:styleId="93">
    <w:name w:val="批注主题 字符"/>
    <w:basedOn w:val="48"/>
    <w:link w:val="29"/>
    <w:semiHidden/>
    <w:qFormat/>
    <w:uiPriority w:val="0"/>
    <w:rPr>
      <w:b/>
      <w:bCs/>
      <w:kern w:val="2"/>
      <w:sz w:val="21"/>
      <w:szCs w:val="24"/>
    </w:rPr>
  </w:style>
  <w:style w:type="paragraph" w:customStyle="1" w:styleId="9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marklang-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cosd-citation-citationid"/>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05988-99D6-40D4-AE21-CDC422FF3384}">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85</Pages>
  <Words>26505</Words>
  <Characters>28574</Characters>
  <Lines>445</Lines>
  <Paragraphs>125</Paragraphs>
  <TotalTime>0</TotalTime>
  <ScaleCrop>false</ScaleCrop>
  <LinksUpToDate>false</LinksUpToDate>
  <CharactersWithSpaces>29576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2025-04-15T04:34:00Z</dcterms:created>
  <dc:creator>涂工</dc:creator>
  <cp:lastModifiedBy>NTKO</cp:lastModifiedBy>
  <cp:lastPrinted>2025-06-05T00:04:00Z</cp:lastPrinted>
  <dcterms:modified xsi:type="dcterms:W3CDTF">2025-09-19T05:01:52Z</dcterms:modified>
  <dc:title>雨田路（九华路~青山路）大修工程施工监理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35A03AB0AF664812B487D1D1697A887E_13</vt:lpwstr>
  </property>
  <property fmtid="{D5CDD505-2E9C-101B-9397-08002B2CF9AE}" pid="4" name="KSOTemplateDocerSaveRecord">
    <vt:lpwstr>eyJoZGlkIjoiODU4MjY1MjI1NmI2N2IzM2Y1MGNjZGIxMDUwNmM3MDUiLCJ1c2VySWQiOiI3MTE1NjE2MTgifQ==</vt:lpwstr>
  </property>
</Properties>
</file>