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92576">
      <w:pPr/>
    </w:p>
    <w:p w14:paraId="1E4ABD71">
      <w:pPr/>
    </w:p>
    <w:p w14:paraId="4F053FE3">
      <w:pPr/>
    </w:p>
    <w:p w14:paraId="214E5ABB">
      <w:pPr/>
    </w:p>
    <w:p w14:paraId="38454D40">
      <w:pPr/>
    </w:p>
    <w:p w14:paraId="511715DF">
      <w:pPr/>
    </w:p>
    <w:p w14:paraId="11EA476E">
      <w:pPr>
        <w:jc w:val="center"/>
        <w:rPr>
          <w:rFonts w:asciiTheme="minorEastAsia" w:hAnsiTheme="minorEastAsia"/>
          <w:sz w:val="52"/>
          <w:szCs w:val="52"/>
        </w:rPr>
      </w:pPr>
      <w:r>
        <w:rPr>
          <w:rFonts w:asciiTheme="minorEastAsia" w:hAnsiTheme="minorEastAsia"/>
          <w:sz w:val="52"/>
          <w:szCs w:val="52"/>
        </w:rPr>
        <w:t>时光广场地面修缮工程</w:t>
      </w:r>
    </w:p>
    <w:p w14:paraId="1D81E948">
      <w:pPr/>
    </w:p>
    <w:p w14:paraId="6829015D">
      <w:pPr>
        <w:pStyle w:val="2"/>
        <w:jc w:val="center"/>
        <w:rPr>
          <w:sz w:val="72"/>
          <w:szCs w:val="72"/>
        </w:rPr>
      </w:pPr>
      <w:r>
        <w:rPr>
          <w:rFonts w:hint="eastAsia"/>
          <w:sz w:val="72"/>
          <w:szCs w:val="72"/>
        </w:rPr>
        <w:t>竞价</w:t>
      </w:r>
      <w:r>
        <w:rPr>
          <w:sz w:val="72"/>
          <w:szCs w:val="72"/>
        </w:rPr>
        <w:t>文件</w:t>
      </w:r>
    </w:p>
    <w:p w14:paraId="1A16F663">
      <w:pPr>
        <w:spacing w:after="160"/>
        <w:jc w:val="center"/>
        <w:rPr>
          <w:rFonts w:hAnsi="宋体" w:eastAsia="宋体"/>
          <w:sz w:val="30"/>
          <w:szCs w:val="30"/>
        </w:rPr>
      </w:pPr>
      <w:r>
        <w:rPr>
          <w:rFonts w:hAnsi="宋体" w:eastAsia="宋体"/>
          <w:sz w:val="30"/>
          <w:szCs w:val="30"/>
        </w:rPr>
        <w:t>（</w:t>
      </w:r>
      <w:r>
        <w:rPr>
          <w:rFonts w:hint="eastAsia" w:hAnsi="宋体" w:eastAsia="宋体"/>
          <w:sz w:val="30"/>
          <w:szCs w:val="30"/>
        </w:rPr>
        <w:t>项目</w:t>
      </w:r>
      <w:r>
        <w:rPr>
          <w:rFonts w:hAnsi="宋体" w:eastAsia="宋体"/>
          <w:sz w:val="30"/>
          <w:szCs w:val="30"/>
        </w:rPr>
        <w:t>编号：</w:t>
      </w:r>
      <w:r>
        <w:rPr>
          <w:rFonts w:hint="eastAsia" w:hAnsi="宋体" w:eastAsia="宋体"/>
          <w:sz w:val="30"/>
          <w:szCs w:val="30"/>
        </w:rPr>
        <w:t>SZUHQ202504012GC</w:t>
      </w:r>
      <w:r>
        <w:rPr>
          <w:rFonts w:hAnsi="宋体" w:eastAsia="宋体"/>
          <w:sz w:val="30"/>
          <w:szCs w:val="30"/>
        </w:rPr>
        <w:t>）</w:t>
      </w:r>
    </w:p>
    <w:p w14:paraId="154AAA15">
      <w:pPr/>
    </w:p>
    <w:p w14:paraId="51714E30">
      <w:pPr/>
    </w:p>
    <w:p w14:paraId="3E391A9F">
      <w:pPr/>
    </w:p>
    <w:p w14:paraId="2E504BAE">
      <w:pPr/>
    </w:p>
    <w:p w14:paraId="18C06D68">
      <w:pPr/>
    </w:p>
    <w:p w14:paraId="693B2780">
      <w:pPr/>
    </w:p>
    <w:p w14:paraId="0A0B319E">
      <w:pPr/>
    </w:p>
    <w:p w14:paraId="0B44DEF4">
      <w:pPr/>
    </w:p>
    <w:p w14:paraId="6E4FAA5F">
      <w:pPr/>
    </w:p>
    <w:p w14:paraId="42F434CE">
      <w:pPr>
        <w:spacing w:after="160"/>
        <w:ind w:firstLine="602"/>
        <w:jc w:val="center"/>
        <w:rPr>
          <w:rFonts w:hAnsi="宋体" w:eastAsia="宋体"/>
          <w:sz w:val="30"/>
          <w:szCs w:val="30"/>
        </w:rPr>
      </w:pPr>
      <w:r>
        <w:rPr>
          <w:rFonts w:hAnsi="宋体" w:eastAsia="宋体"/>
          <w:sz w:val="30"/>
          <w:szCs w:val="30"/>
        </w:rPr>
        <w:t>深圳大学后勤</w:t>
      </w:r>
      <w:r>
        <w:rPr>
          <w:rFonts w:hint="eastAsia" w:hAnsi="宋体" w:eastAsia="宋体"/>
          <w:sz w:val="30"/>
          <w:szCs w:val="30"/>
        </w:rPr>
        <w:t>保障</w:t>
      </w:r>
      <w:r>
        <w:rPr>
          <w:rFonts w:hAnsi="宋体" w:eastAsia="宋体"/>
          <w:sz w:val="30"/>
          <w:szCs w:val="30"/>
        </w:rPr>
        <w:t>部</w:t>
      </w:r>
      <w:r>
        <w:rPr>
          <w:rFonts w:hint="eastAsia" w:hAnsi="宋体" w:eastAsia="宋体"/>
          <w:sz w:val="30"/>
          <w:szCs w:val="30"/>
        </w:rPr>
        <w:t>招投标管理办公室</w:t>
      </w:r>
    </w:p>
    <w:p w14:paraId="5849465F">
      <w:pPr>
        <w:spacing w:after="160"/>
        <w:ind w:firstLine="602"/>
        <w:jc w:val="center"/>
        <w:rPr>
          <w:rFonts w:hAnsi="宋体" w:eastAsia="宋体"/>
          <w:sz w:val="30"/>
          <w:szCs w:val="30"/>
        </w:rPr>
      </w:pPr>
      <w:r>
        <w:rPr>
          <w:rFonts w:hint="eastAsia" w:hAnsi="宋体" w:eastAsia="宋体"/>
          <w:sz w:val="30"/>
          <w:szCs w:val="30"/>
        </w:rPr>
        <w:t>二零二五年四月</w:t>
      </w:r>
    </w:p>
    <w:p w14:paraId="08A45363">
      <w:pPr/>
    </w:p>
    <w:p w14:paraId="75FF6343">
      <w:pPr>
        <w:widowControl/>
        <w:jc w:val="left"/>
        <w:rPr>
          <w:b/>
          <w:bCs/>
          <w:kern w:val="44"/>
          <w:sz w:val="72"/>
          <w:szCs w:val="72"/>
        </w:rPr>
      </w:pPr>
      <w:r>
        <w:rPr>
          <w:sz w:val="72"/>
          <w:szCs w:val="72"/>
        </w:rPr>
        <w:br w:type="page"/>
      </w:r>
    </w:p>
    <w:p w14:paraId="62219507">
      <w:pPr>
        <w:pStyle w:val="2"/>
        <w:jc w:val="center"/>
      </w:pPr>
      <w:r>
        <w:rPr>
          <w:rFonts w:hint="eastAsia"/>
        </w:rPr>
        <w:t>竞价公告</w:t>
      </w:r>
    </w:p>
    <w:p w14:paraId="01F627A7">
      <w:pPr>
        <w:spacing w:line="360" w:lineRule="auto"/>
        <w:ind w:firstLine="480" w:firstLineChars="200"/>
        <w:rPr>
          <w:rFonts w:asciiTheme="minorEastAsia" w:hAnsiTheme="minorEastAsia"/>
          <w:sz w:val="24"/>
        </w:rPr>
      </w:pPr>
      <w:r>
        <w:rPr>
          <w:rFonts w:hint="eastAsia" w:asciiTheme="minorEastAsia" w:hAnsiTheme="minorEastAsia"/>
          <w:sz w:val="24"/>
        </w:rPr>
        <w:t>根据《深圳大学自行采购管理办法》，深圳大学后勤保障部招投标管理办公室现就</w:t>
      </w:r>
      <w:r>
        <w:rPr>
          <w:rFonts w:asciiTheme="minorEastAsia" w:hAnsiTheme="minorEastAsia"/>
          <w:sz w:val="24"/>
        </w:rPr>
        <w:t>时光广场地面修缮工程</w:t>
      </w:r>
      <w:r>
        <w:rPr>
          <w:rFonts w:hint="eastAsia" w:asciiTheme="minorEastAsia" w:hAnsiTheme="minorEastAsia"/>
          <w:sz w:val="24"/>
        </w:rPr>
        <w:t xml:space="preserve">进行公开竞价，欢迎资质符合要求的单位进行报名。项目具体情况如下： </w:t>
      </w:r>
    </w:p>
    <w:p w14:paraId="33CD4559">
      <w:pPr>
        <w:widowControl/>
        <w:numPr>
          <w:ilvl w:val="0"/>
          <w:numId w:val="1"/>
        </w:numPr>
        <w:spacing w:line="360" w:lineRule="auto"/>
        <w:ind w:firstLine="480" w:firstLineChars="200"/>
        <w:rPr>
          <w:rFonts w:asciiTheme="minorEastAsia" w:hAnsiTheme="minorEastAsia"/>
          <w:sz w:val="24"/>
        </w:rPr>
      </w:pPr>
      <w:r>
        <w:rPr>
          <w:rFonts w:hint="eastAsia" w:asciiTheme="minorEastAsia" w:hAnsiTheme="minorEastAsia"/>
          <w:sz w:val="24"/>
        </w:rPr>
        <w:t>项目名称：</w:t>
      </w:r>
      <w:r>
        <w:rPr>
          <w:rFonts w:asciiTheme="minorEastAsia" w:hAnsiTheme="minorEastAsia"/>
          <w:sz w:val="24"/>
        </w:rPr>
        <w:t>时光广场地面修缮工程</w:t>
      </w:r>
    </w:p>
    <w:p w14:paraId="2147DA78">
      <w:pPr>
        <w:widowControl/>
        <w:numPr>
          <w:ilvl w:val="0"/>
          <w:numId w:val="1"/>
        </w:numPr>
        <w:spacing w:line="360" w:lineRule="auto"/>
        <w:ind w:firstLine="480" w:firstLineChars="200"/>
        <w:rPr>
          <w:rFonts w:asciiTheme="minorEastAsia" w:hAnsiTheme="minorEastAsia"/>
          <w:sz w:val="24"/>
        </w:rPr>
      </w:pPr>
      <w:r>
        <w:rPr>
          <w:rFonts w:hint="eastAsia" w:asciiTheme="minorEastAsia" w:hAnsiTheme="minorEastAsia"/>
          <w:sz w:val="24"/>
        </w:rPr>
        <w:t>项目编号：</w:t>
      </w:r>
      <w:r>
        <w:rPr>
          <w:rFonts w:asciiTheme="minorEastAsia" w:hAnsiTheme="minorEastAsia"/>
          <w:sz w:val="24"/>
        </w:rPr>
        <w:t>SZUHQ202504012GC</w:t>
      </w:r>
    </w:p>
    <w:p w14:paraId="6248156F">
      <w:pPr>
        <w:spacing w:line="360" w:lineRule="auto"/>
        <w:ind w:firstLine="480" w:firstLineChars="200"/>
        <w:rPr>
          <w:rFonts w:asciiTheme="minorEastAsia" w:hAnsiTheme="minorEastAsia"/>
          <w:sz w:val="24"/>
        </w:rPr>
      </w:pPr>
      <w:r>
        <w:rPr>
          <w:rFonts w:hint="eastAsia" w:asciiTheme="minorEastAsia" w:hAnsiTheme="minorEastAsia"/>
          <w:sz w:val="24"/>
        </w:rPr>
        <w:t>三、项目概况：详见招标附件</w:t>
      </w:r>
    </w:p>
    <w:p w14:paraId="507EE6AF">
      <w:pPr>
        <w:spacing w:line="360" w:lineRule="auto"/>
        <w:ind w:firstLine="480" w:firstLineChars="200"/>
        <w:rPr>
          <w:rFonts w:asciiTheme="minorEastAsia" w:hAnsiTheme="minorEastAsia"/>
          <w:sz w:val="24"/>
        </w:rPr>
      </w:pPr>
      <w:r>
        <w:rPr>
          <w:rFonts w:hint="eastAsia" w:asciiTheme="minorEastAsia" w:hAnsiTheme="minorEastAsia"/>
          <w:sz w:val="24"/>
        </w:rPr>
        <w:t>四、投标人的资格要求：</w:t>
      </w:r>
    </w:p>
    <w:p w14:paraId="3F36D484">
      <w:pPr>
        <w:spacing w:line="360" w:lineRule="auto"/>
        <w:ind w:firstLine="480" w:firstLineChars="200"/>
        <w:rPr>
          <w:rFonts w:asciiTheme="minorEastAsia" w:hAnsiTheme="minorEastAsia"/>
          <w:sz w:val="24"/>
        </w:rPr>
      </w:pPr>
      <w:r>
        <w:rPr>
          <w:rFonts w:hint="eastAsia" w:asciiTheme="minorEastAsia" w:hAnsiTheme="minorEastAsia"/>
          <w:sz w:val="24"/>
        </w:rPr>
        <w:t>1. 具有独立法人资格或具有独立承担民事责任的能力的其它组织（提供营业执照或事业单位法人证等法人证明扫描件，原件备查）。</w:t>
      </w:r>
    </w:p>
    <w:p w14:paraId="39921166">
      <w:pPr>
        <w:spacing w:line="360" w:lineRule="auto"/>
        <w:ind w:firstLine="480" w:firstLineChars="200"/>
        <w:rPr>
          <w:rFonts w:asciiTheme="minorEastAsia" w:hAnsiTheme="minorEastAsia"/>
          <w:sz w:val="24"/>
        </w:rPr>
      </w:pPr>
      <w:r>
        <w:rPr>
          <w:rFonts w:hint="eastAsia" w:asciiTheme="minorEastAsia" w:hAnsiTheme="minorEastAsia"/>
          <w:sz w:val="24"/>
        </w:rPr>
        <w:t>2. 投标人具有</w:t>
      </w:r>
      <w:r>
        <w:rPr>
          <w:rFonts w:asciiTheme="minorEastAsia" w:hAnsiTheme="minorEastAsia"/>
          <w:sz w:val="24"/>
        </w:rPr>
        <w:t>建筑装修装饰工程专业承包乙级及以上资质及有效期内的安全生产许可证。</w:t>
      </w:r>
      <w:r>
        <w:rPr>
          <w:rFonts w:hint="eastAsia" w:asciiTheme="minorEastAsia" w:hAnsiTheme="minorEastAsia"/>
          <w:sz w:val="24"/>
        </w:rPr>
        <w:t>。（提供相关证书扫描件，原件备查）</w:t>
      </w:r>
    </w:p>
    <w:p w14:paraId="25159C08">
      <w:pPr>
        <w:spacing w:line="360" w:lineRule="auto"/>
        <w:ind w:firstLine="480" w:firstLineChars="200"/>
        <w:rPr>
          <w:rFonts w:asciiTheme="minorEastAsia" w:hAnsiTheme="minorEastAsia"/>
          <w:sz w:val="24"/>
        </w:rPr>
      </w:pPr>
      <w:r>
        <w:rPr>
          <w:rFonts w:hint="eastAsia" w:asciiTheme="minorEastAsia" w:hAnsiTheme="minorEastAsia"/>
          <w:sz w:val="24"/>
        </w:rPr>
        <w:t>3. 参与本项目投标前三年内，在经营活动中没有重大违法记录（由投标人在《投标承诺函》中作出声明）。</w:t>
      </w:r>
    </w:p>
    <w:p w14:paraId="31DC0265">
      <w:pPr>
        <w:spacing w:line="360" w:lineRule="auto"/>
        <w:ind w:firstLine="480" w:firstLineChars="200"/>
        <w:rPr>
          <w:rFonts w:asciiTheme="minorEastAsia" w:hAnsiTheme="minorEastAsia"/>
          <w:sz w:val="24"/>
        </w:rPr>
      </w:pPr>
      <w:r>
        <w:rPr>
          <w:rFonts w:hint="eastAsia" w:asciiTheme="minorEastAsia" w:hAnsiTheme="minorEastAsia"/>
          <w:sz w:val="24"/>
        </w:rPr>
        <w:t>4. 参与本项目采购活动时不存在被有关部门禁止参与政府采购活动且在有效期内的情况（由投标人在《投标承诺函》中作出声明）。</w:t>
      </w:r>
    </w:p>
    <w:p w14:paraId="129F1970">
      <w:pPr>
        <w:spacing w:line="360" w:lineRule="auto"/>
        <w:ind w:firstLine="480" w:firstLineChars="200"/>
        <w:rPr>
          <w:rFonts w:asciiTheme="minorEastAsia" w:hAnsiTheme="minorEastAsia"/>
          <w:sz w:val="24"/>
        </w:rPr>
      </w:pPr>
      <w:r>
        <w:rPr>
          <w:rFonts w:hint="eastAsia" w:asciiTheme="minorEastAsia" w:hAnsiTheme="minorEastAsia"/>
          <w:sz w:val="24"/>
        </w:rPr>
        <w:t>5. 参与本采购项目投标的投标人未被列入失信被执行人、重大税收违法案件当事人名单、政府采购严重违法失信行为记录名单（由投标人在《投标承诺函》中作出声明），提供相关证明材料或截图。</w:t>
      </w:r>
    </w:p>
    <w:p w14:paraId="76C95D50">
      <w:pPr>
        <w:spacing w:line="360" w:lineRule="auto"/>
        <w:ind w:firstLine="480" w:firstLineChars="200"/>
        <w:rPr>
          <w:rFonts w:asciiTheme="minorEastAsia" w:hAnsiTheme="minorEastAsia"/>
          <w:sz w:val="24"/>
        </w:rPr>
      </w:pPr>
      <w:r>
        <w:rPr>
          <w:rFonts w:hint="eastAsia" w:asciiTheme="minorEastAsia" w:hAnsiTheme="minorEastAsia"/>
          <w:sz w:val="24"/>
        </w:rPr>
        <w:t>注：“信用中国”、“中国政府采购网”以及“深圳市政府采购监管网”为投标人信用信息的查询渠道，相关信息以</w:t>
      </w:r>
      <w:r>
        <w:rPr>
          <w:rFonts w:hint="eastAsia" w:eastAsia="宋体" w:asciiTheme="minorEastAsia" w:hAnsiTheme="minorEastAsia"/>
          <w:sz w:val="24"/>
        </w:rPr>
        <w:t>成交</w:t>
      </w:r>
      <w:r>
        <w:rPr>
          <w:rFonts w:hint="eastAsia" w:asciiTheme="minorEastAsia" w:hAnsiTheme="minorEastAsia"/>
          <w:sz w:val="24"/>
        </w:rPr>
        <w:t>通知书发出前的查询结果为准。</w:t>
      </w:r>
    </w:p>
    <w:p w14:paraId="53B4732D">
      <w:pPr>
        <w:spacing w:line="360" w:lineRule="auto"/>
        <w:ind w:firstLine="480" w:firstLineChars="200"/>
        <w:rPr>
          <w:rFonts w:asciiTheme="minorEastAsia" w:hAnsiTheme="minorEastAsia"/>
          <w:sz w:val="24"/>
        </w:rPr>
      </w:pPr>
      <w:r>
        <w:rPr>
          <w:rFonts w:hint="eastAsia" w:asciiTheme="minorEastAsia" w:hAnsiTheme="minorEastAsia"/>
          <w:sz w:val="24"/>
        </w:rPr>
        <w:t>6. 本项目不接受投标人选用进口产品参与投标。</w:t>
      </w:r>
    </w:p>
    <w:p w14:paraId="11F9060A">
      <w:pPr>
        <w:spacing w:line="360" w:lineRule="auto"/>
        <w:ind w:firstLine="480" w:firstLineChars="200"/>
        <w:rPr>
          <w:rFonts w:asciiTheme="minorEastAsia" w:hAnsiTheme="minorEastAsia"/>
          <w:sz w:val="24"/>
        </w:rPr>
      </w:pPr>
      <w:r>
        <w:rPr>
          <w:rFonts w:hint="eastAsia" w:asciiTheme="minorEastAsia" w:hAnsiTheme="minorEastAsia"/>
          <w:sz w:val="24"/>
        </w:rPr>
        <w:t>7. 本项目不接受联合体投标。</w:t>
      </w:r>
      <w:r>
        <w:rPr>
          <w:rFonts w:hint="eastAsia" w:asciiTheme="minorEastAsia" w:hAnsiTheme="minorEastAsia"/>
          <w:b/>
          <w:bCs/>
          <w:sz w:val="24"/>
        </w:rPr>
        <w:t>本项目不允许分包、转包。</w:t>
      </w:r>
    </w:p>
    <w:p w14:paraId="1414D84A">
      <w:pPr>
        <w:spacing w:line="360" w:lineRule="auto"/>
        <w:ind w:firstLine="480" w:firstLineChars="200"/>
        <w:rPr>
          <w:rFonts w:asciiTheme="minorEastAsia" w:hAnsiTheme="minorEastAsia"/>
          <w:sz w:val="24"/>
        </w:rPr>
      </w:pPr>
      <w:r>
        <w:rPr>
          <w:rFonts w:hint="eastAsia" w:asciiTheme="minorEastAsia" w:hAnsiTheme="minorEastAsia"/>
          <w:sz w:val="24"/>
        </w:rPr>
        <w:t>五、采购预算：合计：</w:t>
      </w:r>
      <w:r>
        <w:rPr>
          <w:rFonts w:asciiTheme="minorEastAsia" w:hAnsiTheme="minorEastAsia"/>
          <w:sz w:val="24"/>
        </w:rPr>
        <w:t>83728.00</w:t>
      </w:r>
      <w:r>
        <w:rPr>
          <w:rFonts w:hint="eastAsia" w:asciiTheme="minorEastAsia" w:hAnsiTheme="minorEastAsia"/>
          <w:sz w:val="24"/>
        </w:rPr>
        <w:t xml:space="preserve"> 元（人民币）</w:t>
      </w:r>
    </w:p>
    <w:p w14:paraId="43A45745">
      <w:pPr>
        <w:spacing w:line="360" w:lineRule="auto"/>
        <w:ind w:firstLine="480" w:firstLineChars="200"/>
        <w:rPr>
          <w:rFonts w:asciiTheme="minorEastAsia" w:hAnsiTheme="minorEastAsia"/>
          <w:sz w:val="24"/>
        </w:rPr>
      </w:pPr>
      <w:r>
        <w:rPr>
          <w:rFonts w:hint="eastAsia" w:asciiTheme="minorEastAsia" w:hAnsiTheme="minorEastAsia"/>
          <w:sz w:val="24"/>
        </w:rPr>
        <w:t>六、采购办法：最低价格法</w:t>
      </w:r>
    </w:p>
    <w:p w14:paraId="20F6123E">
      <w:pPr>
        <w:spacing w:line="360" w:lineRule="auto"/>
        <w:ind w:firstLine="422" w:firstLineChars="175"/>
        <w:rPr>
          <w:rFonts w:ascii="宋体" w:hAnsi="宋体"/>
          <w:sz w:val="24"/>
        </w:rPr>
      </w:pPr>
      <w:r>
        <w:rPr>
          <w:rFonts w:hint="eastAsia" w:ascii="宋体" w:hAnsi="宋体" w:eastAsia="宋体"/>
          <w:b/>
          <w:bCs/>
          <w:sz w:val="24"/>
        </w:rPr>
        <w:t>七</w:t>
      </w:r>
      <w:r>
        <w:rPr>
          <w:rFonts w:hint="eastAsia" w:ascii="宋体" w:hAnsi="宋体"/>
          <w:b/>
          <w:bCs/>
          <w:sz w:val="24"/>
        </w:rPr>
        <w:t>、重要提示</w:t>
      </w:r>
      <w:r>
        <w:rPr>
          <w:rFonts w:hint="eastAsia" w:ascii="宋体" w:hAnsi="宋体"/>
          <w:sz w:val="24"/>
        </w:rPr>
        <w:t>：</w:t>
      </w:r>
    </w:p>
    <w:p w14:paraId="02EFAF89">
      <w:pPr>
        <w:spacing w:line="360" w:lineRule="auto"/>
        <w:ind w:firstLine="480" w:firstLineChars="200"/>
        <w:rPr>
          <w:rFonts w:ascii="宋体" w:hAnsi="宋体" w:eastAsia="宋体"/>
          <w:b/>
          <w:sz w:val="24"/>
        </w:rPr>
      </w:pPr>
      <w:r>
        <w:rPr>
          <w:rFonts w:hint="eastAsia" w:ascii="宋体" w:hAnsi="宋体" w:eastAsia="宋体"/>
          <w:sz w:val="24"/>
        </w:rPr>
        <w:t>投标人</w:t>
      </w:r>
      <w:r>
        <w:rPr>
          <w:rFonts w:hint="eastAsia" w:ascii="宋体" w:hAnsi="宋体"/>
          <w:sz w:val="24"/>
        </w:rPr>
        <w:t>须按</w:t>
      </w:r>
      <w:r>
        <w:rPr>
          <w:rFonts w:hint="eastAsia" w:ascii="宋体" w:hAnsi="宋体" w:eastAsia="宋体"/>
          <w:sz w:val="24"/>
        </w:rPr>
        <w:t>严格按</w:t>
      </w:r>
      <w:r>
        <w:rPr>
          <w:rFonts w:hint="eastAsia" w:ascii="宋体" w:hAnsi="宋体"/>
          <w:sz w:val="24"/>
        </w:rPr>
        <w:t>照</w:t>
      </w:r>
      <w:r>
        <w:rPr>
          <w:rFonts w:hint="eastAsia" w:ascii="宋体" w:hAnsi="宋体" w:eastAsia="宋体"/>
          <w:sz w:val="24"/>
        </w:rPr>
        <w:t>招标</w:t>
      </w:r>
      <w:r>
        <w:rPr>
          <w:rFonts w:hint="eastAsia" w:ascii="宋体" w:hAnsi="宋体"/>
          <w:sz w:val="24"/>
        </w:rPr>
        <w:t>文件内容</w:t>
      </w:r>
      <w:r>
        <w:rPr>
          <w:rFonts w:hint="eastAsia" w:ascii="宋体" w:hAnsi="宋体" w:eastAsia="宋体"/>
          <w:sz w:val="24"/>
        </w:rPr>
        <w:t>及模版</w:t>
      </w:r>
      <w:r>
        <w:rPr>
          <w:rFonts w:hint="eastAsia" w:ascii="宋体" w:hAnsi="宋体"/>
          <w:sz w:val="24"/>
        </w:rPr>
        <w:t>要求制作</w:t>
      </w:r>
      <w:r>
        <w:rPr>
          <w:rFonts w:hint="eastAsia" w:ascii="宋体" w:hAnsi="宋体" w:eastAsia="宋体"/>
          <w:sz w:val="24"/>
        </w:rPr>
        <w:t>投标</w:t>
      </w:r>
      <w:r>
        <w:rPr>
          <w:rFonts w:hint="eastAsia" w:ascii="宋体" w:hAnsi="宋体"/>
          <w:sz w:val="24"/>
        </w:rPr>
        <w:t>文件</w:t>
      </w:r>
      <w:r>
        <w:rPr>
          <w:rFonts w:hint="eastAsia" w:ascii="宋体" w:hAnsi="宋体" w:eastAsia="宋体"/>
          <w:sz w:val="24"/>
        </w:rPr>
        <w:t>，并将盖</w:t>
      </w:r>
      <w:r>
        <w:rPr>
          <w:rFonts w:ascii="宋体" w:hAnsi="宋体" w:eastAsia="宋体"/>
          <w:sz w:val="24"/>
        </w:rPr>
        <w:t>公章扫描件</w:t>
      </w:r>
      <w:r>
        <w:rPr>
          <w:rFonts w:hint="eastAsia" w:ascii="宋体" w:hAnsi="宋体" w:eastAsia="宋体"/>
          <w:sz w:val="24"/>
        </w:rPr>
        <w:t>及分部分项工程量清单计价表电子版</w:t>
      </w:r>
      <w:r>
        <w:rPr>
          <w:rFonts w:ascii="宋体" w:hAnsi="宋体" w:eastAsia="宋体"/>
          <w:sz w:val="24"/>
        </w:rPr>
        <w:t>上传</w:t>
      </w:r>
      <w:r>
        <w:rPr>
          <w:rFonts w:hint="eastAsia" w:ascii="宋体" w:hAnsi="宋体" w:eastAsia="宋体"/>
          <w:sz w:val="24"/>
        </w:rPr>
        <w:t>至</w:t>
      </w:r>
      <w:r>
        <w:rPr>
          <w:rFonts w:ascii="宋体" w:hAnsi="宋体" w:eastAsia="宋体"/>
          <w:sz w:val="24"/>
        </w:rPr>
        <w:t>竞价系统</w:t>
      </w:r>
      <w:r>
        <w:rPr>
          <w:rFonts w:ascii="宋体" w:hAnsi="宋体" w:eastAsia="宋体"/>
          <w:b/>
          <w:sz w:val="24"/>
        </w:rPr>
        <w:t>。</w:t>
      </w:r>
    </w:p>
    <w:p w14:paraId="4A16B3A5">
      <w:pPr>
        <w:spacing w:line="360" w:lineRule="auto"/>
        <w:ind w:firstLine="480" w:firstLineChars="200"/>
        <w:rPr>
          <w:rFonts w:ascii="宋体" w:hAnsi="宋体" w:eastAsia="宋体"/>
          <w:sz w:val="24"/>
        </w:rPr>
      </w:pPr>
    </w:p>
    <w:p w14:paraId="00C3E732">
      <w:pPr>
        <w:spacing w:line="360" w:lineRule="auto"/>
        <w:ind w:firstLine="480" w:firstLineChars="200"/>
        <w:rPr>
          <w:rFonts w:ascii="宋体" w:hAnsi="宋体" w:eastAsia="宋体"/>
          <w:sz w:val="24"/>
        </w:rPr>
      </w:pPr>
      <w:r>
        <w:rPr>
          <w:rFonts w:hint="eastAsia" w:ascii="宋体" w:hAnsi="宋体" w:eastAsia="宋体"/>
          <w:sz w:val="24"/>
        </w:rPr>
        <w:t>咨询电话：</w:t>
      </w:r>
    </w:p>
    <w:p w14:paraId="1A0F5D79">
      <w:pPr>
        <w:spacing w:line="360" w:lineRule="auto"/>
        <w:ind w:firstLine="480" w:firstLineChars="200"/>
        <w:rPr>
          <w:rFonts w:asciiTheme="minorEastAsia" w:hAnsiTheme="minorEastAsia"/>
          <w:sz w:val="24"/>
        </w:rPr>
      </w:pPr>
      <w:r>
        <w:rPr>
          <w:rFonts w:hint="eastAsia" w:asciiTheme="minorEastAsia" w:hAnsiTheme="minorEastAsia"/>
          <w:sz w:val="24"/>
        </w:rPr>
        <w:t>能源</w:t>
      </w:r>
      <w:r>
        <w:rPr>
          <w:rFonts w:asciiTheme="minorEastAsia" w:hAnsiTheme="minorEastAsia"/>
          <w:sz w:val="24"/>
        </w:rPr>
        <w:t>与修缮管理中心</w:t>
      </w:r>
      <w:r>
        <w:rPr>
          <w:rFonts w:hint="eastAsia" w:asciiTheme="minorEastAsia" w:hAnsiTheme="minorEastAsia"/>
          <w:sz w:val="24"/>
        </w:rPr>
        <w:t>曾老师0755</w:t>
      </w:r>
      <w:r>
        <w:rPr>
          <w:rFonts w:asciiTheme="minorEastAsia" w:hAnsiTheme="minorEastAsia"/>
          <w:sz w:val="24"/>
        </w:rPr>
        <w:t>-26535310</w:t>
      </w:r>
      <w:r>
        <w:rPr>
          <w:rFonts w:hint="eastAsia" w:asciiTheme="minorEastAsia" w:hAnsiTheme="minorEastAsia"/>
          <w:sz w:val="24"/>
        </w:rPr>
        <w:t>(施工内容，工程量清单，图纸等)</w:t>
      </w:r>
    </w:p>
    <w:p w14:paraId="02B9CC95">
      <w:pPr>
        <w:spacing w:line="360" w:lineRule="auto"/>
        <w:ind w:firstLine="480" w:firstLineChars="200"/>
        <w:rPr>
          <w:rFonts w:ascii="宋体" w:hAnsi="宋体" w:eastAsia="宋体"/>
          <w:sz w:val="24"/>
        </w:rPr>
      </w:pPr>
      <w:r>
        <w:rPr>
          <w:rFonts w:hint="eastAsia" w:ascii="宋体" w:hAnsi="宋体" w:eastAsia="宋体"/>
          <w:sz w:val="24"/>
        </w:rPr>
        <w:t>招投标管理办余老师0</w:t>
      </w:r>
      <w:r>
        <w:rPr>
          <w:rFonts w:ascii="宋体" w:hAnsi="宋体" w:eastAsia="宋体"/>
          <w:sz w:val="24"/>
        </w:rPr>
        <w:t>755-26534476 (</w:t>
      </w:r>
      <w:r>
        <w:rPr>
          <w:rFonts w:hint="eastAsia" w:ascii="宋体" w:hAnsi="宋体" w:eastAsia="宋体"/>
          <w:sz w:val="24"/>
        </w:rPr>
        <w:t>招投标程序流程，响应文件要求等</w:t>
      </w:r>
      <w:r>
        <w:rPr>
          <w:rFonts w:ascii="宋体" w:hAnsi="宋体" w:eastAsia="宋体"/>
          <w:sz w:val="24"/>
        </w:rPr>
        <w:t>)</w:t>
      </w:r>
    </w:p>
    <w:p w14:paraId="320756AB">
      <w:pPr>
        <w:spacing w:line="360" w:lineRule="auto"/>
        <w:ind w:firstLine="482"/>
        <w:rPr>
          <w:rFonts w:asciiTheme="minorEastAsia" w:hAnsiTheme="minorEastAsia"/>
          <w:sz w:val="24"/>
        </w:rPr>
      </w:pPr>
      <w:r>
        <w:rPr>
          <w:rFonts w:hint="eastAsia" w:asciiTheme="minorEastAsia" w:hAnsiTheme="minorEastAsia"/>
          <w:sz w:val="24"/>
        </w:rPr>
        <w:t>八、领取成交通知书及合同签订</w:t>
      </w:r>
    </w:p>
    <w:p w14:paraId="6546CCBF">
      <w:pPr>
        <w:spacing w:line="360" w:lineRule="auto"/>
        <w:ind w:firstLine="480" w:firstLineChars="200"/>
        <w:rPr>
          <w:rFonts w:asciiTheme="minorEastAsia" w:hAnsiTheme="minorEastAsia"/>
          <w:sz w:val="24"/>
        </w:rPr>
      </w:pPr>
      <w:r>
        <w:rPr>
          <w:rFonts w:hint="eastAsia" w:asciiTheme="minorEastAsia" w:hAnsiTheme="minorEastAsia"/>
          <w:sz w:val="24"/>
        </w:rPr>
        <w:t>竞价结果</w:t>
      </w:r>
      <w:r>
        <w:rPr>
          <w:rFonts w:asciiTheme="minorEastAsia" w:hAnsiTheme="minorEastAsia"/>
          <w:sz w:val="24"/>
        </w:rPr>
        <w:t>公布</w:t>
      </w:r>
      <w:r>
        <w:rPr>
          <w:rFonts w:hint="eastAsia" w:asciiTheme="minorEastAsia" w:hAnsiTheme="minorEastAsia"/>
          <w:sz w:val="24"/>
        </w:rPr>
        <w:t>后，在后勤楼</w:t>
      </w:r>
      <w:r>
        <w:rPr>
          <w:rFonts w:asciiTheme="minorEastAsia" w:hAnsiTheme="minorEastAsia"/>
          <w:sz w:val="24"/>
        </w:rPr>
        <w:t>501</w:t>
      </w:r>
      <w:r>
        <w:rPr>
          <w:rFonts w:hint="eastAsia" w:asciiTheme="minorEastAsia" w:hAnsiTheme="minorEastAsia"/>
          <w:sz w:val="24"/>
        </w:rPr>
        <w:t>领取成交通知书。领取成交通知书后三十日内与采购人签订采购合同，</w:t>
      </w:r>
      <w:r>
        <w:rPr>
          <w:rFonts w:asciiTheme="minorEastAsia" w:hAnsiTheme="minorEastAsia"/>
          <w:sz w:val="24"/>
        </w:rPr>
        <w:t>联系人</w:t>
      </w:r>
      <w:r>
        <w:rPr>
          <w:rFonts w:hint="eastAsia" w:asciiTheme="minorEastAsia" w:hAnsiTheme="minorEastAsia"/>
          <w:sz w:val="24"/>
        </w:rPr>
        <w:t>：能源</w:t>
      </w:r>
      <w:r>
        <w:rPr>
          <w:rFonts w:asciiTheme="minorEastAsia" w:hAnsiTheme="minorEastAsia"/>
          <w:sz w:val="24"/>
        </w:rPr>
        <w:t>与修缮管理中心</w:t>
      </w:r>
      <w:r>
        <w:rPr>
          <w:rFonts w:hint="eastAsia" w:asciiTheme="minorEastAsia" w:hAnsiTheme="minorEastAsia"/>
          <w:sz w:val="24"/>
        </w:rPr>
        <w:t>刘老师0755</w:t>
      </w:r>
      <w:r>
        <w:rPr>
          <w:rFonts w:asciiTheme="minorEastAsia" w:hAnsiTheme="minorEastAsia"/>
          <w:sz w:val="24"/>
        </w:rPr>
        <w:t>-26733201</w:t>
      </w:r>
      <w:r>
        <w:rPr>
          <w:rFonts w:hint="eastAsia" w:asciiTheme="minorEastAsia" w:hAnsiTheme="minorEastAsia"/>
          <w:sz w:val="24"/>
        </w:rPr>
        <w:t>。</w:t>
      </w:r>
    </w:p>
    <w:p w14:paraId="71152906">
      <w:pPr>
        <w:widowControl/>
        <w:jc w:val="left"/>
        <w:rPr>
          <w:rFonts w:asciiTheme="minorEastAsia" w:hAnsiTheme="minorEastAsia"/>
          <w:sz w:val="24"/>
        </w:rPr>
      </w:pPr>
      <w:r>
        <w:rPr>
          <w:rFonts w:asciiTheme="minorEastAsia" w:hAnsiTheme="minorEastAsia"/>
          <w:sz w:val="24"/>
        </w:rPr>
        <w:br w:type="page"/>
      </w:r>
    </w:p>
    <w:p w14:paraId="76EE4B4C">
      <w:pPr>
        <w:pStyle w:val="2"/>
        <w:jc w:val="center"/>
      </w:pPr>
      <w:r>
        <w:rPr>
          <w:rFonts w:hint="eastAsia"/>
        </w:rPr>
        <w:t>竞价须知</w:t>
      </w:r>
    </w:p>
    <w:p w14:paraId="2788371D">
      <w:pPr>
        <w:pStyle w:val="3"/>
      </w:pPr>
      <w:r>
        <w:t>一、</w:t>
      </w:r>
      <w:r>
        <w:rPr>
          <w:rFonts w:hint="eastAsia"/>
        </w:rPr>
        <w:t>项目概况：</w:t>
      </w:r>
    </w:p>
    <w:p w14:paraId="61B71982">
      <w:pPr>
        <w:spacing w:line="360" w:lineRule="auto"/>
        <w:ind w:firstLine="480" w:firstLineChars="200"/>
        <w:rPr>
          <w:rStyle w:val="10"/>
          <w:rFonts w:cs="宋体" w:asciiTheme="minorEastAsia" w:hAnsiTheme="minorEastAsia"/>
          <w:sz w:val="24"/>
          <w:szCs w:val="24"/>
        </w:rPr>
      </w:pPr>
      <w:r>
        <w:rPr>
          <w:rFonts w:asciiTheme="minorEastAsia" w:hAnsiTheme="minorEastAsia"/>
          <w:sz w:val="24"/>
          <w:szCs w:val="24"/>
        </w:rPr>
        <w:t>1、项目概况</w:t>
      </w:r>
      <w:r>
        <w:rPr>
          <w:rStyle w:val="10"/>
          <w:rFonts w:hint="eastAsia" w:cs="宋体" w:asciiTheme="minorEastAsia" w:hAnsiTheme="minorEastAsia"/>
          <w:sz w:val="24"/>
          <w:szCs w:val="24"/>
        </w:rPr>
        <w:t>：</w:t>
      </w:r>
      <w:r>
        <w:rPr>
          <w:rStyle w:val="10"/>
          <w:rFonts w:cs="宋体" w:asciiTheme="minorEastAsia" w:hAnsiTheme="minorEastAsia"/>
          <w:sz w:val="24"/>
          <w:szCs w:val="24"/>
        </w:rPr>
        <w:t>拆除路面石材，铺贴芝麻灰石材。</w:t>
      </w:r>
      <w:r>
        <w:rPr>
          <w:rStyle w:val="10"/>
          <w:rFonts w:hint="eastAsia" w:cs="宋体" w:asciiTheme="minorEastAsia" w:hAnsiTheme="minorEastAsia"/>
          <w:sz w:val="24"/>
          <w:szCs w:val="24"/>
        </w:rPr>
        <w:t>。</w:t>
      </w:r>
    </w:p>
    <w:p w14:paraId="0A1B8019">
      <w:pPr>
        <w:spacing w:line="360" w:lineRule="auto"/>
        <w:ind w:firstLine="480" w:firstLineChars="200"/>
        <w:rPr>
          <w:rFonts w:asciiTheme="minorEastAsia" w:hAnsiTheme="minorEastAsia"/>
          <w:sz w:val="24"/>
          <w:szCs w:val="24"/>
        </w:rPr>
      </w:pPr>
      <w:r>
        <w:rPr>
          <w:rFonts w:asciiTheme="minorEastAsia" w:hAnsiTheme="minorEastAsia"/>
          <w:sz w:val="24"/>
          <w:szCs w:val="24"/>
        </w:rPr>
        <w:t>2、采购方：深圳大学</w:t>
      </w:r>
      <w:r>
        <w:rPr>
          <w:rFonts w:hint="eastAsia" w:asciiTheme="minorEastAsia" w:hAnsiTheme="minorEastAsia"/>
          <w:sz w:val="24"/>
          <w:szCs w:val="24"/>
        </w:rPr>
        <w:t>后勤保障部</w:t>
      </w:r>
      <w:r>
        <w:rPr>
          <w:rFonts w:asciiTheme="minorEastAsia" w:hAnsiTheme="minorEastAsia"/>
          <w:sz w:val="24"/>
          <w:szCs w:val="24"/>
        </w:rPr>
        <w:t xml:space="preserve"> </w:t>
      </w:r>
    </w:p>
    <w:p w14:paraId="04B30AFD">
      <w:pPr>
        <w:spacing w:line="360" w:lineRule="auto"/>
        <w:ind w:firstLine="480" w:firstLineChars="200"/>
        <w:rPr>
          <w:rFonts w:asciiTheme="minorEastAsia" w:hAnsiTheme="minorEastAsia"/>
          <w:sz w:val="24"/>
          <w:szCs w:val="24"/>
        </w:rPr>
      </w:pPr>
      <w:r>
        <w:rPr>
          <w:rFonts w:asciiTheme="minorEastAsia" w:hAnsiTheme="minorEastAsia"/>
          <w:sz w:val="24"/>
          <w:szCs w:val="24"/>
        </w:rPr>
        <w:t>3、工期要求：</w:t>
      </w:r>
      <w:r>
        <w:rPr>
          <w:rFonts w:hint="eastAsia" w:cs="宋体" w:asciiTheme="minorEastAsia" w:hAnsiTheme="minorEastAsia"/>
          <w:sz w:val="24"/>
          <w:szCs w:val="24"/>
        </w:rPr>
        <w:t>总工期为</w:t>
      </w:r>
      <w:r>
        <w:rPr>
          <w:rFonts w:cs="宋体" w:asciiTheme="minorEastAsia" w:hAnsiTheme="minorEastAsia"/>
          <w:sz w:val="24"/>
          <w:szCs w:val="24"/>
        </w:rPr>
        <w:t>20</w:t>
      </w:r>
      <w:r>
        <w:rPr>
          <w:rFonts w:hint="eastAsia" w:cs="宋体" w:asciiTheme="minorEastAsia" w:hAnsiTheme="minorEastAsia"/>
          <w:sz w:val="24"/>
          <w:szCs w:val="24"/>
        </w:rPr>
        <w:t>天以内，具体开工时间以采购方通知为准。</w:t>
      </w:r>
    </w:p>
    <w:p w14:paraId="1B651B77">
      <w:pPr>
        <w:spacing w:line="360" w:lineRule="auto"/>
        <w:ind w:firstLine="480" w:firstLineChars="200"/>
        <w:rPr>
          <w:rFonts w:asciiTheme="minorEastAsia" w:hAnsiTheme="minorEastAsia"/>
          <w:sz w:val="24"/>
          <w:szCs w:val="24"/>
        </w:rPr>
      </w:pPr>
      <w:r>
        <w:rPr>
          <w:rFonts w:asciiTheme="minorEastAsia" w:hAnsiTheme="minorEastAsia"/>
          <w:sz w:val="24"/>
          <w:szCs w:val="24"/>
        </w:rPr>
        <w:t>4、合同方式：</w:t>
      </w:r>
    </w:p>
    <w:p w14:paraId="6C458DAB">
      <w:pPr>
        <w:spacing w:before="120" w:after="160"/>
        <w:ind w:firstLine="480" w:firstLineChars="200"/>
        <w:jc w:val="left"/>
        <w:rPr>
          <w:rFonts w:asciiTheme="minorEastAsia" w:hAnsiTheme="minorEastAsia"/>
          <w:sz w:val="24"/>
          <w:szCs w:val="24"/>
        </w:rPr>
      </w:pPr>
      <w:r>
        <w:rPr>
          <w:rFonts w:asciiTheme="minorEastAsia" w:hAnsiTheme="minorEastAsia"/>
          <w:sz w:val="24"/>
          <w:szCs w:val="24"/>
        </w:rPr>
        <w:t>固定单价合同，工程结算时，项目单价不做调整，按实际完成的工程量结算</w:t>
      </w:r>
      <w:r>
        <w:rPr>
          <w:rFonts w:hint="eastAsia" w:cs="宋体" w:asciiTheme="minorEastAsia" w:hAnsiTheme="minorEastAsia"/>
          <w:sz w:val="24"/>
          <w:szCs w:val="24"/>
        </w:rPr>
        <w:t>。</w:t>
      </w:r>
    </w:p>
    <w:p w14:paraId="3BA67987">
      <w:pPr>
        <w:spacing w:before="120" w:after="160"/>
        <w:jc w:val="left"/>
        <w:rPr>
          <w:rFonts w:ascii="仿宋" w:hAnsi="仿宋" w:eastAsia="仿宋"/>
          <w:sz w:val="24"/>
          <w:szCs w:val="24"/>
        </w:rPr>
      </w:pPr>
    </w:p>
    <w:p w14:paraId="0D2BBC46">
      <w:pPr>
        <w:pStyle w:val="3"/>
      </w:pPr>
      <w:r>
        <w:rPr>
          <w:rFonts w:hint="eastAsia"/>
        </w:rPr>
        <w:t>二、项目技术要求</w:t>
      </w:r>
    </w:p>
    <w:p w14:paraId="0AC4CC11">
      <w:pPr>
        <w:spacing w:line="360" w:lineRule="auto"/>
        <w:ind w:left="-2" w:leftChars="-1" w:firstLine="360" w:firstLineChars="15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、主要工作：</w:t>
      </w:r>
      <w:r>
        <w:rPr>
          <w:rFonts w:asciiTheme="minorEastAsia" w:hAnsiTheme="minorEastAsia"/>
          <w:sz w:val="24"/>
          <w:szCs w:val="24"/>
        </w:rPr>
        <w:t>拆除路面石材，铺贴芝麻灰石材。</w:t>
      </w:r>
      <w:r>
        <w:rPr>
          <w:rFonts w:hint="eastAsia" w:asciiTheme="minorEastAsia" w:hAnsiTheme="minorEastAsia"/>
          <w:sz w:val="24"/>
          <w:szCs w:val="24"/>
        </w:rPr>
        <w:t>。</w:t>
      </w:r>
    </w:p>
    <w:p w14:paraId="49960920">
      <w:pPr>
        <w:spacing w:line="360" w:lineRule="auto"/>
        <w:ind w:left="-2" w:leftChars="-1" w:firstLine="360" w:firstLineChars="15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、主材参考品牌</w:t>
      </w:r>
      <w:r>
        <w:rPr>
          <w:rFonts w:hint="eastAsia" w:asciiTheme="minorEastAsia" w:hAnsiTheme="minorEastAsia"/>
          <w:sz w:val="24"/>
          <w:szCs w:val="24"/>
        </w:rPr>
        <w:t>详见《</w:t>
      </w:r>
      <w:r>
        <w:rPr>
          <w:rFonts w:asciiTheme="minorEastAsia" w:hAnsiTheme="minorEastAsia"/>
          <w:b/>
          <w:bCs/>
          <w:sz w:val="24"/>
          <w:szCs w:val="24"/>
        </w:rPr>
        <w:t>施工主要材料参考品牌</w:t>
      </w:r>
      <w:r>
        <w:rPr>
          <w:rFonts w:hint="eastAsia" w:asciiTheme="minorEastAsia" w:hAnsiTheme="minorEastAsia" w:cstheme="majorBidi"/>
          <w:b/>
          <w:sz w:val="24"/>
          <w:szCs w:val="24"/>
        </w:rPr>
        <w:t>》。</w:t>
      </w:r>
    </w:p>
    <w:p w14:paraId="0749E7FF">
      <w:pPr>
        <w:pStyle w:val="3"/>
        <w:spacing w:before="156" w:beforeLines="50" w:after="156" w:afterLines="50"/>
        <w:rPr>
          <w:b w:val="0"/>
          <w:bCs w:val="0"/>
          <w:sz w:val="28"/>
          <w:szCs w:val="28"/>
        </w:rPr>
      </w:pPr>
      <w:bookmarkStart w:id="0" w:name="_Toc82421277"/>
      <w:bookmarkStart w:id="1" w:name="_Toc82421170"/>
      <w:r>
        <w:rPr>
          <w:rFonts w:hint="eastAsia" w:eastAsia="宋体" w:cs="宋体"/>
          <w:sz w:val="28"/>
          <w:szCs w:val="28"/>
        </w:rPr>
        <w:t>三</w:t>
      </w:r>
      <w:r>
        <w:rPr>
          <w:rFonts w:hint="eastAsia"/>
          <w:sz w:val="28"/>
          <w:szCs w:val="28"/>
        </w:rPr>
        <w:t>、项目商务要求</w:t>
      </w:r>
      <w:bookmarkEnd w:id="0"/>
      <w:bookmarkEnd w:id="1"/>
    </w:p>
    <w:p w14:paraId="1F138153">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（一）、付款方式</w:t>
      </w:r>
    </w:p>
    <w:p w14:paraId="58872173">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本工程不支付预付款，当工程完工通过验收经工程结算审核完毕后，乙方提交质量保证金（合同价款的3%）及合法</w:t>
      </w:r>
      <w:r>
        <w:rPr>
          <w:rFonts w:ascii="宋体" w:hAnsi="宋体"/>
          <w:sz w:val="24"/>
          <w:szCs w:val="24"/>
        </w:rPr>
        <w:t>有效等额</w:t>
      </w:r>
      <w:r>
        <w:rPr>
          <w:rFonts w:hint="eastAsia" w:ascii="宋体" w:hAnsi="宋体"/>
          <w:sz w:val="24"/>
          <w:szCs w:val="24"/>
        </w:rPr>
        <w:t>发票后，甲方按结算审核价一次性付清工程款。</w:t>
      </w:r>
    </w:p>
    <w:p w14:paraId="2F438513">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（二）、项目保修要求</w:t>
      </w:r>
    </w:p>
    <w:p w14:paraId="59B5368F">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1.中标人须与采购方签署《工程质量保修书》。</w:t>
      </w:r>
    </w:p>
    <w:p w14:paraId="46ED53A7">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2.中标人应建立健全工程质量保修制度，明确保修责任人和联系人，制定质量保修方案，在竣工验收前报采购方和使用单位。保修责任人和联系人必须为中标人的正式员工，提供中标人固定电话和责任人、联系人移动电话。变更责任人和联系人时，须经采购方批准，并及时书面告知使用单位。</w:t>
      </w:r>
    </w:p>
    <w:p w14:paraId="068D08AB">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3.发现质量缺陷，中标人应自接到保修通知书后2日内达到现场核查情况、开展保修工作。一般问题3日内处理完毕，复杂问题根据实际情况提出保修方案和修复期限，报采购方、使用单位、监理方（如有）认可后实施。质量保修完成后，由监理方（如有）组织验收，采购方参与。</w:t>
      </w:r>
    </w:p>
    <w:p w14:paraId="3F93236D">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4.发生涉及结构安全或者严重影响使用功能的紧急抢修事故，中标人接到电话通知后，应当立即到达现场抢修。</w:t>
      </w:r>
    </w:p>
    <w:p w14:paraId="5DD57DF4">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5.中标人自接到保修通知书后2日内未达到现场或维修两次仍未解决问题的，可由采购方另行委托单位进行保修，费用从质量保证金中扣除。此种情况并不免除中标人的保修责任。</w:t>
      </w:r>
    </w:p>
    <w:p w14:paraId="18EF62AA">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6.中标人不及时履行保修义务或履行保修义务不力的，给予警告；警告无效的，同时采购方将提请招标人对其作不良行为记录。</w:t>
      </w:r>
    </w:p>
    <w:p w14:paraId="73FD8426">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7.质量保修金退还：工程竣工验收合格之日起，装饰装修工程满两年（含防水的工程满五年），由中标人提出申请办理退还手续。</w:t>
      </w:r>
    </w:p>
    <w:p w14:paraId="73FF3D6E">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（三）质量考核验收标准及违约金：</w:t>
      </w:r>
    </w:p>
    <w:p w14:paraId="55B7534C">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本工程质量应达到国家质量评定合格标准:《建筑装饰装修工程质量验收标准》(GB50210-2018)、《建筑工程工质量验收统一标准》(GB50300-2013)等国家制定的现行施工及验收规范作为本工程质量评定验收标准；同时也应该达到深圳市相关工程质量验收标准。当国家和深圳市的验收标准不一致时，以较严的标准为准。施工前主要材料、设备、施工样板必须经采购方确认后才能施工，否则相关损失和责任由中标人自行承担。</w:t>
      </w:r>
    </w:p>
    <w:p w14:paraId="031EE79C">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2.工程具备隐蔽条件或中间验收，中标人须于正式隐蔽或中间验收前48小时以书面形式通知采购方工程师和（或）监理方（如有）验收，通知包括隐蔽和中间验收的内容、验收时间和地点。中标人进行验收记录，验收合格，采购方和（或）监理方（如有）在验收记录上签字后，中标人可进行隐蔽和继续施工；验收不合格，中标人在采购方限定的时间内修改后按照前述流程重新组织验收。由此造成的工期延误责任及使采购方遭受经济损失的均由中标人自行承担。</w:t>
      </w:r>
    </w:p>
    <w:p w14:paraId="639CD378">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3.由于中标人原因造成质量事故，其返工费用由中标人承担，工期不予顺延。同时，中标人还应赔偿因此给采购方造成的损失。</w:t>
      </w:r>
    </w:p>
    <w:p w14:paraId="7F9FCA4E">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 xml:space="preserve">4.本工程具备竣工验收条件后 7 天内，中标人应按国家住房和城乡建设部、广东省及深圳市的有关规定和采购方的要求编制工程竣工验收资料，向采购方委派的监理方（如有）提供完整竣工验收资料 </w:t>
      </w:r>
      <w:r>
        <w:rPr>
          <w:rFonts w:ascii="宋体" w:hAnsi="宋体"/>
          <w:sz w:val="24"/>
          <w:szCs w:val="24"/>
        </w:rPr>
        <w:t>2</w:t>
      </w:r>
      <w:r>
        <w:rPr>
          <w:rFonts w:hint="eastAsia" w:ascii="宋体" w:hAnsi="宋体"/>
          <w:sz w:val="24"/>
          <w:szCs w:val="24"/>
        </w:rPr>
        <w:t xml:space="preserve"> 套。监理方（如有）收到竣工验收资料后，应在 3 天内审核，若不符合要求，监理方（如有）可提出修改意见。中标人按要求修改合格后报监理方（如有），监理方（如有）在收到中标人的竣工验收报告后 3 天内应组织有关单位进行初步验收，并在 5 天内对工程质量予以认可或提出修改意见。中标人按要求修改，并承担由其自身原因造成的修改费用。竣工验收由采购方主持，并成立竣工验收小组组织竣工验收工作。编制竣工图、竣工资料的费用均由中标人承担。</w:t>
      </w:r>
    </w:p>
    <w:p w14:paraId="74F72278">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5.竣工验收资料包括全部工程的竣工图纸和施工原始记录、照片和相应的电子文件等资料，以及经确认的深化设计图纸和技术资料。各类分包工程的竣工资料均由中标人负责编制、指导、审阅、汇总、整理、归档，按照城建档案资料验收要求提供竣工资料并承担相关工作，协助采购方办理相关验收手续，包括但不限于组织和参加相关的会议、竣工资料的重新整理编制、提供服务等，费用由中标人自行承担。</w:t>
      </w:r>
    </w:p>
    <w:p w14:paraId="0D91E05A">
      <w:pPr>
        <w:pStyle w:val="4"/>
        <w:spacing w:before="78" w:beforeLines="25" w:after="78" w:afterLines="25"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xml:space="preserve">工程竣工验收合格后，中标人应在3天内进行场地的移交。中标人不按时向采购方移交本工程的，每延迟一天，中标人向采购方支付违约金 </w:t>
      </w:r>
      <w:r>
        <w:rPr>
          <w:rFonts w:ascii="宋体" w:hAnsi="宋体"/>
          <w:sz w:val="24"/>
          <w:szCs w:val="24"/>
        </w:rPr>
        <w:t>2</w:t>
      </w:r>
      <w:r>
        <w:rPr>
          <w:rFonts w:hint="eastAsia" w:ascii="宋体" w:hAnsi="宋体"/>
          <w:sz w:val="24"/>
          <w:szCs w:val="24"/>
        </w:rPr>
        <w:t>000元。</w:t>
      </w:r>
    </w:p>
    <w:p w14:paraId="41700D60">
      <w:pPr>
        <w:pStyle w:val="4"/>
        <w:spacing w:before="78" w:beforeLines="25" w:after="78" w:afterLines="25" w:line="360" w:lineRule="auto"/>
        <w:ind w:firstLine="0"/>
        <w:rPr>
          <w:rFonts w:ascii="宋体" w:hAnsi="宋体"/>
          <w:sz w:val="24"/>
          <w:szCs w:val="24"/>
        </w:rPr>
      </w:pPr>
      <w:r>
        <w:rPr>
          <w:rFonts w:hint="eastAsia" w:ascii="宋体" w:hAnsi="宋体"/>
          <w:sz w:val="24"/>
          <w:szCs w:val="24"/>
        </w:rPr>
        <w:t>（四）项目管理要求：</w:t>
      </w:r>
    </w:p>
    <w:p w14:paraId="30B8A970">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1.中标人必须作好施工记录、隐蔽工程记录、施工资料的整理、竣工资料的编制等工作。</w:t>
      </w:r>
    </w:p>
    <w:p w14:paraId="4D0F2211">
      <w:pPr>
        <w:pStyle w:val="4"/>
        <w:spacing w:before="78" w:beforeLines="25" w:after="78" w:afterLines="25" w:line="360" w:lineRule="auto"/>
        <w:ind w:firstLine="480" w:firstLineChars="200"/>
        <w:rPr>
          <w:rFonts w:ascii="宋体" w:hAnsi="宋体"/>
          <w:sz w:val="24"/>
          <w:szCs w:val="24"/>
        </w:rPr>
      </w:pPr>
      <w:r>
        <w:rPr>
          <w:rFonts w:hint="eastAsia" w:ascii="宋体" w:hAnsi="宋体"/>
          <w:sz w:val="24"/>
          <w:szCs w:val="24"/>
        </w:rPr>
        <w:t>2.安全文明施工：</w:t>
      </w:r>
    </w:p>
    <w:p w14:paraId="7ADBD6F0">
      <w:pPr>
        <w:pStyle w:val="4"/>
        <w:numPr>
          <w:ilvl w:val="0"/>
          <w:numId w:val="2"/>
        </w:numPr>
        <w:spacing w:before="78" w:beforeLines="25" w:after="78" w:afterLines="25" w:line="360" w:lineRule="auto"/>
        <w:ind w:firstLine="482"/>
        <w:rPr>
          <w:rFonts w:ascii="宋体" w:hAnsi="宋体"/>
          <w:sz w:val="24"/>
          <w:szCs w:val="24"/>
        </w:rPr>
      </w:pPr>
      <w:r>
        <w:rPr>
          <w:rFonts w:hint="eastAsia" w:ascii="宋体" w:hAnsi="宋体"/>
          <w:sz w:val="24"/>
          <w:szCs w:val="24"/>
        </w:rPr>
        <w:t>中标人必须在施工现场显眼位置设置正规施工警示牌、工程概况牌，标注“温馨提示”语言。靠近人行通道边（或采购方以为有必要的其他周边）必须用整齐美观的板材（或水马）围护密封施工。</w:t>
      </w:r>
    </w:p>
    <w:p w14:paraId="70F6B6EA">
      <w:pPr>
        <w:pStyle w:val="4"/>
        <w:numPr>
          <w:ilvl w:val="0"/>
          <w:numId w:val="2"/>
        </w:numPr>
        <w:spacing w:before="78" w:beforeLines="25" w:after="78" w:afterLines="25" w:line="360" w:lineRule="auto"/>
        <w:ind w:firstLine="482"/>
        <w:rPr>
          <w:rFonts w:ascii="宋体" w:hAnsi="宋体"/>
          <w:sz w:val="24"/>
          <w:szCs w:val="24"/>
        </w:rPr>
      </w:pPr>
      <w:r>
        <w:rPr>
          <w:rFonts w:hint="eastAsia" w:ascii="宋体" w:hAnsi="宋体"/>
          <w:sz w:val="24"/>
          <w:szCs w:val="24"/>
        </w:rPr>
        <w:t>中标人施工必须达到有关部门规定的安全文明施工标准，服从学校管理各项规定要求，避免干扰学校正常工作秩序，认真做好施工现场防护、防火、噪音、用电等安全文明施工各项管理工作，承担相应一切责任，确保施工场地区域道路通畅，保持施工现场整洁，做到工完场清，达到国家卫生城市标准。</w:t>
      </w:r>
    </w:p>
    <w:p w14:paraId="1815F2EA">
      <w:pPr>
        <w:pStyle w:val="4"/>
        <w:numPr>
          <w:ilvl w:val="0"/>
          <w:numId w:val="2"/>
        </w:numPr>
        <w:spacing w:before="78" w:beforeLines="25" w:after="78" w:afterLines="25" w:line="360" w:lineRule="auto"/>
        <w:ind w:firstLine="482"/>
        <w:rPr>
          <w:rFonts w:ascii="宋体" w:hAnsi="宋体"/>
          <w:sz w:val="24"/>
          <w:szCs w:val="24"/>
        </w:rPr>
      </w:pPr>
      <w:r>
        <w:rPr>
          <w:rFonts w:hint="eastAsia" w:ascii="宋体" w:hAnsi="宋体"/>
          <w:sz w:val="24"/>
          <w:szCs w:val="24"/>
        </w:rPr>
        <w:t>中标人必须在施工过程中注意自身及周边安全，做好现场及周边安全设施搭设，遵守有关安全保护规程，负责施工过程中的所有事故处理和费用。</w:t>
      </w:r>
    </w:p>
    <w:p w14:paraId="2C4AFC72">
      <w:pPr>
        <w:pStyle w:val="4"/>
        <w:spacing w:before="78" w:beforeLines="25" w:after="78" w:afterLines="25" w:line="360" w:lineRule="auto"/>
        <w:ind w:left="840" w:firstLine="482"/>
        <w:rPr>
          <w:rFonts w:ascii="宋体" w:hAnsi="宋体"/>
          <w:sz w:val="24"/>
          <w:szCs w:val="24"/>
        </w:rPr>
      </w:pPr>
      <w:r>
        <w:rPr>
          <w:rFonts w:hint="eastAsia" w:ascii="宋体" w:hAnsi="宋体"/>
          <w:sz w:val="24"/>
          <w:szCs w:val="24"/>
        </w:rPr>
        <w:t>前述三条相关安全文明措施费用，应包含在投标人的投标总价内。一旦中标，中标人不得以任何理由提出增加该费用；或不按本要求执行的，采购方有权要求中标人整改，直至整改到位后方可施工，由此引起的工期延误由中标人负责。</w:t>
      </w:r>
    </w:p>
    <w:p w14:paraId="346460EB">
      <w:pPr>
        <w:pStyle w:val="4"/>
        <w:spacing w:before="78" w:beforeLines="25" w:after="78" w:afterLines="25"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.中标人必须服从采购方，监理方（如有）的监督、指导并积极主动配合上述管理机构的工作。</w:t>
      </w:r>
    </w:p>
    <w:p w14:paraId="5172FD71">
      <w:pPr>
        <w:pStyle w:val="4"/>
        <w:spacing w:before="78" w:beforeLines="25" w:after="78" w:afterLines="25"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.中标人施工时须提供材料样板，经采购方最终确认后，方可进场使用，中标人所提供的样板或厂家应符合设计图纸要求及采购方确认要求，如中标人不能提供的可由采购方根据市场考察情况确认并实施。</w:t>
      </w:r>
    </w:p>
    <w:p w14:paraId="6799A5C0">
      <w:pPr>
        <w:pStyle w:val="4"/>
        <w:spacing w:before="78" w:beforeLines="25" w:after="78" w:afterLines="25"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.用在本工程的任何材料在使用前必须得到采购方的批准，样品须在大批订货前送审。获准的样品存放在工地，作为以后验收材料的标准。样品和其包装，由中标人无偿提供。</w:t>
      </w:r>
    </w:p>
    <w:p w14:paraId="6D288141">
      <w:pPr>
        <w:pStyle w:val="4"/>
        <w:spacing w:before="78" w:beforeLines="25" w:after="78" w:afterLines="25"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.实行项目经理负责制，并按投标文件配备项目管理班子。如未经采购方同意更换项目班子成员，采购方有权取消中标人的中标资格或单方面终止合同，由此造成的违约责任由中标人承担。</w:t>
      </w:r>
    </w:p>
    <w:p w14:paraId="231B6A5B">
      <w:pPr>
        <w:pStyle w:val="4"/>
        <w:spacing w:before="78" w:beforeLines="25" w:after="78" w:afterLines="25"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鉴于中标人所负责的工程都在校园内的特殊性，为确保校园优美的学习和工作环境不受影响，中标人在进场施工前，必须与项目组所有人员进行安全文明施工交底，确保做到工完场清，施工期间做到除尘除噪，及时处理施工、生活垃圾，否则将按照规定予以</w:t>
      </w:r>
      <w:r>
        <w:rPr>
          <w:rFonts w:hint="eastAsia" w:ascii="宋体" w:hAnsi="宋体" w:cs="宋体"/>
          <w:sz w:val="24"/>
          <w:szCs w:val="24"/>
          <w:lang w:bidi="ar"/>
        </w:rPr>
        <w:t>处分或要求乙方支付违约金</w:t>
      </w:r>
      <w:r>
        <w:rPr>
          <w:rFonts w:hint="eastAsia" w:ascii="宋体" w:hAnsi="宋体"/>
          <w:sz w:val="24"/>
          <w:szCs w:val="24"/>
        </w:rPr>
        <w:t>。</w:t>
      </w:r>
    </w:p>
    <w:p w14:paraId="4106B281">
      <w:pPr>
        <w:pStyle w:val="4"/>
        <w:spacing w:before="78" w:beforeLines="25" w:after="78" w:afterLines="25" w:line="360" w:lineRule="auto"/>
        <w:ind w:firstLine="482" w:firstLineChars="200"/>
        <w:rPr>
          <w:rFonts w:ascii="宋体" w:hAnsi="宋体"/>
          <w:b/>
          <w:bCs/>
          <w:sz w:val="24"/>
          <w:szCs w:val="24"/>
        </w:rPr>
      </w:pPr>
      <w:r>
        <w:rPr>
          <w:rFonts w:ascii="宋体" w:hAnsi="宋体"/>
          <w:b/>
          <w:bCs/>
          <w:sz w:val="24"/>
          <w:szCs w:val="24"/>
        </w:rPr>
        <w:t>8</w:t>
      </w:r>
      <w:r>
        <w:rPr>
          <w:rFonts w:hint="eastAsia" w:ascii="宋体" w:hAnsi="宋体"/>
          <w:b/>
          <w:bCs/>
          <w:sz w:val="24"/>
          <w:szCs w:val="24"/>
        </w:rPr>
        <w:t>.施工阶段用水、用电由中标人向深圳大学后勤保障部能源与修缮管理中心申请办理，自行安装水电计量装置，并按中标价1%预缴水电使用保证金。施工用水用电需服从有关单位的现场管理，产生的水电费用据实结算，多退少补。若经确认无法安装计量装置的，按工程(项目)总价款(以结算审核审定造价为准)的1%上缴水电费。</w:t>
      </w:r>
    </w:p>
    <w:p w14:paraId="2D949CC4">
      <w:pPr>
        <w:pStyle w:val="4"/>
        <w:spacing w:before="78" w:beforeLines="25" w:after="78" w:afterLines="25" w:line="360" w:lineRule="auto"/>
        <w:ind w:firstLine="480" w:firstLineChars="200"/>
        <w:rPr>
          <w:rFonts w:ascii="宋体" w:hAnsi="宋体"/>
          <w:szCs w:val="21"/>
        </w:rPr>
      </w:pPr>
      <w:r>
        <w:rPr>
          <w:rFonts w:ascii="宋体" w:hAnsi="宋体"/>
          <w:sz w:val="24"/>
          <w:szCs w:val="24"/>
        </w:rPr>
        <w:t>9</w:t>
      </w:r>
      <w:r>
        <w:rPr>
          <w:rFonts w:hint="eastAsia" w:ascii="宋体" w:hAnsi="宋体"/>
          <w:sz w:val="24"/>
          <w:szCs w:val="24"/>
        </w:rPr>
        <w:t>.本装饰装修工程如没有设计图纸，中标人根据采购方提供的工程量清单以及现场情况施工。在竣工验收后，中标人应根据现场完成情况制作竣工图纸，相关费用由中标人承担。</w:t>
      </w:r>
    </w:p>
    <w:p w14:paraId="156EFB9A">
      <w:pPr>
        <w:pStyle w:val="3"/>
        <w:spacing w:before="156" w:beforeLines="50" w:after="156" w:afterLines="50"/>
        <w:rPr>
          <w:b w:val="0"/>
          <w:bCs w:val="0"/>
          <w:sz w:val="28"/>
          <w:szCs w:val="28"/>
        </w:rPr>
      </w:pPr>
      <w:bookmarkStart w:id="2" w:name="_Toc82421278"/>
      <w:bookmarkStart w:id="3" w:name="_Toc82421171"/>
      <w:r>
        <w:rPr>
          <w:rFonts w:hint="eastAsia" w:eastAsia="宋体" w:cs="宋体"/>
          <w:sz w:val="28"/>
          <w:szCs w:val="28"/>
        </w:rPr>
        <w:t>四</w:t>
      </w:r>
      <w:r>
        <w:rPr>
          <w:rFonts w:hint="eastAsia"/>
          <w:sz w:val="28"/>
          <w:szCs w:val="28"/>
        </w:rPr>
        <w:t>、图纸(</w:t>
      </w:r>
      <w:r>
        <w:rPr>
          <w:rFonts w:hint="eastAsia" w:eastAsia="宋体"/>
          <w:sz w:val="28"/>
          <w:szCs w:val="28"/>
        </w:rPr>
        <w:t>如有，</w:t>
      </w:r>
      <w:r>
        <w:rPr>
          <w:rFonts w:hint="eastAsia"/>
          <w:sz w:val="28"/>
          <w:szCs w:val="28"/>
        </w:rPr>
        <w:t>见附件)</w:t>
      </w:r>
      <w:bookmarkEnd w:id="2"/>
      <w:bookmarkEnd w:id="3"/>
    </w:p>
    <w:p w14:paraId="5205BF0F">
      <w:pPr>
        <w:pStyle w:val="3"/>
        <w:spacing w:before="156" w:beforeLines="50" w:after="156" w:afterLines="50"/>
        <w:rPr>
          <w:b w:val="0"/>
          <w:bCs w:val="0"/>
        </w:rPr>
      </w:pPr>
      <w:bookmarkStart w:id="4" w:name="_Toc82421279"/>
      <w:bookmarkStart w:id="5" w:name="_Toc82421172"/>
      <w:r>
        <w:rPr>
          <w:rFonts w:hint="eastAsia" w:eastAsia="宋体" w:cs="宋体"/>
          <w:sz w:val="28"/>
          <w:szCs w:val="28"/>
        </w:rPr>
        <w:t>五</w:t>
      </w:r>
      <w:r>
        <w:rPr>
          <w:rFonts w:hint="eastAsia"/>
          <w:sz w:val="28"/>
          <w:szCs w:val="28"/>
        </w:rPr>
        <w:t>、工程量清单（见附件）</w:t>
      </w:r>
      <w:bookmarkEnd w:id="4"/>
      <w:bookmarkEnd w:id="5"/>
    </w:p>
    <w:p w14:paraId="5C1FDB1E">
      <w:pPr>
        <w:adjustRightInd w:val="0"/>
        <w:snapToGrid w:val="0"/>
        <w:spacing w:line="360" w:lineRule="auto"/>
        <w:ind w:firstLine="482" w:firstLineChars="200"/>
        <w:jc w:val="left"/>
        <w:rPr>
          <w:rFonts w:asciiTheme="minorEastAsia" w:hAnsiTheme="minorEastAsia"/>
          <w:b/>
          <w:bCs/>
          <w:snapToGrid w:val="0"/>
          <w:sz w:val="24"/>
          <w:szCs w:val="24"/>
          <w:lang w:val="zh-CN"/>
        </w:rPr>
      </w:pPr>
      <w:r>
        <w:rPr>
          <w:rFonts w:asciiTheme="minorEastAsia" w:hAnsiTheme="minorEastAsia"/>
          <w:b/>
          <w:bCs/>
          <w:snapToGrid w:val="0"/>
          <w:sz w:val="24"/>
          <w:szCs w:val="24"/>
          <w:lang w:val="zh-CN"/>
        </w:rPr>
        <w:t>要求：</w:t>
      </w:r>
    </w:p>
    <w:p w14:paraId="012FE0F1">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工程计价办法：</w:t>
      </w:r>
      <w:r>
        <w:rPr>
          <w:rFonts w:asciiTheme="minorEastAsia" w:hAnsiTheme="minorEastAsia"/>
          <w:b/>
          <w:sz w:val="24"/>
          <w:szCs w:val="24"/>
          <w:u w:val="single"/>
        </w:rPr>
        <w:t>综合单价法</w:t>
      </w:r>
      <w:r>
        <w:rPr>
          <w:rFonts w:asciiTheme="minorEastAsia" w:hAnsiTheme="minorEastAsia"/>
          <w:sz w:val="24"/>
          <w:szCs w:val="24"/>
        </w:rPr>
        <w:t>。</w:t>
      </w:r>
    </w:p>
    <w:p w14:paraId="64EA5556">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工程量清单应与投标须知、合同条件、工程建设标准及技术要求和图纸等文件结合起来理解或解释。</w:t>
      </w:r>
    </w:p>
    <w:p w14:paraId="361F9AC2">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本工程量清单是</w:t>
      </w:r>
      <w:r>
        <w:rPr>
          <w:rFonts w:hint="eastAsia" w:cs="宋体" w:asciiTheme="minorEastAsia" w:hAnsiTheme="minorEastAsia"/>
          <w:sz w:val="24"/>
          <w:szCs w:val="24"/>
        </w:rPr>
        <w:t>采购方</w:t>
      </w:r>
      <w:r>
        <w:rPr>
          <w:rFonts w:asciiTheme="minorEastAsia" w:hAnsiTheme="minorEastAsia"/>
          <w:sz w:val="24"/>
          <w:szCs w:val="24"/>
        </w:rPr>
        <w:t>根据本招标文件中所提供的设计文件编制的。</w:t>
      </w:r>
    </w:p>
    <w:p w14:paraId="66B28251">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按照《建设工程工程量清单计价规范》的规定，“工程量清单格式”主要包括以下几个部分，但不局限于以下部分：</w:t>
      </w:r>
    </w:p>
    <w:p w14:paraId="62750BEB">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（1）清单封面；</w:t>
      </w:r>
    </w:p>
    <w:p w14:paraId="0B674928">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（2）总说明；</w:t>
      </w:r>
    </w:p>
    <w:p w14:paraId="7344923A">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包括：工程概况、工程招标范围、工程量清单编制依据、工程质量、材料、施工的特殊要求、预留金及暂定金额的情况等。</w:t>
      </w:r>
    </w:p>
    <w:p w14:paraId="24258F9B">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（3）工程项目清单；</w:t>
      </w:r>
    </w:p>
    <w:p w14:paraId="2999AFEF">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指本次招标的工程项目所包含的单项工程及每个单项工程所包含的单位工程，只有一个单位工程时可不填此表。</w:t>
      </w:r>
    </w:p>
    <w:p w14:paraId="708B9E8B">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（4）分部分项工程量清单；</w:t>
      </w:r>
    </w:p>
    <w:p w14:paraId="5C6C1466">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（5）措施项目清单；</w:t>
      </w:r>
    </w:p>
    <w:p w14:paraId="438E2179">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（6）其他项目清单；</w:t>
      </w:r>
    </w:p>
    <w:p w14:paraId="705785D3">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（7）零星工作项目表；</w:t>
      </w:r>
    </w:p>
    <w:p w14:paraId="468BE16E">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指</w:t>
      </w:r>
      <w:r>
        <w:rPr>
          <w:rFonts w:hint="eastAsia" w:cs="宋体" w:asciiTheme="minorEastAsia" w:hAnsiTheme="minorEastAsia"/>
          <w:sz w:val="24"/>
          <w:szCs w:val="24"/>
        </w:rPr>
        <w:t>采购方</w:t>
      </w:r>
      <w:r>
        <w:rPr>
          <w:rFonts w:asciiTheme="minorEastAsia" w:hAnsiTheme="minorEastAsia"/>
          <w:sz w:val="24"/>
          <w:szCs w:val="24"/>
        </w:rPr>
        <w:t>提出的工程量暂估的零星工作项目，该表费用由投标人计算后汇入其他项目清单的投标人部分。</w:t>
      </w:r>
    </w:p>
    <w:p w14:paraId="33CDF62B">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5.本工程要求采用的工程量计算规则，应作为本工程招投标双方进行工程招投标和结算计量、计价的共同依据。</w:t>
      </w:r>
    </w:p>
    <w:p w14:paraId="5DE50038">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6.本工程要求采用的工程量计算规则是《建设工程工程量清单计价规范》（GB50500-2013）及深圳市补充规范；</w:t>
      </w:r>
    </w:p>
    <w:p w14:paraId="50ACF1D5">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7.对“分部分项工程量清单”的说明和报价要求</w:t>
      </w:r>
    </w:p>
    <w:p w14:paraId="060DE61B">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（1）该清单所列的工程量系</w:t>
      </w:r>
      <w:r>
        <w:rPr>
          <w:rFonts w:hint="eastAsia" w:cs="宋体" w:asciiTheme="minorEastAsia" w:hAnsiTheme="minorEastAsia"/>
          <w:sz w:val="24"/>
          <w:szCs w:val="24"/>
        </w:rPr>
        <w:t>采购方</w:t>
      </w:r>
      <w:r>
        <w:rPr>
          <w:rFonts w:asciiTheme="minorEastAsia" w:hAnsiTheme="minorEastAsia"/>
          <w:sz w:val="24"/>
          <w:szCs w:val="24"/>
        </w:rPr>
        <w:t>的估算，是临时的，作为投标报价的共同基础。不应被理解为是对</w:t>
      </w:r>
      <w:r>
        <w:rPr>
          <w:rFonts w:hint="eastAsia" w:cs="宋体" w:asciiTheme="minorEastAsia" w:hAnsiTheme="minorEastAsia"/>
          <w:sz w:val="24"/>
          <w:szCs w:val="24"/>
        </w:rPr>
        <w:t>采购方</w:t>
      </w:r>
      <w:r>
        <w:rPr>
          <w:rFonts w:asciiTheme="minorEastAsia" w:hAnsiTheme="minorEastAsia"/>
          <w:sz w:val="24"/>
          <w:szCs w:val="24"/>
        </w:rPr>
        <w:t>要求工作内容的全部定义，也不能作为投标人应完成的实际工程量。结算时，应以由</w:t>
      </w:r>
      <w:r>
        <w:rPr>
          <w:rFonts w:hint="eastAsia" w:cs="宋体" w:asciiTheme="minorEastAsia" w:hAnsiTheme="minorEastAsia"/>
          <w:sz w:val="24"/>
          <w:szCs w:val="24"/>
        </w:rPr>
        <w:t>中标人</w:t>
      </w:r>
      <w:r>
        <w:rPr>
          <w:rFonts w:asciiTheme="minorEastAsia" w:hAnsiTheme="minorEastAsia"/>
          <w:sz w:val="24"/>
          <w:szCs w:val="24"/>
        </w:rPr>
        <w:t>和</w:t>
      </w:r>
      <w:r>
        <w:rPr>
          <w:rFonts w:hint="eastAsia" w:cs="宋体" w:asciiTheme="minorEastAsia" w:hAnsiTheme="minorEastAsia"/>
          <w:sz w:val="24"/>
          <w:szCs w:val="24"/>
        </w:rPr>
        <w:t>采购方</w:t>
      </w:r>
      <w:r>
        <w:rPr>
          <w:rFonts w:asciiTheme="minorEastAsia" w:hAnsiTheme="minorEastAsia"/>
          <w:sz w:val="24"/>
          <w:szCs w:val="24"/>
        </w:rPr>
        <w:t>或由</w:t>
      </w:r>
      <w:r>
        <w:rPr>
          <w:rFonts w:hint="eastAsia" w:cs="宋体" w:asciiTheme="minorEastAsia" w:hAnsiTheme="minorEastAsia"/>
          <w:sz w:val="24"/>
          <w:szCs w:val="24"/>
        </w:rPr>
        <w:t>采购方</w:t>
      </w:r>
      <w:r>
        <w:rPr>
          <w:rFonts w:asciiTheme="minorEastAsia" w:hAnsiTheme="minorEastAsia"/>
          <w:sz w:val="24"/>
          <w:szCs w:val="24"/>
        </w:rPr>
        <w:t>授权委托的</w:t>
      </w:r>
      <w:r>
        <w:rPr>
          <w:rFonts w:hint="eastAsia" w:cs="宋体" w:asciiTheme="minorEastAsia" w:hAnsiTheme="minorEastAsia"/>
          <w:sz w:val="24"/>
          <w:szCs w:val="24"/>
        </w:rPr>
        <w:t>第三方结算审核单位</w:t>
      </w:r>
      <w:r>
        <w:rPr>
          <w:rFonts w:asciiTheme="minorEastAsia" w:hAnsiTheme="minorEastAsia"/>
          <w:sz w:val="24"/>
          <w:szCs w:val="24"/>
        </w:rPr>
        <w:t>共同计量、核实的实际完成的工程量为准。</w:t>
      </w:r>
    </w:p>
    <w:p w14:paraId="031D0A3B">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（2）该清单中所填入的综合单价和合价应包括直接成本（即人工、材料、机械）和费用（管理费、利润）、风险金等全部费用。但涉及到</w:t>
      </w:r>
      <w:r>
        <w:rPr>
          <w:rFonts w:hint="eastAsia" w:cs="宋体" w:asciiTheme="minorEastAsia" w:hAnsiTheme="minorEastAsia"/>
          <w:sz w:val="24"/>
          <w:szCs w:val="24"/>
        </w:rPr>
        <w:t>采购方</w:t>
      </w:r>
      <w:r>
        <w:rPr>
          <w:rFonts w:asciiTheme="minorEastAsia" w:hAnsiTheme="minorEastAsia"/>
          <w:sz w:val="24"/>
          <w:szCs w:val="24"/>
        </w:rPr>
        <w:t>自行采购的设备材料的项目不得计入材料设备的价格。</w:t>
      </w:r>
    </w:p>
    <w:p w14:paraId="70DE1D35">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（3） 该清单中不再重复或概括工程及材料的一般说明，在编制和填写工程量清单的每一项的综合单价和合价时应参考投标须知和合同条件的有关条款。</w:t>
      </w:r>
    </w:p>
    <w:p w14:paraId="181C27C9">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（4）该清单的各项目说明中含有“暂定材料设备单价”的，应明确说明此单价是否包括运输费、采保费等费用。投标时投标人不得修改。结算时，应按本招标文件的合同条件中约定的方法调整。</w:t>
      </w:r>
    </w:p>
    <w:p w14:paraId="08F5235F">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8.对“措施项目清单”的说明和报价要求：</w:t>
      </w:r>
    </w:p>
    <w:p w14:paraId="7ECB0377">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（1）该清单所列项目均以“一项”提出，是</w:t>
      </w:r>
      <w:r>
        <w:rPr>
          <w:rFonts w:hint="eastAsia" w:cs="宋体" w:asciiTheme="minorEastAsia" w:hAnsiTheme="minorEastAsia"/>
          <w:sz w:val="24"/>
          <w:szCs w:val="24"/>
        </w:rPr>
        <w:t>采购方</w:t>
      </w:r>
      <w:r>
        <w:rPr>
          <w:rFonts w:asciiTheme="minorEastAsia" w:hAnsiTheme="minorEastAsia"/>
          <w:sz w:val="24"/>
          <w:szCs w:val="24"/>
        </w:rPr>
        <w:t>根据一般情况估计的项目，投标人实际措施项目不同的，可以对具体列项内容进行调整。</w:t>
      </w:r>
    </w:p>
    <w:p w14:paraId="0A1601EC">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（2）该清单的报价为包干费用，除非合同条件中有明确的约定，该费用不得调整。</w:t>
      </w:r>
    </w:p>
    <w:p w14:paraId="474575CC">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3）如该清单中列入了“施工单位现场安全文明施工措施费”，该费用包括临时设施费、安全施工费、文明施工费，作为非竞争性费用。如该清单未列入此项费用，投标人应以“分部分项清单计价表”、“其他项目清单计价表”以及“措施项目清单计价表”中的“混凝土、钢筋混凝土模板及支架”、“脚手架”、“垂直运输机械费”、“大型机械设备进出场及安拆”的费用合计为计算基础，并根据本企业的成本，参照相关规定进行计算。</w:t>
      </w:r>
    </w:p>
    <w:p w14:paraId="4D0754A8">
      <w:pPr>
        <w:adjustRightInd w:val="0"/>
        <w:snapToGrid w:val="0"/>
        <w:spacing w:line="360" w:lineRule="auto"/>
        <w:ind w:firstLine="480" w:firstLineChars="200"/>
        <w:jc w:val="left"/>
        <w:rPr>
          <w:rFonts w:asciiTheme="minorEastAsia" w:hAnsiTheme="minorEastAsia"/>
          <w:b/>
          <w:sz w:val="24"/>
          <w:szCs w:val="24"/>
        </w:rPr>
      </w:pPr>
      <w:r>
        <w:rPr>
          <w:rFonts w:asciiTheme="minorEastAsia" w:hAnsiTheme="minorEastAsia"/>
          <w:sz w:val="24"/>
          <w:szCs w:val="24"/>
        </w:rPr>
        <w:t>9．</w:t>
      </w:r>
      <w:r>
        <w:rPr>
          <w:rFonts w:asciiTheme="minorEastAsia" w:hAnsiTheme="minorEastAsia"/>
          <w:b/>
          <w:sz w:val="24"/>
          <w:szCs w:val="24"/>
        </w:rPr>
        <w:t>如发现</w:t>
      </w:r>
      <w:r>
        <w:rPr>
          <w:rFonts w:hint="eastAsia" w:cs="宋体" w:asciiTheme="minorEastAsia" w:hAnsiTheme="minorEastAsia"/>
          <w:b/>
          <w:sz w:val="24"/>
          <w:szCs w:val="24"/>
        </w:rPr>
        <w:t>采购方</w:t>
      </w:r>
      <w:r>
        <w:rPr>
          <w:rFonts w:asciiTheme="minorEastAsia" w:hAnsiTheme="minorEastAsia"/>
          <w:b/>
          <w:sz w:val="24"/>
          <w:szCs w:val="24"/>
        </w:rPr>
        <w:t>提供的工程量清单的项目及工程量与图纸实际不符时，除招标文件另有要求外，投标人应在</w:t>
      </w:r>
      <w:r>
        <w:rPr>
          <w:rFonts w:hint="eastAsia" w:asciiTheme="minorEastAsia" w:hAnsiTheme="minorEastAsia"/>
          <w:b/>
          <w:sz w:val="24"/>
          <w:szCs w:val="24"/>
        </w:rPr>
        <w:t>投标报名截止前</w:t>
      </w:r>
      <w:r>
        <w:rPr>
          <w:rFonts w:asciiTheme="minorEastAsia" w:hAnsiTheme="minorEastAsia"/>
          <w:b/>
          <w:sz w:val="24"/>
          <w:szCs w:val="24"/>
        </w:rPr>
        <w:t>提出，</w:t>
      </w:r>
      <w:r>
        <w:rPr>
          <w:rFonts w:hint="eastAsia" w:cs="宋体" w:asciiTheme="minorEastAsia" w:hAnsiTheme="minorEastAsia"/>
          <w:b/>
          <w:sz w:val="24"/>
          <w:szCs w:val="24"/>
        </w:rPr>
        <w:t>采购方</w:t>
      </w:r>
      <w:r>
        <w:rPr>
          <w:rFonts w:asciiTheme="minorEastAsia" w:hAnsiTheme="minorEastAsia"/>
          <w:b/>
          <w:sz w:val="24"/>
          <w:szCs w:val="24"/>
        </w:rPr>
        <w:t>应进行复核并在网上发出修正。如没有做出修正，投标人仍应按原提供的项目及工程量报价，并将项差与量差体现在报价中，并在备注中注明，但不得对工程量清单进行修改。</w:t>
      </w:r>
    </w:p>
    <w:p w14:paraId="4003B43C">
      <w:pPr>
        <w:keepNext/>
        <w:keepLines/>
        <w:adjustRightInd w:val="0"/>
        <w:spacing w:before="156" w:beforeLines="50" w:after="156" w:afterLines="50"/>
        <w:textAlignment w:val="baseline"/>
        <w:outlineLvl w:val="1"/>
        <w:rPr>
          <w:rFonts w:asciiTheme="minorEastAsia" w:hAnsiTheme="minorEastAsia"/>
          <w:b/>
          <w:bCs/>
          <w:sz w:val="28"/>
          <w:szCs w:val="28"/>
        </w:rPr>
      </w:pPr>
      <w:bookmarkStart w:id="6" w:name="_Toc82421280"/>
      <w:bookmarkStart w:id="7" w:name="_Toc82421173"/>
      <w:r>
        <w:rPr>
          <w:rFonts w:hint="eastAsia" w:asciiTheme="minorEastAsia" w:hAnsiTheme="minorEastAsia"/>
          <w:b/>
          <w:bCs/>
          <w:sz w:val="28"/>
          <w:szCs w:val="28"/>
        </w:rPr>
        <w:t>六</w:t>
      </w:r>
      <w:r>
        <w:rPr>
          <w:rFonts w:asciiTheme="minorEastAsia" w:hAnsiTheme="minorEastAsia"/>
          <w:b/>
          <w:bCs/>
          <w:sz w:val="28"/>
          <w:szCs w:val="28"/>
        </w:rPr>
        <w:t>、投标报价</w:t>
      </w:r>
      <w:bookmarkEnd w:id="6"/>
      <w:bookmarkEnd w:id="7"/>
    </w:p>
    <w:p w14:paraId="2BCD71EB">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1、本工程的工程量清单的投标单价按综合单价方式进行报价；</w:t>
      </w:r>
    </w:p>
    <w:p w14:paraId="01177948">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评审委员会认为投标人的报价明显低于其他通过符合性审查投标人的报价，有可能影响产品质量或者不能诚信履约的，投标人不能在评审合理的时间内提供书面说明，或无法提交相关证明材料，投标人不能证明其报价合理性的，将视为无效投标（若评审委员会成员对是否须由投标人作出报价合理性说明，以及书面说明是否采纳等判断不一致的，按照“少数服从多数”的原则确定评审委员会的意见）；</w:t>
      </w:r>
    </w:p>
    <w:p w14:paraId="2982F66D">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3、投标人的投标总报价不得超过财政预算限额；</w:t>
      </w:r>
    </w:p>
    <w:p w14:paraId="70AC61E3">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4、投标人的投标报价，应是本项目招标范围和招标文件及合同条款上所列的各项内容中所述的全部，不得以任何理由予以重复，并以投标人在工程量清单中提出的综合单价或总价为依据；</w:t>
      </w:r>
    </w:p>
    <w:p w14:paraId="15023137">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5、除非深圳大学</w:t>
      </w:r>
      <w:r>
        <w:rPr>
          <w:rFonts w:hint="eastAsia" w:cs="宋体" w:asciiTheme="minorEastAsia" w:hAnsiTheme="minorEastAsia"/>
          <w:sz w:val="24"/>
          <w:szCs w:val="24"/>
        </w:rPr>
        <w:t>后勤保障部招投标管理</w:t>
      </w:r>
      <w:r>
        <w:rPr>
          <w:rFonts w:cs="宋体" w:asciiTheme="minorEastAsia" w:hAnsiTheme="minorEastAsia"/>
          <w:sz w:val="24"/>
          <w:szCs w:val="24"/>
        </w:rPr>
        <w:t>办公室</w:t>
      </w:r>
      <w:r>
        <w:rPr>
          <w:rFonts w:asciiTheme="minorEastAsia" w:hAnsiTheme="minorEastAsia"/>
          <w:sz w:val="24"/>
          <w:szCs w:val="24"/>
        </w:rPr>
        <w:t>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1152F107">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6、投标人应充分了解工地的位置、情况、道路、储存空间、装卸限制及任何其它足以影响投标报价的情况，任何因忽视或误解工地情况而导致的索赔或工期延长申请将不获批准；</w:t>
      </w:r>
    </w:p>
    <w:p w14:paraId="319B8348">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7、投标人不得期望通过索赔、签证等方式获取补偿，否则，除可能遭到拒绝外，还可能将被作为不良行为记录在案，并可能影响其以后参加深圳大学</w:t>
      </w:r>
      <w:r>
        <w:rPr>
          <w:rFonts w:hint="eastAsia" w:asciiTheme="minorEastAsia" w:hAnsiTheme="minorEastAsia"/>
          <w:sz w:val="24"/>
          <w:szCs w:val="24"/>
        </w:rPr>
        <w:t>后勤保障部</w:t>
      </w:r>
      <w:r>
        <w:rPr>
          <w:rFonts w:asciiTheme="minorEastAsia" w:hAnsiTheme="minorEastAsia"/>
          <w:sz w:val="24"/>
          <w:szCs w:val="24"/>
        </w:rPr>
        <w:t>采购的项目投标。各投标人在投标报价时，应充分考虑投标报价的风险。</w:t>
      </w:r>
    </w:p>
    <w:p w14:paraId="389D3293">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8、投标人投标报价总额一经中标后，即作为中标单位与</w:t>
      </w:r>
      <w:r>
        <w:rPr>
          <w:rFonts w:hint="eastAsia" w:cs="宋体" w:asciiTheme="minorEastAsia" w:hAnsiTheme="minorEastAsia"/>
          <w:sz w:val="24"/>
          <w:szCs w:val="24"/>
        </w:rPr>
        <w:t>采购方</w:t>
      </w:r>
      <w:r>
        <w:rPr>
          <w:rFonts w:asciiTheme="minorEastAsia" w:hAnsiTheme="minorEastAsia"/>
          <w:sz w:val="24"/>
          <w:szCs w:val="24"/>
        </w:rPr>
        <w:t>签订该项目合同的总价。合同方式见第一章相关条款。</w:t>
      </w:r>
    </w:p>
    <w:p w14:paraId="41D93210">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37AC263D">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（2）如本项目采用固定单价合同。工程量清单所列的工程量系</w:t>
      </w:r>
      <w:r>
        <w:rPr>
          <w:rFonts w:hint="eastAsia" w:cs="宋体" w:asciiTheme="minorEastAsia" w:hAnsiTheme="minorEastAsia"/>
          <w:sz w:val="24"/>
          <w:szCs w:val="24"/>
        </w:rPr>
        <w:t>采购方</w:t>
      </w:r>
      <w:r>
        <w:rPr>
          <w:rFonts w:asciiTheme="minorEastAsia" w:hAnsiTheme="minorEastAsia"/>
          <w:sz w:val="24"/>
          <w:szCs w:val="24"/>
        </w:rPr>
        <w:t>的估算，是临时的，作为投标报价的共同基础，不应被理解为是对</w:t>
      </w:r>
      <w:r>
        <w:rPr>
          <w:rFonts w:hint="eastAsia" w:cs="宋体" w:asciiTheme="minorEastAsia" w:hAnsiTheme="minorEastAsia"/>
          <w:sz w:val="24"/>
          <w:szCs w:val="24"/>
        </w:rPr>
        <w:t>采购方</w:t>
      </w:r>
      <w:r>
        <w:rPr>
          <w:rFonts w:asciiTheme="minorEastAsia" w:hAnsiTheme="minorEastAsia"/>
          <w:sz w:val="24"/>
          <w:szCs w:val="24"/>
        </w:rPr>
        <w:t>要求工作内容的全部定义，也不能作为投标人应完成的实际工程量。</w:t>
      </w:r>
      <w:r>
        <w:rPr>
          <w:rFonts w:hint="eastAsia" w:cs="宋体" w:asciiTheme="minorEastAsia" w:hAnsiTheme="minorEastAsia"/>
          <w:sz w:val="24"/>
          <w:szCs w:val="24"/>
        </w:rPr>
        <w:t>中标人</w:t>
      </w:r>
      <w:r>
        <w:rPr>
          <w:rFonts w:asciiTheme="minorEastAsia" w:hAnsiTheme="minorEastAsia"/>
          <w:sz w:val="24"/>
          <w:szCs w:val="24"/>
        </w:rPr>
        <w:t>必须按图纸及有关标准、规范的要求进行施工，实际完成的工程量与分部分项工程量清单中的差异结算时可作调整。凡超出图纸范围又未经变更审批程序的内容，都不予计量；未施工的项目，经</w:t>
      </w:r>
      <w:r>
        <w:rPr>
          <w:rFonts w:hint="eastAsia" w:asciiTheme="minorEastAsia" w:hAnsiTheme="minorEastAsia"/>
          <w:sz w:val="24"/>
          <w:szCs w:val="24"/>
        </w:rPr>
        <w:t>采购方</w:t>
      </w:r>
      <w:r>
        <w:rPr>
          <w:rFonts w:asciiTheme="minorEastAsia" w:hAnsiTheme="minorEastAsia"/>
          <w:sz w:val="24"/>
          <w:szCs w:val="24"/>
        </w:rPr>
        <w:t>、监理方（如有）核实后予以扣减。</w:t>
      </w:r>
    </w:p>
    <w:p w14:paraId="0B560475">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（3）投标人的投标报价必须充分考虑到在施工中实施的施工组织设计对工程造价的影响,并在投标报价中反映出来。</w:t>
      </w:r>
    </w:p>
    <w:p w14:paraId="3EED905D">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9、本项目不接受总价优惠折扣形式的报价，投标人应将对项目的优惠直接在清单报价中体现出来。</w:t>
      </w:r>
    </w:p>
    <w:p w14:paraId="420BAB83">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10、</w:t>
      </w:r>
      <w:r>
        <w:rPr>
          <w:rFonts w:hint="eastAsia" w:cs="宋体" w:asciiTheme="minorEastAsia" w:hAnsiTheme="minorEastAsia"/>
          <w:sz w:val="24"/>
          <w:szCs w:val="24"/>
        </w:rPr>
        <w:t>采购方</w:t>
      </w:r>
      <w:r>
        <w:rPr>
          <w:rFonts w:asciiTheme="minorEastAsia" w:hAnsiTheme="minorEastAsia"/>
          <w:sz w:val="24"/>
          <w:szCs w:val="24"/>
        </w:rPr>
        <w:t>委托</w:t>
      </w:r>
      <w:r>
        <w:rPr>
          <w:rFonts w:hint="eastAsia" w:cs="宋体" w:asciiTheme="minorEastAsia" w:hAnsiTheme="minorEastAsia"/>
          <w:sz w:val="24"/>
          <w:szCs w:val="24"/>
        </w:rPr>
        <w:t>中标人</w:t>
      </w:r>
      <w:r>
        <w:rPr>
          <w:rFonts w:asciiTheme="minorEastAsia" w:hAnsiTheme="minorEastAsia"/>
          <w:sz w:val="24"/>
          <w:szCs w:val="24"/>
        </w:rPr>
        <w:t>办理的保险事项：建设工程一切险和第三者责任险，所需的保险费应包含在投标价中，施工中若发生安全事故，一切责任及费用由施工单位负责。</w:t>
      </w:r>
    </w:p>
    <w:p w14:paraId="410AED02">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11、工程完工后，</w:t>
      </w:r>
      <w:r>
        <w:rPr>
          <w:rFonts w:hint="eastAsia" w:cs="宋体" w:asciiTheme="minorEastAsia" w:hAnsiTheme="minorEastAsia"/>
          <w:sz w:val="24"/>
          <w:szCs w:val="24"/>
        </w:rPr>
        <w:t>中标人</w:t>
      </w:r>
      <w:r>
        <w:rPr>
          <w:rFonts w:asciiTheme="minorEastAsia" w:hAnsiTheme="minorEastAsia"/>
          <w:sz w:val="24"/>
          <w:szCs w:val="24"/>
        </w:rPr>
        <w:t>应恢复修建前的原有状态（工程量按实计算），并使监理方（如有）和</w:t>
      </w:r>
      <w:r>
        <w:rPr>
          <w:rFonts w:hint="eastAsia" w:cs="宋体" w:asciiTheme="minorEastAsia" w:hAnsiTheme="minorEastAsia"/>
          <w:sz w:val="24"/>
          <w:szCs w:val="24"/>
        </w:rPr>
        <w:t>采购方</w:t>
      </w:r>
      <w:r>
        <w:rPr>
          <w:rFonts w:asciiTheme="minorEastAsia" w:hAnsiTheme="minorEastAsia"/>
          <w:sz w:val="24"/>
          <w:szCs w:val="24"/>
        </w:rPr>
        <w:t>满意，满足深圳大学管理部门的规定和要求。</w:t>
      </w:r>
    </w:p>
    <w:p w14:paraId="34A5CA36">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12、如本工程涉及取土和弃土项目，地点、时间、路线</w:t>
      </w:r>
      <w:r>
        <w:rPr>
          <w:rFonts w:hint="eastAsia" w:cs="宋体" w:asciiTheme="minorEastAsia" w:hAnsiTheme="minorEastAsia"/>
          <w:sz w:val="24"/>
          <w:szCs w:val="24"/>
        </w:rPr>
        <w:t>中标人</w:t>
      </w:r>
      <w:r>
        <w:rPr>
          <w:rFonts w:asciiTheme="minorEastAsia" w:hAnsiTheme="minorEastAsia"/>
          <w:sz w:val="24"/>
          <w:szCs w:val="24"/>
        </w:rPr>
        <w:t>应取得国土、城管部门的同意，不得由此带给</w:t>
      </w:r>
      <w:r>
        <w:rPr>
          <w:rFonts w:hint="eastAsia" w:cs="宋体" w:asciiTheme="minorEastAsia" w:hAnsiTheme="minorEastAsia"/>
          <w:sz w:val="24"/>
          <w:szCs w:val="24"/>
        </w:rPr>
        <w:t>采购方</w:t>
      </w:r>
      <w:r>
        <w:rPr>
          <w:rFonts w:asciiTheme="minorEastAsia" w:hAnsiTheme="minorEastAsia"/>
          <w:sz w:val="24"/>
          <w:szCs w:val="24"/>
        </w:rPr>
        <w:t>任何费用的增加。凡是因</w:t>
      </w:r>
      <w:r>
        <w:rPr>
          <w:rFonts w:hint="eastAsia" w:cs="宋体" w:asciiTheme="minorEastAsia" w:hAnsiTheme="minorEastAsia"/>
          <w:sz w:val="24"/>
          <w:szCs w:val="24"/>
        </w:rPr>
        <w:t>中标人</w:t>
      </w:r>
      <w:r>
        <w:rPr>
          <w:rFonts w:asciiTheme="minorEastAsia" w:hAnsiTheme="minorEastAsia"/>
          <w:sz w:val="24"/>
          <w:szCs w:val="24"/>
        </w:rPr>
        <w:t>措施不当而引起的罚款、索赔和指控等由</w:t>
      </w:r>
      <w:r>
        <w:rPr>
          <w:rFonts w:hint="eastAsia" w:cs="宋体" w:asciiTheme="minorEastAsia" w:hAnsiTheme="minorEastAsia"/>
          <w:sz w:val="24"/>
          <w:szCs w:val="24"/>
        </w:rPr>
        <w:t>中标人</w:t>
      </w:r>
      <w:r>
        <w:rPr>
          <w:rFonts w:asciiTheme="minorEastAsia" w:hAnsiTheme="minorEastAsia"/>
          <w:sz w:val="24"/>
          <w:szCs w:val="24"/>
        </w:rPr>
        <w:t>自行承担。投标价不因取土或弃土实际运距与分部分项工程量清单不同而作调整。土方回填料必须满足国家技术规范之要求，绿化填土面层必须选用适宜种植的填土。</w:t>
      </w:r>
    </w:p>
    <w:p w14:paraId="37559B35">
      <w:pPr>
        <w:adjustRightInd w:val="0"/>
        <w:snapToGrid w:val="0"/>
        <w:spacing w:line="360" w:lineRule="auto"/>
        <w:ind w:firstLine="470" w:firstLineChars="196"/>
        <w:jc w:val="left"/>
        <w:rPr>
          <w:rFonts w:asciiTheme="minorEastAsia" w:hAnsiTheme="minorEastAsia"/>
          <w:sz w:val="24"/>
          <w:szCs w:val="24"/>
        </w:rPr>
      </w:pPr>
      <w:r>
        <w:rPr>
          <w:rFonts w:asciiTheme="minorEastAsia" w:hAnsiTheme="minorEastAsia"/>
          <w:sz w:val="24"/>
          <w:szCs w:val="24"/>
        </w:rPr>
        <w:t>13、一切与施工相关的检验实验费（政府有关部门规定由建设单位支付的检验实验费除外）已含在投标价中。</w:t>
      </w:r>
    </w:p>
    <w:p w14:paraId="50A17E30">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14、</w:t>
      </w:r>
      <w:r>
        <w:rPr>
          <w:rFonts w:hint="eastAsia" w:cs="宋体" w:asciiTheme="minorEastAsia" w:hAnsiTheme="minorEastAsia"/>
          <w:sz w:val="24"/>
          <w:szCs w:val="24"/>
        </w:rPr>
        <w:t>中标人</w:t>
      </w:r>
      <w:r>
        <w:rPr>
          <w:rFonts w:asciiTheme="minorEastAsia" w:hAnsiTheme="minorEastAsia"/>
          <w:sz w:val="24"/>
          <w:szCs w:val="24"/>
        </w:rPr>
        <w:t>的交通维护方案必须保证施工期间的交通组织符合深圳市公安交通管理的有关规定，保证</w:t>
      </w:r>
      <w:r>
        <w:rPr>
          <w:rFonts w:hint="eastAsia" w:asciiTheme="minorEastAsia" w:hAnsiTheme="minorEastAsia"/>
          <w:sz w:val="24"/>
          <w:szCs w:val="24"/>
        </w:rPr>
        <w:t>校园</w:t>
      </w:r>
      <w:r>
        <w:rPr>
          <w:rFonts w:asciiTheme="minorEastAsia" w:hAnsiTheme="minorEastAsia"/>
          <w:sz w:val="24"/>
          <w:szCs w:val="24"/>
        </w:rPr>
        <w:t>车辆运行通畅和施工安全，其费用已含在投标价中。</w:t>
      </w:r>
    </w:p>
    <w:p w14:paraId="29384EB4">
      <w:pPr>
        <w:adjustRightInd w:val="0"/>
        <w:snapToGrid w:val="0"/>
        <w:spacing w:line="360" w:lineRule="auto"/>
        <w:ind w:firstLine="448" w:firstLineChars="187"/>
        <w:jc w:val="left"/>
        <w:rPr>
          <w:rFonts w:asciiTheme="minorEastAsia" w:hAnsiTheme="minorEastAsia"/>
          <w:sz w:val="24"/>
          <w:szCs w:val="24"/>
        </w:rPr>
      </w:pPr>
      <w:r>
        <w:rPr>
          <w:rFonts w:asciiTheme="minorEastAsia" w:hAnsiTheme="minorEastAsia"/>
          <w:sz w:val="24"/>
          <w:szCs w:val="24"/>
        </w:rPr>
        <w:t>15</w:t>
      </w:r>
      <w:r>
        <w:rPr>
          <w:rFonts w:hint="eastAsia" w:asciiTheme="minorEastAsia" w:hAnsiTheme="minorEastAsia"/>
          <w:sz w:val="24"/>
          <w:szCs w:val="24"/>
        </w:rPr>
        <w:t>、投标报价统一以 "2013国标清单"形式进行编制，参考定额"2020深圳市装饰（安装或建筑）工程综合价格"的四类取费，参考信息价"深圳市价格信息（</w:t>
      </w:r>
      <w:r>
        <w:rPr>
          <w:rFonts w:asciiTheme="minorEastAsia" w:hAnsiTheme="minorEastAsia"/>
          <w:sz w:val="24"/>
          <w:szCs w:val="24"/>
        </w:rPr>
        <w:t>2025年1月</w:t>
      </w:r>
      <w:r>
        <w:rPr>
          <w:rFonts w:hint="eastAsia" w:asciiTheme="minorEastAsia" w:hAnsiTheme="minorEastAsia"/>
          <w:sz w:val="24"/>
          <w:szCs w:val="24"/>
        </w:rPr>
        <w:t>）"。按照国家税收现行有关规定，依据《深圳市建设工程计价费率标准(2023)》，增值税应纳税额税（费）率以3.02%计算，城市维护建设税、教育费附加及地方教育费附加税（费）率以12%计算，需严格按照此税（费）率计算单位工程费）</w:t>
      </w:r>
      <w:r>
        <w:rPr>
          <w:rFonts w:hint="eastAsia" w:asciiTheme="minorEastAsia" w:hAnsiTheme="minorEastAsia"/>
          <w:sz w:val="24"/>
          <w:szCs w:val="24"/>
          <w:lang w:eastAsia="zh-CN"/>
        </w:rPr>
        <w:t>。</w:t>
      </w:r>
      <w:bookmarkStart w:id="26" w:name="_GoBack"/>
      <w:bookmarkEnd w:id="26"/>
      <w:r>
        <w:rPr>
          <w:rFonts w:hint="eastAsia" w:asciiTheme="minorEastAsia" w:hAnsiTheme="minorEastAsia"/>
          <w:sz w:val="24"/>
          <w:szCs w:val="24"/>
        </w:rPr>
        <w:t>（投标报价书格式见附表）</w:t>
      </w:r>
    </w:p>
    <w:p w14:paraId="6DC1DDDB">
      <w:pPr>
        <w:spacing w:before="120" w:after="160" w:line="360" w:lineRule="auto"/>
        <w:jc w:val="left"/>
        <w:rPr>
          <w:rFonts w:asciiTheme="minorEastAsia" w:hAnsiTheme="minorEastAsia"/>
          <w:sz w:val="24"/>
          <w:szCs w:val="24"/>
        </w:rPr>
      </w:pPr>
      <w:r>
        <w:rPr>
          <w:rFonts w:asciiTheme="minorEastAsia" w:hAnsiTheme="minorEastAsia"/>
          <w:sz w:val="24"/>
          <w:szCs w:val="24"/>
        </w:rPr>
        <w:t>　　16、投标单位根据</w:t>
      </w:r>
      <w:r>
        <w:rPr>
          <w:rFonts w:hint="eastAsia" w:asciiTheme="minorEastAsia" w:hAnsiTheme="minorEastAsia"/>
          <w:sz w:val="24"/>
          <w:szCs w:val="24"/>
        </w:rPr>
        <w:t>采购方</w:t>
      </w:r>
      <w:r>
        <w:rPr>
          <w:rFonts w:asciiTheme="minorEastAsia" w:hAnsiTheme="minorEastAsia"/>
          <w:sz w:val="24"/>
          <w:szCs w:val="24"/>
        </w:rPr>
        <w:t>提供的“工程量清单”，结合现场实况分项分析报价，报价时不允许使用不平衡报价，经评委认定为不平衡报价的做无效投标处理。</w:t>
      </w:r>
    </w:p>
    <w:p w14:paraId="422E701F">
      <w:pPr>
        <w:spacing w:before="120" w:after="160" w:line="360" w:lineRule="auto"/>
        <w:jc w:val="left"/>
        <w:rPr>
          <w:rFonts w:asciiTheme="minorEastAsia" w:hAnsiTheme="minorEastAsia"/>
          <w:sz w:val="24"/>
          <w:szCs w:val="24"/>
        </w:rPr>
      </w:pPr>
      <w:r>
        <w:rPr>
          <w:rFonts w:asciiTheme="minorEastAsia" w:hAnsiTheme="minorEastAsia"/>
          <w:sz w:val="24"/>
          <w:szCs w:val="24"/>
        </w:rPr>
        <w:t>　　17、如“工程量清单”中未列入的工作内容，但现场施工时又不可避免发生的工程量视为已综合考虑在其它工作中，即施工单位结算时不得以任何理由签证增加任何工程量。(投标人在编制招标书时必须认真阅读招标文件，凡“工程量清单”中有注明，但“施工图”未注明的招标要求以“工程量清单”为准；凡“施工图”中有注明，但“工程量清单”未注明的招标要求以“施工图”为准。)</w:t>
      </w:r>
    </w:p>
    <w:p w14:paraId="48B2DA80">
      <w:pPr>
        <w:spacing w:before="120" w:after="160" w:line="360" w:lineRule="auto"/>
        <w:jc w:val="left"/>
        <w:rPr>
          <w:rFonts w:asciiTheme="minorEastAsia" w:hAnsiTheme="minorEastAsia"/>
          <w:sz w:val="24"/>
          <w:szCs w:val="24"/>
        </w:rPr>
      </w:pPr>
      <w:r>
        <w:rPr>
          <w:rFonts w:asciiTheme="minorEastAsia" w:hAnsiTheme="minorEastAsia"/>
          <w:sz w:val="24"/>
          <w:szCs w:val="24"/>
        </w:rPr>
        <w:t>　　</w:t>
      </w:r>
      <w:r>
        <w:rPr>
          <w:rFonts w:hint="eastAsia" w:asciiTheme="minorEastAsia" w:hAnsiTheme="minorEastAsia"/>
          <w:sz w:val="24"/>
          <w:szCs w:val="24"/>
        </w:rPr>
        <w:t>18</w:t>
      </w:r>
      <w:r>
        <w:rPr>
          <w:rFonts w:asciiTheme="minorEastAsia" w:hAnsiTheme="minorEastAsia"/>
          <w:sz w:val="24"/>
          <w:szCs w:val="24"/>
        </w:rPr>
        <w:t>、经过深圳大学后勤</w:t>
      </w:r>
      <w:r>
        <w:rPr>
          <w:rFonts w:hint="eastAsia" w:asciiTheme="minorEastAsia" w:hAnsiTheme="minorEastAsia"/>
          <w:sz w:val="24"/>
          <w:szCs w:val="24"/>
        </w:rPr>
        <w:t>保障</w:t>
      </w:r>
      <w:r>
        <w:rPr>
          <w:rFonts w:asciiTheme="minorEastAsia" w:hAnsiTheme="minorEastAsia"/>
          <w:sz w:val="24"/>
          <w:szCs w:val="24"/>
        </w:rPr>
        <w:t>部</w:t>
      </w:r>
      <w:r>
        <w:rPr>
          <w:rFonts w:hint="eastAsia" w:asciiTheme="minorEastAsia" w:hAnsiTheme="minorEastAsia"/>
          <w:sz w:val="24"/>
          <w:szCs w:val="24"/>
        </w:rPr>
        <w:t>招投标管理办公室</w:t>
      </w:r>
      <w:r>
        <w:rPr>
          <w:rFonts w:asciiTheme="minorEastAsia" w:hAnsiTheme="minorEastAsia"/>
          <w:sz w:val="24"/>
          <w:szCs w:val="24"/>
        </w:rPr>
        <w:t>评出的“第一中标人”在合同未签订前如不能及时响应</w:t>
      </w:r>
      <w:r>
        <w:rPr>
          <w:rFonts w:hint="eastAsia" w:asciiTheme="minorEastAsia" w:hAnsiTheme="minorEastAsia"/>
          <w:sz w:val="24"/>
          <w:szCs w:val="24"/>
        </w:rPr>
        <w:t>采购方</w:t>
      </w:r>
      <w:r>
        <w:rPr>
          <w:rFonts w:asciiTheme="minorEastAsia" w:hAnsiTheme="minorEastAsia"/>
          <w:sz w:val="24"/>
          <w:szCs w:val="24"/>
        </w:rPr>
        <w:t>要求，</w:t>
      </w:r>
      <w:r>
        <w:rPr>
          <w:rFonts w:hint="eastAsia" w:asciiTheme="minorEastAsia" w:hAnsiTheme="minorEastAsia"/>
          <w:sz w:val="24"/>
          <w:szCs w:val="24"/>
        </w:rPr>
        <w:t>采购方</w:t>
      </w:r>
      <w:r>
        <w:rPr>
          <w:rFonts w:asciiTheme="minorEastAsia" w:hAnsiTheme="minorEastAsia"/>
          <w:sz w:val="24"/>
          <w:szCs w:val="24"/>
        </w:rPr>
        <w:t>有权取消“第一中标人”的中标资格，改由“第二中标人”中标。</w:t>
      </w:r>
    </w:p>
    <w:p w14:paraId="6EE82EC4">
      <w:pPr>
        <w:pStyle w:val="3"/>
      </w:pPr>
      <w:r>
        <w:rPr>
          <w:rFonts w:hint="eastAsia"/>
        </w:rPr>
        <w:t>七</w:t>
      </w:r>
      <w:r>
        <w:t>、结算方式</w:t>
      </w:r>
      <w:r>
        <w:rPr>
          <w:rFonts w:hint="eastAsia" w:ascii="宋体" w:hAnsi="宋体" w:eastAsia="宋体" w:cs="宋体"/>
        </w:rPr>
        <w:t>∶</w:t>
      </w:r>
    </w:p>
    <w:p w14:paraId="24C12081">
      <w:pPr>
        <w:spacing w:before="120" w:after="160" w:line="360" w:lineRule="auto"/>
        <w:ind w:firstLine="482"/>
        <w:jc w:val="left"/>
        <w:rPr>
          <w:rFonts w:asciiTheme="minorEastAsia" w:hAnsiTheme="minorEastAsia"/>
          <w:sz w:val="24"/>
          <w:szCs w:val="24"/>
        </w:rPr>
      </w:pPr>
      <w:r>
        <w:rPr>
          <w:rFonts w:asciiTheme="minorEastAsia" w:hAnsiTheme="minorEastAsia"/>
          <w:sz w:val="24"/>
          <w:szCs w:val="24"/>
        </w:rPr>
        <w:t>1、工程验收合格后，</w:t>
      </w:r>
      <w:r>
        <w:rPr>
          <w:rFonts w:hint="eastAsia" w:asciiTheme="minorEastAsia" w:hAnsiTheme="minorEastAsia"/>
          <w:sz w:val="24"/>
          <w:szCs w:val="24"/>
        </w:rPr>
        <w:t>中标人</w:t>
      </w:r>
      <w:r>
        <w:rPr>
          <w:rFonts w:asciiTheme="minorEastAsia" w:hAnsiTheme="minorEastAsia"/>
          <w:sz w:val="24"/>
          <w:szCs w:val="24"/>
        </w:rPr>
        <w:t>15个工作日内向</w:t>
      </w:r>
      <w:r>
        <w:rPr>
          <w:rFonts w:hint="eastAsia" w:asciiTheme="minorEastAsia" w:hAnsiTheme="minorEastAsia"/>
          <w:sz w:val="24"/>
          <w:szCs w:val="24"/>
        </w:rPr>
        <w:t>采购方</w:t>
      </w:r>
      <w:r>
        <w:rPr>
          <w:rFonts w:asciiTheme="minorEastAsia" w:hAnsiTheme="minorEastAsia"/>
          <w:sz w:val="24"/>
          <w:szCs w:val="24"/>
        </w:rPr>
        <w:t>递送结算资料。如过期未递送结算资料，由此产生的结果由</w:t>
      </w:r>
      <w:r>
        <w:rPr>
          <w:rFonts w:hint="eastAsia" w:asciiTheme="minorEastAsia" w:hAnsiTheme="minorEastAsia"/>
          <w:sz w:val="24"/>
          <w:szCs w:val="24"/>
        </w:rPr>
        <w:t>中标人</w:t>
      </w:r>
      <w:r>
        <w:rPr>
          <w:rFonts w:asciiTheme="minorEastAsia" w:hAnsiTheme="minorEastAsia"/>
          <w:sz w:val="24"/>
          <w:szCs w:val="24"/>
        </w:rPr>
        <w:t>负责。</w:t>
      </w:r>
    </w:p>
    <w:p w14:paraId="3AA5C190">
      <w:pPr>
        <w:spacing w:before="120" w:after="160" w:line="360" w:lineRule="auto"/>
        <w:ind w:firstLine="482"/>
        <w:jc w:val="left"/>
        <w:rPr>
          <w:rFonts w:asciiTheme="minorEastAsia" w:hAnsiTheme="minorEastAsia"/>
          <w:sz w:val="24"/>
          <w:szCs w:val="24"/>
        </w:rPr>
      </w:pPr>
      <w:r>
        <w:rPr>
          <w:rFonts w:asciiTheme="minorEastAsia" w:hAnsiTheme="minorEastAsia"/>
          <w:sz w:val="24"/>
          <w:szCs w:val="24"/>
        </w:rPr>
        <w:t>2、中标价为未经审核的最高限价，结算工程量以现场实际发生量进行结算，工程的建设总造价严格按“投标价作为最高结算价”的原则来控制。</w:t>
      </w:r>
    </w:p>
    <w:p w14:paraId="58E8973F">
      <w:pPr>
        <w:spacing w:before="120" w:after="160" w:line="360" w:lineRule="auto"/>
        <w:ind w:firstLine="482"/>
        <w:jc w:val="left"/>
        <w:rPr>
          <w:rFonts w:asciiTheme="minorEastAsia" w:hAnsiTheme="minorEastAsia"/>
          <w:sz w:val="24"/>
          <w:szCs w:val="24"/>
        </w:rPr>
      </w:pPr>
      <w:r>
        <w:rPr>
          <w:rFonts w:asciiTheme="minorEastAsia" w:hAnsiTheme="minorEastAsia"/>
          <w:sz w:val="24"/>
          <w:szCs w:val="24"/>
        </w:rPr>
        <w:t>3、工程竣工并验收合格后，中标人必须严格按</w:t>
      </w:r>
      <w:r>
        <w:rPr>
          <w:rFonts w:hint="eastAsia" w:asciiTheme="minorEastAsia" w:hAnsiTheme="minorEastAsia"/>
          <w:sz w:val="24"/>
          <w:szCs w:val="24"/>
        </w:rPr>
        <w:t>学校结算审核办公室</w:t>
      </w:r>
      <w:r>
        <w:rPr>
          <w:rFonts w:asciiTheme="minorEastAsia" w:hAnsiTheme="minorEastAsia"/>
          <w:sz w:val="24"/>
          <w:szCs w:val="24"/>
        </w:rPr>
        <w:t>要求编制、装订结算竣工资料，工程结算书经项目经理初审后提交</w:t>
      </w:r>
      <w:r>
        <w:rPr>
          <w:rFonts w:hint="eastAsia" w:asciiTheme="minorEastAsia" w:hAnsiTheme="minorEastAsia"/>
          <w:sz w:val="24"/>
          <w:szCs w:val="24"/>
        </w:rPr>
        <w:t>后勤保障部</w:t>
      </w:r>
      <w:r>
        <w:rPr>
          <w:rFonts w:asciiTheme="minorEastAsia" w:hAnsiTheme="minorEastAsia"/>
          <w:sz w:val="24"/>
          <w:szCs w:val="24"/>
        </w:rPr>
        <w:t>审核，以</w:t>
      </w:r>
      <w:r>
        <w:rPr>
          <w:rFonts w:hint="eastAsia" w:asciiTheme="minorEastAsia" w:hAnsiTheme="minorEastAsia"/>
          <w:sz w:val="24"/>
          <w:szCs w:val="24"/>
        </w:rPr>
        <w:t>此</w:t>
      </w:r>
      <w:r>
        <w:rPr>
          <w:rFonts w:asciiTheme="minorEastAsia" w:hAnsiTheme="minorEastAsia"/>
          <w:sz w:val="24"/>
          <w:szCs w:val="24"/>
        </w:rPr>
        <w:t>作为结算价</w:t>
      </w:r>
      <w:r>
        <w:rPr>
          <w:rFonts w:hint="eastAsia" w:asciiTheme="minorEastAsia" w:hAnsiTheme="minorEastAsia"/>
          <w:sz w:val="24"/>
          <w:szCs w:val="24"/>
        </w:rPr>
        <w:t>，同时接受学校结算审核办公室抽审检查</w:t>
      </w:r>
      <w:r>
        <w:rPr>
          <w:rFonts w:asciiTheme="minorEastAsia" w:hAnsiTheme="minorEastAsia"/>
          <w:sz w:val="24"/>
          <w:szCs w:val="24"/>
        </w:rPr>
        <w:t>。</w:t>
      </w:r>
    </w:p>
    <w:p w14:paraId="6AE56B33">
      <w:pPr>
        <w:pStyle w:val="3"/>
      </w:pPr>
      <w:r>
        <w:rPr>
          <w:rFonts w:hint="eastAsia"/>
        </w:rPr>
        <w:t>八</w:t>
      </w:r>
      <w:r>
        <w:t>、投标有效期：</w:t>
      </w:r>
    </w:p>
    <w:p w14:paraId="640D7A55">
      <w:pPr>
        <w:spacing w:before="120" w:after="160"/>
        <w:ind w:firstLine="482"/>
        <w:jc w:val="left"/>
        <w:rPr>
          <w:rFonts w:ascii="仿宋" w:hAnsi="仿宋" w:eastAsia="仿宋"/>
          <w:sz w:val="24"/>
          <w:szCs w:val="24"/>
        </w:rPr>
      </w:pPr>
      <w:r>
        <w:rPr>
          <w:rFonts w:asciiTheme="minorEastAsia" w:hAnsiTheme="minorEastAsia"/>
          <w:sz w:val="24"/>
          <w:szCs w:val="24"/>
        </w:rPr>
        <w:t>投标文件将在投标文件递交截止后60天内有效。投标有效期不足的投标文件将被拒绝</w:t>
      </w:r>
      <w:r>
        <w:rPr>
          <w:rFonts w:ascii="仿宋" w:hAnsi="仿宋" w:eastAsia="仿宋"/>
          <w:sz w:val="24"/>
          <w:szCs w:val="24"/>
        </w:rPr>
        <w:t>。</w:t>
      </w:r>
    </w:p>
    <w:p w14:paraId="3720632E">
      <w:pPr>
        <w:spacing w:before="120" w:after="160"/>
        <w:ind w:firstLine="480"/>
        <w:jc w:val="left"/>
        <w:rPr>
          <w:rFonts w:ascii="仿宋" w:hAnsi="仿宋" w:eastAsia="仿宋"/>
          <w:b/>
          <w:bCs/>
          <w:sz w:val="24"/>
          <w:szCs w:val="24"/>
        </w:rPr>
      </w:pPr>
    </w:p>
    <w:p w14:paraId="7D18BEFD">
      <w:pPr>
        <w:pStyle w:val="3"/>
      </w:pPr>
      <w:r>
        <w:rPr>
          <w:rFonts w:hint="eastAsia"/>
        </w:rPr>
        <w:t>九、评标方法：</w:t>
      </w:r>
    </w:p>
    <w:p w14:paraId="2D748080">
      <w:pPr>
        <w:spacing w:before="120" w:after="160" w:line="360" w:lineRule="auto"/>
        <w:ind w:firstLine="480" w:firstLineChars="200"/>
        <w:jc w:val="left"/>
        <w:rPr>
          <w:rFonts w:asciiTheme="minorEastAsia" w:hAnsiTheme="minorEastAsia"/>
          <w:sz w:val="24"/>
          <w:szCs w:val="24"/>
        </w:rPr>
      </w:pPr>
      <w:r>
        <w:rPr>
          <w:rFonts w:hint="eastAsia" w:cs="宋体" w:asciiTheme="minorEastAsia" w:hAnsiTheme="minorEastAsia"/>
          <w:sz w:val="24"/>
        </w:rPr>
        <w:t>最低价法。按照报价由低到高的顺序，报价</w:t>
      </w:r>
      <w:r>
        <w:rPr>
          <w:rFonts w:asciiTheme="minorEastAsia" w:hAnsiTheme="minorEastAsia"/>
          <w:sz w:val="24"/>
        </w:rPr>
        <w:t>最低的</w:t>
      </w:r>
      <w:r>
        <w:rPr>
          <w:rFonts w:hint="eastAsia" w:asciiTheme="minorEastAsia" w:hAnsiTheme="minorEastAsia"/>
          <w:sz w:val="24"/>
        </w:rPr>
        <w:t>投标人</w:t>
      </w:r>
      <w:r>
        <w:rPr>
          <w:rFonts w:asciiTheme="minorEastAsia" w:hAnsiTheme="minorEastAsia"/>
          <w:sz w:val="24"/>
        </w:rPr>
        <w:t>投标文件</w:t>
      </w:r>
      <w:r>
        <w:rPr>
          <w:rFonts w:hint="eastAsia" w:asciiTheme="minorEastAsia" w:hAnsiTheme="minorEastAsia"/>
          <w:sz w:val="24"/>
        </w:rPr>
        <w:t>完全满足招标文件的实质性要求，则推荐报价最低的投标人为候选中标投标人；</w:t>
      </w:r>
      <w:r>
        <w:rPr>
          <w:rFonts w:asciiTheme="minorEastAsia" w:hAnsiTheme="minorEastAsia"/>
          <w:sz w:val="24"/>
        </w:rPr>
        <w:t>不能满足，则按序递推</w:t>
      </w:r>
      <w:r>
        <w:rPr>
          <w:rFonts w:hint="eastAsia" w:asciiTheme="minorEastAsia" w:hAnsiTheme="minorEastAsia"/>
          <w:sz w:val="24"/>
        </w:rPr>
        <w:t>。当有2家或2家以上的投标人报价相同、且为最低价时，采用抽签的办法确定同为最低报价的投标人的排序。</w:t>
      </w:r>
    </w:p>
    <w:p w14:paraId="4E2F5690">
      <w:pPr>
        <w:pStyle w:val="3"/>
      </w:pPr>
      <w:r>
        <w:rPr>
          <w:rFonts w:hint="eastAsia"/>
        </w:rPr>
        <w:t>十</w:t>
      </w:r>
      <w:r>
        <w:t>、投标文件的式样和签署：</w:t>
      </w:r>
    </w:p>
    <w:p w14:paraId="3FDF754A">
      <w:pPr>
        <w:spacing w:before="120" w:after="160" w:line="360" w:lineRule="auto"/>
        <w:jc w:val="left"/>
        <w:rPr>
          <w:rFonts w:ascii="宋体" w:hAnsi="宋体" w:eastAsia="宋体" w:cs="宋体"/>
          <w:sz w:val="24"/>
          <w:szCs w:val="24"/>
        </w:rPr>
      </w:pPr>
      <w:r>
        <w:rPr>
          <w:rFonts w:ascii="仿宋" w:hAnsi="仿宋" w:eastAsia="仿宋"/>
          <w:sz w:val="24"/>
          <w:szCs w:val="24"/>
        </w:rPr>
        <w:t>　　</w:t>
      </w:r>
      <w:r>
        <w:rPr>
          <w:rFonts w:hint="eastAsia" w:ascii="宋体" w:hAnsi="宋体" w:eastAsia="宋体" w:cs="宋体"/>
          <w:sz w:val="24"/>
          <w:szCs w:val="24"/>
        </w:rPr>
        <w:t>投标文件的封面应注明“项目名称、</w:t>
      </w:r>
      <w:r>
        <w:rPr>
          <w:rFonts w:ascii="宋体" w:hAnsi="宋体" w:eastAsia="宋体" w:cs="宋体"/>
          <w:sz w:val="24"/>
          <w:szCs w:val="24"/>
        </w:rPr>
        <w:t>项目</w:t>
      </w:r>
      <w:r>
        <w:rPr>
          <w:rFonts w:hint="eastAsia" w:ascii="宋体" w:hAnsi="宋体" w:eastAsia="宋体" w:cs="宋体"/>
          <w:sz w:val="24"/>
          <w:szCs w:val="24"/>
        </w:rPr>
        <w:t>编号、投标人名称、报价日期等”；</w:t>
      </w:r>
    </w:p>
    <w:p w14:paraId="31747B76">
      <w:pPr>
        <w:spacing w:before="120" w:after="160" w:line="360" w:lineRule="auto"/>
        <w:jc w:val="left"/>
        <w:rPr>
          <w:rFonts w:ascii="宋体" w:hAnsi="宋体" w:eastAsia="宋体" w:cs="宋体"/>
          <w:sz w:val="24"/>
          <w:szCs w:val="24"/>
        </w:rPr>
      </w:pPr>
      <w:r>
        <w:rPr>
          <w:rFonts w:hint="eastAsia" w:ascii="宋体" w:hAnsi="宋体" w:eastAsia="宋体" w:cs="宋体"/>
          <w:sz w:val="24"/>
          <w:szCs w:val="24"/>
        </w:rPr>
        <w:t>　　投标人应在每一份投标文件上编上页次；</w:t>
      </w:r>
    </w:p>
    <w:p w14:paraId="7CC95A5C">
      <w:pPr>
        <w:spacing w:before="120" w:after="160" w:line="360" w:lineRule="auto"/>
        <w:jc w:val="left"/>
        <w:rPr>
          <w:rFonts w:ascii="宋体" w:hAnsi="宋体" w:eastAsia="宋体" w:cs="宋体"/>
          <w:sz w:val="24"/>
          <w:szCs w:val="24"/>
        </w:rPr>
      </w:pPr>
      <w:r>
        <w:rPr>
          <w:rFonts w:hint="eastAsia" w:ascii="宋体" w:hAnsi="宋体" w:eastAsia="宋体" w:cs="宋体"/>
          <w:sz w:val="24"/>
          <w:szCs w:val="24"/>
        </w:rPr>
        <w:t>　　投标文件的封面及投标</w:t>
      </w:r>
      <w:r>
        <w:rPr>
          <w:rFonts w:ascii="宋体" w:hAnsi="宋体" w:eastAsia="宋体" w:cs="宋体"/>
          <w:sz w:val="24"/>
          <w:szCs w:val="24"/>
        </w:rPr>
        <w:t>文件有效页</w:t>
      </w:r>
      <w:r>
        <w:rPr>
          <w:rFonts w:hint="eastAsia" w:ascii="宋体" w:hAnsi="宋体" w:eastAsia="宋体" w:cs="宋体"/>
          <w:sz w:val="24"/>
          <w:szCs w:val="24"/>
        </w:rPr>
        <w:t>均应由投标人加盖投标人的法人公章；</w:t>
      </w:r>
    </w:p>
    <w:p w14:paraId="693F7847">
      <w:pPr>
        <w:spacing w:before="120" w:after="160" w:line="360" w:lineRule="auto"/>
        <w:jc w:val="left"/>
        <w:rPr>
          <w:rFonts w:ascii="宋体" w:hAnsi="宋体" w:eastAsia="宋体" w:cs="宋体"/>
          <w:sz w:val="24"/>
          <w:szCs w:val="24"/>
        </w:rPr>
      </w:pPr>
      <w:r>
        <w:rPr>
          <w:rFonts w:hint="eastAsia" w:ascii="宋体" w:hAnsi="宋体" w:eastAsia="宋体" w:cs="宋体"/>
          <w:sz w:val="24"/>
          <w:szCs w:val="24"/>
        </w:rPr>
        <w:t>　　除投标人对错处作必要修改外，投标文件中不许有加行、涂抹或改写。若有修改须由投标人授权代表在修正处签字并加盖公章；</w:t>
      </w:r>
    </w:p>
    <w:p w14:paraId="2DB51C32">
      <w:pPr>
        <w:pStyle w:val="3"/>
      </w:pPr>
      <w:r>
        <w:rPr>
          <w:rFonts w:hint="eastAsia"/>
        </w:rPr>
        <w:t>十一</w:t>
      </w:r>
      <w:r>
        <w:t>、投标文件内容要求：</w:t>
      </w:r>
    </w:p>
    <w:p w14:paraId="203B1C6A">
      <w:pPr>
        <w:spacing w:before="120" w:after="160"/>
        <w:jc w:val="left"/>
        <w:rPr>
          <w:rFonts w:ascii="仿宋" w:hAnsi="仿宋" w:eastAsia="仿宋"/>
          <w:sz w:val="24"/>
          <w:szCs w:val="24"/>
        </w:rPr>
      </w:pPr>
      <w:r>
        <w:rPr>
          <w:rFonts w:ascii="仿宋" w:hAnsi="仿宋" w:eastAsia="仿宋"/>
          <w:sz w:val="24"/>
          <w:szCs w:val="24"/>
        </w:rPr>
        <w:t>　　</w:t>
      </w:r>
      <w:r>
        <w:rPr>
          <w:rFonts w:hint="eastAsia" w:asciiTheme="minorEastAsia" w:hAnsiTheme="minorEastAsia"/>
          <w:sz w:val="24"/>
          <w:szCs w:val="24"/>
        </w:rPr>
        <w:t>投标文件必须包含本项目要求的资质文件、营业执照副本复印件（加盖公章）、投标承诺函、项目经理简介、项目经理近</w:t>
      </w:r>
      <w:r>
        <w:rPr>
          <w:rFonts w:asciiTheme="minorEastAsia" w:hAnsiTheme="minorEastAsia"/>
          <w:sz w:val="24"/>
          <w:szCs w:val="24"/>
        </w:rPr>
        <w:t>1</w:t>
      </w:r>
      <w:r>
        <w:rPr>
          <w:rFonts w:hint="eastAsia" w:asciiTheme="minorEastAsia" w:hAnsiTheme="minorEastAsia"/>
          <w:sz w:val="24"/>
          <w:szCs w:val="24"/>
        </w:rPr>
        <w:t>个月单位社保证明。缺少上述任一文件，视为对实质性条款的不响应，将导致投标无效。</w:t>
      </w:r>
    </w:p>
    <w:p w14:paraId="5C551093">
      <w:pPr>
        <w:pStyle w:val="3"/>
      </w:pPr>
      <w:r>
        <w:t>十</w:t>
      </w:r>
      <w:r>
        <w:rPr>
          <w:rFonts w:hint="eastAsia"/>
        </w:rPr>
        <w:t>二</w:t>
      </w:r>
      <w:r>
        <w:t>、细微偏差修正：</w:t>
      </w:r>
    </w:p>
    <w:p w14:paraId="78A0D1B2">
      <w:pPr>
        <w:spacing w:before="120" w:after="160"/>
        <w:jc w:val="left"/>
        <w:rPr>
          <w:rFonts w:asciiTheme="minorEastAsia" w:hAnsiTheme="minorEastAsia"/>
          <w:sz w:val="24"/>
          <w:szCs w:val="24"/>
        </w:rPr>
      </w:pPr>
      <w:r>
        <w:rPr>
          <w:rFonts w:ascii="仿宋" w:hAnsi="仿宋" w:eastAsia="仿宋"/>
          <w:sz w:val="24"/>
          <w:szCs w:val="24"/>
        </w:rPr>
        <w:t>　　</w:t>
      </w:r>
      <w:r>
        <w:rPr>
          <w:rFonts w:asciiTheme="minorEastAsia" w:hAnsiTheme="minorEastAsia"/>
          <w:sz w:val="24"/>
          <w:szCs w:val="24"/>
        </w:rPr>
        <w:t>细微偏差是指经评标正委员会确认为通过初审的投标文件虽然实质上响应招标文件要求，但个别地方存在遗漏或者提供了不完整的技术信息及数据，并且修正这些遗漏或者不完整不会更改投标文件的实质性内容。</w:t>
      </w:r>
    </w:p>
    <w:p w14:paraId="7F1B303B">
      <w:pPr>
        <w:spacing w:before="120" w:after="160"/>
        <w:jc w:val="left"/>
        <w:rPr>
          <w:rFonts w:asciiTheme="minorEastAsia" w:hAnsiTheme="minorEastAsia"/>
          <w:sz w:val="24"/>
          <w:szCs w:val="24"/>
        </w:rPr>
      </w:pPr>
      <w:r>
        <w:rPr>
          <w:rFonts w:asciiTheme="minorEastAsia" w:hAnsiTheme="minorEastAsia"/>
          <w:sz w:val="24"/>
          <w:szCs w:val="24"/>
        </w:rPr>
        <w:t>　　经评标委员会确认为通过初审的投标文件，若存在个别计算或累计方面的算术错误可视为投标文件存在细微偏差并按照以下原则进行修正：</w:t>
      </w:r>
    </w:p>
    <w:p w14:paraId="27448164">
      <w:pPr>
        <w:spacing w:before="120" w:after="160"/>
        <w:jc w:val="left"/>
        <w:rPr>
          <w:rFonts w:asciiTheme="minorEastAsia" w:hAnsiTheme="minorEastAsia"/>
          <w:sz w:val="24"/>
          <w:szCs w:val="24"/>
        </w:rPr>
      </w:pPr>
      <w:r>
        <w:rPr>
          <w:rFonts w:asciiTheme="minorEastAsia" w:hAnsiTheme="minorEastAsia"/>
          <w:sz w:val="24"/>
          <w:szCs w:val="24"/>
        </w:rPr>
        <w:t>　　1、用数字表示的数额与用文字表示的数额不一致时，以文字数额为准进行修正；</w:t>
      </w:r>
    </w:p>
    <w:p w14:paraId="30E6BF32">
      <w:pPr>
        <w:spacing w:before="120" w:after="160"/>
        <w:jc w:val="left"/>
        <w:rPr>
          <w:rFonts w:asciiTheme="minorEastAsia" w:hAnsiTheme="minorEastAsia"/>
          <w:sz w:val="24"/>
          <w:szCs w:val="24"/>
        </w:rPr>
      </w:pPr>
      <w:r>
        <w:rPr>
          <w:rFonts w:asciiTheme="minorEastAsia" w:hAnsiTheme="minorEastAsia"/>
          <w:sz w:val="24"/>
          <w:szCs w:val="24"/>
        </w:rPr>
        <w:t>　　2、单价与工程量的乘积与合价不一致时，通常以单价为准。除非评标委员会认为单价有明显的小数点错位，此时应以合价为准，并修正单价；</w:t>
      </w:r>
    </w:p>
    <w:p w14:paraId="2177554C">
      <w:pPr>
        <w:spacing w:before="120" w:after="160"/>
        <w:jc w:val="left"/>
        <w:rPr>
          <w:rFonts w:asciiTheme="minorEastAsia" w:hAnsiTheme="minorEastAsia"/>
          <w:sz w:val="24"/>
          <w:szCs w:val="24"/>
        </w:rPr>
      </w:pPr>
      <w:r>
        <w:rPr>
          <w:rFonts w:asciiTheme="minorEastAsia" w:hAnsiTheme="minorEastAsia"/>
          <w:sz w:val="24"/>
          <w:szCs w:val="24"/>
        </w:rPr>
        <w:t>　　3、分项投标累计与投标总价不一致时，通常以分项投标累计为准。除非评标委员会认为分项投标有明显的小数点错位，此时应以投标总价为准，并修正分项投标；</w:t>
      </w:r>
    </w:p>
    <w:p w14:paraId="448967C4">
      <w:pPr>
        <w:spacing w:before="120" w:after="160"/>
        <w:jc w:val="left"/>
        <w:rPr>
          <w:rFonts w:asciiTheme="minorEastAsia" w:hAnsiTheme="minorEastAsia"/>
          <w:sz w:val="24"/>
          <w:szCs w:val="24"/>
        </w:rPr>
      </w:pPr>
      <w:r>
        <w:rPr>
          <w:rFonts w:asciiTheme="minorEastAsia" w:hAnsiTheme="minorEastAsia"/>
          <w:sz w:val="24"/>
          <w:szCs w:val="24"/>
        </w:rPr>
        <w:t>　　4、投标人对该投标有声明的，以该投标声明为准。</w:t>
      </w:r>
    </w:p>
    <w:p w14:paraId="6B6D228E">
      <w:pPr>
        <w:spacing w:before="120" w:after="160"/>
        <w:jc w:val="left"/>
        <w:rPr>
          <w:rFonts w:asciiTheme="minorEastAsia" w:hAnsiTheme="minorEastAsia"/>
          <w:sz w:val="24"/>
          <w:szCs w:val="24"/>
        </w:rPr>
      </w:pPr>
      <w:r>
        <w:rPr>
          <w:rFonts w:asciiTheme="minorEastAsia" w:hAnsiTheme="minorEastAsia"/>
          <w:sz w:val="24"/>
          <w:szCs w:val="24"/>
        </w:rPr>
        <w:t>　　按照上述修正调整后的投标经投标人确认后，对投标人起约束作用。</w:t>
      </w:r>
    </w:p>
    <w:p w14:paraId="4B5AE98A">
      <w:pPr>
        <w:spacing w:before="120" w:after="160"/>
        <w:jc w:val="left"/>
        <w:rPr>
          <w:rFonts w:asciiTheme="minorEastAsia" w:hAnsiTheme="minorEastAsia"/>
          <w:sz w:val="24"/>
          <w:szCs w:val="24"/>
        </w:rPr>
      </w:pPr>
      <w:r>
        <w:rPr>
          <w:rFonts w:asciiTheme="minorEastAsia" w:hAnsiTheme="minorEastAsia"/>
          <w:sz w:val="24"/>
          <w:szCs w:val="24"/>
        </w:rPr>
        <w:t>　　经评标委员会确认存在细微偏差的投标文件，评标委员会可以于评标结果宣布之前要求投标人对投标文件中存在的细微偏差进行修正，若投标人拒绝修正，则其投标文件将被拒绝。</w:t>
      </w:r>
    </w:p>
    <w:p w14:paraId="40FB8AB3">
      <w:pPr>
        <w:pStyle w:val="3"/>
      </w:pPr>
      <w:r>
        <w:t>十</w:t>
      </w:r>
      <w:r>
        <w:rPr>
          <w:rFonts w:hint="eastAsia"/>
        </w:rPr>
        <w:t>三</w:t>
      </w:r>
      <w:r>
        <w:t>、施工主要材料参考品牌</w:t>
      </w:r>
    </w:p>
    <w:p w14:paraId="4B91C009">
      <w:pPr>
        <w:rPr>
          <w:rFonts w:asciiTheme="minorEastAsia" w:hAnsiTheme="minorEastAsia" w:cstheme="majorBidi"/>
          <w:color w:val="000000" w:themeColor="text1"/>
          <w:sz w:val="24"/>
          <w:szCs w:val="24"/>
          <w14:textFill>
            <w14:solidFill>
              <w14:schemeClr w14:val="tx1"/>
            </w14:solidFill>
          </w14:textFill>
        </w:rPr>
      </w:pPr>
    </w:p>
    <w:tbl>
      <w:tblPr>
        <w:tblStyle w:val="TableGrid"/>
        <w:tblW w:w="9000" w:type="dxa"/>
        <w:tblLayout w:type="fixed"/>
        <w:tblLook w:val="04A0"/>
      </w:tblPr>
      <w:tblGrid>
        <w:gridCol w:w="800"/>
        <w:gridCol w:w="1600"/>
        <w:gridCol w:w="6600"/>
      </w:tblGrid>
      <w:tr>
        <w:tc>
          <w:tcPr>
            <w:tcW w:w="800" w:type="dxa"/>
          </w:tcPr>
          <w:p>
            <w:pPr/>
            <w:r>
              <w:t>序号</w:t>
            </w:r>
          </w:p>
        </w:tc>
        <w:tc>
          <w:tcPr>
            <w:tcW w:w="1600" w:type="dxa"/>
          </w:tcPr>
          <w:p>
            <w:pPr/>
            <w:r>
              <w:t>材料名称</w:t>
            </w:r>
          </w:p>
        </w:tc>
        <w:tc>
          <w:tcPr>
            <w:tcW w:w="6600" w:type="dxa"/>
          </w:tcPr>
          <w:p>
            <w:pPr/>
            <w:r>
              <w:t>材料品牌</w:t>
            </w:r>
          </w:p>
        </w:tc>
      </w:tr>
      <w:tr>
        <w:tc>
          <w:tcPr>
            <w:tcW w:w="800" w:type="dxa"/>
          </w:tcPr>
          <w:p>
            <w:pPr/>
            <w:r>
              <w:t>1</w:t>
            </w:r>
          </w:p>
        </w:tc>
        <w:tc>
          <w:tcPr>
            <w:tcW w:w="1600" w:type="dxa"/>
          </w:tcPr>
          <w:p>
            <w:pPr/>
            <w:r>
              <w:t>水泥</w:t>
            </w:r>
          </w:p>
        </w:tc>
        <w:tc>
          <w:tcPr>
            <w:tcW w:w="6600" w:type="dxa"/>
          </w:tcPr>
          <w:p>
            <w:pPr/>
            <w:r>
              <w:t>海螺、南方水泥、中材、华新堡垒、华润水泥</w:t>
            </w:r>
          </w:p>
        </w:tc>
      </w:tr>
    </w:tbl>
    <w:p w14:paraId="5AF38659">
      <w:pPr>
        <w:rPr>
          <w:rFonts w:asciiTheme="minorEastAsia" w:hAnsiTheme="minorEastAsia" w:cstheme="majorBidi"/>
          <w:color w:val="000000" w:themeColor="text1"/>
          <w:sz w:val="24"/>
          <w:szCs w:val="24"/>
          <w14:textFill>
            <w14:solidFill>
              <w14:schemeClr w14:val="tx1"/>
            </w14:solidFill>
          </w14:textFill>
        </w:rPr>
      </w:pPr>
      <w:bookmarkStart w:id="8" w:name="材料品牌库"/>
      <w:bookmarkEnd w:id="8"/>
    </w:p>
    <w:p w14:paraId="3565027F">
      <w:pPr>
        <w:rPr>
          <w:rFonts w:asciiTheme="minorEastAsia" w:hAnsiTheme="minorEastAsia" w:cstheme="majorBidi"/>
          <w:color w:val="000000" w:themeColor="text1"/>
          <w:sz w:val="24"/>
          <w:szCs w:val="24"/>
          <w14:textFill>
            <w14:solidFill>
              <w14:schemeClr w14:val="tx1"/>
            </w14:solidFill>
          </w14:textFill>
        </w:rPr>
      </w:pPr>
    </w:p>
    <w:p w14:paraId="5597D87C">
      <w:pPr>
        <w:spacing w:line="360" w:lineRule="auto"/>
        <w:rPr>
          <w:rFonts w:ascii="Times New Roman" w:hAnsi="Times New Roman"/>
        </w:rPr>
      </w:pPr>
      <w:r>
        <w:rPr>
          <w:rFonts w:hint="eastAsia" w:ascii="微软雅黑" w:hAnsi="微软雅黑" w:eastAsia="微软雅黑" w:cs="微软雅黑"/>
          <w:b/>
        </w:rPr>
        <w:t>注</w:t>
      </w:r>
      <w:r>
        <w:rPr>
          <w:rFonts w:ascii="Times New Roman"/>
          <w:b/>
        </w:rPr>
        <w:t>：工程所用不锈钢材统一为304不锈钢，投标人所提供的主要材料的技术参数标准不得低于表中所列参考品牌的技术参数标准。</w:t>
      </w:r>
    </w:p>
    <w:p w14:paraId="3720B3C5">
      <w:pPr>
        <w:pStyle w:val="3"/>
      </w:pPr>
      <w:r>
        <w:t>十</w:t>
      </w:r>
      <w:r>
        <w:rPr>
          <w:rFonts w:hint="eastAsia"/>
        </w:rPr>
        <w:t>四</w:t>
      </w:r>
      <w:r>
        <w:t>、招标人会同采购方接受或拒绝任何投标或所有投标的权利：</w:t>
      </w:r>
    </w:p>
    <w:p w14:paraId="4468DF4E">
      <w:pPr>
        <w:spacing w:before="120" w:after="160"/>
        <w:jc w:val="left"/>
        <w:rPr>
          <w:rFonts w:asciiTheme="minorEastAsia" w:hAnsiTheme="minorEastAsia"/>
          <w:sz w:val="24"/>
          <w:szCs w:val="24"/>
        </w:rPr>
      </w:pPr>
      <w:r>
        <w:rPr>
          <w:rFonts w:ascii="仿宋" w:hAnsi="仿宋" w:eastAsia="仿宋"/>
          <w:sz w:val="24"/>
          <w:szCs w:val="24"/>
        </w:rPr>
        <w:t>　　</w:t>
      </w:r>
      <w:r>
        <w:rPr>
          <w:rFonts w:asciiTheme="minorEastAsia" w:hAnsiTheme="minorEastAsia"/>
          <w:sz w:val="24"/>
          <w:szCs w:val="24"/>
        </w:rPr>
        <w:t>出现下列任何一种情形，招标人和采购方保留拒绝任何投标以及宣布招标程序无效的权力：</w:t>
      </w:r>
    </w:p>
    <w:p w14:paraId="5D0C1EBC">
      <w:pPr>
        <w:spacing w:before="120" w:after="160"/>
        <w:jc w:val="left"/>
        <w:rPr>
          <w:rFonts w:asciiTheme="minorEastAsia" w:hAnsiTheme="minorEastAsia"/>
          <w:sz w:val="24"/>
          <w:szCs w:val="24"/>
        </w:rPr>
      </w:pPr>
      <w:r>
        <w:rPr>
          <w:rFonts w:asciiTheme="minorEastAsia" w:hAnsiTheme="minorEastAsia"/>
          <w:sz w:val="24"/>
          <w:szCs w:val="24"/>
        </w:rPr>
        <w:t>　　1、出现影响采购公正的违法、违规行为的；</w:t>
      </w:r>
    </w:p>
    <w:p w14:paraId="0892EBC1">
      <w:pPr>
        <w:spacing w:before="120" w:after="160"/>
        <w:jc w:val="left"/>
        <w:rPr>
          <w:rFonts w:asciiTheme="minorEastAsia" w:hAnsiTheme="minorEastAsia"/>
          <w:sz w:val="24"/>
          <w:szCs w:val="24"/>
        </w:rPr>
      </w:pPr>
      <w:r>
        <w:rPr>
          <w:rFonts w:asciiTheme="minorEastAsia" w:hAnsiTheme="minorEastAsia"/>
          <w:sz w:val="24"/>
          <w:szCs w:val="24"/>
        </w:rPr>
        <w:t>　　2、因重大变故采购任务取消的。</w:t>
      </w:r>
    </w:p>
    <w:p w14:paraId="11BE85D2">
      <w:pPr>
        <w:pStyle w:val="3"/>
      </w:pPr>
      <w:r>
        <w:t>十</w:t>
      </w:r>
      <w:r>
        <w:rPr>
          <w:rFonts w:hint="eastAsia"/>
        </w:rPr>
        <w:t>五</w:t>
      </w:r>
      <w:r>
        <w:t xml:space="preserve">、质疑： </w:t>
      </w:r>
    </w:p>
    <w:p w14:paraId="5CE6AD43">
      <w:pPr>
        <w:spacing w:before="120" w:after="160"/>
        <w:jc w:val="left"/>
        <w:rPr>
          <w:rFonts w:asciiTheme="minorEastAsia" w:hAnsiTheme="minorEastAsia"/>
          <w:sz w:val="24"/>
          <w:szCs w:val="24"/>
        </w:rPr>
      </w:pPr>
      <w:r>
        <w:rPr>
          <w:rFonts w:ascii="仿宋" w:hAnsi="仿宋" w:eastAsia="仿宋"/>
          <w:sz w:val="24"/>
          <w:szCs w:val="24"/>
        </w:rPr>
        <w:t>　　</w:t>
      </w:r>
      <w:r>
        <w:rPr>
          <w:rFonts w:asciiTheme="minorEastAsia" w:hAnsiTheme="minorEastAsia"/>
          <w:sz w:val="24"/>
          <w:szCs w:val="24"/>
        </w:rPr>
        <w:t>如投标人对评标结果有质疑，须以质疑函的形式将全部质疑内容一次性向招标代理人提出，否则不予接收。函中需明确质疑对象、内容，同时提供证明其质疑内容的材料。</w:t>
      </w:r>
    </w:p>
    <w:p w14:paraId="5EF1E612">
      <w:pPr>
        <w:spacing w:before="120" w:after="160"/>
        <w:jc w:val="left"/>
        <w:rPr>
          <w:rFonts w:asciiTheme="minorEastAsia" w:hAnsiTheme="minorEastAsia"/>
          <w:sz w:val="24"/>
          <w:szCs w:val="24"/>
        </w:rPr>
      </w:pPr>
      <w:r>
        <w:rPr>
          <w:rFonts w:asciiTheme="minorEastAsia" w:hAnsiTheme="minorEastAsia"/>
          <w:sz w:val="24"/>
          <w:szCs w:val="24"/>
        </w:rPr>
        <w:t>　　提出质疑的投标人应保证提出质疑内容及相应证明材料的真实性及来源的合法性，并承担相应的法律责任。</w:t>
      </w:r>
    </w:p>
    <w:p w14:paraId="710CD7B0">
      <w:pPr>
        <w:spacing w:before="120" w:after="160"/>
        <w:jc w:val="left"/>
        <w:rPr>
          <w:rFonts w:asciiTheme="minorEastAsia" w:hAnsiTheme="minorEastAsia"/>
          <w:sz w:val="24"/>
          <w:szCs w:val="24"/>
        </w:rPr>
      </w:pPr>
      <w:r>
        <w:rPr>
          <w:rFonts w:asciiTheme="minorEastAsia" w:hAnsiTheme="minorEastAsia"/>
          <w:sz w:val="24"/>
          <w:szCs w:val="24"/>
        </w:rPr>
        <w:t>　　属以下情况之一者，为不合格质疑或投诉，不予受理：</w:t>
      </w:r>
    </w:p>
    <w:p w14:paraId="45AF8FDC">
      <w:pPr>
        <w:spacing w:before="120" w:after="160"/>
        <w:jc w:val="left"/>
        <w:rPr>
          <w:rFonts w:asciiTheme="minorEastAsia" w:hAnsiTheme="minorEastAsia"/>
          <w:sz w:val="24"/>
          <w:szCs w:val="24"/>
        </w:rPr>
      </w:pPr>
      <w:r>
        <w:rPr>
          <w:rFonts w:asciiTheme="minorEastAsia" w:hAnsiTheme="minorEastAsia"/>
          <w:sz w:val="24"/>
          <w:szCs w:val="24"/>
        </w:rPr>
        <w:t>　　1、质疑人不是该项目的投标人；</w:t>
      </w:r>
    </w:p>
    <w:p w14:paraId="3917F0E4">
      <w:pPr>
        <w:spacing w:before="120" w:after="160"/>
        <w:jc w:val="left"/>
        <w:rPr>
          <w:rFonts w:asciiTheme="minorEastAsia" w:hAnsiTheme="minorEastAsia"/>
          <w:sz w:val="24"/>
          <w:szCs w:val="24"/>
        </w:rPr>
      </w:pPr>
      <w:r>
        <w:rPr>
          <w:rFonts w:asciiTheme="minorEastAsia" w:hAnsiTheme="minorEastAsia"/>
          <w:sz w:val="24"/>
          <w:szCs w:val="24"/>
        </w:rPr>
        <w:t>　　2、质疑投诉文件无合格签字及盖章的；</w:t>
      </w:r>
    </w:p>
    <w:p w14:paraId="5A32A0F1">
      <w:pPr>
        <w:spacing w:before="120" w:after="160"/>
        <w:jc w:val="left"/>
        <w:rPr>
          <w:rFonts w:asciiTheme="minorEastAsia" w:hAnsiTheme="minorEastAsia"/>
          <w:sz w:val="24"/>
          <w:szCs w:val="24"/>
        </w:rPr>
      </w:pPr>
      <w:r>
        <w:rPr>
          <w:rFonts w:asciiTheme="minorEastAsia" w:hAnsiTheme="minorEastAsia"/>
          <w:sz w:val="24"/>
          <w:szCs w:val="24"/>
        </w:rPr>
        <w:t>　　3、质疑投诉文件无明确质疑对象或内容的；</w:t>
      </w:r>
    </w:p>
    <w:p w14:paraId="00B717D1">
      <w:pPr>
        <w:spacing w:before="120" w:after="160"/>
        <w:jc w:val="left"/>
        <w:rPr>
          <w:rFonts w:asciiTheme="minorEastAsia" w:hAnsiTheme="minorEastAsia"/>
          <w:sz w:val="24"/>
          <w:szCs w:val="24"/>
        </w:rPr>
      </w:pPr>
      <w:r>
        <w:rPr>
          <w:rFonts w:asciiTheme="minorEastAsia" w:hAnsiTheme="minorEastAsia"/>
          <w:sz w:val="24"/>
          <w:szCs w:val="24"/>
        </w:rPr>
        <w:t>　　4、未提供详实有效的证明材料；</w:t>
      </w:r>
    </w:p>
    <w:p w14:paraId="152236B5">
      <w:pPr>
        <w:spacing w:before="120" w:after="160"/>
        <w:jc w:val="left"/>
        <w:rPr>
          <w:rFonts w:asciiTheme="minorEastAsia" w:hAnsiTheme="minorEastAsia"/>
          <w:sz w:val="24"/>
          <w:szCs w:val="24"/>
        </w:rPr>
      </w:pPr>
      <w:r>
        <w:rPr>
          <w:rFonts w:asciiTheme="minorEastAsia" w:hAnsiTheme="minorEastAsia"/>
          <w:sz w:val="24"/>
          <w:szCs w:val="24"/>
        </w:rPr>
        <w:t>　　5、质疑投诉人多次提供虚假情况的；</w:t>
      </w:r>
    </w:p>
    <w:p w14:paraId="49ACB855">
      <w:pPr>
        <w:spacing w:before="120" w:after="160"/>
        <w:jc w:val="left"/>
        <w:rPr>
          <w:rFonts w:asciiTheme="minorEastAsia" w:hAnsiTheme="minorEastAsia"/>
          <w:sz w:val="24"/>
          <w:szCs w:val="24"/>
        </w:rPr>
      </w:pPr>
      <w:r>
        <w:rPr>
          <w:rFonts w:asciiTheme="minorEastAsia" w:hAnsiTheme="minorEastAsia"/>
          <w:sz w:val="24"/>
          <w:szCs w:val="24"/>
        </w:rPr>
        <w:t xml:space="preserve">　　6、非在公示期内送达的； </w:t>
      </w:r>
    </w:p>
    <w:p w14:paraId="22FE1796">
      <w:pPr>
        <w:pStyle w:val="3"/>
      </w:pPr>
      <w:bookmarkStart w:id="9" w:name="_Toc82421174"/>
      <w:bookmarkStart w:id="10" w:name="_Toc82421281"/>
      <w:r>
        <w:rPr>
          <w:rFonts w:hint="eastAsia"/>
        </w:rPr>
        <w:t>十六</w:t>
      </w:r>
      <w:r>
        <w:t>、注意事项</w:t>
      </w:r>
      <w:bookmarkEnd w:id="9"/>
      <w:bookmarkEnd w:id="10"/>
    </w:p>
    <w:p w14:paraId="34686C02">
      <w:pPr>
        <w:spacing w:before="120" w:after="160"/>
        <w:ind w:firstLine="480" w:firstLineChars="200"/>
        <w:jc w:val="left"/>
        <w:rPr>
          <w:rFonts w:asciiTheme="minorEastAsia" w:hAnsiTheme="minorEastAsia"/>
          <w:sz w:val="24"/>
          <w:szCs w:val="24"/>
        </w:rPr>
      </w:pPr>
      <w:r>
        <w:rPr>
          <w:rFonts w:asciiTheme="minorEastAsia" w:hAnsiTheme="minorEastAsia"/>
          <w:sz w:val="24"/>
          <w:szCs w:val="24"/>
        </w:rPr>
        <w:t>1、中标人不得将项目非法分包或转包给任何单位和个人。否则，</w:t>
      </w:r>
      <w:r>
        <w:rPr>
          <w:rFonts w:hint="eastAsia" w:asciiTheme="minorEastAsia" w:hAnsiTheme="minorEastAsia"/>
          <w:sz w:val="24"/>
          <w:szCs w:val="24"/>
        </w:rPr>
        <w:t>采购方</w:t>
      </w:r>
      <w:r>
        <w:rPr>
          <w:rFonts w:asciiTheme="minorEastAsia" w:hAnsiTheme="minorEastAsia"/>
          <w:sz w:val="24"/>
          <w:szCs w:val="24"/>
        </w:rPr>
        <w:t>有权即刻终止合同，并要求中标人赔偿相应损失。</w:t>
      </w:r>
    </w:p>
    <w:p w14:paraId="52333B87">
      <w:pPr>
        <w:spacing w:before="120" w:after="160"/>
        <w:ind w:firstLine="480" w:firstLineChars="200"/>
        <w:jc w:val="left"/>
        <w:rPr>
          <w:rFonts w:asciiTheme="minorEastAsia" w:hAnsiTheme="minorEastAsia"/>
          <w:sz w:val="24"/>
          <w:szCs w:val="24"/>
        </w:rPr>
      </w:pPr>
      <w:r>
        <w:rPr>
          <w:rFonts w:asciiTheme="minorEastAsia" w:hAnsiTheme="minorEastAsia"/>
          <w:sz w:val="24"/>
          <w:szCs w:val="24"/>
        </w:rPr>
        <w:t>2、投标人若认为招标文件的技术要求或其他要求有倾向性或不公正性，可在</w:t>
      </w:r>
      <w:r>
        <w:rPr>
          <w:rFonts w:hint="eastAsia" w:asciiTheme="minorEastAsia" w:hAnsiTheme="minorEastAsia"/>
          <w:sz w:val="24"/>
          <w:szCs w:val="24"/>
        </w:rPr>
        <w:t>投标报名截止前</w:t>
      </w:r>
      <w:r>
        <w:rPr>
          <w:rFonts w:asciiTheme="minorEastAsia" w:hAnsiTheme="minorEastAsia"/>
          <w:sz w:val="24"/>
          <w:szCs w:val="24"/>
        </w:rPr>
        <w:t>提出，以维护招标行为的公平、公正。</w:t>
      </w:r>
    </w:p>
    <w:p w14:paraId="451A3603">
      <w:pPr>
        <w:spacing w:before="120" w:after="160"/>
        <w:ind w:firstLine="480" w:firstLineChars="200"/>
        <w:jc w:val="left"/>
        <w:rPr>
          <w:rFonts w:asciiTheme="minorEastAsia" w:hAnsiTheme="minorEastAsia"/>
          <w:sz w:val="24"/>
          <w:szCs w:val="24"/>
        </w:rPr>
      </w:pPr>
      <w:r>
        <w:rPr>
          <w:rFonts w:asciiTheme="minorEastAsia" w:hAnsiTheme="minorEastAsia"/>
          <w:sz w:val="24"/>
          <w:szCs w:val="24"/>
        </w:rPr>
        <w:t>3、投标人使用的标准必须是国际公认或国家、或地方政府颁布的同等或更高的标准，如投标人使用的标准低于上述标准,评标委员会将有权不予接受，投标人必须列表将明显的差异详细说明。</w:t>
      </w:r>
    </w:p>
    <w:p w14:paraId="20D2AAA3">
      <w:pPr>
        <w:spacing w:before="120" w:after="160"/>
        <w:ind w:firstLine="480" w:firstLineChars="200"/>
        <w:jc w:val="left"/>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、招标文件、图纸、工程量清单中出现的材料、设备品牌均为投标参考，投标人可根据项目情况结合自身实际选择不低于参考品牌的材料、设备投标。</w:t>
      </w:r>
    </w:p>
    <w:p w14:paraId="5034F428">
      <w:pPr>
        <w:pStyle w:val="3"/>
      </w:pPr>
      <w:r>
        <w:rPr>
          <w:rFonts w:hint="eastAsia" w:asciiTheme="minorEastAsia" w:hAnsiTheme="minorEastAsia" w:eastAsiaTheme="minorEastAsia"/>
        </w:rPr>
        <w:t>十七</w:t>
      </w:r>
      <w:r>
        <w:rPr>
          <w:rFonts w:asciiTheme="minorEastAsia" w:hAnsiTheme="minorEastAsia" w:eastAsiaTheme="minorEastAsia"/>
        </w:rPr>
        <w:t>、</w:t>
      </w:r>
      <w:r>
        <w:rPr>
          <w:rFonts w:hint="eastAsia"/>
        </w:rPr>
        <w:t>成交通知</w:t>
      </w:r>
    </w:p>
    <w:p w14:paraId="72261ACD">
      <w:pPr>
        <w:widowControl/>
        <w:numPr>
          <w:ilvl w:val="0"/>
          <w:numId w:val="3"/>
        </w:numPr>
        <w:spacing w:line="360" w:lineRule="auto"/>
        <w:ind w:firstLine="482"/>
        <w:rPr>
          <w:rFonts w:ascii="宋体" w:hAnsi="宋体" w:eastAsia="宋体" w:cs="宋体"/>
          <w:sz w:val="24"/>
          <w:szCs w:val="24"/>
        </w:rPr>
      </w:pPr>
      <w:r>
        <w:rPr>
          <w:rFonts w:hint="eastAsia" w:ascii="宋体" w:hAnsi="宋体" w:eastAsia="宋体" w:cs="宋体"/>
          <w:bCs/>
          <w:sz w:val="24"/>
          <w:szCs w:val="24"/>
        </w:rPr>
        <w:t>采购信息公开</w:t>
      </w:r>
    </w:p>
    <w:p w14:paraId="68D4A00F">
      <w:pPr>
        <w:ind w:firstLine="710" w:firstLineChars="296"/>
        <w:rPr>
          <w:rFonts w:ascii="宋体" w:hAnsi="宋体" w:eastAsia="宋体" w:cs="宋体"/>
          <w:sz w:val="24"/>
          <w:szCs w:val="24"/>
        </w:rPr>
      </w:pPr>
      <w:r>
        <w:rPr>
          <w:rFonts w:hint="eastAsia" w:ascii="宋体" w:hAnsi="宋体" w:eastAsia="宋体" w:cs="宋体"/>
          <w:sz w:val="24"/>
          <w:szCs w:val="24"/>
        </w:rPr>
        <w:t>1、为体现“公开、公平、公正”的原则，评标结束后，招标人将在竞价网上</w:t>
      </w:r>
      <w:r>
        <w:rPr>
          <w:rFonts w:ascii="宋体" w:hAnsi="宋体" w:eastAsia="宋体" w:cs="宋体"/>
          <w:sz w:val="24"/>
          <w:szCs w:val="24"/>
        </w:rPr>
        <w:t>公示采购结果</w:t>
      </w:r>
      <w:r>
        <w:rPr>
          <w:rFonts w:hint="eastAsia" w:ascii="宋体" w:hAnsi="宋体" w:eastAsia="宋体" w:cs="宋体"/>
          <w:sz w:val="24"/>
          <w:szCs w:val="24"/>
        </w:rPr>
        <w:t>。投标人如对结果有异议，可在发布公示日期起三个工作日内向招标人提出。若在规定期限内未提出质疑，则视为认同该评标结果。</w:t>
      </w:r>
    </w:p>
    <w:p w14:paraId="35A4F29D">
      <w:pPr>
        <w:ind w:firstLine="470" w:firstLineChars="196"/>
        <w:rPr>
          <w:rFonts w:ascii="宋体" w:hAnsi="宋体" w:eastAsia="宋体" w:cs="宋体"/>
          <w:sz w:val="24"/>
          <w:szCs w:val="24"/>
        </w:rPr>
      </w:pPr>
      <w:r>
        <w:rPr>
          <w:rFonts w:hint="eastAsia" w:ascii="宋体" w:hAnsi="宋体" w:eastAsia="宋体" w:cs="宋体"/>
          <w:sz w:val="24"/>
          <w:szCs w:val="24"/>
        </w:rPr>
        <w:t>2、质疑投诉人应保证质疑投诉内容的真实性和可靠性，并承担相应的法律责任。</w:t>
      </w:r>
    </w:p>
    <w:p w14:paraId="63E5C742">
      <w:pPr>
        <w:widowControl/>
        <w:numPr>
          <w:ilvl w:val="0"/>
          <w:numId w:val="3"/>
        </w:numPr>
        <w:spacing w:line="360" w:lineRule="auto"/>
        <w:ind w:firstLine="482"/>
        <w:rPr>
          <w:rFonts w:ascii="宋体" w:hAnsi="宋体" w:eastAsia="宋体" w:cs="宋体"/>
          <w:sz w:val="24"/>
          <w:szCs w:val="24"/>
        </w:rPr>
      </w:pPr>
      <w:r>
        <w:rPr>
          <w:rFonts w:hint="eastAsia" w:ascii="宋体" w:hAnsi="宋体" w:eastAsia="宋体" w:cs="宋体"/>
          <w:sz w:val="24"/>
          <w:szCs w:val="24"/>
        </w:rPr>
        <w:t>成交通知书</w:t>
      </w:r>
    </w:p>
    <w:p w14:paraId="435FC911">
      <w:pPr>
        <w:ind w:firstLine="470" w:firstLineChars="196"/>
        <w:rPr>
          <w:rFonts w:ascii="宋体" w:hAnsi="宋体" w:eastAsia="宋体" w:cs="宋体"/>
          <w:sz w:val="24"/>
          <w:szCs w:val="24"/>
        </w:rPr>
      </w:pPr>
      <w:r>
        <w:rPr>
          <w:rFonts w:hint="eastAsia" w:ascii="宋体" w:hAnsi="宋体" w:eastAsia="宋体" w:cs="宋体"/>
          <w:sz w:val="24"/>
          <w:szCs w:val="24"/>
        </w:rPr>
        <w:t>1、采购结果公示结束以后,在公示期内无有效质疑投诉,中标投标人可到招标人处领取《成交通知书》。</w:t>
      </w:r>
    </w:p>
    <w:p w14:paraId="6B85B779">
      <w:pPr>
        <w:ind w:firstLine="470" w:firstLineChars="196"/>
        <w:rPr>
          <w:rFonts w:ascii="宋体" w:hAnsi="宋体" w:eastAsia="宋体" w:cs="宋体"/>
          <w:sz w:val="24"/>
          <w:szCs w:val="24"/>
        </w:rPr>
      </w:pPr>
      <w:r>
        <w:rPr>
          <w:rFonts w:hint="eastAsia" w:ascii="宋体" w:hAnsi="宋体" w:eastAsia="宋体" w:cs="宋体"/>
          <w:sz w:val="24"/>
          <w:szCs w:val="24"/>
        </w:rPr>
        <w:t>2、成交通知书是合同的重要组成部分。</w:t>
      </w:r>
    </w:p>
    <w:p w14:paraId="6EB5F3F0">
      <w:pPr>
        <w:ind w:firstLine="470" w:firstLineChars="196"/>
        <w:rPr>
          <w:rFonts w:ascii="宋体" w:hAnsi="宋体" w:eastAsia="宋体" w:cs="宋体"/>
          <w:sz w:val="24"/>
          <w:szCs w:val="24"/>
        </w:rPr>
      </w:pPr>
      <w:r>
        <w:rPr>
          <w:rFonts w:hint="eastAsia" w:ascii="宋体" w:hAnsi="宋体" w:eastAsia="宋体" w:cs="宋体"/>
          <w:sz w:val="24"/>
          <w:szCs w:val="24"/>
        </w:rPr>
        <w:t>3、因质疑投诉或其它原因导致项目结果变更或采购终止的，招标人有权撤销成交通知书或终止采购合同。</w:t>
      </w:r>
    </w:p>
    <w:p w14:paraId="300111B8">
      <w:pPr>
        <w:pStyle w:val="3"/>
      </w:pPr>
      <w:r>
        <w:rPr>
          <w:rFonts w:hint="eastAsia"/>
        </w:rPr>
        <w:t>十八、合同签订与授予</w:t>
      </w:r>
    </w:p>
    <w:p w14:paraId="58EDF175">
      <w:pPr>
        <w:widowControl/>
        <w:numPr>
          <w:ilvl w:val="0"/>
          <w:numId w:val="4"/>
        </w:numPr>
        <w:spacing w:line="360" w:lineRule="auto"/>
        <w:ind w:firstLine="482"/>
        <w:rPr>
          <w:rFonts w:ascii="宋体" w:hAnsi="宋体" w:eastAsia="宋体" w:cs="宋体"/>
          <w:sz w:val="24"/>
          <w:szCs w:val="24"/>
        </w:rPr>
      </w:pPr>
      <w:r>
        <w:rPr>
          <w:rFonts w:hint="eastAsia" w:ascii="宋体" w:hAnsi="宋体" w:eastAsia="宋体" w:cs="宋体"/>
          <w:sz w:val="24"/>
          <w:szCs w:val="24"/>
        </w:rPr>
        <w:t>合同授予标准</w:t>
      </w:r>
    </w:p>
    <w:p w14:paraId="3D35C276">
      <w:pPr>
        <w:ind w:firstLine="470" w:firstLineChars="196"/>
        <w:rPr>
          <w:rFonts w:ascii="宋体" w:hAnsi="宋体" w:eastAsia="宋体" w:cs="宋体"/>
          <w:sz w:val="24"/>
          <w:szCs w:val="24"/>
        </w:rPr>
      </w:pPr>
      <w:r>
        <w:rPr>
          <w:rFonts w:hint="eastAsia" w:ascii="宋体" w:hAnsi="宋体" w:eastAsia="宋体" w:cs="宋体"/>
          <w:sz w:val="24"/>
          <w:szCs w:val="24"/>
        </w:rPr>
        <w:t>本项目的合同将授予按本招标文件规定评审确定的中标人。</w:t>
      </w:r>
    </w:p>
    <w:p w14:paraId="58E60A3B">
      <w:pPr>
        <w:widowControl/>
        <w:numPr>
          <w:ilvl w:val="0"/>
          <w:numId w:val="4"/>
        </w:numPr>
        <w:spacing w:line="360" w:lineRule="auto"/>
        <w:ind w:firstLine="482"/>
        <w:rPr>
          <w:rFonts w:ascii="宋体" w:hAnsi="宋体" w:eastAsia="宋体" w:cs="宋体"/>
          <w:sz w:val="24"/>
          <w:szCs w:val="24"/>
        </w:rPr>
      </w:pPr>
      <w:r>
        <w:rPr>
          <w:rFonts w:hint="eastAsia" w:ascii="宋体" w:hAnsi="宋体" w:eastAsia="宋体" w:cs="宋体"/>
          <w:sz w:val="24"/>
          <w:szCs w:val="24"/>
        </w:rPr>
        <w:t>接受和拒绝任何或所有投标的权力</w:t>
      </w:r>
    </w:p>
    <w:p w14:paraId="783FF828">
      <w:pPr>
        <w:ind w:firstLine="470" w:firstLineChars="196"/>
        <w:rPr>
          <w:rFonts w:ascii="宋体" w:hAnsi="宋体" w:eastAsia="宋体" w:cs="宋体"/>
          <w:sz w:val="24"/>
          <w:szCs w:val="24"/>
        </w:rPr>
      </w:pPr>
      <w:r>
        <w:rPr>
          <w:rFonts w:hint="eastAsia" w:ascii="宋体" w:hAnsi="宋体" w:eastAsia="宋体" w:cs="宋体"/>
          <w:sz w:val="24"/>
          <w:szCs w:val="24"/>
        </w:rPr>
        <w:t>招标人和采购人保留在签订合同之前任何时候接受或拒绝任何投标或所有投标，以及宣布招标无效的权力，对受影响的投标人不承担任何责任，也无义务向受影响的投标人解释采取这一行动的理由。</w:t>
      </w:r>
    </w:p>
    <w:p w14:paraId="35DBCFD0">
      <w:pPr>
        <w:widowControl/>
        <w:numPr>
          <w:ilvl w:val="0"/>
          <w:numId w:val="4"/>
        </w:numPr>
        <w:spacing w:line="360" w:lineRule="auto"/>
        <w:ind w:firstLine="482"/>
        <w:rPr>
          <w:rFonts w:ascii="宋体" w:hAnsi="宋体" w:eastAsia="宋体" w:cs="宋体"/>
          <w:sz w:val="24"/>
          <w:szCs w:val="24"/>
        </w:rPr>
      </w:pPr>
      <w:r>
        <w:rPr>
          <w:rFonts w:hint="eastAsia" w:ascii="宋体" w:hAnsi="宋体" w:eastAsia="宋体" w:cs="宋体"/>
          <w:sz w:val="24"/>
          <w:szCs w:val="24"/>
        </w:rPr>
        <w:t>合同协议书的签订</w:t>
      </w:r>
    </w:p>
    <w:p w14:paraId="1F664496">
      <w:pPr>
        <w:ind w:firstLine="470" w:firstLineChars="196"/>
        <w:rPr>
          <w:rFonts w:ascii="宋体" w:hAnsi="宋体" w:eastAsia="宋体" w:cs="宋体"/>
          <w:sz w:val="24"/>
          <w:szCs w:val="24"/>
        </w:rPr>
      </w:pPr>
      <w:r>
        <w:rPr>
          <w:rFonts w:hint="eastAsia" w:ascii="宋体" w:hAnsi="宋体" w:eastAsia="宋体" w:cs="宋体"/>
          <w:sz w:val="24"/>
          <w:szCs w:val="24"/>
        </w:rPr>
        <w:t>1中标人将于成交通知书发出之日起三十日内，按照采购文件（招标文件和投标文件等）内容与采购人签订采购合同；合同的实质性内容应当符合招标文件的规定。</w:t>
      </w:r>
    </w:p>
    <w:p w14:paraId="419DD41B">
      <w:pPr>
        <w:spacing w:line="0" w:lineRule="atLeast"/>
        <w:ind w:firstLine="470" w:firstLineChars="196"/>
        <w:rPr>
          <w:rFonts w:ascii="宋体" w:hAnsi="宋体" w:eastAsia="宋体" w:cs="宋体"/>
          <w:sz w:val="24"/>
          <w:szCs w:val="24"/>
        </w:rPr>
      </w:pPr>
      <w:r>
        <w:rPr>
          <w:rFonts w:hint="eastAsia" w:ascii="宋体" w:hAnsi="宋体" w:eastAsia="宋体" w:cs="宋体"/>
          <w:sz w:val="24"/>
          <w:szCs w:val="24"/>
        </w:rPr>
        <w:t>2中标人如不按规定与采购人签订合同，招标人将有充分的理由取消中标人的中标，并计入供应商诚信档案。</w:t>
      </w:r>
    </w:p>
    <w:p w14:paraId="26B8EC1C">
      <w:pPr>
        <w:spacing w:line="0" w:lineRule="atLeast"/>
        <w:ind w:firstLine="470" w:firstLineChars="196"/>
        <w:rPr>
          <w:rFonts w:ascii="宋体" w:hAnsi="宋体" w:eastAsia="宋体" w:cs="宋体"/>
          <w:sz w:val="24"/>
          <w:szCs w:val="24"/>
        </w:rPr>
      </w:pPr>
      <w:r>
        <w:rPr>
          <w:rFonts w:hint="eastAsia" w:ascii="宋体" w:hAnsi="宋体" w:eastAsia="宋体" w:cs="宋体"/>
          <w:sz w:val="24"/>
          <w:szCs w:val="24"/>
        </w:rPr>
        <w:t>3中标人应当按照合同约定履行义务，完成中标项目，不得将中标项目转让（转包）给他人。</w:t>
      </w:r>
    </w:p>
    <w:p w14:paraId="1D97F730">
      <w:pPr>
        <w:widowControl/>
        <w:numPr>
          <w:ilvl w:val="0"/>
          <w:numId w:val="4"/>
        </w:numPr>
        <w:spacing w:line="360" w:lineRule="auto"/>
        <w:ind w:firstLine="482"/>
        <w:rPr>
          <w:rFonts w:ascii="宋体" w:hAnsi="宋体" w:eastAsia="宋体" w:cs="宋体"/>
          <w:sz w:val="24"/>
          <w:szCs w:val="24"/>
        </w:rPr>
      </w:pPr>
      <w:r>
        <w:rPr>
          <w:rFonts w:hint="eastAsia" w:ascii="宋体" w:hAnsi="宋体" w:eastAsia="宋体" w:cs="宋体"/>
          <w:sz w:val="24"/>
          <w:szCs w:val="24"/>
        </w:rPr>
        <w:t>合同的备案</w:t>
      </w:r>
    </w:p>
    <w:p w14:paraId="6E974B97">
      <w:pPr>
        <w:spacing w:line="0" w:lineRule="atLeast"/>
        <w:ind w:firstLine="470" w:firstLineChars="196"/>
        <w:rPr>
          <w:rFonts w:ascii="宋体" w:hAnsi="宋体" w:eastAsia="宋体" w:cs="宋体"/>
          <w:sz w:val="24"/>
          <w:szCs w:val="24"/>
        </w:rPr>
      </w:pPr>
      <w:r>
        <w:rPr>
          <w:rFonts w:hint="eastAsia" w:ascii="宋体" w:hAnsi="宋体" w:eastAsia="宋体" w:cs="宋体"/>
          <w:sz w:val="24"/>
          <w:szCs w:val="24"/>
        </w:rPr>
        <w:t>如有需要，采购人与中标人应于合同签订之日起十日内，由招标人将本项目采购文件与采购合同提交学校招投标管理中心备案。</w:t>
      </w:r>
    </w:p>
    <w:p w14:paraId="4714E10D">
      <w:pPr>
        <w:widowControl/>
        <w:numPr>
          <w:ilvl w:val="0"/>
          <w:numId w:val="4"/>
        </w:numPr>
        <w:spacing w:line="0" w:lineRule="atLeast"/>
        <w:ind w:firstLine="482"/>
        <w:rPr>
          <w:rFonts w:ascii="宋体" w:hAnsi="宋体" w:eastAsia="宋体" w:cs="宋体"/>
          <w:sz w:val="24"/>
          <w:szCs w:val="24"/>
        </w:rPr>
      </w:pPr>
      <w:r>
        <w:rPr>
          <w:rFonts w:hint="eastAsia" w:ascii="宋体" w:hAnsi="宋体" w:eastAsia="宋体" w:cs="宋体"/>
          <w:sz w:val="24"/>
          <w:szCs w:val="24"/>
        </w:rPr>
        <w:t>项目将严格按照《深圳大学履约验收管理办法》有关要求进行履约验收。</w:t>
      </w:r>
    </w:p>
    <w:p w14:paraId="4C3E62FF">
      <w:pPr>
        <w:widowControl/>
        <w:numPr>
          <w:ilvl w:val="0"/>
          <w:numId w:val="4"/>
        </w:numPr>
        <w:spacing w:line="360" w:lineRule="auto"/>
        <w:ind w:firstLine="482"/>
        <w:rPr>
          <w:rFonts w:ascii="宋体" w:hAnsi="宋体" w:eastAsia="宋体" w:cs="宋体"/>
          <w:sz w:val="24"/>
          <w:szCs w:val="24"/>
        </w:rPr>
      </w:pPr>
      <w:r>
        <w:rPr>
          <w:rFonts w:hint="eastAsia" w:ascii="宋体" w:hAnsi="宋体" w:eastAsia="宋体" w:cs="宋体"/>
          <w:sz w:val="24"/>
          <w:szCs w:val="24"/>
        </w:rPr>
        <w:t>履约情况的反馈</w:t>
      </w:r>
    </w:p>
    <w:p w14:paraId="143557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采购人应及时向招标人反馈中标人的履约情况（填写《深圳大学采购履约情况反馈表》），中标人的履约情况将作为供应商考核的重要依据，并将成为日后深圳大学采购活动中的项目评标依据。</w:t>
      </w:r>
    </w:p>
    <w:p w14:paraId="5FE4A9C0">
      <w:pPr>
        <w:widowControl/>
        <w:jc w:val="left"/>
        <w:rPr>
          <w:rFonts w:ascii="宋体" w:hAnsi="宋体" w:eastAsia="宋体" w:cs="宋体"/>
          <w:sz w:val="24"/>
          <w:szCs w:val="24"/>
        </w:rPr>
      </w:pPr>
      <w:r>
        <w:rPr>
          <w:rFonts w:ascii="宋体" w:hAnsi="宋体" w:eastAsia="宋体" w:cs="宋体"/>
          <w:sz w:val="24"/>
          <w:szCs w:val="24"/>
        </w:rPr>
        <w:br w:type="page"/>
      </w:r>
    </w:p>
    <w:p w14:paraId="7E3EEECC">
      <w:pPr>
        <w:pStyle w:val="2"/>
        <w:jc w:val="center"/>
      </w:pPr>
      <w:r>
        <w:t>投标文件格式</w:t>
      </w:r>
      <w:bookmarkStart w:id="11" w:name="_Toc29817725"/>
      <w:bookmarkStart w:id="12" w:name="_Toc37670362"/>
      <w:bookmarkStart w:id="13" w:name="_Toc49329264"/>
      <w:bookmarkStart w:id="14" w:name="_Toc119321148"/>
    </w:p>
    <w:p w14:paraId="4F7956DF">
      <w:pPr>
        <w:pStyle w:val="3"/>
        <w:jc w:val="center"/>
      </w:pPr>
      <w:r>
        <w:t>投标文件</w:t>
      </w:r>
      <w:bookmarkEnd w:id="11"/>
      <w:bookmarkEnd w:id="12"/>
      <w:bookmarkEnd w:id="13"/>
      <w:r>
        <w:t>目录</w:t>
      </w:r>
      <w:bookmarkEnd w:id="14"/>
    </w:p>
    <w:p w14:paraId="362BD100">
      <w:pPr>
        <w:spacing w:after="160"/>
        <w:ind w:firstLine="480"/>
        <w:rPr>
          <w:rFonts w:hAnsi="宋体" w:eastAsia="宋体"/>
          <w:b/>
          <w:sz w:val="24"/>
          <w:szCs w:val="24"/>
        </w:rPr>
      </w:pPr>
    </w:p>
    <w:p w14:paraId="1F4136A4">
      <w:pPr>
        <w:spacing w:after="160" w:line="360" w:lineRule="auto"/>
        <w:rPr>
          <w:rFonts w:hAnsi="宋体" w:eastAsia="宋体"/>
          <w:b/>
          <w:sz w:val="30"/>
          <w:szCs w:val="30"/>
          <w:u w:val="single"/>
        </w:rPr>
      </w:pPr>
      <w:r>
        <w:rPr>
          <w:rFonts w:hint="eastAsia" w:hAnsi="宋体" w:eastAsia="宋体"/>
          <w:b/>
          <w:sz w:val="30"/>
          <w:szCs w:val="30"/>
          <w:u w:val="single"/>
        </w:rPr>
        <w:t xml:space="preserve">第一部分  </w:t>
      </w:r>
      <w:r>
        <w:rPr>
          <w:rFonts w:hAnsi="宋体" w:eastAsia="宋体"/>
          <w:b/>
          <w:sz w:val="30"/>
          <w:szCs w:val="30"/>
          <w:u w:val="single"/>
        </w:rPr>
        <w:t xml:space="preserve">投标报价表  </w:t>
      </w:r>
    </w:p>
    <w:p w14:paraId="10043B46">
      <w:pPr>
        <w:widowControl/>
        <w:tabs>
          <w:tab w:val="left" w:pos="540"/>
          <w:tab w:val="left" w:pos="965"/>
          <w:tab w:val="left" w:pos="1260"/>
        </w:tabs>
        <w:spacing w:after="160" w:line="360" w:lineRule="auto"/>
        <w:rPr>
          <w:rFonts w:hAnsi="宋体" w:eastAsia="宋体"/>
          <w:sz w:val="28"/>
          <w:szCs w:val="28"/>
        </w:rPr>
      </w:pPr>
      <w:r>
        <w:rPr>
          <w:rFonts w:hAnsi="宋体" w:eastAsia="宋体"/>
          <w:sz w:val="28"/>
          <w:szCs w:val="28"/>
        </w:rPr>
        <w:t>1.1投标总价</w:t>
      </w:r>
    </w:p>
    <w:p w14:paraId="692FE1E6">
      <w:pPr>
        <w:widowControl/>
        <w:tabs>
          <w:tab w:val="left" w:pos="540"/>
          <w:tab w:val="left" w:pos="965"/>
          <w:tab w:val="left" w:pos="1260"/>
        </w:tabs>
        <w:spacing w:after="160" w:line="360" w:lineRule="auto"/>
        <w:rPr>
          <w:rFonts w:hAnsi="宋体" w:eastAsia="宋体"/>
          <w:sz w:val="28"/>
          <w:szCs w:val="28"/>
        </w:rPr>
      </w:pPr>
      <w:r>
        <w:rPr>
          <w:rFonts w:hint="eastAsia" w:hAnsi="宋体" w:eastAsia="宋体"/>
          <w:sz w:val="28"/>
          <w:szCs w:val="28"/>
        </w:rPr>
        <w:t>1.2</w:t>
      </w:r>
      <w:r>
        <w:rPr>
          <w:rFonts w:hAnsi="宋体" w:eastAsia="宋体"/>
          <w:sz w:val="28"/>
          <w:szCs w:val="28"/>
        </w:rPr>
        <w:t>单位工程费汇总表</w:t>
      </w:r>
    </w:p>
    <w:p w14:paraId="47CEB3A8">
      <w:pPr>
        <w:widowControl/>
        <w:tabs>
          <w:tab w:val="left" w:pos="540"/>
          <w:tab w:val="left" w:pos="965"/>
          <w:tab w:val="left" w:pos="1260"/>
        </w:tabs>
        <w:spacing w:after="160" w:line="360" w:lineRule="auto"/>
        <w:rPr>
          <w:rFonts w:hAnsi="宋体" w:eastAsia="宋体"/>
          <w:sz w:val="28"/>
          <w:szCs w:val="28"/>
        </w:rPr>
      </w:pPr>
      <w:r>
        <w:rPr>
          <w:rFonts w:hAnsi="宋体" w:eastAsia="宋体"/>
          <w:sz w:val="28"/>
          <w:szCs w:val="28"/>
        </w:rPr>
        <w:t>1.3分部分项工程量清单计价表</w:t>
      </w:r>
    </w:p>
    <w:p w14:paraId="4A8430A2">
      <w:pPr>
        <w:widowControl/>
        <w:tabs>
          <w:tab w:val="left" w:pos="540"/>
          <w:tab w:val="left" w:pos="965"/>
          <w:tab w:val="left" w:pos="1260"/>
        </w:tabs>
        <w:spacing w:after="160" w:line="360" w:lineRule="auto"/>
        <w:rPr>
          <w:rFonts w:hAnsi="宋体" w:eastAsia="宋体"/>
          <w:sz w:val="28"/>
          <w:szCs w:val="28"/>
        </w:rPr>
      </w:pPr>
      <w:r>
        <w:rPr>
          <w:rFonts w:asciiTheme="minorEastAsia" w:hAnsiTheme="minorEastAsia" w:cstheme="minorEastAsia"/>
          <w:sz w:val="28"/>
          <w:szCs w:val="28"/>
        </w:rPr>
        <w:t>1.4</w:t>
      </w:r>
      <w:r>
        <w:rPr>
          <w:rFonts w:hint="eastAsia" w:asciiTheme="minorEastAsia" w:hAnsiTheme="minorEastAsia" w:cstheme="minorEastAsia"/>
          <w:sz w:val="28"/>
          <w:szCs w:val="28"/>
        </w:rPr>
        <w:t>拟采用材料品牌型号表</w:t>
      </w:r>
    </w:p>
    <w:p w14:paraId="5AECBDBB">
      <w:pPr>
        <w:spacing w:after="160" w:line="360" w:lineRule="auto"/>
        <w:rPr>
          <w:rFonts w:hAnsi="宋体" w:eastAsia="宋体"/>
          <w:b/>
          <w:sz w:val="30"/>
          <w:szCs w:val="30"/>
          <w:u w:val="single"/>
        </w:rPr>
      </w:pPr>
      <w:r>
        <w:rPr>
          <w:rFonts w:hint="eastAsia" w:hAnsi="宋体" w:eastAsia="宋体"/>
          <w:b/>
          <w:sz w:val="30"/>
          <w:szCs w:val="30"/>
          <w:u w:val="single"/>
        </w:rPr>
        <w:t>第二部分 资格性文件</w:t>
      </w:r>
    </w:p>
    <w:p w14:paraId="379C2257">
      <w:pPr>
        <w:widowControl/>
        <w:tabs>
          <w:tab w:val="left" w:pos="312"/>
          <w:tab w:val="left" w:pos="540"/>
        </w:tabs>
        <w:spacing w:after="160" w:line="360" w:lineRule="auto"/>
        <w:rPr>
          <w:rFonts w:hAnsi="宋体" w:eastAsia="宋体"/>
          <w:sz w:val="28"/>
          <w:szCs w:val="28"/>
        </w:rPr>
      </w:pPr>
      <w:r>
        <w:rPr>
          <w:rFonts w:hint="eastAsia" w:hAnsi="宋体" w:eastAsia="宋体"/>
          <w:sz w:val="28"/>
          <w:szCs w:val="28"/>
        </w:rPr>
        <w:t>2.1投标承诺函</w:t>
      </w:r>
    </w:p>
    <w:p w14:paraId="5D829A0E">
      <w:pPr>
        <w:tabs>
          <w:tab w:val="left" w:pos="540"/>
        </w:tabs>
        <w:spacing w:after="160" w:line="360" w:lineRule="auto"/>
        <w:rPr>
          <w:rFonts w:hAnsi="宋体" w:eastAsia="宋体"/>
          <w:sz w:val="28"/>
          <w:szCs w:val="28"/>
        </w:rPr>
      </w:pPr>
      <w:r>
        <w:rPr>
          <w:rFonts w:hAnsi="宋体" w:eastAsia="宋体"/>
          <w:sz w:val="28"/>
          <w:szCs w:val="28"/>
        </w:rPr>
        <w:t>2.2营业执照</w:t>
      </w:r>
    </w:p>
    <w:p w14:paraId="2AA4B70C">
      <w:pPr>
        <w:tabs>
          <w:tab w:val="left" w:pos="540"/>
        </w:tabs>
        <w:spacing w:after="160" w:line="360" w:lineRule="auto"/>
        <w:rPr>
          <w:rFonts w:hAnsi="宋体" w:eastAsia="宋体"/>
          <w:sz w:val="28"/>
          <w:szCs w:val="28"/>
        </w:rPr>
      </w:pPr>
      <w:r>
        <w:rPr>
          <w:rFonts w:hAnsi="宋体" w:eastAsia="宋体"/>
          <w:sz w:val="28"/>
          <w:szCs w:val="28"/>
        </w:rPr>
        <w:t>2.3资质证书</w:t>
      </w:r>
    </w:p>
    <w:p w14:paraId="6E3A7D9F">
      <w:pPr>
        <w:tabs>
          <w:tab w:val="left" w:pos="540"/>
        </w:tabs>
        <w:spacing w:after="160" w:line="360" w:lineRule="auto"/>
        <w:rPr>
          <w:rFonts w:hAnsi="宋体" w:eastAsia="宋体"/>
          <w:sz w:val="28"/>
          <w:szCs w:val="28"/>
        </w:rPr>
      </w:pPr>
      <w:r>
        <w:rPr>
          <w:rFonts w:hAnsi="宋体" w:eastAsia="宋体"/>
          <w:sz w:val="28"/>
          <w:szCs w:val="28"/>
        </w:rPr>
        <w:t>2.4未被列入失信被执行人、重大税收违法案件当事人名单、政府采购严重违法失信行为记录名单</w:t>
      </w:r>
      <w:r>
        <w:rPr>
          <w:rFonts w:hint="eastAsia" w:hAnsi="宋体" w:eastAsia="宋体"/>
          <w:sz w:val="28"/>
          <w:szCs w:val="28"/>
        </w:rPr>
        <w:t>相关证明材料截图</w:t>
      </w:r>
    </w:p>
    <w:p w14:paraId="3291ED7E">
      <w:pPr>
        <w:spacing w:after="160" w:line="360" w:lineRule="auto"/>
        <w:rPr>
          <w:rFonts w:hAnsi="宋体" w:eastAsia="宋体"/>
          <w:b/>
          <w:sz w:val="30"/>
          <w:szCs w:val="30"/>
          <w:u w:val="single"/>
        </w:rPr>
      </w:pPr>
      <w:r>
        <w:rPr>
          <w:rFonts w:hAnsi="宋体" w:eastAsia="宋体"/>
          <w:b/>
          <w:sz w:val="30"/>
          <w:szCs w:val="30"/>
          <w:u w:val="single"/>
        </w:rPr>
        <w:t>第三部分  技术性文件</w:t>
      </w:r>
    </w:p>
    <w:p w14:paraId="69875880">
      <w:pPr>
        <w:tabs>
          <w:tab w:val="left" w:pos="540"/>
        </w:tabs>
        <w:spacing w:after="160" w:line="360" w:lineRule="auto"/>
        <w:rPr>
          <w:rFonts w:hAnsi="宋体" w:eastAsia="宋体"/>
          <w:sz w:val="28"/>
          <w:szCs w:val="28"/>
        </w:rPr>
      </w:pPr>
      <w:r>
        <w:rPr>
          <w:rFonts w:hAnsi="宋体" w:eastAsia="宋体"/>
          <w:sz w:val="28"/>
          <w:szCs w:val="28"/>
        </w:rPr>
        <w:t>3.1项目经理简介</w:t>
      </w:r>
    </w:p>
    <w:p w14:paraId="3837755C">
      <w:pPr>
        <w:tabs>
          <w:tab w:val="left" w:pos="720"/>
        </w:tabs>
        <w:spacing w:after="160"/>
        <w:rPr>
          <w:rFonts w:hAnsi="宋体" w:eastAsia="宋体"/>
          <w:sz w:val="36"/>
          <w:szCs w:val="36"/>
        </w:rPr>
      </w:pPr>
      <w:r>
        <w:rPr>
          <w:rFonts w:hAnsi="宋体" w:eastAsia="宋体"/>
        </w:rPr>
        <w:t>注：  投标文件封面自行设计，但内容须严格按照以上清单顺序进行装订，每页须编注页码。</w:t>
      </w:r>
    </w:p>
    <w:p w14:paraId="0B9CE6F0">
      <w:pPr>
        <w:pStyle w:val="3"/>
        <w:jc w:val="center"/>
        <w:rPr>
          <w:rFonts w:ascii="宋体" w:hAnsi="MS Sans Serif" w:eastAsia="MS Sans Serif"/>
          <w:sz w:val="52"/>
          <w:szCs w:val="52"/>
        </w:rPr>
      </w:pPr>
      <w:r>
        <w:br w:type="page"/>
      </w:r>
      <w:r>
        <w:rPr>
          <w:sz w:val="52"/>
          <w:szCs w:val="52"/>
        </w:rPr>
        <w:t>投标总价</w:t>
      </w:r>
    </w:p>
    <w:p w14:paraId="79CA6AF4">
      <w:pPr>
        <w:spacing w:after="160"/>
        <w:ind w:firstLine="920"/>
        <w:jc w:val="left"/>
        <w:rPr>
          <w:rFonts w:ascii="宋体" w:hAnsi="宋体" w:eastAsia="宋体"/>
          <w:b/>
          <w:sz w:val="46"/>
          <w:szCs w:val="46"/>
        </w:rPr>
      </w:pPr>
    </w:p>
    <w:p w14:paraId="23796E11">
      <w:pPr>
        <w:spacing w:after="160"/>
        <w:ind w:firstLine="723"/>
        <w:jc w:val="left"/>
        <w:rPr>
          <w:rFonts w:hAnsi="宋体" w:eastAsia="宋体"/>
          <w:sz w:val="36"/>
          <w:szCs w:val="36"/>
          <w:u w:val="single"/>
        </w:rPr>
      </w:pPr>
      <w:r>
        <w:rPr>
          <w:rFonts w:hAnsi="宋体" w:eastAsia="宋体"/>
          <w:sz w:val="36"/>
          <w:szCs w:val="36"/>
        </w:rPr>
        <w:t>建  设  单  位：</w:t>
      </w:r>
    </w:p>
    <w:p w14:paraId="6A86B026">
      <w:pPr>
        <w:spacing w:after="160"/>
        <w:ind w:firstLine="723"/>
        <w:jc w:val="left"/>
        <w:rPr>
          <w:rFonts w:hAnsi="宋体" w:eastAsia="宋体"/>
          <w:sz w:val="36"/>
          <w:szCs w:val="36"/>
        </w:rPr>
      </w:pPr>
    </w:p>
    <w:p w14:paraId="358A11F6">
      <w:pPr>
        <w:spacing w:after="160"/>
        <w:ind w:firstLine="723"/>
        <w:jc w:val="left"/>
        <w:rPr>
          <w:rFonts w:hAnsi="宋体" w:eastAsia="宋体"/>
          <w:sz w:val="30"/>
          <w:szCs w:val="30"/>
          <w:u w:val="single"/>
        </w:rPr>
      </w:pPr>
      <w:r>
        <w:rPr>
          <w:rFonts w:hAnsi="宋体" w:eastAsia="宋体"/>
          <w:sz w:val="36"/>
          <w:szCs w:val="36"/>
        </w:rPr>
        <w:t>工  程  名  称：</w:t>
      </w:r>
    </w:p>
    <w:p w14:paraId="57BC0009">
      <w:pPr>
        <w:spacing w:after="160"/>
        <w:ind w:firstLine="602"/>
        <w:rPr>
          <w:rFonts w:hAnsi="宋体" w:eastAsia="宋体"/>
          <w:sz w:val="30"/>
          <w:szCs w:val="30"/>
        </w:rPr>
      </w:pPr>
    </w:p>
    <w:p w14:paraId="360AD0C9">
      <w:pPr>
        <w:spacing w:after="160"/>
        <w:ind w:firstLine="723"/>
        <w:rPr>
          <w:rFonts w:hAnsi="宋体" w:eastAsia="宋体"/>
          <w:sz w:val="30"/>
          <w:szCs w:val="30"/>
        </w:rPr>
      </w:pPr>
      <w:r>
        <w:rPr>
          <w:rFonts w:hAnsi="宋体" w:eastAsia="宋体"/>
          <w:sz w:val="36"/>
          <w:szCs w:val="36"/>
        </w:rPr>
        <w:t>投标总价（小写）：</w:t>
      </w:r>
      <w:r>
        <w:rPr>
          <w:rFonts w:hAnsi="宋体" w:eastAsia="宋体"/>
          <w:sz w:val="30"/>
          <w:szCs w:val="30"/>
          <w:u w:val="single"/>
        </w:rPr>
        <w:t xml:space="preserve">                   元     </w:t>
      </w:r>
    </w:p>
    <w:p w14:paraId="288680B6">
      <w:pPr>
        <w:spacing w:after="160"/>
        <w:ind w:firstLine="602"/>
        <w:rPr>
          <w:rFonts w:hAnsi="宋体" w:eastAsia="宋体"/>
          <w:sz w:val="30"/>
          <w:szCs w:val="30"/>
        </w:rPr>
      </w:pPr>
    </w:p>
    <w:p w14:paraId="2F578A78">
      <w:pPr>
        <w:spacing w:after="160"/>
        <w:ind w:firstLine="723"/>
        <w:jc w:val="left"/>
        <w:rPr>
          <w:rFonts w:hAnsi="宋体" w:eastAsia="宋体"/>
          <w:sz w:val="30"/>
          <w:szCs w:val="30"/>
          <w:u w:val="single"/>
        </w:rPr>
      </w:pPr>
      <w:r>
        <w:rPr>
          <w:rFonts w:hAnsi="宋体" w:eastAsia="宋体"/>
          <w:sz w:val="36"/>
          <w:szCs w:val="36"/>
        </w:rPr>
        <w:t>（大        写）：</w:t>
      </w:r>
    </w:p>
    <w:p w14:paraId="689F5A5D">
      <w:pPr>
        <w:spacing w:after="160"/>
        <w:ind w:firstLine="602"/>
        <w:jc w:val="left"/>
        <w:rPr>
          <w:rFonts w:hAnsi="宋体" w:eastAsia="宋体"/>
          <w:sz w:val="30"/>
          <w:szCs w:val="30"/>
          <w:u w:val="single"/>
        </w:rPr>
      </w:pPr>
    </w:p>
    <w:p w14:paraId="2B15D971">
      <w:pPr>
        <w:spacing w:after="160"/>
        <w:ind w:firstLine="723"/>
        <w:jc w:val="left"/>
        <w:rPr>
          <w:rFonts w:hAnsi="宋体" w:eastAsia="宋体"/>
          <w:sz w:val="30"/>
          <w:szCs w:val="30"/>
        </w:rPr>
      </w:pPr>
      <w:r>
        <w:rPr>
          <w:rFonts w:hAnsi="宋体" w:eastAsia="宋体"/>
          <w:sz w:val="36"/>
          <w:szCs w:val="36"/>
        </w:rPr>
        <w:t>投    标    人：</w:t>
      </w:r>
      <w:r>
        <w:rPr>
          <w:rFonts w:hAnsi="宋体" w:eastAsia="宋体"/>
          <w:sz w:val="30"/>
          <w:szCs w:val="30"/>
        </w:rPr>
        <w:t>（盖章）</w:t>
      </w:r>
    </w:p>
    <w:p w14:paraId="71009336">
      <w:pPr>
        <w:spacing w:after="160"/>
        <w:ind w:firstLine="602"/>
        <w:rPr>
          <w:rFonts w:hAnsi="宋体" w:eastAsia="宋体"/>
          <w:sz w:val="30"/>
          <w:szCs w:val="30"/>
        </w:rPr>
      </w:pPr>
    </w:p>
    <w:p w14:paraId="0F556A3E">
      <w:pPr>
        <w:spacing w:after="160"/>
        <w:ind w:firstLine="723"/>
        <w:jc w:val="left"/>
        <w:rPr>
          <w:rFonts w:hAnsi="宋体" w:eastAsia="宋体"/>
          <w:sz w:val="30"/>
          <w:szCs w:val="30"/>
        </w:rPr>
      </w:pPr>
      <w:r>
        <w:rPr>
          <w:rFonts w:hAnsi="宋体" w:eastAsia="宋体"/>
          <w:sz w:val="36"/>
          <w:szCs w:val="36"/>
        </w:rPr>
        <w:t>编  制  时  间：</w:t>
      </w:r>
    </w:p>
    <w:p w14:paraId="448E75AC">
      <w:pPr>
        <w:spacing w:after="160"/>
        <w:rPr>
          <w:rFonts w:hAnsi="宋体" w:eastAsia="宋体"/>
        </w:rPr>
      </w:pPr>
      <w:r>
        <w:br w:type="page"/>
      </w:r>
    </w:p>
    <w:p w14:paraId="3B7A82C9">
      <w:pPr>
        <w:pStyle w:val="3"/>
        <w:jc w:val="center"/>
        <w:rPr>
          <w:sz w:val="52"/>
          <w:szCs w:val="52"/>
        </w:rPr>
      </w:pPr>
      <w:r>
        <w:rPr>
          <w:rFonts w:hint="eastAsia"/>
          <w:sz w:val="52"/>
          <w:szCs w:val="52"/>
        </w:rPr>
        <w:t>单位工程费汇总表</w:t>
      </w:r>
    </w:p>
    <w:p w14:paraId="36A49540">
      <w:pPr>
        <w:wordWrap w:val="0"/>
        <w:rPr>
          <w:rFonts w:hAnsi="宋体" w:eastAsia="宋体"/>
          <w:szCs w:val="24"/>
        </w:rPr>
      </w:pPr>
    </w:p>
    <w:tbl>
      <w:tblPr>
        <w:tblStyle w:val="7"/>
        <w:tblW w:w="8295" w:type="dxa"/>
        <w:tblInd w:w="0" w:type="dxa"/>
        <w:tblLayout w:type="fixed"/>
        <w:tblCellMar>
          <w:top w:w="0" w:type="dxa"/>
          <w:left w:w="0" w:type="dxa"/>
          <w:bottom w:w="0" w:type="dxa"/>
          <w:right w:w="0" w:type="dxa"/>
        </w:tblCellMar>
      </w:tblPr>
      <w:tblGrid>
        <w:gridCol w:w="567"/>
        <w:gridCol w:w="5471"/>
        <w:gridCol w:w="2257"/>
      </w:tblGrid>
      <w:tr w14:paraId="05D2A62E">
        <w:trPr>
          <w:trHeight w:val="409" w:hRule="atLeast"/>
        </w:trPr>
        <w:tc>
          <w:tcPr>
            <w:tcW w:w="6038" w:type="dxa"/>
            <w:gridSpan w:val="2"/>
            <w:tcMar>
              <w:top w:w="0" w:type="dxa"/>
              <w:left w:w="15" w:type="dxa"/>
              <w:bottom w:w="0" w:type="dxa"/>
              <w:right w:w="15" w:type="dxa"/>
            </w:tcMar>
            <w:vAlign w:val="center"/>
          </w:tcPr>
          <w:p w14:paraId="3BD33A46">
            <w:pPr>
              <w:wordWrap w:val="0"/>
              <w:ind w:firstLine="402"/>
              <w:rPr>
                <w:rFonts w:ascii="宋体" w:hAnsi="Arial" w:eastAsia="Arial"/>
                <w:sz w:val="20"/>
                <w:szCs w:val="20"/>
              </w:rPr>
            </w:pPr>
            <w:r>
              <w:rPr>
                <w:rFonts w:hint="eastAsia" w:ascii="宋体" w:hAnsi="宋体" w:eastAsia="宋体" w:cs="宋体"/>
                <w:sz w:val="20"/>
                <w:szCs w:val="20"/>
              </w:rPr>
              <w:t>单</w:t>
            </w:r>
            <w:r>
              <w:rPr>
                <w:rFonts w:hint="eastAsia" w:hAnsi="宋体"/>
                <w:sz w:val="20"/>
                <w:szCs w:val="20"/>
              </w:rPr>
              <w:t>位工程名称</w:t>
            </w:r>
            <w:r>
              <w:rPr>
                <w:rFonts w:hAnsi="Arial" w:eastAsia="Arial"/>
                <w:sz w:val="20"/>
                <w:szCs w:val="20"/>
              </w:rPr>
              <w:t>:</w:t>
            </w:r>
          </w:p>
        </w:tc>
        <w:tc>
          <w:tcPr>
            <w:tcW w:w="2257" w:type="dxa"/>
            <w:tcMar>
              <w:top w:w="0" w:type="dxa"/>
              <w:left w:w="15" w:type="dxa"/>
              <w:bottom w:w="0" w:type="dxa"/>
              <w:right w:w="15" w:type="dxa"/>
            </w:tcMar>
            <w:vAlign w:val="center"/>
          </w:tcPr>
          <w:p w14:paraId="3192E1EE">
            <w:pPr>
              <w:wordWrap w:val="0"/>
              <w:ind w:firstLine="402"/>
              <w:jc w:val="right"/>
              <w:rPr>
                <w:rFonts w:ascii="宋体" w:hAnsi="Arial" w:eastAsia="Arial"/>
                <w:sz w:val="20"/>
                <w:szCs w:val="20"/>
              </w:rPr>
            </w:pPr>
            <w:r>
              <w:rPr>
                <w:rFonts w:hint="eastAsia" w:ascii="宋体" w:hAnsi="宋体" w:eastAsia="宋体" w:cs="宋体"/>
                <w:sz w:val="20"/>
                <w:szCs w:val="20"/>
              </w:rPr>
              <w:t>第</w:t>
            </w:r>
            <w:r>
              <w:rPr>
                <w:rFonts w:hAnsi="Arial" w:eastAsia="Arial"/>
                <w:sz w:val="20"/>
                <w:szCs w:val="20"/>
              </w:rPr>
              <w:t>1</w:t>
            </w:r>
            <w:r>
              <w:rPr>
                <w:rFonts w:hint="eastAsia" w:ascii="微软雅黑" w:hAnsi="微软雅黑" w:eastAsia="微软雅黑" w:cs="微软雅黑"/>
                <w:sz w:val="20"/>
                <w:szCs w:val="20"/>
              </w:rPr>
              <w:t>页共</w:t>
            </w:r>
            <w:r>
              <w:rPr>
                <w:rFonts w:hAnsi="宋体"/>
                <w:sz w:val="20"/>
                <w:szCs w:val="20"/>
              </w:rPr>
              <w:t>2</w:t>
            </w:r>
            <w:r>
              <w:rPr>
                <w:rFonts w:hint="eastAsia" w:ascii="微软雅黑" w:hAnsi="微软雅黑" w:eastAsia="微软雅黑" w:cs="微软雅黑"/>
                <w:sz w:val="20"/>
                <w:szCs w:val="20"/>
              </w:rPr>
              <w:t>页</w:t>
            </w:r>
          </w:p>
        </w:tc>
      </w:tr>
      <w:tr w14:paraId="006B35B6">
        <w:tblPrEx>
          <w:tblCellMar>
            <w:top w:w="0" w:type="dxa"/>
            <w:left w:w="0" w:type="dxa"/>
            <w:bottom w:w="0" w:type="dxa"/>
            <w:right w:w="0" w:type="dxa"/>
          </w:tblCellMar>
        </w:tblPrEx>
        <w:trPr>
          <w:trHeight w:val="342" w:hRule="atLeast"/>
        </w:trPr>
        <w:tc>
          <w:tcPr>
            <w:tcW w:w="567" w:type="dxa"/>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3EB4401A">
            <w:pPr>
              <w:jc w:val="right"/>
              <w:rPr>
                <w:rFonts w:ascii="宋体" w:hAnsi="Arial" w:eastAsia="Arial"/>
                <w:sz w:val="20"/>
                <w:szCs w:val="20"/>
              </w:rPr>
            </w:pPr>
            <w:r>
              <w:rPr>
                <w:rFonts w:hint="eastAsia" w:ascii="宋体" w:hAnsi="宋体" w:eastAsia="宋体" w:cs="宋体"/>
                <w:sz w:val="20"/>
                <w:szCs w:val="20"/>
              </w:rPr>
              <w:t>序</w:t>
            </w:r>
            <w:r>
              <w:rPr>
                <w:rFonts w:hint="eastAsia" w:hAnsi="宋体"/>
                <w:sz w:val="20"/>
                <w:szCs w:val="20"/>
              </w:rPr>
              <w:t>号</w:t>
            </w:r>
          </w:p>
        </w:tc>
        <w:tc>
          <w:tcPr>
            <w:tcW w:w="5471" w:type="dxa"/>
            <w:tcBorders>
              <w:top w:val="single" w:color="auto" w:sz="4" w:space="0"/>
              <w:left w:val="nil"/>
              <w:bottom w:val="single" w:color="auto" w:sz="4" w:space="0"/>
              <w:right w:val="single" w:color="auto" w:sz="4" w:space="0"/>
            </w:tcBorders>
            <w:tcMar>
              <w:top w:w="0" w:type="dxa"/>
              <w:left w:w="15" w:type="dxa"/>
              <w:bottom w:w="0" w:type="dxa"/>
              <w:right w:w="15" w:type="dxa"/>
            </w:tcMar>
            <w:vAlign w:val="center"/>
          </w:tcPr>
          <w:p w14:paraId="3A13502B">
            <w:pPr>
              <w:wordWrap w:val="0"/>
              <w:ind w:firstLine="402"/>
              <w:jc w:val="center"/>
              <w:rPr>
                <w:rFonts w:ascii="宋体" w:hAnsi="Arial" w:eastAsia="Arial"/>
                <w:sz w:val="20"/>
                <w:szCs w:val="20"/>
              </w:rPr>
            </w:pPr>
            <w:r>
              <w:rPr>
                <w:rFonts w:hint="eastAsia" w:ascii="宋体" w:hAnsi="宋体" w:eastAsia="宋体" w:cs="宋体"/>
                <w:sz w:val="20"/>
                <w:szCs w:val="20"/>
              </w:rPr>
              <w:t>单</w:t>
            </w:r>
            <w:r>
              <w:rPr>
                <w:rFonts w:hint="eastAsia" w:hAnsi="宋体"/>
                <w:sz w:val="20"/>
                <w:szCs w:val="20"/>
              </w:rPr>
              <w:t>位工程名称</w:t>
            </w:r>
          </w:p>
        </w:tc>
        <w:tc>
          <w:tcPr>
            <w:tcW w:w="2257" w:type="dxa"/>
            <w:tcBorders>
              <w:top w:val="single" w:color="auto" w:sz="4" w:space="0"/>
              <w:left w:val="nil"/>
              <w:bottom w:val="single" w:color="auto" w:sz="4" w:space="0"/>
              <w:right w:val="single" w:color="auto" w:sz="4" w:space="0"/>
            </w:tcBorders>
            <w:tcMar>
              <w:top w:w="0" w:type="dxa"/>
              <w:left w:w="15" w:type="dxa"/>
              <w:bottom w:w="0" w:type="dxa"/>
              <w:right w:w="15" w:type="dxa"/>
            </w:tcMar>
            <w:vAlign w:val="center"/>
          </w:tcPr>
          <w:p w14:paraId="51C63A93">
            <w:pPr>
              <w:wordWrap w:val="0"/>
              <w:ind w:firstLine="402"/>
              <w:jc w:val="center"/>
              <w:rPr>
                <w:rFonts w:ascii="宋体" w:hAnsi="Arial" w:eastAsia="Arial"/>
                <w:sz w:val="20"/>
                <w:szCs w:val="20"/>
              </w:rPr>
            </w:pPr>
            <w:r>
              <w:rPr>
                <w:rFonts w:hint="eastAsia" w:ascii="宋体" w:hAnsi="宋体" w:eastAsia="宋体" w:cs="宋体"/>
                <w:sz w:val="20"/>
                <w:szCs w:val="20"/>
              </w:rPr>
              <w:t>金</w:t>
            </w:r>
            <w:r>
              <w:rPr>
                <w:rFonts w:hint="eastAsia" w:hAnsi="宋体"/>
                <w:sz w:val="20"/>
                <w:szCs w:val="20"/>
              </w:rPr>
              <w:t>额</w:t>
            </w:r>
            <w:r>
              <w:rPr>
                <w:rFonts w:hAnsi="Arial" w:eastAsia="Arial"/>
                <w:sz w:val="20"/>
                <w:szCs w:val="20"/>
              </w:rPr>
              <w:t>(</w:t>
            </w:r>
            <w:r>
              <w:rPr>
                <w:rFonts w:hint="eastAsia" w:ascii="微软雅黑" w:hAnsi="微软雅黑" w:eastAsia="微软雅黑" w:cs="微软雅黑"/>
                <w:sz w:val="20"/>
                <w:szCs w:val="20"/>
              </w:rPr>
              <w:t>元</w:t>
            </w:r>
            <w:r>
              <w:rPr>
                <w:rFonts w:hAnsi="Arial" w:eastAsia="Arial"/>
                <w:sz w:val="20"/>
                <w:szCs w:val="20"/>
              </w:rPr>
              <w:t>)</w:t>
            </w:r>
          </w:p>
        </w:tc>
      </w:tr>
      <w:tr w14:paraId="2EC014B8">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1B2BB1FE">
            <w:pPr>
              <w:wordWrap w:val="0"/>
              <w:ind w:firstLine="361"/>
              <w:jc w:val="right"/>
              <w:rPr>
                <w:rFonts w:ascii="宋体" w:hAnsi="Arial" w:eastAsia="Arial"/>
                <w:sz w:val="18"/>
                <w:szCs w:val="18"/>
              </w:rPr>
            </w:pPr>
            <w:r>
              <w:rPr>
                <w:rFonts w:hAnsi="Arial" w:eastAsia="Arial"/>
                <w:sz w:val="18"/>
                <w:szCs w:val="18"/>
              </w:rPr>
              <w:t>1</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40B5FF6E">
            <w:pPr>
              <w:wordWrap w:val="0"/>
              <w:ind w:firstLine="361"/>
              <w:rPr>
                <w:rFonts w:ascii="宋体" w:hAnsi="Arial" w:eastAsia="Arial"/>
                <w:sz w:val="18"/>
                <w:szCs w:val="18"/>
              </w:rPr>
            </w:pPr>
            <w:r>
              <w:rPr>
                <w:rFonts w:hint="eastAsia" w:ascii="宋体" w:hAnsi="宋体" w:eastAsia="宋体" w:cs="宋体"/>
                <w:sz w:val="18"/>
                <w:szCs w:val="18"/>
              </w:rPr>
              <w:t>分</w:t>
            </w:r>
            <w:r>
              <w:rPr>
                <w:rFonts w:hint="eastAsia" w:hAnsi="宋体"/>
                <w:sz w:val="18"/>
                <w:szCs w:val="18"/>
              </w:rPr>
              <w:t>部分项工程量清单计价合计</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5C2ABCF2">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7A7E494B">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7BC7C620">
            <w:pPr>
              <w:wordWrap w:val="0"/>
              <w:ind w:firstLine="361"/>
              <w:jc w:val="right"/>
              <w:rPr>
                <w:rFonts w:ascii="宋体" w:hAnsi="Arial" w:eastAsia="Arial"/>
                <w:sz w:val="18"/>
                <w:szCs w:val="18"/>
              </w:rPr>
            </w:pPr>
            <w:r>
              <w:rPr>
                <w:rFonts w:hAnsi="Arial" w:eastAsia="Arial"/>
                <w:sz w:val="18"/>
                <w:szCs w:val="18"/>
              </w:rPr>
              <w:t>2</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3D305F3F">
            <w:pPr>
              <w:wordWrap w:val="0"/>
              <w:ind w:firstLine="361"/>
              <w:rPr>
                <w:rFonts w:ascii="宋体" w:hAnsi="Arial" w:eastAsia="Arial"/>
                <w:sz w:val="18"/>
                <w:szCs w:val="18"/>
              </w:rPr>
            </w:pPr>
            <w:r>
              <w:rPr>
                <w:rFonts w:hint="eastAsia" w:ascii="宋体" w:hAnsi="宋体" w:eastAsia="宋体" w:cs="宋体"/>
                <w:sz w:val="18"/>
                <w:szCs w:val="18"/>
              </w:rPr>
              <w:t>措</w:t>
            </w:r>
            <w:r>
              <w:rPr>
                <w:rFonts w:hint="eastAsia" w:hAnsi="宋体"/>
                <w:sz w:val="18"/>
                <w:szCs w:val="18"/>
              </w:rPr>
              <w:t>施项目清单计价合计</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5157939B">
            <w:pPr>
              <w:wordWrap w:val="0"/>
              <w:ind w:firstLine="361"/>
              <w:jc w:val="center"/>
              <w:rPr>
                <w:rFonts w:ascii="宋体" w:hAnsi="Arial" w:eastAsia="Arial"/>
                <w:sz w:val="18"/>
                <w:szCs w:val="18"/>
              </w:rPr>
            </w:pPr>
            <w:r>
              <w:rPr>
                <w:rFonts w:hAnsi="宋体"/>
                <w:sz w:val="18"/>
                <w:szCs w:val="18"/>
              </w:rPr>
              <w:t>0</w:t>
            </w:r>
          </w:p>
        </w:tc>
      </w:tr>
      <w:tr w14:paraId="4A60C3F4">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5F15FBB2">
            <w:pPr>
              <w:wordWrap w:val="0"/>
              <w:ind w:firstLine="361"/>
              <w:jc w:val="right"/>
              <w:rPr>
                <w:rFonts w:ascii="宋体" w:hAnsi="Arial" w:eastAsia="Arial"/>
                <w:sz w:val="18"/>
                <w:szCs w:val="18"/>
              </w:rPr>
            </w:pPr>
            <w:r>
              <w:rPr>
                <w:rFonts w:hAnsi="Arial" w:eastAsia="Arial"/>
                <w:sz w:val="18"/>
                <w:szCs w:val="18"/>
              </w:rPr>
              <w:t>3</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6D8CB8F6">
            <w:pPr>
              <w:wordWrap w:val="0"/>
              <w:ind w:firstLine="361"/>
              <w:rPr>
                <w:rFonts w:ascii="宋体" w:hAnsi="Arial" w:eastAsia="Arial"/>
                <w:sz w:val="18"/>
                <w:szCs w:val="18"/>
              </w:rPr>
            </w:pPr>
            <w:r>
              <w:rPr>
                <w:rFonts w:hint="eastAsia" w:ascii="宋体" w:hAnsi="宋体" w:eastAsia="宋体" w:cs="宋体"/>
                <w:sz w:val="18"/>
                <w:szCs w:val="18"/>
              </w:rPr>
              <w:t>其</w:t>
            </w:r>
            <w:r>
              <w:rPr>
                <w:rFonts w:hint="eastAsia" w:hAnsi="宋体"/>
                <w:sz w:val="18"/>
                <w:szCs w:val="18"/>
              </w:rPr>
              <w:t>它项目清单计价合计</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768CAB1A">
            <w:pPr>
              <w:wordWrap w:val="0"/>
              <w:ind w:firstLine="361"/>
              <w:jc w:val="center"/>
              <w:rPr>
                <w:rFonts w:ascii="宋体" w:hAnsi="Arial" w:eastAsia="Arial"/>
                <w:sz w:val="18"/>
                <w:szCs w:val="18"/>
              </w:rPr>
            </w:pPr>
          </w:p>
        </w:tc>
      </w:tr>
      <w:tr w14:paraId="5DE0AD74">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5999B46F">
            <w:pPr>
              <w:wordWrap w:val="0"/>
              <w:ind w:firstLine="361"/>
              <w:jc w:val="right"/>
              <w:rPr>
                <w:rFonts w:ascii="宋体" w:hAnsi="Arial" w:eastAsia="Arial"/>
                <w:sz w:val="18"/>
                <w:szCs w:val="18"/>
              </w:rPr>
            </w:pPr>
            <w:r>
              <w:rPr>
                <w:rFonts w:hAnsi="Arial" w:eastAsia="Arial"/>
                <w:sz w:val="18"/>
                <w:szCs w:val="18"/>
              </w:rPr>
              <w:t>4</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1447388B">
            <w:pPr>
              <w:wordWrap w:val="0"/>
              <w:ind w:firstLine="361"/>
              <w:rPr>
                <w:rFonts w:ascii="宋体" w:hAnsi="Arial" w:eastAsia="Arial"/>
                <w:sz w:val="18"/>
                <w:szCs w:val="18"/>
              </w:rPr>
            </w:pPr>
            <w:r>
              <w:rPr>
                <w:rFonts w:hint="eastAsia" w:ascii="宋体" w:hAnsi="宋体" w:eastAsia="宋体" w:cs="宋体"/>
                <w:sz w:val="18"/>
                <w:szCs w:val="18"/>
              </w:rPr>
              <w:t>规</w:t>
            </w:r>
            <w:r>
              <w:rPr>
                <w:rFonts w:hint="eastAsia" w:hAnsi="宋体"/>
                <w:sz w:val="18"/>
                <w:szCs w:val="18"/>
              </w:rPr>
              <w:t>费</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4AE4C91B">
            <w:pPr>
              <w:wordWrap w:val="0"/>
              <w:ind w:firstLine="361"/>
              <w:jc w:val="center"/>
              <w:rPr>
                <w:rFonts w:ascii="宋体" w:hAnsi="Arial" w:eastAsia="Arial"/>
                <w:sz w:val="18"/>
                <w:szCs w:val="18"/>
              </w:rPr>
            </w:pPr>
            <w:r>
              <w:rPr>
                <w:rFonts w:hAnsi="宋体"/>
                <w:sz w:val="18"/>
                <w:szCs w:val="18"/>
              </w:rPr>
              <w:t>0</w:t>
            </w:r>
          </w:p>
        </w:tc>
      </w:tr>
      <w:tr w14:paraId="1C4F33C4">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43D14A37">
            <w:pPr>
              <w:wordWrap w:val="0"/>
              <w:ind w:firstLine="361"/>
              <w:jc w:val="right"/>
              <w:rPr>
                <w:rFonts w:ascii="宋体" w:hAnsi="Arial" w:eastAsia="Arial"/>
                <w:sz w:val="18"/>
                <w:szCs w:val="18"/>
              </w:rPr>
            </w:pPr>
            <w:r>
              <w:rPr>
                <w:rFonts w:hAnsi="Arial" w:eastAsia="Arial"/>
                <w:sz w:val="18"/>
                <w:szCs w:val="18"/>
              </w:rPr>
              <w:t>5</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29B166A1">
            <w:pPr>
              <w:wordWrap w:val="0"/>
              <w:ind w:firstLine="361"/>
              <w:rPr>
                <w:rFonts w:ascii="宋体" w:hAnsi="Arial" w:eastAsia="Arial"/>
                <w:sz w:val="18"/>
                <w:szCs w:val="18"/>
              </w:rPr>
            </w:pPr>
            <w:r>
              <w:rPr>
                <w:rFonts w:hint="eastAsia" w:ascii="宋体" w:hAnsi="宋体" w:eastAsia="宋体" w:cs="宋体"/>
                <w:sz w:val="18"/>
                <w:szCs w:val="18"/>
              </w:rPr>
              <w:t>不</w:t>
            </w:r>
            <w:r>
              <w:rPr>
                <w:rFonts w:hint="eastAsia" w:hAnsi="宋体"/>
                <w:sz w:val="18"/>
                <w:szCs w:val="18"/>
              </w:rPr>
              <w:t>含税工程造价</w:t>
            </w:r>
            <w:r>
              <w:rPr>
                <w:rFonts w:hAnsi="Arial" w:eastAsia="Arial"/>
                <w:sz w:val="18"/>
                <w:szCs w:val="18"/>
              </w:rPr>
              <w:t>[(5)=(1)+(2)+(3)+(4)]</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286493EA">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5F95B937">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12207B14">
            <w:pPr>
              <w:wordWrap w:val="0"/>
              <w:ind w:firstLine="361"/>
              <w:jc w:val="right"/>
              <w:rPr>
                <w:rFonts w:ascii="宋体" w:hAnsi="Arial" w:eastAsia="Arial"/>
                <w:sz w:val="18"/>
                <w:szCs w:val="18"/>
              </w:rPr>
            </w:pPr>
            <w:r>
              <w:rPr>
                <w:rFonts w:hAnsi="Arial" w:eastAsia="Arial"/>
                <w:sz w:val="18"/>
                <w:szCs w:val="18"/>
              </w:rPr>
              <w:t>6</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77BE2DC3">
            <w:pPr>
              <w:wordWrap w:val="0"/>
              <w:ind w:firstLine="361"/>
              <w:rPr>
                <w:rFonts w:ascii="宋体" w:hAnsi="Arial" w:eastAsia="Arial"/>
                <w:sz w:val="18"/>
                <w:szCs w:val="18"/>
              </w:rPr>
            </w:pPr>
            <w:r>
              <w:rPr>
                <w:rFonts w:hint="eastAsia" w:ascii="宋体" w:hAnsi="宋体" w:eastAsia="宋体" w:cs="宋体"/>
                <w:sz w:val="18"/>
                <w:szCs w:val="18"/>
              </w:rPr>
              <w:t>只</w:t>
            </w:r>
            <w:r>
              <w:rPr>
                <w:rFonts w:hint="eastAsia" w:hAnsi="宋体"/>
                <w:sz w:val="18"/>
                <w:szCs w:val="18"/>
              </w:rPr>
              <w:t>计税金项目费</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2D6F4B57">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48A8D75F">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45404B1C">
            <w:pPr>
              <w:wordWrap w:val="0"/>
              <w:ind w:firstLine="361"/>
              <w:jc w:val="right"/>
              <w:rPr>
                <w:rFonts w:ascii="宋体" w:hAnsi="Arial" w:eastAsia="Arial"/>
                <w:sz w:val="18"/>
                <w:szCs w:val="18"/>
              </w:rPr>
            </w:pPr>
            <w:r>
              <w:rPr>
                <w:rFonts w:hAnsi="Arial" w:eastAsia="Arial"/>
                <w:sz w:val="18"/>
                <w:szCs w:val="18"/>
              </w:rPr>
              <w:t>7</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1D5E9DAB">
            <w:pPr>
              <w:wordWrap w:val="0"/>
              <w:ind w:firstLine="361"/>
              <w:rPr>
                <w:rFonts w:ascii="宋体" w:hAnsi="Arial" w:eastAsia="Arial"/>
                <w:sz w:val="18"/>
                <w:szCs w:val="18"/>
              </w:rPr>
            </w:pPr>
            <w:r>
              <w:rPr>
                <w:rFonts w:hint="eastAsia" w:ascii="宋体" w:hAnsi="宋体" w:eastAsia="宋体" w:cs="宋体"/>
                <w:sz w:val="18"/>
                <w:szCs w:val="18"/>
              </w:rPr>
              <w:t>税</w:t>
            </w:r>
            <w:r>
              <w:rPr>
                <w:rFonts w:hint="eastAsia" w:hAnsi="宋体"/>
                <w:sz w:val="18"/>
                <w:szCs w:val="18"/>
              </w:rPr>
              <w:t>金</w:t>
            </w:r>
            <w:r>
              <w:rPr>
                <w:rFonts w:hAnsi="Arial" w:eastAsia="Arial"/>
                <w:sz w:val="18"/>
                <w:szCs w:val="18"/>
              </w:rPr>
              <w:t>[(7)=(7.1)+(7.2)]</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291DE048">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5C70B59F">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1E7D4251">
            <w:pPr>
              <w:wordWrap w:val="0"/>
              <w:jc w:val="right"/>
              <w:rPr>
                <w:rFonts w:hAnsi="Arial"/>
                <w:sz w:val="18"/>
                <w:szCs w:val="18"/>
              </w:rPr>
            </w:pPr>
            <w:r>
              <w:rPr>
                <w:rFonts w:hAnsi="Arial"/>
                <w:sz w:val="18"/>
                <w:szCs w:val="18"/>
              </w:rPr>
              <w:t>7.1</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0416F4DB">
            <w:pPr>
              <w:wordWrap w:val="0"/>
              <w:ind w:firstLine="361"/>
              <w:rPr>
                <w:rFonts w:hAnsi="宋体" w:eastAsia="宋体"/>
                <w:sz w:val="18"/>
                <w:szCs w:val="18"/>
              </w:rPr>
            </w:pPr>
            <w:r>
              <w:rPr>
                <w:rFonts w:hint="eastAsia" w:ascii="宋体" w:hAnsi="宋体" w:eastAsia="宋体" w:cs="宋体"/>
                <w:sz w:val="18"/>
                <w:szCs w:val="18"/>
              </w:rPr>
              <w:t>增</w:t>
            </w:r>
            <w:r>
              <w:rPr>
                <w:rFonts w:hint="eastAsia" w:hAnsi="宋体"/>
                <w:sz w:val="18"/>
                <w:szCs w:val="18"/>
              </w:rPr>
              <w:t>值税应纳税额</w:t>
            </w:r>
            <w:r>
              <w:rPr>
                <w:rFonts w:hAnsi="宋体"/>
                <w:sz w:val="18"/>
                <w:szCs w:val="18"/>
              </w:rPr>
              <w:t xml:space="preserve"> [(7.1)=(5+6)</w:t>
            </w:r>
            <w:r>
              <w:rPr>
                <w:rFonts w:hint="eastAsia" w:hAnsi="宋体"/>
                <w:sz w:val="18"/>
                <w:szCs w:val="18"/>
              </w:rPr>
              <w:t>×税金的费率</w:t>
            </w:r>
            <w:r>
              <w:rPr>
                <w:rFonts w:hAnsi="宋体"/>
                <w:sz w:val="18"/>
                <w:szCs w:val="18"/>
              </w:rPr>
              <w:t>(%)]</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7B5422B0">
            <w:pPr>
              <w:wordWrap w:val="0"/>
              <w:ind w:firstLine="361"/>
              <w:jc w:val="right"/>
              <w:rPr>
                <w:rFonts w:hAnsi="宋体"/>
                <w:sz w:val="18"/>
                <w:szCs w:val="18"/>
              </w:rPr>
            </w:pPr>
          </w:p>
        </w:tc>
      </w:tr>
      <w:tr w14:paraId="0AEFBFE9">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108C0617">
            <w:pPr>
              <w:wordWrap w:val="0"/>
              <w:jc w:val="right"/>
              <w:rPr>
                <w:rFonts w:hAnsi="Arial"/>
                <w:sz w:val="18"/>
                <w:szCs w:val="18"/>
              </w:rPr>
            </w:pPr>
            <w:r>
              <w:rPr>
                <w:rFonts w:hAnsi="Arial"/>
                <w:sz w:val="18"/>
                <w:szCs w:val="18"/>
              </w:rPr>
              <w:t>7.2</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53AEB6BC">
            <w:pPr>
              <w:wordWrap w:val="0"/>
              <w:ind w:firstLine="361"/>
              <w:rPr>
                <w:rFonts w:hAnsi="宋体" w:eastAsia="宋体"/>
                <w:sz w:val="18"/>
                <w:szCs w:val="18"/>
              </w:rPr>
            </w:pPr>
            <w:r>
              <w:rPr>
                <w:rFonts w:hint="eastAsia" w:ascii="宋体" w:hAnsi="宋体" w:eastAsia="宋体" w:cs="宋体"/>
                <w:sz w:val="18"/>
                <w:szCs w:val="18"/>
              </w:rPr>
              <w:t>城</w:t>
            </w:r>
            <w:r>
              <w:rPr>
                <w:rFonts w:hint="eastAsia" w:hAnsi="宋体"/>
                <w:sz w:val="18"/>
                <w:szCs w:val="18"/>
              </w:rPr>
              <w:t>市维护建设税、教育费附加及地方教育费附加</w:t>
            </w:r>
            <w:r>
              <w:rPr>
                <w:rFonts w:hAnsi="宋体"/>
                <w:sz w:val="18"/>
                <w:szCs w:val="18"/>
              </w:rPr>
              <w:t xml:space="preserve"> (7.2)= (7.1)</w:t>
            </w:r>
            <w:r>
              <w:rPr>
                <w:rFonts w:hint="eastAsia" w:hAnsi="宋体"/>
                <w:sz w:val="18"/>
                <w:szCs w:val="18"/>
              </w:rPr>
              <w:t>×税金的费率</w:t>
            </w:r>
            <w:r>
              <w:rPr>
                <w:rFonts w:hAnsi="宋体"/>
                <w:sz w:val="18"/>
                <w:szCs w:val="18"/>
              </w:rPr>
              <w:t>(%)]</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3A868294">
            <w:pPr>
              <w:wordWrap w:val="0"/>
              <w:ind w:firstLine="361"/>
              <w:jc w:val="right"/>
              <w:rPr>
                <w:rFonts w:hAnsi="宋体"/>
                <w:sz w:val="18"/>
                <w:szCs w:val="18"/>
              </w:rPr>
            </w:pPr>
          </w:p>
        </w:tc>
      </w:tr>
      <w:tr w14:paraId="7F6386AC">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178068C5">
            <w:pPr>
              <w:wordWrap w:val="0"/>
              <w:ind w:firstLine="361"/>
              <w:jc w:val="right"/>
              <w:rPr>
                <w:rFonts w:ascii="宋体" w:hAnsi="Arial" w:eastAsia="Arial"/>
                <w:sz w:val="18"/>
                <w:szCs w:val="18"/>
              </w:rPr>
            </w:pPr>
            <w:r>
              <w:rPr>
                <w:rFonts w:hAnsi="Arial" w:eastAsia="Arial"/>
                <w:sz w:val="18"/>
                <w:szCs w:val="18"/>
              </w:rPr>
              <w:t>8</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50EC967F">
            <w:pPr>
              <w:wordWrap w:val="0"/>
              <w:ind w:firstLine="361"/>
              <w:rPr>
                <w:rFonts w:ascii="宋体" w:hAnsi="Arial" w:eastAsia="Arial"/>
                <w:sz w:val="18"/>
                <w:szCs w:val="18"/>
              </w:rPr>
            </w:pPr>
            <w:r>
              <w:rPr>
                <w:rFonts w:hint="eastAsia" w:ascii="宋体" w:hAnsi="宋体" w:eastAsia="宋体" w:cs="宋体"/>
                <w:sz w:val="18"/>
                <w:szCs w:val="18"/>
              </w:rPr>
              <w:t>不</w:t>
            </w:r>
            <w:r>
              <w:rPr>
                <w:rFonts w:hint="eastAsia" w:hAnsi="宋体"/>
                <w:sz w:val="18"/>
                <w:szCs w:val="18"/>
              </w:rPr>
              <w:t>计税金项目费</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59FA557A">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72F0464D">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4B0DC614">
            <w:pPr>
              <w:wordWrap w:val="0"/>
              <w:ind w:firstLine="361"/>
              <w:jc w:val="right"/>
              <w:rPr>
                <w:rFonts w:ascii="宋体" w:hAnsi="Arial" w:eastAsia="Arial"/>
                <w:sz w:val="18"/>
                <w:szCs w:val="18"/>
              </w:rPr>
            </w:pPr>
            <w:r>
              <w:rPr>
                <w:rFonts w:hAnsi="Arial" w:eastAsia="Arial"/>
                <w:sz w:val="18"/>
                <w:szCs w:val="18"/>
              </w:rPr>
              <w:t>9</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293F782F">
            <w:pPr>
              <w:wordWrap w:val="0"/>
              <w:ind w:firstLine="361"/>
              <w:rPr>
                <w:rFonts w:ascii="宋体" w:hAnsi="Arial" w:eastAsia="Arial"/>
                <w:sz w:val="18"/>
                <w:szCs w:val="18"/>
              </w:rPr>
            </w:pPr>
            <w:r>
              <w:rPr>
                <w:rFonts w:hint="eastAsia" w:ascii="宋体" w:hAnsi="宋体" w:eastAsia="宋体" w:cs="宋体"/>
                <w:sz w:val="18"/>
                <w:szCs w:val="18"/>
              </w:rPr>
              <w:t>设</w:t>
            </w:r>
            <w:r>
              <w:rPr>
                <w:rFonts w:hint="eastAsia" w:hAnsi="宋体"/>
                <w:sz w:val="18"/>
                <w:szCs w:val="18"/>
              </w:rPr>
              <w:t>备购置费</w:t>
            </w:r>
            <w:r>
              <w:rPr>
                <w:rFonts w:hAnsi="Arial" w:eastAsia="Arial"/>
                <w:sz w:val="18"/>
                <w:szCs w:val="18"/>
              </w:rPr>
              <w:t>(</w:t>
            </w:r>
            <w:r>
              <w:rPr>
                <w:rFonts w:hint="eastAsia" w:ascii="微软雅黑" w:hAnsi="微软雅黑" w:eastAsia="微软雅黑" w:cs="微软雅黑"/>
                <w:sz w:val="18"/>
                <w:szCs w:val="18"/>
              </w:rPr>
              <w:t>不计税设备</w:t>
            </w:r>
            <w:r>
              <w:rPr>
                <w:rFonts w:hAnsi="Arial" w:eastAsia="Arial"/>
                <w:sz w:val="18"/>
                <w:szCs w:val="18"/>
              </w:rPr>
              <w:t>)</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3A669A3D">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1CAEA335">
        <w:tblPrEx>
          <w:tblCellMar>
            <w:top w:w="0" w:type="dxa"/>
            <w:left w:w="0" w:type="dxa"/>
            <w:bottom w:w="0" w:type="dxa"/>
            <w:right w:w="0" w:type="dxa"/>
          </w:tblCellMar>
        </w:tblPrEx>
        <w:trPr>
          <w:trHeight w:val="342"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center"/>
          </w:tcPr>
          <w:p w14:paraId="1141D3ED">
            <w:pPr>
              <w:wordWrap w:val="0"/>
              <w:jc w:val="right"/>
              <w:rPr>
                <w:rFonts w:ascii="宋体" w:hAnsi="Arial" w:eastAsia="Arial"/>
                <w:sz w:val="18"/>
                <w:szCs w:val="18"/>
              </w:rPr>
            </w:pPr>
            <w:r>
              <w:rPr>
                <w:rFonts w:hAnsi="Arial" w:eastAsia="Arial"/>
                <w:sz w:val="18"/>
                <w:szCs w:val="18"/>
              </w:rPr>
              <w:t>10</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6082BF6B">
            <w:pPr>
              <w:wordWrap w:val="0"/>
              <w:ind w:firstLine="361"/>
              <w:rPr>
                <w:rFonts w:ascii="宋体" w:hAnsi="Arial" w:eastAsia="Arial"/>
                <w:sz w:val="18"/>
                <w:szCs w:val="18"/>
              </w:rPr>
            </w:pPr>
            <w:r>
              <w:rPr>
                <w:rFonts w:hint="eastAsia" w:ascii="宋体" w:hAnsi="宋体" w:eastAsia="宋体" w:cs="宋体"/>
                <w:sz w:val="18"/>
                <w:szCs w:val="18"/>
              </w:rPr>
              <w:t>含</w:t>
            </w:r>
            <w:r>
              <w:rPr>
                <w:rFonts w:hint="eastAsia" w:hAnsi="宋体"/>
                <w:sz w:val="18"/>
                <w:szCs w:val="18"/>
              </w:rPr>
              <w:t>税工程总造价</w:t>
            </w:r>
            <w:r>
              <w:rPr>
                <w:rFonts w:hAnsi="Arial" w:eastAsia="Arial"/>
                <w:sz w:val="18"/>
                <w:szCs w:val="18"/>
              </w:rPr>
              <w:t>[(10)=(5)+(6)+(7)+(8)]</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29079419">
            <w:pPr>
              <w:wordWrap w:val="0"/>
              <w:ind w:firstLine="361"/>
              <w:jc w:val="right"/>
              <w:rPr>
                <w:rFonts w:ascii="宋体" w:hAnsi="Arial" w:eastAsia="Arial"/>
                <w:sz w:val="18"/>
                <w:szCs w:val="18"/>
              </w:rPr>
            </w:pPr>
            <w:r>
              <w:rPr>
                <w:rFonts w:hint="eastAsia" w:ascii="宋体" w:hAnsi="宋体" w:eastAsia="宋体" w:cs="宋体"/>
                <w:sz w:val="18"/>
                <w:szCs w:val="18"/>
              </w:rPr>
              <w:t>　</w:t>
            </w:r>
          </w:p>
        </w:tc>
      </w:tr>
      <w:tr w14:paraId="7A345957">
        <w:tblPrEx>
          <w:tblCellMar>
            <w:top w:w="0" w:type="dxa"/>
            <w:left w:w="0" w:type="dxa"/>
            <w:bottom w:w="0" w:type="dxa"/>
            <w:right w:w="0" w:type="dxa"/>
          </w:tblCellMar>
        </w:tblPrEx>
        <w:trPr>
          <w:trHeight w:val="379"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bottom"/>
          </w:tcPr>
          <w:p w14:paraId="2C2FDD54">
            <w:pPr>
              <w:wordWrap w:val="0"/>
              <w:ind w:firstLine="402"/>
              <w:rPr>
                <w:rFonts w:ascii="宋体" w:hAnsi="Arial" w:eastAsia="Arial"/>
                <w:sz w:val="20"/>
                <w:szCs w:val="20"/>
              </w:rPr>
            </w:pPr>
            <w:r>
              <w:rPr>
                <w:rFonts w:hint="eastAsia" w:ascii="宋体" w:hAnsi="宋体" w:eastAsia="宋体" w:cs="宋体"/>
                <w:sz w:val="20"/>
                <w:szCs w:val="20"/>
              </w:rPr>
              <w:t>　</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bottom"/>
          </w:tcPr>
          <w:p w14:paraId="07280610">
            <w:pPr>
              <w:wordWrap w:val="0"/>
              <w:ind w:firstLine="402"/>
              <w:rPr>
                <w:rFonts w:ascii="宋体" w:hAnsi="Arial" w:eastAsia="Arial"/>
                <w:sz w:val="20"/>
                <w:szCs w:val="20"/>
              </w:rPr>
            </w:pPr>
            <w:r>
              <w:rPr>
                <w:rFonts w:hint="eastAsia" w:ascii="宋体" w:hAnsi="宋体" w:eastAsia="宋体" w:cs="宋体"/>
                <w:sz w:val="20"/>
                <w:szCs w:val="20"/>
              </w:rPr>
              <w:t>　</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bottom"/>
          </w:tcPr>
          <w:p w14:paraId="3E8EA730">
            <w:pPr>
              <w:wordWrap w:val="0"/>
              <w:ind w:firstLine="402"/>
              <w:rPr>
                <w:rFonts w:ascii="宋体" w:hAnsi="Arial" w:eastAsia="Arial"/>
                <w:sz w:val="20"/>
                <w:szCs w:val="20"/>
              </w:rPr>
            </w:pPr>
            <w:r>
              <w:rPr>
                <w:rFonts w:hint="eastAsia" w:ascii="宋体" w:hAnsi="宋体" w:eastAsia="宋体" w:cs="宋体"/>
                <w:sz w:val="20"/>
                <w:szCs w:val="20"/>
              </w:rPr>
              <w:t>　</w:t>
            </w:r>
          </w:p>
        </w:tc>
      </w:tr>
      <w:tr w14:paraId="65931FE7">
        <w:tblPrEx>
          <w:tblCellMar>
            <w:top w:w="0" w:type="dxa"/>
            <w:left w:w="0" w:type="dxa"/>
            <w:bottom w:w="0" w:type="dxa"/>
            <w:right w:w="0" w:type="dxa"/>
          </w:tblCellMar>
        </w:tblPrEx>
        <w:trPr>
          <w:trHeight w:val="379"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bottom"/>
          </w:tcPr>
          <w:p w14:paraId="18E15FC6">
            <w:pPr>
              <w:wordWrap w:val="0"/>
              <w:ind w:firstLine="402"/>
              <w:rPr>
                <w:rFonts w:ascii="宋体" w:hAnsi="Arial" w:eastAsia="Arial"/>
                <w:sz w:val="20"/>
                <w:szCs w:val="20"/>
              </w:rPr>
            </w:pPr>
            <w:r>
              <w:rPr>
                <w:rFonts w:hint="eastAsia" w:ascii="宋体" w:hAnsi="宋体" w:eastAsia="宋体" w:cs="宋体"/>
                <w:sz w:val="20"/>
                <w:szCs w:val="20"/>
              </w:rPr>
              <w:t>　</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bottom"/>
          </w:tcPr>
          <w:p w14:paraId="1C7F0BF4">
            <w:pPr>
              <w:wordWrap w:val="0"/>
              <w:ind w:firstLine="402"/>
              <w:rPr>
                <w:rFonts w:ascii="宋体" w:hAnsi="Arial" w:eastAsia="Arial"/>
                <w:sz w:val="20"/>
                <w:szCs w:val="20"/>
              </w:rPr>
            </w:pPr>
            <w:r>
              <w:rPr>
                <w:rFonts w:hint="eastAsia" w:ascii="宋体" w:hAnsi="宋体" w:eastAsia="宋体" w:cs="宋体"/>
                <w:sz w:val="20"/>
                <w:szCs w:val="20"/>
              </w:rPr>
              <w:t>　</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bottom"/>
          </w:tcPr>
          <w:p w14:paraId="45750F53">
            <w:pPr>
              <w:wordWrap w:val="0"/>
              <w:ind w:firstLine="402"/>
              <w:rPr>
                <w:rFonts w:ascii="宋体" w:hAnsi="Arial" w:eastAsia="Arial"/>
                <w:sz w:val="20"/>
                <w:szCs w:val="20"/>
              </w:rPr>
            </w:pPr>
            <w:r>
              <w:rPr>
                <w:rFonts w:hint="eastAsia" w:ascii="宋体" w:hAnsi="宋体" w:eastAsia="宋体" w:cs="宋体"/>
                <w:sz w:val="20"/>
                <w:szCs w:val="20"/>
              </w:rPr>
              <w:t>　</w:t>
            </w:r>
          </w:p>
        </w:tc>
      </w:tr>
      <w:tr w14:paraId="64B09832">
        <w:tblPrEx>
          <w:tblCellMar>
            <w:top w:w="0" w:type="dxa"/>
            <w:left w:w="0" w:type="dxa"/>
            <w:bottom w:w="0" w:type="dxa"/>
            <w:right w:w="0" w:type="dxa"/>
          </w:tblCellMar>
        </w:tblPrEx>
        <w:trPr>
          <w:trHeight w:val="379"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bottom"/>
          </w:tcPr>
          <w:p w14:paraId="6C3A8BF2">
            <w:pPr>
              <w:wordWrap w:val="0"/>
              <w:ind w:firstLine="402"/>
              <w:rPr>
                <w:rFonts w:ascii="宋体" w:hAnsi="Arial" w:eastAsia="Arial"/>
                <w:sz w:val="20"/>
                <w:szCs w:val="20"/>
              </w:rPr>
            </w:pPr>
            <w:r>
              <w:rPr>
                <w:rFonts w:hint="eastAsia" w:ascii="宋体" w:hAnsi="宋体" w:eastAsia="宋体" w:cs="宋体"/>
                <w:sz w:val="20"/>
                <w:szCs w:val="20"/>
              </w:rPr>
              <w:t>　</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bottom"/>
          </w:tcPr>
          <w:p w14:paraId="38045989">
            <w:pPr>
              <w:wordWrap w:val="0"/>
              <w:ind w:firstLine="402"/>
              <w:rPr>
                <w:rFonts w:ascii="宋体" w:hAnsi="Arial" w:eastAsia="Arial"/>
                <w:sz w:val="20"/>
                <w:szCs w:val="20"/>
              </w:rPr>
            </w:pPr>
            <w:r>
              <w:rPr>
                <w:rFonts w:hint="eastAsia" w:ascii="宋体" w:hAnsi="宋体" w:eastAsia="宋体" w:cs="宋体"/>
                <w:sz w:val="20"/>
                <w:szCs w:val="20"/>
              </w:rPr>
              <w:t>　</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bottom"/>
          </w:tcPr>
          <w:p w14:paraId="27B7BE74">
            <w:pPr>
              <w:wordWrap w:val="0"/>
              <w:ind w:firstLine="402"/>
              <w:rPr>
                <w:rFonts w:ascii="宋体" w:hAnsi="Arial" w:eastAsia="Arial"/>
                <w:sz w:val="20"/>
                <w:szCs w:val="20"/>
              </w:rPr>
            </w:pPr>
            <w:r>
              <w:rPr>
                <w:rFonts w:hint="eastAsia" w:ascii="宋体" w:hAnsi="宋体" w:eastAsia="宋体" w:cs="宋体"/>
                <w:sz w:val="20"/>
                <w:szCs w:val="20"/>
              </w:rPr>
              <w:t>　</w:t>
            </w:r>
          </w:p>
        </w:tc>
      </w:tr>
      <w:tr w14:paraId="2AF5E362">
        <w:tblPrEx>
          <w:tblCellMar>
            <w:top w:w="0" w:type="dxa"/>
            <w:left w:w="0" w:type="dxa"/>
            <w:bottom w:w="0" w:type="dxa"/>
            <w:right w:w="0" w:type="dxa"/>
          </w:tblCellMar>
        </w:tblPrEx>
        <w:trPr>
          <w:trHeight w:val="379"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bottom"/>
          </w:tcPr>
          <w:p w14:paraId="4B22B708">
            <w:pPr>
              <w:wordWrap w:val="0"/>
              <w:ind w:firstLine="402"/>
              <w:rPr>
                <w:rFonts w:ascii="宋体" w:hAnsi="Arial" w:eastAsia="Arial"/>
                <w:sz w:val="20"/>
                <w:szCs w:val="20"/>
              </w:rPr>
            </w:pPr>
            <w:r>
              <w:rPr>
                <w:rFonts w:hint="eastAsia" w:ascii="宋体" w:hAnsi="宋体" w:eastAsia="宋体" w:cs="宋体"/>
                <w:sz w:val="20"/>
                <w:szCs w:val="20"/>
              </w:rPr>
              <w:t>　</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bottom"/>
          </w:tcPr>
          <w:p w14:paraId="39ED6C2D">
            <w:pPr>
              <w:wordWrap w:val="0"/>
              <w:ind w:firstLine="402"/>
              <w:rPr>
                <w:rFonts w:ascii="宋体" w:hAnsi="Arial" w:eastAsia="Arial"/>
                <w:sz w:val="20"/>
                <w:szCs w:val="20"/>
              </w:rPr>
            </w:pPr>
            <w:r>
              <w:rPr>
                <w:rFonts w:hint="eastAsia" w:ascii="宋体" w:hAnsi="宋体" w:eastAsia="宋体" w:cs="宋体"/>
                <w:sz w:val="20"/>
                <w:szCs w:val="20"/>
              </w:rPr>
              <w:t>　</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bottom"/>
          </w:tcPr>
          <w:p w14:paraId="24A1A7BD">
            <w:pPr>
              <w:wordWrap w:val="0"/>
              <w:ind w:firstLine="402"/>
              <w:rPr>
                <w:rFonts w:ascii="宋体" w:hAnsi="Arial" w:eastAsia="Arial"/>
                <w:sz w:val="20"/>
                <w:szCs w:val="20"/>
              </w:rPr>
            </w:pPr>
          </w:p>
        </w:tc>
      </w:tr>
      <w:tr w14:paraId="35CC528C">
        <w:tblPrEx>
          <w:tblCellMar>
            <w:top w:w="0" w:type="dxa"/>
            <w:left w:w="0" w:type="dxa"/>
            <w:bottom w:w="0" w:type="dxa"/>
            <w:right w:w="0" w:type="dxa"/>
          </w:tblCellMar>
        </w:tblPrEx>
        <w:trPr>
          <w:trHeight w:val="558" w:hRule="atLeast"/>
        </w:trPr>
        <w:tc>
          <w:tcPr>
            <w:tcW w:w="567" w:type="dxa"/>
            <w:tcBorders>
              <w:top w:val="nil"/>
              <w:left w:val="single" w:color="auto" w:sz="4" w:space="0"/>
              <w:bottom w:val="single" w:color="auto" w:sz="4" w:space="0"/>
              <w:right w:val="single" w:color="auto" w:sz="4" w:space="0"/>
            </w:tcBorders>
            <w:tcMar>
              <w:top w:w="0" w:type="dxa"/>
              <w:left w:w="15" w:type="dxa"/>
              <w:bottom w:w="0" w:type="dxa"/>
              <w:right w:w="15" w:type="dxa"/>
            </w:tcMar>
            <w:vAlign w:val="bottom"/>
          </w:tcPr>
          <w:p w14:paraId="0B6F8EB3">
            <w:pPr>
              <w:wordWrap w:val="0"/>
              <w:ind w:firstLine="402"/>
              <w:rPr>
                <w:rFonts w:ascii="宋体" w:hAnsi="Arial" w:eastAsia="Arial"/>
                <w:sz w:val="20"/>
                <w:szCs w:val="20"/>
              </w:rPr>
            </w:pPr>
            <w:r>
              <w:rPr>
                <w:rFonts w:hint="eastAsia" w:ascii="宋体" w:hAnsi="宋体" w:eastAsia="宋体" w:cs="宋体"/>
                <w:sz w:val="20"/>
                <w:szCs w:val="20"/>
              </w:rPr>
              <w:t>　</w:t>
            </w:r>
          </w:p>
        </w:tc>
        <w:tc>
          <w:tcPr>
            <w:tcW w:w="5471" w:type="dxa"/>
            <w:tcBorders>
              <w:top w:val="nil"/>
              <w:left w:val="nil"/>
              <w:bottom w:val="single" w:color="auto" w:sz="4" w:space="0"/>
              <w:right w:val="single" w:color="auto" w:sz="4" w:space="0"/>
            </w:tcBorders>
            <w:tcMar>
              <w:top w:w="0" w:type="dxa"/>
              <w:left w:w="15" w:type="dxa"/>
              <w:bottom w:w="0" w:type="dxa"/>
              <w:right w:w="15" w:type="dxa"/>
            </w:tcMar>
            <w:vAlign w:val="center"/>
          </w:tcPr>
          <w:p w14:paraId="0B3E3456">
            <w:pPr>
              <w:wordWrap w:val="0"/>
              <w:ind w:firstLine="361"/>
              <w:jc w:val="center"/>
              <w:rPr>
                <w:rFonts w:ascii="宋体" w:hAnsi="Arial" w:eastAsia="Arial"/>
                <w:sz w:val="18"/>
                <w:szCs w:val="18"/>
              </w:rPr>
            </w:pPr>
            <w:r>
              <w:rPr>
                <w:rFonts w:hint="eastAsia" w:ascii="宋体" w:hAnsi="宋体" w:eastAsia="宋体" w:cs="宋体"/>
                <w:sz w:val="18"/>
                <w:szCs w:val="18"/>
              </w:rPr>
              <w:t>合</w:t>
            </w:r>
            <w:r>
              <w:rPr>
                <w:rFonts w:hint="eastAsia" w:hAnsi="宋体"/>
                <w:sz w:val="18"/>
                <w:szCs w:val="18"/>
              </w:rPr>
              <w:t>计</w:t>
            </w:r>
          </w:p>
        </w:tc>
        <w:tc>
          <w:tcPr>
            <w:tcW w:w="2257" w:type="dxa"/>
            <w:tcBorders>
              <w:top w:val="nil"/>
              <w:left w:val="nil"/>
              <w:bottom w:val="single" w:color="auto" w:sz="4" w:space="0"/>
              <w:right w:val="single" w:color="auto" w:sz="4" w:space="0"/>
            </w:tcBorders>
            <w:tcMar>
              <w:top w:w="0" w:type="dxa"/>
              <w:left w:w="15" w:type="dxa"/>
              <w:bottom w:w="0" w:type="dxa"/>
              <w:right w:w="15" w:type="dxa"/>
            </w:tcMar>
            <w:vAlign w:val="center"/>
          </w:tcPr>
          <w:p w14:paraId="7130858D">
            <w:pPr>
              <w:wordWrap w:val="0"/>
              <w:ind w:firstLine="361"/>
              <w:jc w:val="right"/>
              <w:rPr>
                <w:rFonts w:ascii="宋体" w:hAnsi="Arial" w:eastAsia="Arial"/>
                <w:sz w:val="18"/>
                <w:szCs w:val="18"/>
              </w:rPr>
            </w:pPr>
            <w:r>
              <w:rPr>
                <w:rFonts w:hint="eastAsia" w:ascii="宋体" w:hAnsi="宋体" w:eastAsia="宋体" w:cs="宋体"/>
                <w:sz w:val="18"/>
                <w:szCs w:val="18"/>
              </w:rPr>
              <w:t>　</w:t>
            </w:r>
          </w:p>
        </w:tc>
      </w:tr>
    </w:tbl>
    <w:p w14:paraId="47837D0A">
      <w:pPr>
        <w:adjustRightInd w:val="0"/>
        <w:snapToGrid w:val="0"/>
        <w:spacing w:line="360" w:lineRule="auto"/>
        <w:ind w:firstLine="602"/>
        <w:jc w:val="left"/>
        <w:rPr>
          <w:rFonts w:ascii="Times New Roman" w:hAnsi="Times New Roman" w:eastAsia="宋体"/>
          <w:sz w:val="30"/>
          <w:szCs w:val="30"/>
        </w:rPr>
      </w:pPr>
      <w:r>
        <w:rPr>
          <w:rFonts w:hint="eastAsia" w:ascii="宋体" w:hAnsi="宋体" w:eastAsia="宋体" w:cs="宋体"/>
          <w:sz w:val="30"/>
          <w:szCs w:val="30"/>
        </w:rPr>
        <w:t>备</w:t>
      </w:r>
      <w:r>
        <w:rPr>
          <w:rFonts w:hint="eastAsia"/>
          <w:sz w:val="30"/>
          <w:szCs w:val="30"/>
        </w:rPr>
        <w:t>注：规费、措施费请填写为零，相关费用分摊到其他分项。</w:t>
      </w:r>
    </w:p>
    <w:p w14:paraId="408BA6A8">
      <w:pPr>
        <w:adjustRightInd w:val="0"/>
        <w:snapToGrid w:val="0"/>
        <w:spacing w:line="360" w:lineRule="auto"/>
        <w:ind w:firstLine="602"/>
        <w:jc w:val="left"/>
        <w:rPr>
          <w:szCs w:val="24"/>
        </w:rPr>
      </w:pPr>
      <w:r>
        <w:rPr>
          <w:rFonts w:hint="eastAsia" w:ascii="宋体" w:hAnsi="宋体" w:eastAsia="宋体" w:cs="宋体"/>
          <w:sz w:val="30"/>
          <w:szCs w:val="30"/>
        </w:rPr>
        <w:t>但</w:t>
      </w:r>
      <w:r>
        <w:rPr>
          <w:rFonts w:hint="eastAsia"/>
          <w:b/>
          <w:sz w:val="30"/>
          <w:szCs w:val="30"/>
        </w:rPr>
        <w:t>税金</w:t>
      </w:r>
      <w:r>
        <w:rPr>
          <w:rFonts w:hint="eastAsia"/>
          <w:sz w:val="30"/>
          <w:szCs w:val="30"/>
        </w:rPr>
        <w:t>必须列出，依据《深圳市建设工程计价费率标准(</w:t>
      </w:r>
      <w:r>
        <w:rPr>
          <w:sz w:val="30"/>
          <w:szCs w:val="30"/>
        </w:rPr>
        <w:t>2023)</w:t>
      </w:r>
      <w:r>
        <w:rPr>
          <w:rFonts w:hint="eastAsia"/>
          <w:sz w:val="30"/>
          <w:szCs w:val="30"/>
        </w:rPr>
        <w:t>》，增值税应纳税额税（费）率以</w:t>
      </w:r>
      <w:r>
        <w:rPr>
          <w:b/>
          <w:sz w:val="30"/>
          <w:szCs w:val="30"/>
        </w:rPr>
        <w:t>3.02%</w:t>
      </w:r>
      <w:r>
        <w:rPr>
          <w:rFonts w:hint="eastAsia"/>
          <w:sz w:val="30"/>
          <w:szCs w:val="30"/>
        </w:rPr>
        <w:t>计算，城市维护建设税、教育费附加及地方教育费附加税（费）率以</w:t>
      </w:r>
      <w:r>
        <w:rPr>
          <w:b/>
          <w:sz w:val="30"/>
          <w:szCs w:val="30"/>
        </w:rPr>
        <w:t>12%</w:t>
      </w:r>
      <w:r>
        <w:rPr>
          <w:rFonts w:hint="eastAsia"/>
          <w:sz w:val="30"/>
          <w:szCs w:val="30"/>
        </w:rPr>
        <w:t>计算，</w:t>
      </w:r>
      <w:r>
        <w:rPr>
          <w:rFonts w:hint="eastAsia"/>
          <w:b/>
          <w:sz w:val="30"/>
          <w:szCs w:val="30"/>
        </w:rPr>
        <w:t>需严格按照此税（费）率计算单位工程费</w:t>
      </w:r>
      <w:r>
        <w:rPr>
          <w:rFonts w:hint="eastAsia"/>
          <w:sz w:val="30"/>
          <w:szCs w:val="30"/>
        </w:rPr>
        <w:t>）。</w:t>
      </w:r>
    </w:p>
    <w:p w14:paraId="59B9D136">
      <w:pPr>
        <w:adjustRightInd w:val="0"/>
        <w:snapToGrid w:val="0"/>
        <w:spacing w:line="360" w:lineRule="auto"/>
        <w:jc w:val="left"/>
        <w:rPr>
          <w:szCs w:val="24"/>
        </w:rPr>
      </w:pPr>
    </w:p>
    <w:p w14:paraId="4243D713">
      <w:pPr>
        <w:pStyle w:val="3"/>
        <w:jc w:val="center"/>
        <w:rPr>
          <w:rFonts w:hAnsi="宋体" w:eastAsia="宋体"/>
          <w:sz w:val="52"/>
          <w:szCs w:val="52"/>
        </w:rPr>
      </w:pPr>
      <w:r>
        <w:br w:type="page"/>
      </w:r>
      <w:bookmarkStart w:id="15" w:name="_Toc119321151"/>
      <w:r>
        <w:rPr>
          <w:sz w:val="52"/>
          <w:szCs w:val="52"/>
        </w:rPr>
        <w:t>分部分项工程量清单计价表</w:t>
      </w:r>
    </w:p>
    <w:tbl>
      <w:tblPr>
        <w:tblStyle w:val="7"/>
        <w:tblW w:w="9224" w:type="dxa"/>
        <w:jc w:val="center"/>
        <w:tblLayout w:type="fixed"/>
        <w:tblCellMar>
          <w:top w:w="0" w:type="dxa"/>
          <w:left w:w="0" w:type="dxa"/>
          <w:bottom w:w="0" w:type="dxa"/>
          <w:right w:w="0" w:type="dxa"/>
        </w:tblCellMar>
      </w:tblPr>
      <w:tblGrid>
        <w:gridCol w:w="737"/>
        <w:gridCol w:w="1275"/>
        <w:gridCol w:w="2410"/>
        <w:gridCol w:w="1701"/>
        <w:gridCol w:w="573"/>
        <w:gridCol w:w="709"/>
        <w:gridCol w:w="709"/>
        <w:gridCol w:w="1110"/>
      </w:tblGrid>
      <w:tr w14:paraId="3F7B26F7">
        <w:tblPrEx>
          <w:tblCellMar>
            <w:top w:w="0" w:type="dxa"/>
            <w:left w:w="0" w:type="dxa"/>
            <w:bottom w:w="0" w:type="dxa"/>
            <w:right w:w="0" w:type="dxa"/>
          </w:tblCellMar>
        </w:tblPrEx>
        <w:trPr>
          <w:trHeight w:val="379" w:hRule="atLeast"/>
          <w:jc w:val="center"/>
        </w:trPr>
        <w:tc>
          <w:tcPr>
            <w:tcW w:w="737" w:type="dxa"/>
            <w:vMerge w:val="restart"/>
            <w:tcBorders>
              <w:top w:val="single" w:color="auto"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66A443A">
            <w:pPr>
              <w:spacing w:after="160"/>
              <w:rPr>
                <w:rFonts w:ascii="宋体" w:hAnsi="宋体" w:eastAsia="宋体"/>
                <w:sz w:val="20"/>
                <w:szCs w:val="20"/>
              </w:rPr>
            </w:pPr>
            <w:r>
              <w:rPr>
                <w:rFonts w:hAnsi="宋体" w:eastAsia="宋体"/>
                <w:sz w:val="20"/>
                <w:szCs w:val="20"/>
              </w:rPr>
              <w:t>序号</w:t>
            </w:r>
          </w:p>
        </w:tc>
        <w:tc>
          <w:tcPr>
            <w:tcW w:w="1275" w:type="dxa"/>
            <w:vMerge w:val="restart"/>
            <w:tcBorders>
              <w:top w:val="single" w:color="auto"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7AE873">
            <w:pPr>
              <w:spacing w:after="160"/>
              <w:rPr>
                <w:rFonts w:ascii="宋体" w:hAnsi="宋体" w:eastAsia="宋体"/>
                <w:sz w:val="20"/>
                <w:szCs w:val="20"/>
              </w:rPr>
            </w:pPr>
            <w:r>
              <w:rPr>
                <w:rFonts w:hAnsi="宋体" w:eastAsia="宋体"/>
                <w:sz w:val="20"/>
                <w:szCs w:val="20"/>
              </w:rPr>
              <w:t>项目编码</w:t>
            </w:r>
          </w:p>
        </w:tc>
        <w:tc>
          <w:tcPr>
            <w:tcW w:w="2410" w:type="dxa"/>
            <w:vMerge w:val="restart"/>
            <w:tcBorders>
              <w:top w:val="single" w:color="auto"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84837C">
            <w:pPr>
              <w:spacing w:after="160"/>
              <w:rPr>
                <w:rFonts w:ascii="宋体" w:hAnsi="宋体" w:eastAsia="宋体"/>
                <w:sz w:val="20"/>
                <w:szCs w:val="20"/>
              </w:rPr>
            </w:pPr>
            <w:r>
              <w:rPr>
                <w:rFonts w:hAnsi="宋体" w:eastAsia="宋体"/>
                <w:sz w:val="20"/>
                <w:szCs w:val="20"/>
              </w:rPr>
              <w:t>项目名称</w:t>
            </w:r>
          </w:p>
        </w:tc>
        <w:tc>
          <w:tcPr>
            <w:tcW w:w="1701" w:type="dxa"/>
            <w:vMerge w:val="restart"/>
            <w:tcBorders>
              <w:top w:val="single" w:color="auto"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BEC531B">
            <w:pPr>
              <w:spacing w:after="160"/>
              <w:rPr>
                <w:rFonts w:ascii="宋体" w:hAnsi="宋体" w:eastAsia="宋体"/>
                <w:sz w:val="18"/>
                <w:szCs w:val="18"/>
              </w:rPr>
            </w:pPr>
            <w:r>
              <w:rPr>
                <w:rFonts w:hAnsi="宋体" w:eastAsia="宋体"/>
                <w:sz w:val="18"/>
                <w:szCs w:val="18"/>
              </w:rPr>
              <w:t>项目特征描述</w:t>
            </w:r>
          </w:p>
        </w:tc>
        <w:tc>
          <w:tcPr>
            <w:tcW w:w="573" w:type="dxa"/>
            <w:vMerge w:val="restart"/>
            <w:tcBorders>
              <w:top w:val="single" w:color="auto"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A85BE3">
            <w:pPr>
              <w:spacing w:after="160"/>
              <w:rPr>
                <w:rFonts w:hAnsi="宋体" w:eastAsia="宋体"/>
                <w:sz w:val="20"/>
                <w:szCs w:val="20"/>
              </w:rPr>
            </w:pPr>
            <w:r>
              <w:rPr>
                <w:rFonts w:hAnsi="宋体" w:eastAsia="宋体"/>
                <w:sz w:val="20"/>
                <w:szCs w:val="20"/>
              </w:rPr>
              <w:t>计量</w:t>
            </w:r>
          </w:p>
          <w:p w14:paraId="2EBF970C">
            <w:pPr>
              <w:spacing w:after="160"/>
              <w:rPr>
                <w:rFonts w:ascii="宋体" w:hAnsi="宋体" w:eastAsia="宋体"/>
                <w:sz w:val="20"/>
                <w:szCs w:val="20"/>
              </w:rPr>
            </w:pPr>
            <w:r>
              <w:rPr>
                <w:rFonts w:hAnsi="宋体" w:eastAsia="宋体"/>
                <w:sz w:val="20"/>
                <w:szCs w:val="20"/>
              </w:rPr>
              <w:t>单位</w:t>
            </w:r>
          </w:p>
        </w:tc>
        <w:tc>
          <w:tcPr>
            <w:tcW w:w="709" w:type="dxa"/>
            <w:vMerge w:val="restart"/>
            <w:tcBorders>
              <w:top w:val="single" w:color="auto"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3189D2">
            <w:pPr>
              <w:spacing w:after="160"/>
              <w:rPr>
                <w:rFonts w:ascii="宋体" w:hAnsi="宋体" w:eastAsia="宋体"/>
                <w:sz w:val="20"/>
                <w:szCs w:val="20"/>
              </w:rPr>
            </w:pPr>
            <w:r>
              <w:rPr>
                <w:rFonts w:hAnsi="宋体" w:eastAsia="宋体"/>
                <w:sz w:val="20"/>
                <w:szCs w:val="20"/>
              </w:rPr>
              <w:t>工程量</w:t>
            </w:r>
          </w:p>
        </w:tc>
        <w:tc>
          <w:tcPr>
            <w:tcW w:w="1819" w:type="dxa"/>
            <w:gridSpan w:val="2"/>
            <w:tcBorders>
              <w:top w:val="single" w:color="auto" w:sz="4" w:space="0"/>
              <w:left w:val="nil"/>
              <w:bottom w:val="single" w:color="000000" w:sz="4" w:space="0"/>
              <w:right w:val="single" w:color="000000" w:sz="4" w:space="0"/>
            </w:tcBorders>
            <w:shd w:val="clear" w:color="000000" w:fill="FFFFFF"/>
            <w:tcMar>
              <w:top w:w="15" w:type="dxa"/>
              <w:left w:w="15" w:type="dxa"/>
              <w:right w:w="15" w:type="dxa"/>
            </w:tcMar>
            <w:vAlign w:val="center"/>
          </w:tcPr>
          <w:p w14:paraId="025D50B8">
            <w:pPr>
              <w:spacing w:after="160"/>
              <w:ind w:firstLine="402"/>
              <w:jc w:val="center"/>
              <w:rPr>
                <w:rFonts w:ascii="宋体" w:hAnsi="宋体" w:eastAsia="宋体"/>
                <w:sz w:val="20"/>
                <w:szCs w:val="20"/>
              </w:rPr>
            </w:pPr>
            <w:r>
              <w:rPr>
                <w:rFonts w:hAnsi="宋体" w:eastAsia="宋体"/>
                <w:sz w:val="20"/>
                <w:szCs w:val="20"/>
              </w:rPr>
              <w:t>金额(元)</w:t>
            </w:r>
          </w:p>
        </w:tc>
      </w:tr>
      <w:tr w14:paraId="24224777">
        <w:tblPrEx>
          <w:tblCellMar>
            <w:top w:w="0" w:type="dxa"/>
            <w:left w:w="0" w:type="dxa"/>
            <w:bottom w:w="0" w:type="dxa"/>
            <w:right w:w="0" w:type="dxa"/>
          </w:tblCellMar>
        </w:tblPrEx>
        <w:trPr>
          <w:trHeight w:val="619" w:hRule="atLeast"/>
          <w:jc w:val="center"/>
        </w:trPr>
        <w:tc>
          <w:tcPr>
            <w:tcW w:w="737" w:type="dxa"/>
            <w:vMerge w:val="continue"/>
            <w:tcBorders>
              <w:top w:val="single" w:color="auto" w:sz="4" w:space="0"/>
              <w:left w:val="single" w:color="auto" w:sz="4" w:space="0"/>
              <w:bottom w:val="single" w:color="000000" w:sz="4" w:space="0"/>
              <w:right w:val="single" w:color="000000" w:sz="4" w:space="0"/>
            </w:tcBorders>
            <w:shd w:val="clear" w:color="000000" w:fill="FFFFFF"/>
            <w:vAlign w:val="center"/>
          </w:tcPr>
          <w:p w14:paraId="45BDBD7C">
            <w:pPr/>
          </w:p>
        </w:tc>
        <w:tc>
          <w:tcPr>
            <w:tcW w:w="1275" w:type="dxa"/>
            <w:vMerge w:val="continue"/>
            <w:tcBorders>
              <w:top w:val="single" w:color="auto" w:sz="4" w:space="0"/>
              <w:left w:val="single" w:color="000000" w:sz="4" w:space="0"/>
              <w:bottom w:val="single" w:color="000000" w:sz="4" w:space="0"/>
              <w:right w:val="single" w:color="000000" w:sz="4" w:space="0"/>
            </w:tcBorders>
            <w:shd w:val="clear" w:color="000000" w:fill="FFFFFF"/>
            <w:vAlign w:val="center"/>
          </w:tcPr>
          <w:p w14:paraId="0D83340D">
            <w:pPr/>
          </w:p>
        </w:tc>
        <w:tc>
          <w:tcPr>
            <w:tcW w:w="2410" w:type="dxa"/>
            <w:vMerge w:val="continue"/>
            <w:tcBorders>
              <w:top w:val="single" w:color="auto" w:sz="4" w:space="0"/>
              <w:left w:val="single" w:color="000000" w:sz="4" w:space="0"/>
              <w:bottom w:val="single" w:color="000000" w:sz="4" w:space="0"/>
              <w:right w:val="single" w:color="000000" w:sz="4" w:space="0"/>
            </w:tcBorders>
            <w:shd w:val="clear" w:color="000000" w:fill="FFFFFF"/>
            <w:vAlign w:val="center"/>
          </w:tcPr>
          <w:p w14:paraId="6317E00C">
            <w:pPr/>
          </w:p>
        </w:tc>
        <w:tc>
          <w:tcPr>
            <w:tcW w:w="1701" w:type="dxa"/>
            <w:vMerge w:val="continue"/>
            <w:tcBorders>
              <w:top w:val="single" w:color="auto" w:sz="4" w:space="0"/>
              <w:left w:val="single" w:color="000000" w:sz="4" w:space="0"/>
              <w:bottom w:val="single" w:color="000000" w:sz="4" w:space="0"/>
              <w:right w:val="single" w:color="000000" w:sz="4" w:space="0"/>
            </w:tcBorders>
            <w:shd w:val="clear" w:color="000000" w:fill="FFFFFF"/>
            <w:vAlign w:val="center"/>
          </w:tcPr>
          <w:p w14:paraId="5628D3D8">
            <w:pPr/>
          </w:p>
        </w:tc>
        <w:tc>
          <w:tcPr>
            <w:tcW w:w="573" w:type="dxa"/>
            <w:vMerge w:val="continue"/>
            <w:tcBorders>
              <w:top w:val="single" w:color="auto" w:sz="4" w:space="0"/>
              <w:left w:val="single" w:color="000000" w:sz="4" w:space="0"/>
              <w:bottom w:val="single" w:color="000000" w:sz="4" w:space="0"/>
              <w:right w:val="single" w:color="000000" w:sz="4" w:space="0"/>
            </w:tcBorders>
            <w:shd w:val="clear" w:color="000000" w:fill="FFFFFF"/>
            <w:vAlign w:val="center"/>
          </w:tcPr>
          <w:p w14:paraId="1CF88965">
            <w:pPr/>
          </w:p>
        </w:tc>
        <w:tc>
          <w:tcPr>
            <w:tcW w:w="709" w:type="dxa"/>
            <w:vMerge w:val="continue"/>
            <w:tcBorders>
              <w:top w:val="single" w:color="auto" w:sz="4" w:space="0"/>
              <w:left w:val="single" w:color="000000" w:sz="4" w:space="0"/>
              <w:bottom w:val="single" w:color="000000" w:sz="4" w:space="0"/>
              <w:right w:val="single" w:color="000000" w:sz="4" w:space="0"/>
            </w:tcBorders>
            <w:shd w:val="clear" w:color="000000" w:fill="FFFFFF"/>
            <w:vAlign w:val="center"/>
          </w:tcPr>
          <w:p w14:paraId="19911828">
            <w:pPr/>
          </w:p>
        </w:tc>
        <w:tc>
          <w:tcPr>
            <w:tcW w:w="709" w:type="dxa"/>
            <w:tcBorders>
              <w:top w:val="nil"/>
              <w:left w:val="nil"/>
              <w:bottom w:val="single" w:color="auto" w:sz="4" w:space="0"/>
              <w:right w:val="single" w:color="000000" w:sz="4" w:space="0"/>
            </w:tcBorders>
            <w:shd w:val="clear" w:color="000000" w:fill="FFFFFF"/>
            <w:tcMar>
              <w:top w:w="15" w:type="dxa"/>
              <w:left w:w="15" w:type="dxa"/>
              <w:right w:w="15" w:type="dxa"/>
            </w:tcMar>
            <w:vAlign w:val="center"/>
          </w:tcPr>
          <w:p w14:paraId="045ACC78">
            <w:pPr>
              <w:spacing w:after="160"/>
              <w:rPr>
                <w:rFonts w:hAnsi="宋体" w:eastAsia="宋体"/>
                <w:sz w:val="20"/>
                <w:szCs w:val="20"/>
              </w:rPr>
            </w:pPr>
            <w:r>
              <w:rPr>
                <w:rFonts w:hAnsi="宋体" w:eastAsia="宋体"/>
                <w:sz w:val="20"/>
                <w:szCs w:val="20"/>
              </w:rPr>
              <w:t>综合</w:t>
            </w:r>
          </w:p>
          <w:p w14:paraId="02ABE3AE">
            <w:pPr>
              <w:spacing w:after="160"/>
              <w:rPr>
                <w:rFonts w:ascii="宋体" w:hAnsi="宋体" w:eastAsia="宋体"/>
                <w:sz w:val="20"/>
                <w:szCs w:val="20"/>
              </w:rPr>
            </w:pPr>
            <w:r>
              <w:rPr>
                <w:rFonts w:hAnsi="宋体" w:eastAsia="宋体"/>
                <w:sz w:val="20"/>
                <w:szCs w:val="20"/>
              </w:rPr>
              <w:t>单价</w:t>
            </w:r>
          </w:p>
        </w:tc>
        <w:tc>
          <w:tcPr>
            <w:tcW w:w="1110" w:type="dxa"/>
            <w:tcBorders>
              <w:top w:val="nil"/>
              <w:left w:val="nil"/>
              <w:bottom w:val="single" w:color="auto" w:sz="4" w:space="0"/>
              <w:right w:val="single" w:color="000000" w:sz="4" w:space="0"/>
            </w:tcBorders>
            <w:shd w:val="clear" w:color="000000" w:fill="FFFFFF"/>
            <w:tcMar>
              <w:top w:w="15" w:type="dxa"/>
              <w:left w:w="15" w:type="dxa"/>
              <w:right w:w="15" w:type="dxa"/>
            </w:tcMar>
            <w:vAlign w:val="center"/>
          </w:tcPr>
          <w:p w14:paraId="2519FD6A">
            <w:pPr>
              <w:spacing w:after="160"/>
              <w:ind w:firstLine="402"/>
              <w:jc w:val="center"/>
              <w:rPr>
                <w:rFonts w:ascii="宋体" w:hAnsi="宋体" w:eastAsia="宋体"/>
                <w:sz w:val="20"/>
                <w:szCs w:val="20"/>
              </w:rPr>
            </w:pPr>
            <w:r>
              <w:rPr>
                <w:rFonts w:hAnsi="宋体" w:eastAsia="宋体"/>
                <w:sz w:val="20"/>
                <w:szCs w:val="20"/>
              </w:rPr>
              <w:t>合价</w:t>
            </w:r>
          </w:p>
        </w:tc>
      </w:tr>
      <w:tr w14:paraId="6065AF3F">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313C03E3">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7FAB190">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0875884">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A98BDD6">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A406EA2">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48ADB82">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BA29B4F">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73678EF">
            <w:pPr>
              <w:spacing w:after="160"/>
              <w:ind w:firstLine="361"/>
              <w:jc w:val="right"/>
              <w:rPr>
                <w:rFonts w:ascii="宋体" w:hAnsi="宋体" w:eastAsia="宋体"/>
                <w:sz w:val="18"/>
                <w:szCs w:val="18"/>
              </w:rPr>
            </w:pPr>
          </w:p>
        </w:tc>
      </w:tr>
      <w:tr w14:paraId="7328BF3B">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EA40AF4">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9AE9BC7">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0A4FB5E">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3A6BF33">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D6063D5">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29C2069">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FA75A27">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65FE7CB">
            <w:pPr>
              <w:spacing w:after="160"/>
              <w:ind w:firstLine="361"/>
              <w:jc w:val="right"/>
              <w:rPr>
                <w:rFonts w:ascii="宋体" w:hAnsi="宋体" w:eastAsia="宋体"/>
                <w:sz w:val="18"/>
                <w:szCs w:val="18"/>
              </w:rPr>
            </w:pPr>
          </w:p>
        </w:tc>
      </w:tr>
      <w:tr w14:paraId="64F8E912">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3A643FE1">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E0C591E">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9828FDD">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78B2010">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C8BCFDA">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E7A8285">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BB6D4CF">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FFC3BBD">
            <w:pPr>
              <w:spacing w:after="160"/>
              <w:ind w:firstLine="361"/>
              <w:jc w:val="right"/>
              <w:rPr>
                <w:rFonts w:ascii="宋体" w:hAnsi="宋体" w:eastAsia="宋体"/>
                <w:sz w:val="18"/>
                <w:szCs w:val="18"/>
              </w:rPr>
            </w:pPr>
          </w:p>
        </w:tc>
      </w:tr>
      <w:tr w14:paraId="6C141724">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0BFD504">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3BDD73C">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010218B">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42ED9CC">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D176FA5">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97CFD01">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0776175">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B5446B1">
            <w:pPr>
              <w:spacing w:after="160"/>
              <w:ind w:firstLine="361"/>
              <w:jc w:val="right"/>
              <w:rPr>
                <w:rFonts w:ascii="宋体" w:hAnsi="宋体" w:eastAsia="宋体"/>
                <w:sz w:val="18"/>
                <w:szCs w:val="18"/>
              </w:rPr>
            </w:pPr>
          </w:p>
        </w:tc>
      </w:tr>
      <w:tr w14:paraId="48FD7B88">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4F5E3F75">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4C920EA">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6A813A1">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BCEF222">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654FCF2">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1C9037E">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48B7731">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D533B80">
            <w:pPr>
              <w:spacing w:after="160"/>
              <w:ind w:firstLine="361"/>
              <w:jc w:val="right"/>
              <w:rPr>
                <w:rFonts w:ascii="宋体" w:hAnsi="宋体" w:eastAsia="宋体"/>
                <w:sz w:val="18"/>
                <w:szCs w:val="18"/>
              </w:rPr>
            </w:pPr>
          </w:p>
        </w:tc>
      </w:tr>
      <w:tr w14:paraId="351EC8B4">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228B74AD">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D8181A9">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B546AD4">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78AE989">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6F9C34D">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30882DC">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2F4CD52">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22E178C">
            <w:pPr>
              <w:spacing w:after="160"/>
              <w:ind w:firstLine="361"/>
              <w:jc w:val="right"/>
              <w:rPr>
                <w:rFonts w:ascii="宋体" w:hAnsi="宋体" w:eastAsia="宋体"/>
                <w:sz w:val="18"/>
                <w:szCs w:val="18"/>
              </w:rPr>
            </w:pPr>
          </w:p>
        </w:tc>
      </w:tr>
      <w:tr w14:paraId="492E3D08">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0F25DC2">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D3E785A">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560C0C1">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1EA73B8">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9BA29F3">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B247251">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1C7BEAE">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AB473A2">
            <w:pPr>
              <w:spacing w:after="160"/>
              <w:ind w:firstLine="361"/>
              <w:jc w:val="right"/>
              <w:rPr>
                <w:rFonts w:ascii="宋体" w:hAnsi="宋体" w:eastAsia="宋体"/>
                <w:sz w:val="18"/>
                <w:szCs w:val="18"/>
              </w:rPr>
            </w:pPr>
          </w:p>
        </w:tc>
      </w:tr>
      <w:tr w14:paraId="6880DE10">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418B619">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6532ED0">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2EB6335">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DA220F0">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9F9CB35">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5C45240">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07CDF1A">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257CF62">
            <w:pPr>
              <w:spacing w:after="160"/>
              <w:ind w:firstLine="361"/>
              <w:jc w:val="right"/>
              <w:rPr>
                <w:rFonts w:ascii="宋体" w:hAnsi="宋体" w:eastAsia="宋体"/>
                <w:sz w:val="18"/>
                <w:szCs w:val="18"/>
              </w:rPr>
            </w:pPr>
          </w:p>
        </w:tc>
      </w:tr>
      <w:tr w14:paraId="0F25314C">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11999A60">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78FFF96">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EE9ED47">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79E8389">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767BDFB">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5E5952E">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58E94CC">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2D37919">
            <w:pPr>
              <w:spacing w:after="160"/>
              <w:ind w:firstLine="361"/>
              <w:jc w:val="right"/>
              <w:rPr>
                <w:rFonts w:ascii="宋体" w:hAnsi="宋体" w:eastAsia="宋体"/>
                <w:sz w:val="18"/>
                <w:szCs w:val="18"/>
              </w:rPr>
            </w:pPr>
          </w:p>
        </w:tc>
      </w:tr>
      <w:tr w14:paraId="3A860A0E">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73DA7A1F">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B0D7F1E">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97C9618">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8A9852D">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5B3C63A">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8FAEA91">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D10778A">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D7F8BB5">
            <w:pPr>
              <w:spacing w:after="160"/>
              <w:ind w:firstLine="361"/>
              <w:jc w:val="right"/>
              <w:rPr>
                <w:rFonts w:ascii="宋体" w:hAnsi="宋体" w:eastAsia="宋体"/>
                <w:sz w:val="18"/>
                <w:szCs w:val="18"/>
              </w:rPr>
            </w:pPr>
          </w:p>
        </w:tc>
      </w:tr>
      <w:tr w14:paraId="5522AF94">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32E3DE75">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5C4ADC5">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44CCA88">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BE6B492">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AB93FFA">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8A636FA">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FF92906">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945080B">
            <w:pPr>
              <w:spacing w:after="160"/>
              <w:ind w:firstLine="361"/>
              <w:jc w:val="right"/>
              <w:rPr>
                <w:rFonts w:ascii="宋体" w:hAnsi="宋体" w:eastAsia="宋体"/>
                <w:sz w:val="18"/>
                <w:szCs w:val="18"/>
              </w:rPr>
            </w:pPr>
          </w:p>
        </w:tc>
      </w:tr>
      <w:tr w14:paraId="7C8729D4">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7F97F836">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1BB8AEC">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09ADC77">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E615EB0">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E57DBF4">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70DB144">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7BEFDEA">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EC11414">
            <w:pPr>
              <w:spacing w:after="160"/>
              <w:ind w:firstLine="361"/>
              <w:jc w:val="right"/>
              <w:rPr>
                <w:rFonts w:ascii="宋体" w:hAnsi="宋体" w:eastAsia="宋体"/>
                <w:sz w:val="18"/>
                <w:szCs w:val="18"/>
              </w:rPr>
            </w:pPr>
          </w:p>
        </w:tc>
      </w:tr>
      <w:tr w14:paraId="4D4C7769">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2AB32A19">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C3EC2A1">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C2590DA">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B214178">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554DD11">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ED1182E">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661AEA7">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AA97346">
            <w:pPr>
              <w:spacing w:after="160"/>
              <w:ind w:firstLine="361"/>
              <w:jc w:val="right"/>
              <w:rPr>
                <w:rFonts w:ascii="宋体" w:hAnsi="宋体" w:eastAsia="宋体"/>
                <w:sz w:val="18"/>
                <w:szCs w:val="18"/>
              </w:rPr>
            </w:pPr>
          </w:p>
        </w:tc>
      </w:tr>
      <w:tr w14:paraId="7DF4011A">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9C74A03">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3F22DF0">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D2DBCAB">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DD9AEA0">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74286B92">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3BA17BF">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2BB6D1A">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BC5814E">
            <w:pPr>
              <w:spacing w:after="160"/>
              <w:ind w:firstLine="361"/>
              <w:jc w:val="right"/>
              <w:rPr>
                <w:rFonts w:ascii="宋体" w:hAnsi="宋体" w:eastAsia="宋体"/>
                <w:sz w:val="18"/>
                <w:szCs w:val="18"/>
              </w:rPr>
            </w:pPr>
          </w:p>
        </w:tc>
      </w:tr>
      <w:tr w14:paraId="451855CA">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070A088E">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EAC0F6C">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A039FA6">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BE62D2D">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EDD7D67">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A9C4E66">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B9A06A6">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D8B9991">
            <w:pPr>
              <w:spacing w:after="160"/>
              <w:ind w:firstLine="361"/>
              <w:jc w:val="right"/>
              <w:rPr>
                <w:rFonts w:ascii="宋体" w:hAnsi="宋体" w:eastAsia="宋体"/>
                <w:sz w:val="18"/>
                <w:szCs w:val="18"/>
              </w:rPr>
            </w:pPr>
          </w:p>
        </w:tc>
      </w:tr>
      <w:tr w14:paraId="3AC1173E">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5B9B53CF">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7549555">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A577FE7">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AE8C170">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3986E993">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62723E28">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B297362">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0570249">
            <w:pPr>
              <w:spacing w:after="160"/>
              <w:ind w:firstLine="361"/>
              <w:jc w:val="right"/>
              <w:rPr>
                <w:rFonts w:ascii="宋体" w:hAnsi="宋体" w:eastAsia="宋体"/>
                <w:sz w:val="18"/>
                <w:szCs w:val="18"/>
              </w:rPr>
            </w:pPr>
          </w:p>
        </w:tc>
      </w:tr>
      <w:tr w14:paraId="6FFBB730">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14:paraId="2BA00D6D">
            <w:pPr>
              <w:spacing w:after="160"/>
              <w:ind w:firstLine="361"/>
              <w:jc w:val="center"/>
              <w:rPr>
                <w:rFonts w:ascii="宋体" w:hAnsi="宋体" w:eastAsia="宋体"/>
                <w:sz w:val="18"/>
                <w:szCs w:val="18"/>
              </w:rPr>
            </w:pPr>
          </w:p>
        </w:tc>
        <w:tc>
          <w:tcPr>
            <w:tcW w:w="12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0342E50F">
            <w:pPr>
              <w:spacing w:after="160"/>
              <w:ind w:firstLine="361"/>
              <w:rPr>
                <w:rFonts w:ascii="宋体" w:hAnsi="宋体" w:eastAsia="宋体"/>
                <w:sz w:val="18"/>
                <w:szCs w:val="18"/>
              </w:rPr>
            </w:pPr>
          </w:p>
        </w:tc>
        <w:tc>
          <w:tcPr>
            <w:tcW w:w="24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11098CA">
            <w:pPr>
              <w:spacing w:after="160"/>
              <w:ind w:firstLine="361"/>
              <w:rPr>
                <w:rFonts w:ascii="宋体" w:hAnsi="宋体" w:eastAsia="宋体"/>
                <w:sz w:val="18"/>
                <w:szCs w:val="18"/>
              </w:rPr>
            </w:pPr>
          </w:p>
        </w:tc>
        <w:tc>
          <w:tcPr>
            <w:tcW w:w="170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2EC61A5D">
            <w:pPr>
              <w:spacing w:after="160"/>
              <w:ind w:firstLine="361"/>
              <w:rPr>
                <w:rFonts w:ascii="宋体" w:hAnsi="宋体" w:eastAsia="宋体"/>
                <w:sz w:val="18"/>
                <w:szCs w:val="18"/>
              </w:rPr>
            </w:pPr>
          </w:p>
        </w:tc>
        <w:tc>
          <w:tcPr>
            <w:tcW w:w="57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49EE490E">
            <w:pPr>
              <w:spacing w:after="160"/>
              <w:ind w:firstLine="361"/>
              <w:jc w:val="center"/>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1F628099">
            <w:pPr>
              <w:spacing w:after="160"/>
              <w:ind w:firstLine="361"/>
              <w:jc w:val="right"/>
              <w:rPr>
                <w:rFonts w:ascii="宋体" w:hAnsi="宋体" w:eastAsia="宋体"/>
                <w:sz w:val="18"/>
                <w:szCs w:val="18"/>
              </w:rPr>
            </w:pPr>
          </w:p>
        </w:tc>
        <w:tc>
          <w:tcPr>
            <w:tcW w:w="70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5CDFE07">
            <w:pPr>
              <w:spacing w:after="160"/>
              <w:ind w:firstLine="361"/>
              <w:jc w:val="right"/>
              <w:rPr>
                <w:rFonts w:ascii="宋体" w:hAnsi="宋体" w:eastAsia="宋体"/>
                <w:sz w:val="18"/>
                <w:szCs w:val="18"/>
              </w:rPr>
            </w:pPr>
          </w:p>
        </w:tc>
        <w:tc>
          <w:tcPr>
            <w:tcW w:w="111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14:paraId="5A4BBF11">
            <w:pPr>
              <w:spacing w:after="160"/>
              <w:ind w:firstLine="361"/>
              <w:jc w:val="right"/>
              <w:rPr>
                <w:rFonts w:ascii="宋体" w:hAnsi="宋体" w:eastAsia="宋体"/>
                <w:sz w:val="18"/>
                <w:szCs w:val="18"/>
              </w:rPr>
            </w:pPr>
          </w:p>
        </w:tc>
      </w:tr>
      <w:tr w14:paraId="57054E85">
        <w:tblPrEx>
          <w:tblCellMar>
            <w:top w:w="0" w:type="dxa"/>
            <w:left w:w="0" w:type="dxa"/>
            <w:bottom w:w="0" w:type="dxa"/>
            <w:right w:w="0" w:type="dxa"/>
          </w:tblCellMar>
        </w:tblPrEx>
        <w:trPr>
          <w:trHeight w:val="454" w:hRule="atLeast"/>
          <w:jc w:val="center"/>
        </w:trPr>
        <w:tc>
          <w:tcPr>
            <w:tcW w:w="737" w:type="dxa"/>
            <w:tcBorders>
              <w:top w:val="nil"/>
              <w:left w:val="single" w:color="auto" w:sz="4" w:space="0"/>
              <w:bottom w:val="single" w:color="auto" w:sz="4" w:space="0"/>
              <w:right w:val="single" w:color="auto" w:sz="4" w:space="0"/>
            </w:tcBorders>
            <w:shd w:val="clear" w:color="000000" w:fill="auto"/>
            <w:tcMar>
              <w:top w:w="15" w:type="dxa"/>
              <w:left w:w="15" w:type="dxa"/>
              <w:right w:w="15" w:type="dxa"/>
            </w:tcMar>
            <w:vAlign w:val="center"/>
          </w:tcPr>
          <w:p w14:paraId="43A6EF12">
            <w:pPr>
              <w:spacing w:after="160"/>
              <w:ind w:firstLine="402"/>
              <w:rPr>
                <w:rFonts w:ascii="宋体" w:hAnsi="宋体" w:eastAsia="宋体"/>
                <w:sz w:val="20"/>
                <w:szCs w:val="20"/>
              </w:rPr>
            </w:pPr>
            <w:r>
              <w:rPr>
                <w:rFonts w:hAnsi="宋体" w:eastAsia="宋体"/>
                <w:sz w:val="20"/>
                <w:szCs w:val="20"/>
              </w:rPr>
              <w:t>　</w:t>
            </w:r>
          </w:p>
        </w:tc>
        <w:tc>
          <w:tcPr>
            <w:tcW w:w="1275"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307D807E">
            <w:pPr>
              <w:spacing w:after="160"/>
              <w:ind w:firstLine="402"/>
              <w:rPr>
                <w:rFonts w:ascii="宋体" w:hAnsi="宋体" w:eastAsia="宋体"/>
                <w:sz w:val="20"/>
                <w:szCs w:val="20"/>
              </w:rPr>
            </w:pPr>
            <w:r>
              <w:rPr>
                <w:rFonts w:hAnsi="宋体" w:eastAsia="宋体"/>
                <w:sz w:val="20"/>
                <w:szCs w:val="20"/>
              </w:rPr>
              <w:t>　</w:t>
            </w:r>
          </w:p>
        </w:tc>
        <w:tc>
          <w:tcPr>
            <w:tcW w:w="2410"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218317E2">
            <w:pPr>
              <w:spacing w:after="160"/>
              <w:ind w:firstLine="402"/>
              <w:rPr>
                <w:rFonts w:ascii="宋体" w:hAnsi="宋体" w:eastAsia="宋体"/>
                <w:sz w:val="20"/>
                <w:szCs w:val="20"/>
              </w:rPr>
            </w:pPr>
            <w:r>
              <w:rPr>
                <w:rFonts w:hAnsi="宋体" w:eastAsia="宋体"/>
                <w:sz w:val="20"/>
                <w:szCs w:val="20"/>
              </w:rPr>
              <w:t>　</w:t>
            </w:r>
          </w:p>
        </w:tc>
        <w:tc>
          <w:tcPr>
            <w:tcW w:w="1701"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2340A179">
            <w:pPr>
              <w:spacing w:after="160"/>
              <w:ind w:firstLine="402"/>
              <w:rPr>
                <w:rFonts w:ascii="宋体" w:hAnsi="宋体" w:eastAsia="宋体"/>
                <w:sz w:val="20"/>
                <w:szCs w:val="20"/>
              </w:rPr>
            </w:pPr>
            <w:r>
              <w:rPr>
                <w:rFonts w:hAnsi="宋体" w:eastAsia="宋体"/>
                <w:sz w:val="20"/>
                <w:szCs w:val="20"/>
              </w:rPr>
              <w:t>　</w:t>
            </w:r>
          </w:p>
        </w:tc>
        <w:tc>
          <w:tcPr>
            <w:tcW w:w="573"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72D12DDD">
            <w:pPr>
              <w:spacing w:after="160"/>
              <w:ind w:firstLine="402"/>
              <w:rPr>
                <w:rFonts w:ascii="宋体" w:hAnsi="宋体" w:eastAsia="宋体"/>
                <w:sz w:val="20"/>
                <w:szCs w:val="20"/>
              </w:rPr>
            </w:pPr>
            <w:r>
              <w:rPr>
                <w:rFonts w:hAnsi="宋体" w:eastAsia="宋体"/>
                <w:sz w:val="20"/>
                <w:szCs w:val="20"/>
              </w:rPr>
              <w:t>　</w:t>
            </w:r>
          </w:p>
        </w:tc>
        <w:tc>
          <w:tcPr>
            <w:tcW w:w="709"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7F65F688">
            <w:pPr>
              <w:spacing w:after="160"/>
              <w:ind w:firstLine="402"/>
              <w:rPr>
                <w:rFonts w:ascii="宋体" w:hAnsi="宋体" w:eastAsia="宋体"/>
                <w:sz w:val="20"/>
                <w:szCs w:val="20"/>
              </w:rPr>
            </w:pPr>
            <w:r>
              <w:rPr>
                <w:rFonts w:hAnsi="宋体" w:eastAsia="宋体"/>
                <w:sz w:val="20"/>
                <w:szCs w:val="20"/>
              </w:rPr>
              <w:t>　</w:t>
            </w:r>
          </w:p>
        </w:tc>
        <w:tc>
          <w:tcPr>
            <w:tcW w:w="709"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2557DAE8">
            <w:pPr>
              <w:spacing w:after="160"/>
              <w:ind w:firstLine="402"/>
              <w:rPr>
                <w:rFonts w:ascii="宋体" w:hAnsi="宋体" w:eastAsia="宋体"/>
                <w:sz w:val="20"/>
                <w:szCs w:val="20"/>
              </w:rPr>
            </w:pPr>
            <w:r>
              <w:rPr>
                <w:rFonts w:hAnsi="宋体" w:eastAsia="宋体"/>
                <w:sz w:val="20"/>
                <w:szCs w:val="20"/>
              </w:rPr>
              <w:t>　</w:t>
            </w:r>
          </w:p>
        </w:tc>
        <w:tc>
          <w:tcPr>
            <w:tcW w:w="1110"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3923EB89">
            <w:pPr>
              <w:spacing w:after="160"/>
              <w:ind w:firstLine="402"/>
              <w:rPr>
                <w:rFonts w:ascii="宋体" w:hAnsi="宋体" w:eastAsia="宋体"/>
                <w:sz w:val="20"/>
                <w:szCs w:val="20"/>
              </w:rPr>
            </w:pPr>
            <w:r>
              <w:rPr>
                <w:rFonts w:hAnsi="宋体" w:eastAsia="宋体"/>
                <w:sz w:val="20"/>
                <w:szCs w:val="20"/>
              </w:rPr>
              <w:t>　</w:t>
            </w:r>
          </w:p>
        </w:tc>
      </w:tr>
      <w:tr w14:paraId="0B13B19F">
        <w:tblPrEx>
          <w:tblCellMar>
            <w:top w:w="0" w:type="dxa"/>
            <w:left w:w="0" w:type="dxa"/>
            <w:bottom w:w="0" w:type="dxa"/>
            <w:right w:w="0" w:type="dxa"/>
          </w:tblCellMar>
        </w:tblPrEx>
        <w:trPr>
          <w:trHeight w:val="379" w:hRule="atLeast"/>
          <w:jc w:val="center"/>
        </w:trPr>
        <w:tc>
          <w:tcPr>
            <w:tcW w:w="8114" w:type="dxa"/>
            <w:gridSpan w:val="7"/>
            <w:tcBorders>
              <w:top w:val="single" w:color="auto" w:sz="4" w:space="0"/>
              <w:left w:val="single" w:color="auto" w:sz="4" w:space="0"/>
              <w:bottom w:val="single" w:color="auto" w:sz="4" w:space="0"/>
              <w:right w:val="single" w:color="000000" w:sz="4" w:space="0"/>
            </w:tcBorders>
            <w:shd w:val="clear" w:color="000000" w:fill="auto"/>
            <w:tcMar>
              <w:top w:w="15" w:type="dxa"/>
              <w:left w:w="15" w:type="dxa"/>
              <w:right w:w="15" w:type="dxa"/>
            </w:tcMar>
            <w:vAlign w:val="center"/>
          </w:tcPr>
          <w:p w14:paraId="3A27632A">
            <w:pPr>
              <w:spacing w:after="160"/>
              <w:ind w:firstLine="402"/>
              <w:jc w:val="center"/>
              <w:rPr>
                <w:rFonts w:ascii="宋体" w:hAnsi="宋体" w:eastAsia="宋体"/>
                <w:sz w:val="20"/>
                <w:szCs w:val="20"/>
              </w:rPr>
            </w:pPr>
            <w:r>
              <w:rPr>
                <w:rFonts w:hAnsi="宋体" w:eastAsia="宋体"/>
                <w:sz w:val="20"/>
                <w:szCs w:val="20"/>
              </w:rPr>
              <w:t>本页小计</w:t>
            </w:r>
          </w:p>
        </w:tc>
        <w:tc>
          <w:tcPr>
            <w:tcW w:w="1110"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60D334EE">
            <w:pPr>
              <w:spacing w:after="160"/>
              <w:ind w:firstLine="402"/>
              <w:jc w:val="right"/>
              <w:rPr>
                <w:rFonts w:ascii="宋体" w:hAnsi="宋体" w:eastAsia="宋体"/>
                <w:sz w:val="20"/>
                <w:szCs w:val="20"/>
              </w:rPr>
            </w:pPr>
            <w:r>
              <w:rPr>
                <w:rFonts w:hAnsi="宋体" w:eastAsia="宋体"/>
                <w:sz w:val="20"/>
                <w:szCs w:val="20"/>
              </w:rPr>
              <w:t>　</w:t>
            </w:r>
          </w:p>
        </w:tc>
      </w:tr>
      <w:tr w14:paraId="636B7050">
        <w:tblPrEx>
          <w:tblCellMar>
            <w:top w:w="0" w:type="dxa"/>
            <w:left w:w="0" w:type="dxa"/>
            <w:bottom w:w="0" w:type="dxa"/>
            <w:right w:w="0" w:type="dxa"/>
          </w:tblCellMar>
        </w:tblPrEx>
        <w:trPr>
          <w:trHeight w:val="379" w:hRule="atLeast"/>
          <w:jc w:val="center"/>
        </w:trPr>
        <w:tc>
          <w:tcPr>
            <w:tcW w:w="8114" w:type="dxa"/>
            <w:gridSpan w:val="7"/>
            <w:tcBorders>
              <w:top w:val="single" w:color="auto" w:sz="4" w:space="0"/>
              <w:left w:val="single" w:color="auto" w:sz="4" w:space="0"/>
              <w:bottom w:val="single" w:color="auto" w:sz="4" w:space="0"/>
              <w:right w:val="single" w:color="000000" w:sz="4" w:space="0"/>
            </w:tcBorders>
            <w:shd w:val="clear" w:color="000000" w:fill="FFFFFF"/>
            <w:tcMar>
              <w:top w:w="15" w:type="dxa"/>
              <w:left w:w="15" w:type="dxa"/>
              <w:right w:w="15" w:type="dxa"/>
            </w:tcMar>
            <w:vAlign w:val="center"/>
          </w:tcPr>
          <w:p w14:paraId="6616E90B">
            <w:pPr>
              <w:spacing w:after="160"/>
              <w:ind w:firstLine="361"/>
              <w:jc w:val="center"/>
              <w:rPr>
                <w:rFonts w:ascii="宋体" w:hAnsi="宋体" w:eastAsia="宋体"/>
                <w:sz w:val="18"/>
                <w:szCs w:val="18"/>
              </w:rPr>
            </w:pPr>
            <w:r>
              <w:rPr>
                <w:rFonts w:hAnsi="宋体" w:eastAsia="宋体"/>
                <w:sz w:val="18"/>
                <w:szCs w:val="18"/>
              </w:rPr>
              <w:t xml:space="preserve">   合  计</w:t>
            </w:r>
          </w:p>
        </w:tc>
        <w:tc>
          <w:tcPr>
            <w:tcW w:w="1110" w:type="dxa"/>
            <w:tcBorders>
              <w:top w:val="nil"/>
              <w:left w:val="nil"/>
              <w:bottom w:val="single" w:color="auto" w:sz="4" w:space="0"/>
              <w:right w:val="single" w:color="auto" w:sz="4" w:space="0"/>
            </w:tcBorders>
            <w:shd w:val="clear" w:color="000000" w:fill="auto"/>
            <w:tcMar>
              <w:top w:w="15" w:type="dxa"/>
              <w:left w:w="15" w:type="dxa"/>
              <w:right w:w="15" w:type="dxa"/>
            </w:tcMar>
            <w:vAlign w:val="center"/>
          </w:tcPr>
          <w:p w14:paraId="13D20C3E">
            <w:pPr>
              <w:spacing w:after="160"/>
              <w:ind w:firstLine="402"/>
              <w:rPr>
                <w:rFonts w:ascii="宋体" w:hAnsi="宋体" w:eastAsia="宋体"/>
                <w:sz w:val="20"/>
                <w:szCs w:val="20"/>
              </w:rPr>
            </w:pPr>
            <w:r>
              <w:rPr>
                <w:rFonts w:hAnsi="宋体" w:eastAsia="宋体"/>
                <w:sz w:val="20"/>
                <w:szCs w:val="20"/>
              </w:rPr>
              <w:t>　</w:t>
            </w:r>
          </w:p>
        </w:tc>
      </w:tr>
    </w:tbl>
    <w:p w14:paraId="4E0B71FF">
      <w:pPr>
        <w:spacing w:after="160"/>
        <w:jc w:val="left"/>
        <w:rPr>
          <w:rFonts w:ascii="黑体" w:eastAsia="黑体"/>
          <w:b/>
          <w:sz w:val="24"/>
        </w:rPr>
      </w:pPr>
      <w:r>
        <w:br w:type="page"/>
      </w:r>
    </w:p>
    <w:tbl>
      <w:tblPr>
        <w:tblStyle w:val="7"/>
        <w:tblpPr w:leftFromText="180" w:rightFromText="180" w:horzAnchor="margin" w:tblpXSpec="center" w:tblpY="-1440"/>
        <w:tblW w:w="9356" w:type="dxa"/>
        <w:tblInd w:w="0" w:type="dxa"/>
        <w:tblLayout w:type="autofit"/>
        <w:tblCellMar>
          <w:top w:w="0" w:type="dxa"/>
          <w:left w:w="108" w:type="dxa"/>
          <w:bottom w:w="0" w:type="dxa"/>
          <w:right w:w="108" w:type="dxa"/>
        </w:tblCellMar>
      </w:tblPr>
      <w:tblGrid>
        <w:gridCol w:w="486"/>
        <w:gridCol w:w="1493"/>
        <w:gridCol w:w="1565"/>
        <w:gridCol w:w="1701"/>
        <w:gridCol w:w="1154"/>
        <w:gridCol w:w="902"/>
        <w:gridCol w:w="830"/>
        <w:gridCol w:w="1225"/>
      </w:tblGrid>
      <w:tr w14:paraId="61639B7C">
        <w:tblPrEx>
          <w:tblCellMar>
            <w:top w:w="0" w:type="dxa"/>
            <w:left w:w="108" w:type="dxa"/>
            <w:bottom w:w="0" w:type="dxa"/>
            <w:right w:w="108" w:type="dxa"/>
          </w:tblCellMar>
        </w:tblPrEx>
        <w:trPr>
          <w:trHeight w:val="594" w:hRule="atLeast"/>
        </w:trPr>
        <w:tc>
          <w:tcPr>
            <w:tcW w:w="9356" w:type="dxa"/>
            <w:gridSpan w:val="8"/>
            <w:tcBorders>
              <w:top w:val="nil"/>
              <w:left w:val="nil"/>
              <w:bottom w:val="nil"/>
              <w:right w:val="nil"/>
            </w:tcBorders>
            <w:shd w:val="clear" w:color="auto" w:fill="auto"/>
            <w:vAlign w:val="center"/>
          </w:tcPr>
          <w:p w14:paraId="444C0557">
            <w:pPr>
              <w:widowControl/>
              <w:rPr>
                <w:rFonts w:ascii="宋体" w:hAnsi="宋体" w:eastAsia="宋体" w:cs="宋体"/>
                <w:b/>
                <w:bCs/>
                <w:color w:val="000000"/>
                <w:kern w:val="0"/>
                <w:sz w:val="32"/>
                <w:szCs w:val="32"/>
              </w:rPr>
            </w:pPr>
          </w:p>
        </w:tc>
      </w:tr>
      <w:tr w14:paraId="1F017CFF">
        <w:tblPrEx>
          <w:tblCellMar>
            <w:top w:w="0" w:type="dxa"/>
            <w:left w:w="108" w:type="dxa"/>
            <w:bottom w:w="0" w:type="dxa"/>
            <w:right w:w="108" w:type="dxa"/>
          </w:tblCellMar>
        </w:tblPrEx>
        <w:trPr>
          <w:trHeight w:val="75" w:hRule="atLeast"/>
        </w:trPr>
        <w:tc>
          <w:tcPr>
            <w:tcW w:w="9356" w:type="dxa"/>
            <w:gridSpan w:val="8"/>
            <w:tcBorders>
              <w:top w:val="nil"/>
              <w:left w:val="nil"/>
              <w:bottom w:val="nil"/>
              <w:right w:val="nil"/>
            </w:tcBorders>
            <w:shd w:val="clear" w:color="auto" w:fill="auto"/>
            <w:vAlign w:val="center"/>
          </w:tcPr>
          <w:p w14:paraId="226B5316">
            <w:pPr>
              <w:widowControl/>
              <w:jc w:val="center"/>
              <w:rPr>
                <w:rFonts w:ascii="宋体" w:hAnsi="宋体" w:eastAsia="宋体" w:cs="宋体"/>
                <w:b/>
                <w:bCs/>
                <w:color w:val="000000"/>
                <w:kern w:val="0"/>
                <w:sz w:val="32"/>
                <w:szCs w:val="32"/>
              </w:rPr>
            </w:pPr>
          </w:p>
        </w:tc>
      </w:tr>
      <w:tr w14:paraId="140EB70A">
        <w:tblPrEx>
          <w:tblCellMar>
            <w:top w:w="0" w:type="dxa"/>
            <w:left w:w="108" w:type="dxa"/>
            <w:bottom w:w="0" w:type="dxa"/>
            <w:right w:w="108" w:type="dxa"/>
          </w:tblCellMar>
        </w:tblPrEx>
        <w:trPr>
          <w:trHeight w:val="669" w:hRule="atLeast"/>
        </w:trPr>
        <w:tc>
          <w:tcPr>
            <w:tcW w:w="9356" w:type="dxa"/>
            <w:gridSpan w:val="8"/>
            <w:tcBorders>
              <w:top w:val="nil"/>
              <w:left w:val="nil"/>
              <w:bottom w:val="nil"/>
              <w:right w:val="nil"/>
            </w:tcBorders>
            <w:shd w:val="clear" w:color="auto" w:fill="auto"/>
            <w:vAlign w:val="bottom"/>
          </w:tcPr>
          <w:p w14:paraId="326CB5B1">
            <w:pPr>
              <w:widowControl/>
              <w:jc w:val="left"/>
              <w:rPr>
                <w:rFonts w:ascii="宋体" w:hAnsi="宋体" w:eastAsia="宋体" w:cs="宋体"/>
                <w:color w:val="000000"/>
                <w:kern w:val="0"/>
                <w:sz w:val="20"/>
                <w:szCs w:val="20"/>
              </w:rPr>
            </w:pPr>
          </w:p>
          <w:p w14:paraId="4F29C368">
            <w:pPr>
              <w:widowControl/>
              <w:jc w:val="center"/>
              <w:rPr>
                <w:rFonts w:ascii="宋体" w:hAnsi="宋体" w:eastAsia="宋体" w:cs="宋体"/>
                <w:b/>
                <w:color w:val="000000"/>
                <w:kern w:val="0"/>
                <w:sz w:val="36"/>
                <w:szCs w:val="36"/>
              </w:rPr>
            </w:pPr>
            <w:r>
              <w:rPr>
                <w:rFonts w:hint="eastAsia" w:ascii="宋体" w:hAnsi="宋体" w:eastAsia="宋体" w:cs="宋体"/>
                <w:b/>
                <w:color w:val="000000"/>
                <w:kern w:val="0"/>
                <w:sz w:val="36"/>
                <w:szCs w:val="36"/>
              </w:rPr>
              <w:t>措施项目清单与计价表(一)</w:t>
            </w:r>
          </w:p>
          <w:p w14:paraId="04B5783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14:paraId="4019B9D9">
        <w:tblPrEx>
          <w:tblCellMar>
            <w:top w:w="0" w:type="dxa"/>
            <w:left w:w="108" w:type="dxa"/>
            <w:bottom w:w="0" w:type="dxa"/>
            <w:right w:w="108" w:type="dxa"/>
          </w:tblCellMar>
        </w:tblPrEx>
        <w:trPr>
          <w:trHeight w:val="372" w:hRule="atLeast"/>
        </w:trPr>
        <w:tc>
          <w:tcPr>
            <w:tcW w:w="486"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14:paraId="111CAB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493"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4042D9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1565"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39BA53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701"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1BD9BD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项目特征描述</w:t>
            </w:r>
          </w:p>
        </w:tc>
        <w:tc>
          <w:tcPr>
            <w:tcW w:w="1154"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6BEDAD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单位</w:t>
            </w:r>
          </w:p>
        </w:tc>
        <w:tc>
          <w:tcPr>
            <w:tcW w:w="902"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14:paraId="3FD9A8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工程量</w:t>
            </w:r>
          </w:p>
        </w:tc>
        <w:tc>
          <w:tcPr>
            <w:tcW w:w="2055" w:type="dxa"/>
            <w:gridSpan w:val="2"/>
            <w:tcBorders>
              <w:top w:val="single" w:color="auto" w:sz="4" w:space="0"/>
              <w:left w:val="nil"/>
              <w:bottom w:val="single" w:color="000000" w:sz="4" w:space="0"/>
              <w:right w:val="single" w:color="000000" w:sz="4" w:space="0"/>
            </w:tcBorders>
            <w:shd w:val="clear" w:color="000000" w:fill="FFFFFF"/>
            <w:noWrap/>
            <w:vAlign w:val="center"/>
          </w:tcPr>
          <w:p w14:paraId="5A6AEE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金额(元)</w:t>
            </w:r>
          </w:p>
        </w:tc>
      </w:tr>
      <w:tr w14:paraId="7402FA9D">
        <w:tblPrEx>
          <w:tblCellMar>
            <w:top w:w="0" w:type="dxa"/>
            <w:left w:w="108" w:type="dxa"/>
            <w:bottom w:w="0" w:type="dxa"/>
            <w:right w:w="108" w:type="dxa"/>
          </w:tblCellMar>
        </w:tblPrEx>
        <w:trPr>
          <w:trHeight w:val="372" w:hRule="atLeast"/>
        </w:trPr>
        <w:tc>
          <w:tcPr>
            <w:tcW w:w="486" w:type="dxa"/>
            <w:vMerge w:val="continue"/>
            <w:tcBorders>
              <w:top w:val="single" w:color="auto" w:sz="4" w:space="0"/>
              <w:left w:val="single" w:color="auto" w:sz="4" w:space="0"/>
              <w:bottom w:val="single" w:color="000000" w:sz="4" w:space="0"/>
              <w:right w:val="single" w:color="000000" w:sz="4" w:space="0"/>
            </w:tcBorders>
            <w:vAlign w:val="center"/>
          </w:tcPr>
          <w:p w14:paraId="7D72FB6A">
            <w:pPr>
              <w:widowControl/>
              <w:jc w:val="left"/>
              <w:rPr>
                <w:rFonts w:ascii="宋体" w:hAnsi="宋体" w:eastAsia="宋体" w:cs="宋体"/>
                <w:color w:val="000000"/>
                <w:kern w:val="0"/>
                <w:sz w:val="20"/>
                <w:szCs w:val="20"/>
              </w:rPr>
            </w:pPr>
          </w:p>
        </w:tc>
        <w:tc>
          <w:tcPr>
            <w:tcW w:w="1493" w:type="dxa"/>
            <w:vMerge w:val="continue"/>
            <w:tcBorders>
              <w:top w:val="single" w:color="auto" w:sz="4" w:space="0"/>
              <w:left w:val="single" w:color="000000" w:sz="4" w:space="0"/>
              <w:bottom w:val="single" w:color="000000" w:sz="4" w:space="0"/>
              <w:right w:val="single" w:color="000000" w:sz="4" w:space="0"/>
            </w:tcBorders>
            <w:vAlign w:val="center"/>
          </w:tcPr>
          <w:p w14:paraId="49231030">
            <w:pPr>
              <w:widowControl/>
              <w:jc w:val="left"/>
              <w:rPr>
                <w:rFonts w:ascii="宋体" w:hAnsi="宋体" w:eastAsia="宋体" w:cs="宋体"/>
                <w:color w:val="000000"/>
                <w:kern w:val="0"/>
                <w:sz w:val="20"/>
                <w:szCs w:val="20"/>
              </w:rPr>
            </w:pPr>
          </w:p>
        </w:tc>
        <w:tc>
          <w:tcPr>
            <w:tcW w:w="1565" w:type="dxa"/>
            <w:vMerge w:val="continue"/>
            <w:tcBorders>
              <w:top w:val="single" w:color="auto" w:sz="4" w:space="0"/>
              <w:left w:val="single" w:color="000000" w:sz="4" w:space="0"/>
              <w:bottom w:val="single" w:color="000000" w:sz="4" w:space="0"/>
              <w:right w:val="single" w:color="000000" w:sz="4" w:space="0"/>
            </w:tcBorders>
            <w:vAlign w:val="center"/>
          </w:tcPr>
          <w:p w14:paraId="55C357B3">
            <w:pPr>
              <w:widowControl/>
              <w:jc w:val="left"/>
              <w:rPr>
                <w:rFonts w:ascii="宋体" w:hAnsi="宋体" w:eastAsia="宋体" w:cs="宋体"/>
                <w:color w:val="000000"/>
                <w:kern w:val="0"/>
                <w:sz w:val="20"/>
                <w:szCs w:val="20"/>
              </w:rPr>
            </w:pPr>
          </w:p>
        </w:tc>
        <w:tc>
          <w:tcPr>
            <w:tcW w:w="1701" w:type="dxa"/>
            <w:vMerge w:val="continue"/>
            <w:tcBorders>
              <w:top w:val="single" w:color="auto" w:sz="4" w:space="0"/>
              <w:left w:val="single" w:color="000000" w:sz="4" w:space="0"/>
              <w:bottom w:val="single" w:color="000000" w:sz="4" w:space="0"/>
              <w:right w:val="single" w:color="000000" w:sz="4" w:space="0"/>
            </w:tcBorders>
            <w:vAlign w:val="center"/>
          </w:tcPr>
          <w:p w14:paraId="4E5BCDCD">
            <w:pPr>
              <w:widowControl/>
              <w:jc w:val="left"/>
              <w:rPr>
                <w:rFonts w:ascii="宋体" w:hAnsi="宋体" w:eastAsia="宋体" w:cs="宋体"/>
                <w:color w:val="000000"/>
                <w:kern w:val="0"/>
                <w:sz w:val="20"/>
                <w:szCs w:val="20"/>
              </w:rPr>
            </w:pPr>
          </w:p>
        </w:tc>
        <w:tc>
          <w:tcPr>
            <w:tcW w:w="1154" w:type="dxa"/>
            <w:vMerge w:val="continue"/>
            <w:tcBorders>
              <w:top w:val="single" w:color="auto" w:sz="4" w:space="0"/>
              <w:left w:val="single" w:color="000000" w:sz="4" w:space="0"/>
              <w:bottom w:val="single" w:color="000000" w:sz="4" w:space="0"/>
              <w:right w:val="single" w:color="000000" w:sz="4" w:space="0"/>
            </w:tcBorders>
            <w:vAlign w:val="center"/>
          </w:tcPr>
          <w:p w14:paraId="2E6F48C8">
            <w:pPr>
              <w:widowControl/>
              <w:jc w:val="left"/>
              <w:rPr>
                <w:rFonts w:ascii="宋体" w:hAnsi="宋体" w:eastAsia="宋体" w:cs="宋体"/>
                <w:color w:val="000000"/>
                <w:kern w:val="0"/>
                <w:sz w:val="20"/>
                <w:szCs w:val="20"/>
              </w:rPr>
            </w:pPr>
          </w:p>
        </w:tc>
        <w:tc>
          <w:tcPr>
            <w:tcW w:w="902" w:type="dxa"/>
            <w:vMerge w:val="continue"/>
            <w:tcBorders>
              <w:top w:val="single" w:color="auto" w:sz="4" w:space="0"/>
              <w:left w:val="single" w:color="000000" w:sz="4" w:space="0"/>
              <w:bottom w:val="single" w:color="000000" w:sz="4" w:space="0"/>
              <w:right w:val="single" w:color="000000" w:sz="4" w:space="0"/>
            </w:tcBorders>
            <w:vAlign w:val="center"/>
          </w:tcPr>
          <w:p w14:paraId="5FAF0AAF">
            <w:pPr>
              <w:widowControl/>
              <w:jc w:val="left"/>
              <w:rPr>
                <w:rFonts w:ascii="宋体" w:hAnsi="宋体" w:eastAsia="宋体" w:cs="宋体"/>
                <w:color w:val="000000"/>
                <w:kern w:val="0"/>
                <w:sz w:val="20"/>
                <w:szCs w:val="20"/>
              </w:rPr>
            </w:pPr>
          </w:p>
        </w:tc>
        <w:tc>
          <w:tcPr>
            <w:tcW w:w="830" w:type="dxa"/>
            <w:tcBorders>
              <w:top w:val="nil"/>
              <w:left w:val="nil"/>
              <w:bottom w:val="single" w:color="000000" w:sz="4" w:space="0"/>
              <w:right w:val="single" w:color="000000" w:sz="4" w:space="0"/>
            </w:tcBorders>
            <w:shd w:val="clear" w:color="000000" w:fill="FFFFFF"/>
            <w:noWrap/>
            <w:vAlign w:val="center"/>
          </w:tcPr>
          <w:p w14:paraId="184038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综合单价</w:t>
            </w:r>
          </w:p>
        </w:tc>
        <w:tc>
          <w:tcPr>
            <w:tcW w:w="1225" w:type="dxa"/>
            <w:tcBorders>
              <w:top w:val="nil"/>
              <w:left w:val="nil"/>
              <w:bottom w:val="single" w:color="000000" w:sz="4" w:space="0"/>
              <w:right w:val="single" w:color="auto" w:sz="4" w:space="0"/>
            </w:tcBorders>
            <w:shd w:val="clear" w:color="000000" w:fill="FFFFFF"/>
            <w:noWrap/>
            <w:vAlign w:val="center"/>
          </w:tcPr>
          <w:p w14:paraId="670B0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合价</w:t>
            </w:r>
          </w:p>
        </w:tc>
      </w:tr>
      <w:tr w14:paraId="3522BC33">
        <w:tblPrEx>
          <w:tblCellMar>
            <w:top w:w="0" w:type="dxa"/>
            <w:left w:w="108" w:type="dxa"/>
            <w:bottom w:w="0" w:type="dxa"/>
            <w:right w:w="108" w:type="dxa"/>
          </w:tblCellMar>
        </w:tblPrEx>
        <w:trPr>
          <w:trHeight w:val="372"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5EC15797">
            <w:pPr>
              <w:widowControl/>
              <w:jc w:val="center"/>
              <w:rPr>
                <w:rFonts w:ascii="宋体" w:hAnsi="宋体" w:eastAsia="宋体" w:cs="宋体"/>
                <w:color w:val="000000"/>
                <w:kern w:val="0"/>
                <w:sz w:val="18"/>
                <w:szCs w:val="18"/>
              </w:rPr>
            </w:pPr>
          </w:p>
        </w:tc>
        <w:tc>
          <w:tcPr>
            <w:tcW w:w="1493" w:type="dxa"/>
            <w:tcBorders>
              <w:top w:val="nil"/>
              <w:left w:val="nil"/>
              <w:bottom w:val="single" w:color="auto" w:sz="4" w:space="0"/>
              <w:right w:val="single" w:color="auto" w:sz="4" w:space="0"/>
            </w:tcBorders>
            <w:shd w:val="clear" w:color="000000" w:fill="FFFFFF"/>
            <w:vAlign w:val="center"/>
          </w:tcPr>
          <w:p w14:paraId="0B4A302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65" w:type="dxa"/>
            <w:tcBorders>
              <w:top w:val="nil"/>
              <w:left w:val="nil"/>
              <w:bottom w:val="single" w:color="auto" w:sz="4" w:space="0"/>
              <w:right w:val="single" w:color="auto" w:sz="4" w:space="0"/>
            </w:tcBorders>
            <w:shd w:val="clear" w:color="000000" w:fill="FFFFFF"/>
            <w:vAlign w:val="center"/>
          </w:tcPr>
          <w:p w14:paraId="47322CE7">
            <w:pPr>
              <w:widowControl/>
              <w:jc w:val="left"/>
              <w:rPr>
                <w:rFonts w:ascii="宋体" w:hAnsi="宋体" w:eastAsia="宋体" w:cs="宋体"/>
                <w:color w:val="000000"/>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6F6FFDC6">
            <w:pPr>
              <w:widowControl/>
              <w:jc w:val="left"/>
              <w:rPr>
                <w:rFonts w:ascii="宋体" w:hAnsi="宋体" w:eastAsia="宋体" w:cs="宋体"/>
                <w:color w:val="000000"/>
                <w:kern w:val="0"/>
                <w:sz w:val="18"/>
                <w:szCs w:val="18"/>
              </w:rPr>
            </w:pPr>
          </w:p>
        </w:tc>
        <w:tc>
          <w:tcPr>
            <w:tcW w:w="1154" w:type="dxa"/>
            <w:tcBorders>
              <w:top w:val="nil"/>
              <w:left w:val="nil"/>
              <w:bottom w:val="single" w:color="auto" w:sz="4" w:space="0"/>
              <w:right w:val="single" w:color="auto" w:sz="4" w:space="0"/>
            </w:tcBorders>
            <w:shd w:val="clear" w:color="000000" w:fill="FFFFFF"/>
            <w:vAlign w:val="center"/>
          </w:tcPr>
          <w:p w14:paraId="363B044D">
            <w:pPr>
              <w:widowControl/>
              <w:jc w:val="center"/>
              <w:rPr>
                <w:rFonts w:ascii="宋体" w:hAnsi="宋体" w:eastAsia="宋体" w:cs="宋体"/>
                <w:color w:val="000000"/>
                <w:kern w:val="0"/>
                <w:sz w:val="18"/>
                <w:szCs w:val="18"/>
              </w:rPr>
            </w:pPr>
          </w:p>
        </w:tc>
        <w:tc>
          <w:tcPr>
            <w:tcW w:w="902" w:type="dxa"/>
            <w:tcBorders>
              <w:top w:val="nil"/>
              <w:left w:val="nil"/>
              <w:bottom w:val="single" w:color="auto" w:sz="4" w:space="0"/>
              <w:right w:val="single" w:color="auto" w:sz="4" w:space="0"/>
            </w:tcBorders>
            <w:shd w:val="clear" w:color="000000" w:fill="FFFFFF"/>
            <w:noWrap/>
            <w:vAlign w:val="center"/>
          </w:tcPr>
          <w:p w14:paraId="211BB960">
            <w:pPr>
              <w:widowControl/>
              <w:jc w:val="right"/>
              <w:rPr>
                <w:rFonts w:ascii="宋体" w:hAnsi="宋体" w:eastAsia="宋体" w:cs="宋体"/>
                <w:color w:val="000000"/>
                <w:kern w:val="0"/>
                <w:sz w:val="18"/>
                <w:szCs w:val="18"/>
              </w:rPr>
            </w:pPr>
          </w:p>
        </w:tc>
        <w:tc>
          <w:tcPr>
            <w:tcW w:w="830" w:type="dxa"/>
            <w:tcBorders>
              <w:top w:val="nil"/>
              <w:left w:val="nil"/>
              <w:bottom w:val="single" w:color="auto" w:sz="4" w:space="0"/>
              <w:right w:val="single" w:color="auto" w:sz="4" w:space="0"/>
            </w:tcBorders>
            <w:shd w:val="clear" w:color="000000" w:fill="FFFFFF"/>
            <w:noWrap/>
            <w:vAlign w:val="center"/>
          </w:tcPr>
          <w:p w14:paraId="30B1CBC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225" w:type="dxa"/>
            <w:tcBorders>
              <w:top w:val="nil"/>
              <w:left w:val="nil"/>
              <w:bottom w:val="single" w:color="auto" w:sz="4" w:space="0"/>
              <w:right w:val="single" w:color="auto" w:sz="4" w:space="0"/>
            </w:tcBorders>
            <w:shd w:val="clear" w:color="000000" w:fill="FFFFFF"/>
            <w:noWrap/>
            <w:vAlign w:val="center"/>
          </w:tcPr>
          <w:p w14:paraId="30B401C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14:paraId="4A55ACEA">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61B5AE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168CC0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F108D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045087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58477B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7D7C31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606B94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311B2E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76DB399">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41F42F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0C701F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003EF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252A07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437881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007B85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29ABF8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5AE759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A978CF">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75498C9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031E51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70CF680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0AF1D2C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25650E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22B22C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6D9F62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231844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4680CD">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71222C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5A7A9B4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58E57C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53F3B8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6F04E6B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681AB48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34BE2E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1061A8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511AEFF">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71410D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1E39C4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7CBAC4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282E4A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68A5BD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2E0753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65DE06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1C9C7F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0BFD4BB">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6D7396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1E381C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19C4F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313E29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550C00F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53A890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054872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2FF154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63BB07D">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1260428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62088D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3F4F7A5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66F3B6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7228B1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662AB5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1775D4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2CC167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D5470D">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1A1015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6E2E82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123A35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19A593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2FBF10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0F06D1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6780BF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0322DF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4E8B454">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52E8B3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20B34B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5B58533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66D88F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139869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711DB0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1C89F57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23BCE9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0135B5E">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591946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6E3FE8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ED731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271BF8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3D9D66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055452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437410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4E46A7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5AE267">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532376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707D89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9CC11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771C57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33BB48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1BC750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1E8279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58AEE0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8577252">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44B893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217536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0869D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3FDDA8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2F1F09B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065C46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2D2D1DA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1BF430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D7D454">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650F582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72B894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6E2A2E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70D2E5A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26D3F7A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7EF4A0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50313F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353026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300B83">
        <w:tblPrEx>
          <w:tblCellMar>
            <w:top w:w="0" w:type="dxa"/>
            <w:left w:w="108" w:type="dxa"/>
            <w:bottom w:w="0" w:type="dxa"/>
            <w:right w:w="108" w:type="dxa"/>
          </w:tblCellMar>
        </w:tblPrEx>
        <w:trPr>
          <w:trHeight w:val="357"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7BDBA1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77C38A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2DD53ED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7F221C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542FE9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5D6E21D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2667925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07FA70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3516913">
        <w:tblPrEx>
          <w:tblCellMar>
            <w:top w:w="0" w:type="dxa"/>
            <w:left w:w="108" w:type="dxa"/>
            <w:bottom w:w="0" w:type="dxa"/>
            <w:right w:w="108" w:type="dxa"/>
          </w:tblCellMar>
        </w:tblPrEx>
        <w:trPr>
          <w:trHeight w:val="357"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51EB65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5AA08B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39A7D6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7F9CC4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57D8F1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29AA43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7DA1B9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054BAD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0A00FB5">
        <w:tblPrEx>
          <w:tblCellMar>
            <w:top w:w="0" w:type="dxa"/>
            <w:left w:w="108" w:type="dxa"/>
            <w:bottom w:w="0" w:type="dxa"/>
            <w:right w:w="108" w:type="dxa"/>
          </w:tblCellMar>
        </w:tblPrEx>
        <w:trPr>
          <w:trHeight w:val="357"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085865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3A9313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2042E3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21ED7B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6F3C03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718896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274859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06D11DC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4AAB3C">
        <w:tblPrEx>
          <w:tblCellMar>
            <w:top w:w="0" w:type="dxa"/>
            <w:left w:w="108" w:type="dxa"/>
            <w:bottom w:w="0" w:type="dxa"/>
            <w:right w:w="108" w:type="dxa"/>
          </w:tblCellMar>
        </w:tblPrEx>
        <w:trPr>
          <w:trHeight w:val="357"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46B14C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321F0B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697E6A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3CA949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02AF74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662E8D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263F04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37F03B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E84A689">
        <w:tblPrEx>
          <w:tblCellMar>
            <w:top w:w="0" w:type="dxa"/>
            <w:left w:w="108" w:type="dxa"/>
            <w:bottom w:w="0" w:type="dxa"/>
            <w:right w:w="108" w:type="dxa"/>
          </w:tblCellMar>
        </w:tblPrEx>
        <w:trPr>
          <w:trHeight w:val="357" w:hRule="atLeast"/>
        </w:trPr>
        <w:tc>
          <w:tcPr>
            <w:tcW w:w="486" w:type="dxa"/>
            <w:tcBorders>
              <w:top w:val="nil"/>
              <w:left w:val="single" w:color="auto" w:sz="4" w:space="0"/>
              <w:bottom w:val="single" w:color="auto" w:sz="4" w:space="0"/>
              <w:right w:val="single" w:color="auto" w:sz="4" w:space="0"/>
            </w:tcBorders>
            <w:shd w:val="clear" w:color="auto" w:fill="auto"/>
            <w:noWrap/>
            <w:vAlign w:val="center"/>
          </w:tcPr>
          <w:p w14:paraId="6B3EDA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93" w:type="dxa"/>
            <w:tcBorders>
              <w:top w:val="nil"/>
              <w:left w:val="nil"/>
              <w:bottom w:val="single" w:color="auto" w:sz="4" w:space="0"/>
              <w:right w:val="single" w:color="auto" w:sz="4" w:space="0"/>
            </w:tcBorders>
            <w:shd w:val="clear" w:color="auto" w:fill="auto"/>
            <w:noWrap/>
            <w:vAlign w:val="center"/>
          </w:tcPr>
          <w:p w14:paraId="1DE556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65" w:type="dxa"/>
            <w:tcBorders>
              <w:top w:val="nil"/>
              <w:left w:val="nil"/>
              <w:bottom w:val="single" w:color="auto" w:sz="4" w:space="0"/>
              <w:right w:val="single" w:color="auto" w:sz="4" w:space="0"/>
            </w:tcBorders>
            <w:shd w:val="clear" w:color="auto" w:fill="auto"/>
            <w:noWrap/>
            <w:vAlign w:val="center"/>
          </w:tcPr>
          <w:p w14:paraId="0A4EDE9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14:paraId="2A07CE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54" w:type="dxa"/>
            <w:tcBorders>
              <w:top w:val="nil"/>
              <w:left w:val="nil"/>
              <w:bottom w:val="single" w:color="auto" w:sz="4" w:space="0"/>
              <w:right w:val="single" w:color="auto" w:sz="4" w:space="0"/>
            </w:tcBorders>
            <w:shd w:val="clear" w:color="auto" w:fill="auto"/>
            <w:noWrap/>
            <w:vAlign w:val="center"/>
          </w:tcPr>
          <w:p w14:paraId="52FC86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02" w:type="dxa"/>
            <w:tcBorders>
              <w:top w:val="nil"/>
              <w:left w:val="nil"/>
              <w:bottom w:val="single" w:color="auto" w:sz="4" w:space="0"/>
              <w:right w:val="single" w:color="auto" w:sz="4" w:space="0"/>
            </w:tcBorders>
            <w:shd w:val="clear" w:color="auto" w:fill="auto"/>
            <w:noWrap/>
            <w:vAlign w:val="center"/>
          </w:tcPr>
          <w:p w14:paraId="5D180B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30" w:type="dxa"/>
            <w:tcBorders>
              <w:top w:val="nil"/>
              <w:left w:val="nil"/>
              <w:bottom w:val="single" w:color="auto" w:sz="4" w:space="0"/>
              <w:right w:val="single" w:color="auto" w:sz="4" w:space="0"/>
            </w:tcBorders>
            <w:shd w:val="clear" w:color="auto" w:fill="auto"/>
            <w:noWrap/>
            <w:vAlign w:val="center"/>
          </w:tcPr>
          <w:p w14:paraId="5B1857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14:paraId="4C029E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14:paraId="05C48BE3">
        <w:tblPrEx>
          <w:tblCellMar>
            <w:top w:w="0" w:type="dxa"/>
            <w:left w:w="108" w:type="dxa"/>
            <w:bottom w:w="0" w:type="dxa"/>
            <w:right w:w="108" w:type="dxa"/>
          </w:tblCellMar>
        </w:tblPrEx>
        <w:trPr>
          <w:trHeight w:val="342" w:hRule="atLeast"/>
        </w:trPr>
        <w:tc>
          <w:tcPr>
            <w:tcW w:w="8131"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08701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本页小计</w:t>
            </w:r>
          </w:p>
        </w:tc>
        <w:tc>
          <w:tcPr>
            <w:tcW w:w="1225" w:type="dxa"/>
            <w:tcBorders>
              <w:top w:val="nil"/>
              <w:left w:val="nil"/>
              <w:bottom w:val="single" w:color="auto" w:sz="4" w:space="0"/>
              <w:right w:val="single" w:color="auto" w:sz="4" w:space="0"/>
            </w:tcBorders>
            <w:shd w:val="clear" w:color="auto" w:fill="auto"/>
            <w:noWrap/>
            <w:vAlign w:val="center"/>
          </w:tcPr>
          <w:p w14:paraId="78C0D2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D3CFD9">
        <w:tblPrEx>
          <w:tblCellMar>
            <w:top w:w="0" w:type="dxa"/>
            <w:left w:w="108" w:type="dxa"/>
            <w:bottom w:w="0" w:type="dxa"/>
            <w:right w:w="108" w:type="dxa"/>
          </w:tblCellMar>
        </w:tblPrEx>
        <w:trPr>
          <w:trHeight w:val="342" w:hRule="atLeast"/>
        </w:trPr>
        <w:tc>
          <w:tcPr>
            <w:tcW w:w="8131"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14:paraId="4E2FD3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合  计</w:t>
            </w:r>
          </w:p>
        </w:tc>
        <w:tc>
          <w:tcPr>
            <w:tcW w:w="1225" w:type="dxa"/>
            <w:tcBorders>
              <w:top w:val="nil"/>
              <w:left w:val="nil"/>
              <w:bottom w:val="single" w:color="auto" w:sz="4" w:space="0"/>
              <w:right w:val="single" w:color="auto" w:sz="4" w:space="0"/>
            </w:tcBorders>
            <w:shd w:val="clear" w:color="000000" w:fill="FFFFFF"/>
            <w:noWrap/>
            <w:vAlign w:val="center"/>
          </w:tcPr>
          <w:p w14:paraId="3F0D498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14:paraId="3D1D1129">
        <w:tblPrEx>
          <w:tblCellMar>
            <w:top w:w="0" w:type="dxa"/>
            <w:left w:w="108" w:type="dxa"/>
            <w:bottom w:w="0" w:type="dxa"/>
            <w:right w:w="108" w:type="dxa"/>
          </w:tblCellMar>
        </w:tblPrEx>
        <w:trPr>
          <w:trHeight w:val="312" w:hRule="atLeast"/>
        </w:trPr>
        <w:tc>
          <w:tcPr>
            <w:tcW w:w="9356" w:type="dxa"/>
            <w:gridSpan w:val="8"/>
            <w:tcBorders>
              <w:top w:val="nil"/>
              <w:left w:val="nil"/>
              <w:bottom w:val="nil"/>
              <w:right w:val="nil"/>
            </w:tcBorders>
            <w:shd w:val="clear" w:color="auto" w:fill="auto"/>
            <w:vAlign w:val="center"/>
          </w:tcPr>
          <w:p w14:paraId="7FE98A4B">
            <w:pPr>
              <w:widowControl/>
              <w:jc w:val="left"/>
              <w:rPr>
                <w:rFonts w:ascii="宋体" w:hAnsi="宋体" w:eastAsia="宋体" w:cs="宋体"/>
                <w:color w:val="000000"/>
                <w:kern w:val="0"/>
                <w:sz w:val="24"/>
                <w:szCs w:val="24"/>
              </w:rPr>
            </w:pPr>
            <w:r>
              <w:rPr>
                <w:rFonts w:hint="eastAsia" w:ascii="宋体" w:hAnsi="宋体" w:eastAsia="宋体" w:cs="宋体"/>
                <w:color w:val="FF0000"/>
                <w:kern w:val="0"/>
                <w:sz w:val="24"/>
                <w:szCs w:val="24"/>
              </w:rPr>
              <w:t>备注：本表适用于以综合单价形式计价的措施项目。投标需按照招标清单中子表措施清单填写，不可偏离。措施费单价填0，施工安全措施严格按招标清单要求。</w:t>
            </w:r>
          </w:p>
        </w:tc>
      </w:tr>
    </w:tbl>
    <w:p w14:paraId="6C9D0CC8">
      <w:pPr>
        <w:widowControl/>
        <w:jc w:val="left"/>
        <w:rPr>
          <w:rFonts w:asciiTheme="majorHAnsi" w:hAnsiTheme="majorHAnsi" w:eastAsiaTheme="majorEastAsia" w:cstheme="majorBidi"/>
          <w:b/>
          <w:bCs/>
          <w:sz w:val="48"/>
          <w:szCs w:val="48"/>
        </w:rPr>
      </w:pPr>
      <w:r>
        <w:rPr>
          <w:sz w:val="48"/>
          <w:szCs w:val="48"/>
        </w:rPr>
        <w:br w:type="page"/>
      </w:r>
    </w:p>
    <w:p w14:paraId="351C3589">
      <w:pPr>
        <w:pStyle w:val="3"/>
        <w:jc w:val="center"/>
        <w:rPr>
          <w:sz w:val="48"/>
          <w:szCs w:val="48"/>
        </w:rPr>
      </w:pPr>
      <w:r>
        <w:rPr>
          <w:rFonts w:hint="eastAsia"/>
          <w:sz w:val="48"/>
          <w:szCs w:val="48"/>
        </w:rPr>
        <w:t>拟采用</w:t>
      </w:r>
      <w:r>
        <w:rPr>
          <w:sz w:val="48"/>
          <w:szCs w:val="48"/>
        </w:rPr>
        <w:t>材料品牌型号</w:t>
      </w:r>
      <w:r>
        <w:rPr>
          <w:rFonts w:hint="eastAsia"/>
          <w:sz w:val="48"/>
          <w:szCs w:val="48"/>
        </w:rPr>
        <w:t>表</w:t>
      </w:r>
    </w:p>
    <w:tbl>
      <w:tblPr>
        <w:tblStyle w:val="8"/>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403"/>
        <w:gridCol w:w="2405"/>
        <w:gridCol w:w="2405"/>
      </w:tblGrid>
      <w:tr w14:paraId="7DD2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20663269">
            <w:pPr>
              <w:ind w:firstLine="402"/>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403" w:type="dxa"/>
          </w:tcPr>
          <w:p w14:paraId="16881F74">
            <w:pPr>
              <w:ind w:firstLine="402"/>
              <w:jc w:val="center"/>
              <w:rPr>
                <w:rFonts w:ascii="宋体" w:hAnsi="宋体" w:eastAsia="宋体" w:cs="宋体"/>
                <w:kern w:val="0"/>
                <w:sz w:val="20"/>
                <w:szCs w:val="20"/>
              </w:rPr>
            </w:pPr>
            <w:r>
              <w:rPr>
                <w:rFonts w:hint="eastAsia" w:ascii="宋体" w:hAnsi="宋体" w:eastAsia="宋体" w:cs="宋体"/>
                <w:kern w:val="0"/>
                <w:sz w:val="20"/>
                <w:szCs w:val="20"/>
              </w:rPr>
              <w:t>材料名称</w:t>
            </w:r>
          </w:p>
        </w:tc>
        <w:tc>
          <w:tcPr>
            <w:tcW w:w="2405" w:type="dxa"/>
          </w:tcPr>
          <w:p w14:paraId="05A3F302">
            <w:pPr>
              <w:ind w:firstLine="402"/>
              <w:jc w:val="center"/>
              <w:rPr>
                <w:rFonts w:ascii="宋体" w:hAnsi="宋体" w:eastAsia="宋体" w:cs="宋体"/>
                <w:kern w:val="0"/>
                <w:sz w:val="20"/>
                <w:szCs w:val="20"/>
              </w:rPr>
            </w:pPr>
            <w:r>
              <w:rPr>
                <w:rFonts w:hint="eastAsia" w:ascii="宋体" w:hAnsi="宋体" w:eastAsia="宋体" w:cs="宋体"/>
                <w:kern w:val="0"/>
                <w:sz w:val="20"/>
                <w:szCs w:val="20"/>
              </w:rPr>
              <w:t>品牌、</w:t>
            </w:r>
            <w:r>
              <w:rPr>
                <w:rFonts w:ascii="宋体" w:hAnsi="宋体" w:eastAsia="宋体" w:cs="宋体"/>
                <w:kern w:val="0"/>
                <w:sz w:val="20"/>
                <w:szCs w:val="20"/>
              </w:rPr>
              <w:t>规格、型号</w:t>
            </w:r>
          </w:p>
        </w:tc>
        <w:tc>
          <w:tcPr>
            <w:tcW w:w="2405" w:type="dxa"/>
          </w:tcPr>
          <w:p w14:paraId="22001F8C">
            <w:pPr>
              <w:ind w:firstLine="402"/>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14:paraId="4C79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2BD025AC">
            <w:pPr>
              <w:rPr>
                <w:rFonts w:ascii="Times New Roman" w:hAnsi="Times New Roman" w:eastAsia="宋体" w:cs="Times New Roman"/>
                <w:kern w:val="0"/>
                <w:sz w:val="20"/>
                <w:szCs w:val="20"/>
              </w:rPr>
            </w:pPr>
          </w:p>
        </w:tc>
        <w:tc>
          <w:tcPr>
            <w:tcW w:w="2403" w:type="dxa"/>
          </w:tcPr>
          <w:p w14:paraId="55E308F3">
            <w:pPr>
              <w:rPr>
                <w:rFonts w:ascii="Times New Roman" w:hAnsi="Times New Roman" w:eastAsia="宋体" w:cs="Times New Roman"/>
                <w:kern w:val="0"/>
                <w:sz w:val="20"/>
                <w:szCs w:val="20"/>
              </w:rPr>
            </w:pPr>
          </w:p>
        </w:tc>
        <w:tc>
          <w:tcPr>
            <w:tcW w:w="2405" w:type="dxa"/>
          </w:tcPr>
          <w:p w14:paraId="7C41912D">
            <w:pPr>
              <w:rPr>
                <w:rFonts w:ascii="Times New Roman" w:hAnsi="Times New Roman" w:eastAsia="宋体" w:cs="Times New Roman"/>
                <w:kern w:val="0"/>
                <w:sz w:val="20"/>
                <w:szCs w:val="20"/>
              </w:rPr>
            </w:pPr>
          </w:p>
        </w:tc>
        <w:tc>
          <w:tcPr>
            <w:tcW w:w="2405" w:type="dxa"/>
          </w:tcPr>
          <w:p w14:paraId="2FE0EE8D">
            <w:pPr>
              <w:rPr>
                <w:rFonts w:ascii="Times New Roman" w:hAnsi="Times New Roman" w:eastAsia="宋体" w:cs="Times New Roman"/>
                <w:kern w:val="0"/>
                <w:sz w:val="20"/>
                <w:szCs w:val="20"/>
              </w:rPr>
            </w:pPr>
          </w:p>
        </w:tc>
      </w:tr>
      <w:tr w14:paraId="3EF6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389283F8">
            <w:pPr>
              <w:rPr>
                <w:rFonts w:ascii="Times New Roman" w:hAnsi="Times New Roman" w:eastAsia="宋体" w:cs="Times New Roman"/>
                <w:kern w:val="0"/>
                <w:sz w:val="20"/>
                <w:szCs w:val="20"/>
              </w:rPr>
            </w:pPr>
          </w:p>
        </w:tc>
        <w:tc>
          <w:tcPr>
            <w:tcW w:w="2403" w:type="dxa"/>
          </w:tcPr>
          <w:p w14:paraId="617AF27E">
            <w:pPr>
              <w:rPr>
                <w:rFonts w:ascii="Times New Roman" w:hAnsi="Times New Roman" w:eastAsia="宋体" w:cs="Times New Roman"/>
                <w:kern w:val="0"/>
                <w:sz w:val="20"/>
                <w:szCs w:val="20"/>
              </w:rPr>
            </w:pPr>
          </w:p>
        </w:tc>
        <w:tc>
          <w:tcPr>
            <w:tcW w:w="2405" w:type="dxa"/>
          </w:tcPr>
          <w:p w14:paraId="7B49A925">
            <w:pPr>
              <w:rPr>
                <w:rFonts w:ascii="Times New Roman" w:hAnsi="Times New Roman" w:eastAsia="宋体" w:cs="Times New Roman"/>
                <w:kern w:val="0"/>
                <w:sz w:val="20"/>
                <w:szCs w:val="20"/>
              </w:rPr>
            </w:pPr>
          </w:p>
        </w:tc>
        <w:tc>
          <w:tcPr>
            <w:tcW w:w="2405" w:type="dxa"/>
          </w:tcPr>
          <w:p w14:paraId="24A2CD3E">
            <w:pPr>
              <w:rPr>
                <w:rFonts w:ascii="Times New Roman" w:hAnsi="Times New Roman" w:eastAsia="宋体" w:cs="Times New Roman"/>
                <w:kern w:val="0"/>
                <w:sz w:val="20"/>
                <w:szCs w:val="20"/>
              </w:rPr>
            </w:pPr>
          </w:p>
        </w:tc>
      </w:tr>
      <w:tr w14:paraId="43DD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2485FD86">
            <w:pPr>
              <w:rPr>
                <w:rFonts w:ascii="Times New Roman" w:hAnsi="Times New Roman" w:eastAsia="宋体" w:cs="Times New Roman"/>
                <w:kern w:val="0"/>
                <w:sz w:val="20"/>
                <w:szCs w:val="20"/>
              </w:rPr>
            </w:pPr>
          </w:p>
        </w:tc>
        <w:tc>
          <w:tcPr>
            <w:tcW w:w="2403" w:type="dxa"/>
          </w:tcPr>
          <w:p w14:paraId="6013579C">
            <w:pPr>
              <w:rPr>
                <w:rFonts w:ascii="Times New Roman" w:hAnsi="Times New Roman" w:eastAsia="宋体" w:cs="Times New Roman"/>
                <w:kern w:val="0"/>
                <w:sz w:val="20"/>
                <w:szCs w:val="20"/>
              </w:rPr>
            </w:pPr>
          </w:p>
        </w:tc>
        <w:tc>
          <w:tcPr>
            <w:tcW w:w="2405" w:type="dxa"/>
          </w:tcPr>
          <w:p w14:paraId="1F0E6858">
            <w:pPr>
              <w:rPr>
                <w:rFonts w:ascii="Times New Roman" w:hAnsi="Times New Roman" w:eastAsia="宋体" w:cs="Times New Roman"/>
                <w:kern w:val="0"/>
                <w:sz w:val="20"/>
                <w:szCs w:val="20"/>
              </w:rPr>
            </w:pPr>
          </w:p>
        </w:tc>
        <w:tc>
          <w:tcPr>
            <w:tcW w:w="2405" w:type="dxa"/>
          </w:tcPr>
          <w:p w14:paraId="25396DC8">
            <w:pPr>
              <w:rPr>
                <w:rFonts w:ascii="Times New Roman" w:hAnsi="Times New Roman" w:eastAsia="宋体" w:cs="Times New Roman"/>
                <w:kern w:val="0"/>
                <w:sz w:val="20"/>
                <w:szCs w:val="20"/>
              </w:rPr>
            </w:pPr>
          </w:p>
        </w:tc>
      </w:tr>
      <w:tr w14:paraId="7017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661624EF">
            <w:pPr>
              <w:rPr>
                <w:rFonts w:ascii="Times New Roman" w:hAnsi="Times New Roman" w:eastAsia="宋体" w:cs="Times New Roman"/>
                <w:kern w:val="0"/>
                <w:sz w:val="20"/>
                <w:szCs w:val="20"/>
              </w:rPr>
            </w:pPr>
          </w:p>
        </w:tc>
        <w:tc>
          <w:tcPr>
            <w:tcW w:w="2403" w:type="dxa"/>
          </w:tcPr>
          <w:p w14:paraId="3292389B">
            <w:pPr>
              <w:rPr>
                <w:rFonts w:ascii="Times New Roman" w:hAnsi="Times New Roman" w:eastAsia="宋体" w:cs="Times New Roman"/>
                <w:kern w:val="0"/>
                <w:sz w:val="20"/>
                <w:szCs w:val="20"/>
              </w:rPr>
            </w:pPr>
          </w:p>
        </w:tc>
        <w:tc>
          <w:tcPr>
            <w:tcW w:w="2405" w:type="dxa"/>
          </w:tcPr>
          <w:p w14:paraId="0F17D044">
            <w:pPr>
              <w:rPr>
                <w:rFonts w:ascii="Times New Roman" w:hAnsi="Times New Roman" w:eastAsia="宋体" w:cs="Times New Roman"/>
                <w:kern w:val="0"/>
                <w:sz w:val="20"/>
                <w:szCs w:val="20"/>
              </w:rPr>
            </w:pPr>
          </w:p>
        </w:tc>
        <w:tc>
          <w:tcPr>
            <w:tcW w:w="2405" w:type="dxa"/>
          </w:tcPr>
          <w:p w14:paraId="2697EC3E">
            <w:pPr>
              <w:rPr>
                <w:rFonts w:ascii="Times New Roman" w:hAnsi="Times New Roman" w:eastAsia="宋体" w:cs="Times New Roman"/>
                <w:kern w:val="0"/>
                <w:sz w:val="20"/>
                <w:szCs w:val="20"/>
              </w:rPr>
            </w:pPr>
          </w:p>
        </w:tc>
      </w:tr>
      <w:tr w14:paraId="4C92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088ADAF1">
            <w:pPr>
              <w:rPr>
                <w:rFonts w:ascii="Times New Roman" w:hAnsi="Times New Roman" w:eastAsia="宋体" w:cs="Times New Roman"/>
                <w:kern w:val="0"/>
                <w:sz w:val="20"/>
                <w:szCs w:val="20"/>
              </w:rPr>
            </w:pPr>
          </w:p>
        </w:tc>
        <w:tc>
          <w:tcPr>
            <w:tcW w:w="2403" w:type="dxa"/>
          </w:tcPr>
          <w:p w14:paraId="2C8172E9">
            <w:pPr>
              <w:rPr>
                <w:rFonts w:ascii="Times New Roman" w:hAnsi="Times New Roman" w:eastAsia="宋体" w:cs="Times New Roman"/>
                <w:kern w:val="0"/>
                <w:sz w:val="20"/>
                <w:szCs w:val="20"/>
              </w:rPr>
            </w:pPr>
          </w:p>
        </w:tc>
        <w:tc>
          <w:tcPr>
            <w:tcW w:w="2405" w:type="dxa"/>
          </w:tcPr>
          <w:p w14:paraId="43A50CE4">
            <w:pPr>
              <w:rPr>
                <w:rFonts w:ascii="Times New Roman" w:hAnsi="Times New Roman" w:eastAsia="宋体" w:cs="Times New Roman"/>
                <w:kern w:val="0"/>
                <w:sz w:val="20"/>
                <w:szCs w:val="20"/>
              </w:rPr>
            </w:pPr>
          </w:p>
        </w:tc>
        <w:tc>
          <w:tcPr>
            <w:tcW w:w="2405" w:type="dxa"/>
          </w:tcPr>
          <w:p w14:paraId="500E1EA8">
            <w:pPr>
              <w:rPr>
                <w:rFonts w:ascii="Times New Roman" w:hAnsi="Times New Roman" w:eastAsia="宋体" w:cs="Times New Roman"/>
                <w:kern w:val="0"/>
                <w:sz w:val="20"/>
                <w:szCs w:val="20"/>
              </w:rPr>
            </w:pPr>
          </w:p>
        </w:tc>
      </w:tr>
      <w:tr w14:paraId="2B09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55A48AE8">
            <w:pPr>
              <w:rPr>
                <w:rFonts w:ascii="Times New Roman" w:hAnsi="Times New Roman" w:eastAsia="宋体" w:cs="Times New Roman"/>
                <w:kern w:val="0"/>
                <w:sz w:val="20"/>
                <w:szCs w:val="20"/>
              </w:rPr>
            </w:pPr>
          </w:p>
        </w:tc>
        <w:tc>
          <w:tcPr>
            <w:tcW w:w="2403" w:type="dxa"/>
          </w:tcPr>
          <w:p w14:paraId="0C66A74A">
            <w:pPr>
              <w:rPr>
                <w:rFonts w:ascii="Times New Roman" w:hAnsi="Times New Roman" w:eastAsia="宋体" w:cs="Times New Roman"/>
                <w:kern w:val="0"/>
                <w:sz w:val="20"/>
                <w:szCs w:val="20"/>
              </w:rPr>
            </w:pPr>
          </w:p>
        </w:tc>
        <w:tc>
          <w:tcPr>
            <w:tcW w:w="2405" w:type="dxa"/>
          </w:tcPr>
          <w:p w14:paraId="2E99B16D">
            <w:pPr>
              <w:rPr>
                <w:rFonts w:ascii="Times New Roman" w:hAnsi="Times New Roman" w:eastAsia="宋体" w:cs="Times New Roman"/>
                <w:kern w:val="0"/>
                <w:sz w:val="20"/>
                <w:szCs w:val="20"/>
              </w:rPr>
            </w:pPr>
          </w:p>
        </w:tc>
        <w:tc>
          <w:tcPr>
            <w:tcW w:w="2405" w:type="dxa"/>
          </w:tcPr>
          <w:p w14:paraId="1B909E9A">
            <w:pPr>
              <w:rPr>
                <w:rFonts w:ascii="Times New Roman" w:hAnsi="Times New Roman" w:eastAsia="宋体" w:cs="Times New Roman"/>
                <w:kern w:val="0"/>
                <w:sz w:val="20"/>
                <w:szCs w:val="20"/>
              </w:rPr>
            </w:pPr>
          </w:p>
        </w:tc>
      </w:tr>
      <w:tr w14:paraId="3931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0C3BFACF">
            <w:pPr>
              <w:rPr>
                <w:rFonts w:ascii="Times New Roman" w:hAnsi="Times New Roman" w:eastAsia="宋体" w:cs="Times New Roman"/>
                <w:kern w:val="0"/>
                <w:sz w:val="20"/>
                <w:szCs w:val="20"/>
              </w:rPr>
            </w:pPr>
          </w:p>
        </w:tc>
        <w:tc>
          <w:tcPr>
            <w:tcW w:w="2403" w:type="dxa"/>
          </w:tcPr>
          <w:p w14:paraId="47CCEC00">
            <w:pPr>
              <w:rPr>
                <w:rFonts w:ascii="Times New Roman" w:hAnsi="Times New Roman" w:eastAsia="宋体" w:cs="Times New Roman"/>
                <w:kern w:val="0"/>
                <w:sz w:val="20"/>
                <w:szCs w:val="20"/>
              </w:rPr>
            </w:pPr>
          </w:p>
        </w:tc>
        <w:tc>
          <w:tcPr>
            <w:tcW w:w="2405" w:type="dxa"/>
          </w:tcPr>
          <w:p w14:paraId="446B0FB0">
            <w:pPr>
              <w:rPr>
                <w:rFonts w:ascii="Times New Roman" w:hAnsi="Times New Roman" w:eastAsia="宋体" w:cs="Times New Roman"/>
                <w:kern w:val="0"/>
                <w:sz w:val="20"/>
                <w:szCs w:val="20"/>
              </w:rPr>
            </w:pPr>
          </w:p>
        </w:tc>
        <w:tc>
          <w:tcPr>
            <w:tcW w:w="2405" w:type="dxa"/>
          </w:tcPr>
          <w:p w14:paraId="2C1D620E">
            <w:pPr>
              <w:rPr>
                <w:rFonts w:ascii="Times New Roman" w:hAnsi="Times New Roman" w:eastAsia="宋体" w:cs="Times New Roman"/>
                <w:kern w:val="0"/>
                <w:sz w:val="20"/>
                <w:szCs w:val="20"/>
              </w:rPr>
            </w:pPr>
          </w:p>
        </w:tc>
      </w:tr>
    </w:tbl>
    <w:p w14:paraId="21AAD726">
      <w:pPr>
        <w:ind w:firstLine="562"/>
        <w:jc w:val="left"/>
        <w:rPr>
          <w:rFonts w:hAnsi="宋体"/>
          <w:sz w:val="28"/>
          <w:szCs w:val="30"/>
        </w:rPr>
      </w:pPr>
      <w:r>
        <w:rPr>
          <w:rFonts w:hint="eastAsia" w:hAnsi="宋体"/>
          <w:sz w:val="28"/>
          <w:szCs w:val="30"/>
        </w:rPr>
        <w:t>备注：分部分项工程量清单与计价表、主要材料参考品牌中</w:t>
      </w:r>
      <w:r>
        <w:rPr>
          <w:rFonts w:hAnsi="宋体"/>
          <w:sz w:val="28"/>
          <w:szCs w:val="30"/>
        </w:rPr>
        <w:t>出现的材料品牌都</w:t>
      </w:r>
      <w:r>
        <w:rPr>
          <w:rFonts w:hint="eastAsia" w:hAnsi="宋体"/>
          <w:sz w:val="28"/>
          <w:szCs w:val="30"/>
        </w:rPr>
        <w:t>均为</w:t>
      </w:r>
      <w:r>
        <w:rPr>
          <w:rFonts w:hAnsi="宋体"/>
          <w:sz w:val="28"/>
          <w:szCs w:val="30"/>
        </w:rPr>
        <w:t>参考品牌，不</w:t>
      </w:r>
      <w:r>
        <w:rPr>
          <w:rFonts w:hint="eastAsia" w:hAnsi="宋体"/>
          <w:sz w:val="28"/>
          <w:szCs w:val="30"/>
        </w:rPr>
        <w:t>作为</w:t>
      </w:r>
      <w:r>
        <w:rPr>
          <w:rFonts w:hAnsi="宋体"/>
          <w:sz w:val="28"/>
          <w:szCs w:val="30"/>
        </w:rPr>
        <w:t>对</w:t>
      </w:r>
      <w:r>
        <w:rPr>
          <w:rFonts w:hint="eastAsia" w:hAnsi="宋体" w:eastAsia="宋体"/>
          <w:sz w:val="28"/>
          <w:szCs w:val="30"/>
        </w:rPr>
        <w:t>投标人</w:t>
      </w:r>
      <w:r>
        <w:rPr>
          <w:rFonts w:hAnsi="宋体"/>
          <w:sz w:val="28"/>
          <w:szCs w:val="30"/>
        </w:rPr>
        <w:t>投标采用材料品牌的限制</w:t>
      </w:r>
      <w:r>
        <w:rPr>
          <w:rFonts w:hint="eastAsia" w:hAnsi="宋体"/>
          <w:sz w:val="28"/>
          <w:szCs w:val="30"/>
        </w:rPr>
        <w:t>，</w:t>
      </w:r>
      <w:r>
        <w:rPr>
          <w:rFonts w:hAnsi="宋体"/>
          <w:sz w:val="28"/>
          <w:szCs w:val="30"/>
        </w:rPr>
        <w:t>仅作为衡量</w:t>
      </w:r>
      <w:r>
        <w:rPr>
          <w:rFonts w:hint="eastAsia" w:hAnsi="宋体" w:eastAsia="宋体"/>
          <w:sz w:val="28"/>
          <w:szCs w:val="30"/>
        </w:rPr>
        <w:t>投标人</w:t>
      </w:r>
      <w:r>
        <w:rPr>
          <w:rFonts w:hAnsi="宋体"/>
          <w:sz w:val="28"/>
          <w:szCs w:val="30"/>
        </w:rPr>
        <w:t>投标采用材料</w:t>
      </w:r>
      <w:r>
        <w:rPr>
          <w:rFonts w:hint="eastAsia" w:hAnsi="宋体"/>
          <w:sz w:val="28"/>
          <w:szCs w:val="30"/>
        </w:rPr>
        <w:t>品质是否</w:t>
      </w:r>
      <w:r>
        <w:rPr>
          <w:rFonts w:hAnsi="宋体"/>
          <w:sz w:val="28"/>
          <w:szCs w:val="30"/>
        </w:rPr>
        <w:t>满足</w:t>
      </w:r>
      <w:r>
        <w:rPr>
          <w:rFonts w:hint="eastAsia" w:hAnsi="宋体"/>
          <w:sz w:val="28"/>
          <w:szCs w:val="30"/>
        </w:rPr>
        <w:t>采购</w:t>
      </w:r>
      <w:r>
        <w:rPr>
          <w:rFonts w:hAnsi="宋体"/>
          <w:sz w:val="28"/>
          <w:szCs w:val="30"/>
        </w:rPr>
        <w:t>要求的标准</w:t>
      </w:r>
      <w:r>
        <w:rPr>
          <w:rFonts w:hint="eastAsia" w:hAnsi="宋体"/>
          <w:sz w:val="28"/>
          <w:szCs w:val="30"/>
        </w:rPr>
        <w:t>，</w:t>
      </w:r>
      <w:r>
        <w:rPr>
          <w:rFonts w:hint="eastAsia" w:hAnsi="宋体" w:eastAsia="宋体"/>
          <w:sz w:val="28"/>
          <w:szCs w:val="30"/>
        </w:rPr>
        <w:t>投标人</w:t>
      </w:r>
      <w:r>
        <w:rPr>
          <w:rFonts w:hint="eastAsia" w:hAnsi="宋体"/>
          <w:sz w:val="28"/>
          <w:szCs w:val="30"/>
        </w:rPr>
        <w:t>拟</w:t>
      </w:r>
      <w:r>
        <w:rPr>
          <w:rFonts w:hAnsi="宋体"/>
          <w:sz w:val="28"/>
          <w:szCs w:val="30"/>
        </w:rPr>
        <w:t>采用材料</w:t>
      </w:r>
      <w:r>
        <w:rPr>
          <w:rFonts w:hint="eastAsia" w:hAnsi="宋体"/>
          <w:sz w:val="28"/>
          <w:szCs w:val="30"/>
        </w:rPr>
        <w:t>的</w:t>
      </w:r>
      <w:r>
        <w:rPr>
          <w:rFonts w:hAnsi="宋体"/>
          <w:sz w:val="28"/>
          <w:szCs w:val="30"/>
        </w:rPr>
        <w:t>品质须</w:t>
      </w:r>
      <w:r>
        <w:rPr>
          <w:rFonts w:hint="eastAsia" w:hAnsi="宋体"/>
          <w:sz w:val="28"/>
          <w:szCs w:val="30"/>
        </w:rPr>
        <w:t>与</w:t>
      </w:r>
      <w:r>
        <w:rPr>
          <w:rFonts w:hAnsi="宋体"/>
          <w:sz w:val="28"/>
          <w:szCs w:val="30"/>
        </w:rPr>
        <w:t>招标文件参考品牌相</w:t>
      </w:r>
      <w:r>
        <w:rPr>
          <w:rFonts w:hint="eastAsia" w:hAnsi="宋体"/>
          <w:sz w:val="28"/>
          <w:szCs w:val="30"/>
        </w:rPr>
        <w:t>当</w:t>
      </w:r>
      <w:r>
        <w:rPr>
          <w:rFonts w:hAnsi="宋体"/>
          <w:sz w:val="28"/>
          <w:szCs w:val="30"/>
        </w:rPr>
        <w:t>或优于参考品牌。</w:t>
      </w:r>
      <w:r>
        <w:rPr>
          <w:rFonts w:hint="eastAsia" w:hAnsi="宋体" w:eastAsia="宋体"/>
          <w:sz w:val="28"/>
          <w:szCs w:val="30"/>
        </w:rPr>
        <w:t>投标人</w:t>
      </w:r>
      <w:r>
        <w:rPr>
          <w:rFonts w:hAnsi="宋体"/>
          <w:sz w:val="28"/>
          <w:szCs w:val="30"/>
        </w:rPr>
        <w:t>投标材料是否满足招标文件要求由评标委员会评定。</w:t>
      </w:r>
    </w:p>
    <w:p w14:paraId="503436F6">
      <w:pPr>
        <w:ind w:firstLine="602"/>
        <w:jc w:val="left"/>
        <w:rPr>
          <w:rFonts w:ascii="仿宋" w:eastAsia="仿宋"/>
          <w:b/>
          <w:sz w:val="30"/>
          <w:szCs w:val="30"/>
        </w:rPr>
      </w:pPr>
      <w:r>
        <w:rPr>
          <w:rFonts w:hint="eastAsia" w:ascii="仿宋" w:eastAsia="仿宋"/>
          <w:b/>
          <w:sz w:val="30"/>
          <w:szCs w:val="30"/>
        </w:rPr>
        <w:t>投标</w:t>
      </w:r>
      <w:r>
        <w:rPr>
          <w:rFonts w:ascii="仿宋" w:eastAsia="仿宋"/>
          <w:b/>
          <w:sz w:val="30"/>
          <w:szCs w:val="30"/>
        </w:rPr>
        <w:t>人</w:t>
      </w:r>
      <w:r>
        <w:rPr>
          <w:rFonts w:hint="eastAsia" w:ascii="仿宋" w:eastAsia="仿宋"/>
          <w:b/>
          <w:sz w:val="30"/>
          <w:szCs w:val="30"/>
        </w:rPr>
        <w:t>提交投标文件时，</w:t>
      </w:r>
      <w:r>
        <w:rPr>
          <w:rFonts w:ascii="仿宋" w:eastAsia="仿宋"/>
          <w:b/>
          <w:sz w:val="30"/>
          <w:szCs w:val="30"/>
        </w:rPr>
        <w:t>必须填写此表</w:t>
      </w:r>
      <w:r>
        <w:rPr>
          <w:rFonts w:hint="eastAsia" w:ascii="仿宋" w:eastAsia="仿宋"/>
          <w:b/>
          <w:sz w:val="30"/>
          <w:szCs w:val="30"/>
        </w:rPr>
        <w:t>。备注栏</w:t>
      </w:r>
      <w:r>
        <w:rPr>
          <w:rFonts w:ascii="仿宋" w:eastAsia="仿宋"/>
          <w:b/>
          <w:sz w:val="30"/>
          <w:szCs w:val="30"/>
        </w:rPr>
        <w:t>可不填写。</w:t>
      </w:r>
    </w:p>
    <w:p w14:paraId="4EBD5E6D">
      <w:pPr/>
    </w:p>
    <w:p w14:paraId="331ADAE4">
      <w:pPr>
        <w:ind w:firstLine="640"/>
        <w:jc w:val="center"/>
        <w:rPr>
          <w:b/>
          <w:sz w:val="32"/>
          <w:szCs w:val="32"/>
        </w:rPr>
      </w:pPr>
    </w:p>
    <w:p w14:paraId="0374031A">
      <w:pPr>
        <w:ind w:firstLine="640"/>
        <w:jc w:val="center"/>
        <w:rPr>
          <w:b/>
          <w:sz w:val="32"/>
          <w:szCs w:val="32"/>
        </w:rPr>
      </w:pPr>
    </w:p>
    <w:p w14:paraId="3C10B6B2">
      <w:pPr>
        <w:ind w:firstLine="640"/>
        <w:jc w:val="center"/>
        <w:rPr>
          <w:b/>
          <w:sz w:val="32"/>
          <w:szCs w:val="32"/>
        </w:rPr>
      </w:pPr>
    </w:p>
    <w:p w14:paraId="1EA977A4">
      <w:pPr>
        <w:ind w:firstLine="640"/>
        <w:jc w:val="center"/>
        <w:rPr>
          <w:b/>
          <w:sz w:val="32"/>
          <w:szCs w:val="32"/>
        </w:rPr>
      </w:pPr>
    </w:p>
    <w:p w14:paraId="6F70FB85">
      <w:pPr>
        <w:ind w:firstLine="640"/>
        <w:jc w:val="center"/>
        <w:rPr>
          <w:b/>
          <w:sz w:val="32"/>
          <w:szCs w:val="32"/>
        </w:rPr>
      </w:pPr>
    </w:p>
    <w:p w14:paraId="3F2AEF4B">
      <w:pPr>
        <w:ind w:firstLine="640"/>
        <w:jc w:val="center"/>
        <w:rPr>
          <w:b/>
          <w:sz w:val="32"/>
          <w:szCs w:val="32"/>
        </w:rPr>
      </w:pPr>
    </w:p>
    <w:bookmarkEnd w:id="15"/>
    <w:p w14:paraId="3B02AC00">
      <w:pPr>
        <w:rPr>
          <w:rFonts w:ascii="华文新魏" w:hAnsi="MS Sans Serif" w:eastAsia="华文新魏"/>
          <w:b/>
          <w:bCs/>
          <w:sz w:val="48"/>
          <w:szCs w:val="46"/>
        </w:rPr>
      </w:pPr>
      <w:bookmarkStart w:id="16" w:name="_Toc119321152"/>
      <w:bookmarkStart w:id="17" w:name="_Toc37670364"/>
      <w:bookmarkStart w:id="18" w:name="_Toc49329266"/>
      <w:r>
        <w:rPr>
          <w:rFonts w:hint="eastAsia" w:ascii="华文新魏" w:hAnsi="MS Sans Serif" w:eastAsia="华文新魏"/>
          <w:b/>
          <w:bCs/>
          <w:sz w:val="48"/>
          <w:szCs w:val="46"/>
        </w:rPr>
        <w:br w:type="page"/>
      </w:r>
    </w:p>
    <w:p w14:paraId="714943CE">
      <w:pPr>
        <w:pStyle w:val="3"/>
        <w:jc w:val="center"/>
        <w:rPr>
          <w:sz w:val="48"/>
          <w:szCs w:val="48"/>
        </w:rPr>
      </w:pPr>
      <w:r>
        <w:rPr>
          <w:rFonts w:hint="eastAsia"/>
          <w:sz w:val="48"/>
          <w:szCs w:val="48"/>
        </w:rPr>
        <w:t>投标承诺函</w:t>
      </w:r>
    </w:p>
    <w:p w14:paraId="609DF0E3">
      <w:pPr>
        <w:snapToGrid w:val="0"/>
        <w:spacing w:line="288" w:lineRule="auto"/>
        <w:ind w:left="422" w:hanging="422" w:hangingChars="150"/>
        <w:rPr>
          <w:rFonts w:asciiTheme="minorEastAsia" w:hAnsiTheme="minorEastAsia"/>
          <w:b/>
          <w:bCs/>
          <w:sz w:val="28"/>
          <w:szCs w:val="28"/>
          <w:lang w:val="en-GB"/>
        </w:rPr>
      </w:pPr>
      <w:r>
        <w:rPr>
          <w:rFonts w:hint="eastAsia" w:asciiTheme="minorEastAsia" w:hAnsiTheme="minorEastAsia"/>
          <w:b/>
          <w:bCs/>
          <w:sz w:val="28"/>
          <w:szCs w:val="28"/>
          <w:lang w:val="en-GB"/>
        </w:rPr>
        <w:t>致 深圳大学后勤</w:t>
      </w:r>
      <w:r>
        <w:rPr>
          <w:rFonts w:asciiTheme="minorEastAsia" w:hAnsiTheme="minorEastAsia"/>
          <w:b/>
          <w:bCs/>
          <w:sz w:val="28"/>
          <w:szCs w:val="28"/>
          <w:lang w:val="en-GB"/>
        </w:rPr>
        <w:t>保障部</w:t>
      </w:r>
      <w:r>
        <w:rPr>
          <w:rFonts w:hint="eastAsia" w:asciiTheme="minorEastAsia" w:hAnsiTheme="minorEastAsia"/>
          <w:b/>
          <w:bCs/>
          <w:sz w:val="28"/>
          <w:szCs w:val="28"/>
          <w:lang w:val="en-GB"/>
        </w:rPr>
        <w:t>：</w:t>
      </w:r>
    </w:p>
    <w:p w14:paraId="345D700C">
      <w:pPr>
        <w:snapToGrid w:val="0"/>
        <w:spacing w:line="312" w:lineRule="auto"/>
        <w:ind w:firstLine="482"/>
        <w:rPr>
          <w:rFonts w:asciiTheme="minorEastAsia" w:hAnsiTheme="minorEastAsia"/>
        </w:rPr>
      </w:pPr>
      <w:r>
        <w:rPr>
          <w:rFonts w:hint="eastAsia" w:asciiTheme="minorEastAsia" w:hAnsiTheme="minorEastAsia"/>
          <w:b/>
          <w:bCs/>
          <w:sz w:val="24"/>
          <w:szCs w:val="24"/>
        </w:rPr>
        <w:t>本公司郑重承诺并声明：</w:t>
      </w:r>
    </w:p>
    <w:p w14:paraId="7F3A7C5B">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我公司本招标项目所提供的货物或服务未侵犯知识产权。</w:t>
      </w:r>
      <w:r>
        <w:rPr>
          <w:rFonts w:asciiTheme="minorEastAsia" w:hAnsiTheme="minorEastAsia" w:eastAsiaTheme="minorEastAsia"/>
        </w:rPr>
        <w:t xml:space="preserve"> </w:t>
      </w:r>
    </w:p>
    <w:p w14:paraId="75B34377">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我公司参与本项目政府采购活动时不存在被有关部门禁止参与政府采购活动且在有效期内的情况。</w:t>
      </w:r>
    </w:p>
    <w:p w14:paraId="7A2A50CB">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我公司具备《中华人民共和国政府采购法》第二十二条第一款规定的六项条件。</w:t>
      </w:r>
    </w:p>
    <w:p w14:paraId="68993548">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我公司未被列入失信被执行人、重大税收违法案件当事人名单、政府采购严重违法失信行为记录名单</w:t>
      </w:r>
    </w:p>
    <w:p w14:paraId="5CC90D13">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我公司参与该项目投标，严格遵守相关法律，投标做到诚实，不造假，不围标、串标、陪标。我公司已清楚，如违反上述要求，投标将无效</w:t>
      </w:r>
      <w:r>
        <w:rPr>
          <w:rFonts w:asciiTheme="minorEastAsia" w:hAnsiTheme="minorEastAsia" w:eastAsiaTheme="minorEastAsia"/>
        </w:rPr>
        <w:t>处理</w:t>
      </w:r>
      <w:r>
        <w:rPr>
          <w:rFonts w:hint="eastAsia" w:asciiTheme="minorEastAsia" w:hAnsiTheme="minorEastAsia" w:eastAsiaTheme="minorEastAsia"/>
        </w:rPr>
        <w:t>，被列入不良记录名单并在网上曝光，同时将被提请深圳大学采购监督管理部门给予一定年限内禁止参与深圳大学后勤保障部采购活动或其他处罚。</w:t>
      </w:r>
    </w:p>
    <w:p w14:paraId="044DD319">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我公司如果中标，做到守信，不偷工减料，依照本项目招标文件需求内容、签署的采购合同及本公司在投标中所作的一切承诺履约。项目验收达到全部指标合格，力争优良。</w:t>
      </w:r>
    </w:p>
    <w:p w14:paraId="38115EA5">
      <w:pPr>
        <w:pStyle w:val="15"/>
        <w:numPr>
          <w:ilvl w:val="3"/>
          <w:numId w:val="5"/>
        </w:numPr>
        <w:ind w:left="0" w:firstLine="420" w:firstLineChars="200"/>
        <w:jc w:val="left"/>
        <w:rPr>
          <w:rFonts w:asciiTheme="minorEastAsia" w:hAnsiTheme="minorEastAsia" w:eastAsiaTheme="minorEastAsia"/>
        </w:rPr>
      </w:pPr>
      <w:r>
        <w:rPr>
          <w:rFonts w:hint="eastAsia" w:asciiTheme="minorEastAsia" w:hAnsiTheme="minorEastAsia" w:eastAsiaTheme="minorEastAsia"/>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06A5A51">
      <w:pPr>
        <w:ind w:firstLine="420" w:firstLineChars="200"/>
        <w:rPr>
          <w:rFonts w:asciiTheme="minorEastAsia" w:hAnsiTheme="minorEastAsia"/>
        </w:rPr>
      </w:pPr>
      <w:r>
        <w:rPr>
          <w:rFonts w:hint="eastAsia" w:asciiTheme="minorEastAsia" w:hAnsiTheme="minor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A5C1FC3">
      <w:pPr>
        <w:pStyle w:val="15"/>
        <w:numPr>
          <w:ilvl w:val="3"/>
          <w:numId w:val="5"/>
        </w:numPr>
        <w:ind w:left="0" w:firstLine="420" w:firstLineChars="200"/>
        <w:rPr>
          <w:rFonts w:asciiTheme="minorEastAsia" w:hAnsiTheme="minorEastAsia" w:eastAsiaTheme="minorEastAsia"/>
        </w:rPr>
      </w:pPr>
      <w:r>
        <w:rPr>
          <w:rFonts w:hint="eastAsia" w:asciiTheme="minorEastAsia" w:hAnsiTheme="minorEastAsia" w:eastAsiaTheme="minorEastAsia"/>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深圳大学作出的处理。</w:t>
      </w:r>
    </w:p>
    <w:p w14:paraId="48D30FD8">
      <w:pPr>
        <w:pStyle w:val="15"/>
        <w:numPr>
          <w:ilvl w:val="3"/>
          <w:numId w:val="5"/>
        </w:numPr>
        <w:ind w:left="0" w:firstLine="420" w:firstLineChars="200"/>
        <w:rPr>
          <w:rFonts w:asciiTheme="minorEastAsia" w:hAnsiTheme="minorEastAsia" w:eastAsiaTheme="minorEastAsia"/>
        </w:rPr>
      </w:pPr>
      <w:r>
        <w:rPr>
          <w:rFonts w:hint="eastAsia" w:asciiTheme="minorEastAsia" w:hAnsiTheme="minorEastAsia" w:eastAsiaTheme="minorEastAsia"/>
        </w:rPr>
        <w:t>我公司承诺不违法分包转包。</w:t>
      </w:r>
    </w:p>
    <w:p w14:paraId="5D1BF029">
      <w:pPr>
        <w:pStyle w:val="15"/>
        <w:numPr>
          <w:ilvl w:val="3"/>
          <w:numId w:val="5"/>
        </w:numPr>
        <w:ind w:left="0" w:firstLine="420" w:firstLineChars="200"/>
        <w:rPr>
          <w:rFonts w:asciiTheme="minorEastAsia" w:hAnsiTheme="minorEastAsia" w:eastAsiaTheme="minorEastAsia"/>
        </w:rPr>
      </w:pPr>
      <w:r>
        <w:rPr>
          <w:rFonts w:hint="eastAsia" w:asciiTheme="minorEastAsia" w:hAnsiTheme="minorEastAsia" w:eastAsiaTheme="minorEastAsia"/>
        </w:rPr>
        <w:t>接受、遵守、满足招标文件招标项目需求的全部内容。</w:t>
      </w:r>
    </w:p>
    <w:p w14:paraId="492A4050">
      <w:pPr>
        <w:pStyle w:val="15"/>
        <w:numPr>
          <w:ilvl w:val="3"/>
          <w:numId w:val="5"/>
        </w:numPr>
        <w:ind w:left="0" w:firstLine="420" w:firstLineChars="200"/>
        <w:rPr>
          <w:rFonts w:asciiTheme="minorEastAsia" w:hAnsiTheme="minorEastAsia" w:eastAsiaTheme="minorEastAsia"/>
        </w:rPr>
      </w:pPr>
      <w:r>
        <w:rPr>
          <w:rFonts w:hint="eastAsia" w:asciiTheme="minorEastAsia" w:hAnsiTheme="minorEastAsia" w:eastAsiaTheme="minorEastAsia"/>
        </w:rPr>
        <w:t>我单位保证，若所投货物涉及《财政部生态环境部关于印发节能产品政府采购品目清单的通知》（财库〔2019〕19号）列明的政府采购强制产品，则所投该产品符合节能产品的认证要求。</w:t>
      </w:r>
    </w:p>
    <w:p w14:paraId="36F0BC8E">
      <w:pPr>
        <w:ind w:firstLine="420" w:firstLineChars="200"/>
        <w:rPr>
          <w:rFonts w:ascii="宋体" w:hAnsi="宋体"/>
        </w:rPr>
      </w:pPr>
      <w:r>
        <w:rPr>
          <w:rFonts w:hint="eastAsia" w:ascii="宋体" w:hAnsi="宋体"/>
        </w:rPr>
        <w:t>以上承诺，如有违反，愿依照国家相关法律处理，并承担由此给采购人带来的损失。</w:t>
      </w:r>
    </w:p>
    <w:p w14:paraId="4E970411">
      <w:pPr>
        <w:tabs>
          <w:tab w:val="left" w:pos="-3780"/>
        </w:tabs>
        <w:snapToGrid w:val="0"/>
        <w:ind w:firstLine="420" w:firstLineChars="200"/>
      </w:pPr>
    </w:p>
    <w:p w14:paraId="24DF5A70">
      <w:pPr>
        <w:tabs>
          <w:tab w:val="left" w:pos="-3780"/>
        </w:tabs>
        <w:snapToGrid w:val="0"/>
        <w:spacing w:line="288" w:lineRule="auto"/>
        <w:ind w:firstLine="420" w:firstLineChars="200"/>
      </w:pPr>
      <w:r>
        <w:rPr>
          <w:rFonts w:hint="eastAsia"/>
        </w:rPr>
        <w:t>投标人：</w:t>
      </w:r>
      <w:r>
        <w:rPr>
          <w:rFonts w:hint="eastAsia"/>
          <w:u w:val="single"/>
        </w:rPr>
        <w:t xml:space="preserve">                           （公司名全称）</w:t>
      </w:r>
      <w:r>
        <w:rPr>
          <w:rFonts w:hint="eastAsia"/>
        </w:rPr>
        <w:t>（公章）</w:t>
      </w:r>
    </w:p>
    <w:p w14:paraId="5FBE075B">
      <w:pPr>
        <w:tabs>
          <w:tab w:val="left" w:pos="-3780"/>
        </w:tabs>
        <w:snapToGrid w:val="0"/>
        <w:spacing w:line="288" w:lineRule="auto"/>
        <w:ind w:firstLine="420" w:firstLineChars="200"/>
        <w:rPr>
          <w:u w:val="single"/>
        </w:rPr>
      </w:pPr>
      <w:r>
        <w:rPr>
          <w:rFonts w:hint="eastAsia"/>
        </w:rPr>
        <w:t>法定代表人或授权代表：</w:t>
      </w:r>
      <w:r>
        <w:rPr>
          <w:rFonts w:hint="eastAsia"/>
          <w:u w:val="single"/>
        </w:rPr>
        <w:t xml:space="preserve">              （亲笔签名）</w:t>
      </w:r>
    </w:p>
    <w:p w14:paraId="1A8147FC">
      <w:pPr>
        <w:tabs>
          <w:tab w:val="left" w:pos="-3780"/>
        </w:tabs>
        <w:snapToGrid w:val="0"/>
        <w:spacing w:line="288" w:lineRule="auto"/>
        <w:ind w:firstLine="420" w:firstLineChars="200"/>
        <w:rPr>
          <w:u w:val="single"/>
        </w:rPr>
      </w:pPr>
      <w:r>
        <w:rPr>
          <w:rFonts w:hint="eastAsia"/>
        </w:rPr>
        <w:t>通讯地址：</w:t>
      </w:r>
      <w:r>
        <w:rPr>
          <w:rFonts w:hint="eastAsia"/>
          <w:u w:val="single"/>
        </w:rPr>
        <w:t xml:space="preserve">                                         </w:t>
      </w:r>
      <w:r>
        <w:rPr>
          <w:rFonts w:hint="eastAsia"/>
        </w:rPr>
        <w:t>邮政编码：</w:t>
      </w:r>
      <w:r>
        <w:rPr>
          <w:rFonts w:hint="eastAsia"/>
          <w:u w:val="single"/>
        </w:rPr>
        <w:t xml:space="preserve">              </w:t>
      </w:r>
    </w:p>
    <w:p w14:paraId="72DCECA7">
      <w:pPr>
        <w:tabs>
          <w:tab w:val="left" w:pos="-3780"/>
        </w:tabs>
        <w:snapToGrid w:val="0"/>
        <w:spacing w:line="288" w:lineRule="auto"/>
        <w:ind w:firstLine="420" w:firstLineChars="200"/>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1474C507">
      <w:pPr>
        <w:tabs>
          <w:tab w:val="left" w:pos="-3780"/>
        </w:tabs>
        <w:snapToGrid w:val="0"/>
        <w:spacing w:line="288" w:lineRule="auto"/>
        <w:ind w:firstLine="420" w:firstLineChars="200"/>
      </w:pPr>
      <w:r>
        <w:rPr>
          <w:rFonts w:hint="eastAsia"/>
        </w:rPr>
        <w:t>承诺日期：         年     月     日</w:t>
      </w:r>
    </w:p>
    <w:p w14:paraId="0D0BD267">
      <w:pPr>
        <w:tabs>
          <w:tab w:val="left" w:pos="-3780"/>
        </w:tabs>
        <w:spacing w:line="360" w:lineRule="auto"/>
        <w:rPr>
          <w:lang w:val="en-GB"/>
        </w:rPr>
      </w:pPr>
      <w:r>
        <w:rPr>
          <w:rFonts w:hint="eastAsia"/>
          <w:lang w:val="en-GB"/>
        </w:rPr>
        <w:t>注：本承诺函内容不得擅自修改。</w:t>
      </w:r>
      <w:bookmarkEnd w:id="16"/>
      <w:bookmarkEnd w:id="17"/>
      <w:bookmarkEnd w:id="18"/>
    </w:p>
    <w:p w14:paraId="58D0CF95">
      <w:pPr>
        <w:rPr>
          <w:lang w:val="en-GB"/>
        </w:rPr>
      </w:pPr>
    </w:p>
    <w:p w14:paraId="30DD7B69">
      <w:pPr>
        <w:pStyle w:val="3"/>
        <w:jc w:val="center"/>
        <w:rPr>
          <w:rFonts w:hAnsi="宋体" w:eastAsia="宋体"/>
          <w:sz w:val="48"/>
          <w:szCs w:val="48"/>
        </w:rPr>
      </w:pPr>
      <w:r>
        <w:rPr>
          <w:sz w:val="48"/>
          <w:szCs w:val="48"/>
        </w:rPr>
        <w:t>项目经理简历表</w:t>
      </w:r>
    </w:p>
    <w:p w14:paraId="762CA697">
      <w:pPr>
        <w:spacing w:after="160" w:line="360" w:lineRule="auto"/>
        <w:ind w:firstLine="480"/>
        <w:rPr>
          <w:rFonts w:ascii="宋体" w:hAnsi="宋体" w:eastAsia="宋体"/>
          <w:b/>
        </w:rPr>
      </w:pPr>
    </w:p>
    <w:tbl>
      <w:tblPr>
        <w:tblStyle w:val="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533"/>
        <w:gridCol w:w="1243"/>
        <w:gridCol w:w="179"/>
        <w:gridCol w:w="1282"/>
        <w:gridCol w:w="1812"/>
        <w:gridCol w:w="1067"/>
        <w:gridCol w:w="278"/>
        <w:gridCol w:w="1243"/>
      </w:tblGrid>
      <w:tr w14:paraId="2355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5" w:type="dxa"/>
            <w:vAlign w:val="center"/>
          </w:tcPr>
          <w:p w14:paraId="647CFBA0">
            <w:pPr>
              <w:spacing w:after="160" w:line="360" w:lineRule="auto"/>
              <w:ind w:left="-107" w:right="-107"/>
              <w:jc w:val="center"/>
              <w:rPr>
                <w:rFonts w:ascii="宋体" w:hAnsi="Times New Roman" w:eastAsia="Times New Roman"/>
              </w:rPr>
            </w:pPr>
            <w:r>
              <w:rPr>
                <w:rFonts w:hint="eastAsia" w:ascii="宋体" w:hAnsi="宋体" w:eastAsia="宋体" w:cs="宋体"/>
              </w:rPr>
              <w:t>姓</w:t>
            </w:r>
            <w:r>
              <w:rPr>
                <w:rFonts w:ascii="宋体" w:hAnsi="Times New Roman" w:eastAsia="Times New Roman"/>
              </w:rPr>
              <w:t>名</w:t>
            </w:r>
          </w:p>
        </w:tc>
        <w:tc>
          <w:tcPr>
            <w:tcW w:w="1955" w:type="dxa"/>
            <w:gridSpan w:val="3"/>
          </w:tcPr>
          <w:p w14:paraId="46DD89FE">
            <w:pPr>
              <w:spacing w:after="160" w:line="360" w:lineRule="auto"/>
              <w:ind w:left="-107" w:right="-107"/>
              <w:rPr>
                <w:rFonts w:ascii="宋体" w:hAnsi="Times New Roman" w:eastAsia="Times New Roman"/>
              </w:rPr>
            </w:pPr>
          </w:p>
        </w:tc>
        <w:tc>
          <w:tcPr>
            <w:tcW w:w="1282" w:type="dxa"/>
            <w:vAlign w:val="center"/>
          </w:tcPr>
          <w:p w14:paraId="5932377A">
            <w:pPr>
              <w:spacing w:after="160" w:line="360" w:lineRule="auto"/>
              <w:ind w:left="-107" w:right="-107"/>
              <w:jc w:val="center"/>
              <w:rPr>
                <w:rFonts w:ascii="宋体" w:hAnsi="Times New Roman" w:eastAsia="Times New Roman"/>
              </w:rPr>
            </w:pPr>
            <w:r>
              <w:rPr>
                <w:rFonts w:hint="eastAsia" w:ascii="宋体" w:hAnsi="宋体" w:eastAsia="宋体" w:cs="宋体"/>
              </w:rPr>
              <w:t>性</w:t>
            </w:r>
            <w:r>
              <w:rPr>
                <w:rFonts w:ascii="宋体" w:hAnsi="Times New Roman" w:eastAsia="Times New Roman"/>
              </w:rPr>
              <w:t xml:space="preserve">  别</w:t>
            </w:r>
          </w:p>
        </w:tc>
        <w:tc>
          <w:tcPr>
            <w:tcW w:w="1812" w:type="dxa"/>
          </w:tcPr>
          <w:p w14:paraId="0D0658D2">
            <w:pPr>
              <w:spacing w:after="160" w:line="360" w:lineRule="auto"/>
              <w:ind w:left="-107" w:right="-107"/>
              <w:rPr>
                <w:rFonts w:ascii="宋体" w:hAnsi="Times New Roman" w:eastAsia="Times New Roman"/>
              </w:rPr>
            </w:pPr>
          </w:p>
        </w:tc>
        <w:tc>
          <w:tcPr>
            <w:tcW w:w="1067" w:type="dxa"/>
            <w:vAlign w:val="center"/>
          </w:tcPr>
          <w:p w14:paraId="3845AE04">
            <w:pPr>
              <w:spacing w:after="160" w:line="360" w:lineRule="auto"/>
              <w:ind w:left="-107" w:right="-107"/>
              <w:jc w:val="center"/>
              <w:rPr>
                <w:rFonts w:ascii="宋体" w:hAnsi="Times New Roman" w:eastAsia="Times New Roman"/>
              </w:rPr>
            </w:pPr>
            <w:r>
              <w:rPr>
                <w:rFonts w:hint="eastAsia" w:ascii="宋体" w:hAnsi="宋体" w:eastAsia="宋体" w:cs="宋体"/>
              </w:rPr>
              <w:t>年</w:t>
            </w:r>
            <w:r>
              <w:rPr>
                <w:rFonts w:ascii="宋体" w:hAnsi="Times New Roman" w:eastAsia="Times New Roman"/>
              </w:rPr>
              <w:t xml:space="preserve">  龄</w:t>
            </w:r>
          </w:p>
        </w:tc>
        <w:tc>
          <w:tcPr>
            <w:tcW w:w="1521" w:type="dxa"/>
            <w:gridSpan w:val="2"/>
          </w:tcPr>
          <w:p w14:paraId="4249B084">
            <w:pPr>
              <w:spacing w:after="160" w:line="360" w:lineRule="auto"/>
              <w:ind w:left="-107" w:right="-107"/>
              <w:rPr>
                <w:rFonts w:ascii="宋体" w:hAnsi="Times New Roman" w:eastAsia="Times New Roman"/>
              </w:rPr>
            </w:pPr>
          </w:p>
        </w:tc>
      </w:tr>
      <w:tr w14:paraId="1424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85" w:type="dxa"/>
            <w:vAlign w:val="center"/>
          </w:tcPr>
          <w:p w14:paraId="7BA0F1D4">
            <w:pPr>
              <w:spacing w:after="160" w:line="360" w:lineRule="auto"/>
              <w:ind w:left="-107" w:right="-107"/>
              <w:jc w:val="center"/>
              <w:rPr>
                <w:rFonts w:ascii="宋体" w:hAnsi="Times New Roman" w:eastAsia="Times New Roman"/>
              </w:rPr>
            </w:pPr>
            <w:r>
              <w:rPr>
                <w:rFonts w:hint="eastAsia" w:ascii="宋体" w:hAnsi="宋体" w:eastAsia="宋体" w:cs="宋体"/>
              </w:rPr>
              <w:t>职</w:t>
            </w:r>
            <w:r>
              <w:rPr>
                <w:rFonts w:ascii="宋体" w:hAnsi="Times New Roman" w:eastAsia="Times New Roman"/>
              </w:rPr>
              <w:t>务</w:t>
            </w:r>
          </w:p>
        </w:tc>
        <w:tc>
          <w:tcPr>
            <w:tcW w:w="1955" w:type="dxa"/>
            <w:gridSpan w:val="3"/>
          </w:tcPr>
          <w:p w14:paraId="6FEB6D55">
            <w:pPr>
              <w:spacing w:after="160" w:line="360" w:lineRule="auto"/>
              <w:ind w:left="-107" w:right="-107"/>
              <w:rPr>
                <w:rFonts w:ascii="宋体" w:hAnsi="Times New Roman" w:eastAsia="Times New Roman"/>
              </w:rPr>
            </w:pPr>
          </w:p>
        </w:tc>
        <w:tc>
          <w:tcPr>
            <w:tcW w:w="1282" w:type="dxa"/>
            <w:vAlign w:val="center"/>
          </w:tcPr>
          <w:p w14:paraId="40F79879">
            <w:pPr>
              <w:spacing w:after="160" w:line="360" w:lineRule="auto"/>
              <w:ind w:left="-107" w:right="-107"/>
              <w:jc w:val="center"/>
              <w:rPr>
                <w:rFonts w:ascii="宋体" w:hAnsi="Times New Roman" w:eastAsia="Times New Roman"/>
              </w:rPr>
            </w:pPr>
            <w:r>
              <w:rPr>
                <w:rFonts w:hint="eastAsia" w:ascii="宋体" w:hAnsi="宋体" w:eastAsia="宋体" w:cs="宋体"/>
              </w:rPr>
              <w:t>职</w:t>
            </w:r>
            <w:r>
              <w:rPr>
                <w:rFonts w:ascii="宋体" w:hAnsi="Times New Roman" w:eastAsia="Times New Roman"/>
              </w:rPr>
              <w:t xml:space="preserve">  称</w:t>
            </w:r>
          </w:p>
        </w:tc>
        <w:tc>
          <w:tcPr>
            <w:tcW w:w="1812" w:type="dxa"/>
          </w:tcPr>
          <w:p w14:paraId="5592697C">
            <w:pPr>
              <w:spacing w:after="160" w:line="360" w:lineRule="auto"/>
              <w:ind w:left="-107" w:right="-107"/>
              <w:rPr>
                <w:rFonts w:ascii="宋体" w:hAnsi="Times New Roman" w:eastAsia="Times New Roman"/>
              </w:rPr>
            </w:pPr>
          </w:p>
        </w:tc>
        <w:tc>
          <w:tcPr>
            <w:tcW w:w="1067" w:type="dxa"/>
            <w:vAlign w:val="center"/>
          </w:tcPr>
          <w:p w14:paraId="61BEB25C">
            <w:pPr>
              <w:spacing w:after="160" w:line="360" w:lineRule="auto"/>
              <w:ind w:left="-107" w:right="-107"/>
              <w:jc w:val="center"/>
              <w:rPr>
                <w:rFonts w:ascii="宋体" w:hAnsi="Times New Roman" w:eastAsia="Times New Roman"/>
              </w:rPr>
            </w:pPr>
            <w:r>
              <w:rPr>
                <w:rFonts w:hint="eastAsia" w:ascii="宋体" w:hAnsi="宋体" w:eastAsia="宋体" w:cs="宋体"/>
              </w:rPr>
              <w:t>学</w:t>
            </w:r>
            <w:r>
              <w:rPr>
                <w:rFonts w:ascii="宋体" w:hAnsi="Times New Roman" w:eastAsia="Times New Roman"/>
              </w:rPr>
              <w:t xml:space="preserve">  历</w:t>
            </w:r>
          </w:p>
        </w:tc>
        <w:tc>
          <w:tcPr>
            <w:tcW w:w="1521" w:type="dxa"/>
            <w:gridSpan w:val="2"/>
          </w:tcPr>
          <w:p w14:paraId="5AAF54E8">
            <w:pPr>
              <w:spacing w:after="160" w:line="360" w:lineRule="auto"/>
              <w:ind w:left="-107" w:right="-107"/>
              <w:rPr>
                <w:rFonts w:ascii="宋体" w:hAnsi="Times New Roman" w:eastAsia="Times New Roman"/>
              </w:rPr>
            </w:pPr>
          </w:p>
        </w:tc>
      </w:tr>
      <w:tr w14:paraId="0C54D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85" w:type="dxa"/>
            <w:vAlign w:val="center"/>
          </w:tcPr>
          <w:p w14:paraId="3CA301B3">
            <w:pPr>
              <w:spacing w:after="160" w:line="360" w:lineRule="auto"/>
              <w:ind w:left="-107" w:right="-107"/>
              <w:jc w:val="center"/>
              <w:rPr>
                <w:rFonts w:ascii="宋体" w:hAnsi="Times New Roman" w:eastAsia="Times New Roman"/>
              </w:rPr>
            </w:pPr>
            <w:r>
              <w:rPr>
                <w:rFonts w:hint="eastAsia" w:ascii="宋体" w:hAnsi="宋体" w:eastAsia="宋体" w:cs="宋体"/>
              </w:rPr>
              <w:t>手</w:t>
            </w:r>
            <w:r>
              <w:rPr>
                <w:rFonts w:ascii="宋体" w:hAnsi="Times New Roman" w:eastAsia="Times New Roman"/>
              </w:rPr>
              <w:t>机号码</w:t>
            </w:r>
          </w:p>
        </w:tc>
        <w:tc>
          <w:tcPr>
            <w:tcW w:w="1955" w:type="dxa"/>
            <w:gridSpan w:val="3"/>
            <w:vAlign w:val="center"/>
          </w:tcPr>
          <w:p w14:paraId="440737F0">
            <w:pPr>
              <w:spacing w:after="160" w:line="360" w:lineRule="auto"/>
              <w:ind w:left="-107" w:right="-107"/>
              <w:rPr>
                <w:rFonts w:ascii="宋体" w:hAnsi="Times New Roman" w:eastAsia="Times New Roman"/>
              </w:rPr>
            </w:pPr>
          </w:p>
        </w:tc>
        <w:tc>
          <w:tcPr>
            <w:tcW w:w="1282" w:type="dxa"/>
            <w:vAlign w:val="center"/>
          </w:tcPr>
          <w:p w14:paraId="66925571">
            <w:pPr>
              <w:spacing w:after="160" w:line="360" w:lineRule="auto"/>
              <w:ind w:left="-107" w:right="-107"/>
              <w:jc w:val="center"/>
              <w:rPr>
                <w:rFonts w:ascii="宋体" w:hAnsi="Times New Roman" w:eastAsia="Times New Roman"/>
              </w:rPr>
            </w:pPr>
            <w:r>
              <w:rPr>
                <w:rFonts w:hint="eastAsia" w:ascii="宋体" w:hAnsi="宋体" w:eastAsia="宋体" w:cs="宋体"/>
              </w:rPr>
              <w:t>参</w:t>
            </w:r>
            <w:r>
              <w:rPr>
                <w:rFonts w:ascii="宋体" w:hAnsi="Times New Roman" w:eastAsia="Times New Roman"/>
              </w:rPr>
              <w:t>加工作时间</w:t>
            </w:r>
          </w:p>
        </w:tc>
        <w:tc>
          <w:tcPr>
            <w:tcW w:w="1812" w:type="dxa"/>
            <w:vAlign w:val="center"/>
          </w:tcPr>
          <w:p w14:paraId="229D737C">
            <w:pPr>
              <w:spacing w:after="160" w:line="360" w:lineRule="auto"/>
              <w:ind w:left="-107" w:right="-107"/>
              <w:rPr>
                <w:rFonts w:ascii="宋体" w:hAnsi="Times New Roman" w:eastAsia="Times New Roman"/>
              </w:rPr>
            </w:pPr>
          </w:p>
        </w:tc>
        <w:tc>
          <w:tcPr>
            <w:tcW w:w="1067" w:type="dxa"/>
            <w:vAlign w:val="center"/>
          </w:tcPr>
          <w:p w14:paraId="29849BE4">
            <w:pPr>
              <w:spacing w:after="160" w:line="360" w:lineRule="auto"/>
              <w:ind w:left="-107" w:right="-107"/>
              <w:rPr>
                <w:rFonts w:ascii="宋体" w:hAnsi="Times New Roman" w:eastAsia="Times New Roman"/>
              </w:rPr>
            </w:pPr>
            <w:r>
              <w:rPr>
                <w:rFonts w:hint="eastAsia" w:ascii="宋体" w:hAnsi="宋体" w:eastAsia="宋体" w:cs="宋体"/>
              </w:rPr>
              <w:t>从</w:t>
            </w:r>
            <w:r>
              <w:rPr>
                <w:rFonts w:ascii="宋体" w:hAnsi="Times New Roman" w:eastAsia="Times New Roman"/>
              </w:rPr>
              <w:t>事施工管理工作年限</w:t>
            </w:r>
          </w:p>
        </w:tc>
        <w:tc>
          <w:tcPr>
            <w:tcW w:w="1521" w:type="dxa"/>
            <w:gridSpan w:val="2"/>
            <w:vAlign w:val="center"/>
          </w:tcPr>
          <w:p w14:paraId="3819AE7D">
            <w:pPr>
              <w:spacing w:after="160" w:line="360" w:lineRule="auto"/>
              <w:ind w:left="-107" w:right="-107"/>
              <w:rPr>
                <w:rFonts w:ascii="宋体" w:hAnsi="Times New Roman" w:eastAsia="Times New Roman"/>
              </w:rPr>
            </w:pPr>
          </w:p>
        </w:tc>
      </w:tr>
      <w:tr w14:paraId="5E7B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661" w:type="dxa"/>
            <w:gridSpan w:val="3"/>
            <w:vAlign w:val="center"/>
          </w:tcPr>
          <w:p w14:paraId="0910B4F9">
            <w:pPr>
              <w:spacing w:after="160" w:line="360" w:lineRule="auto"/>
              <w:ind w:left="-107" w:right="-107"/>
              <w:jc w:val="center"/>
              <w:rPr>
                <w:rFonts w:ascii="宋体" w:hAnsi="Times New Roman" w:eastAsia="Times New Roman"/>
              </w:rPr>
            </w:pPr>
            <w:r>
              <w:rPr>
                <w:rFonts w:hint="eastAsia" w:ascii="宋体" w:hAnsi="宋体" w:eastAsia="宋体" w:cs="宋体"/>
              </w:rPr>
              <w:t>相</w:t>
            </w:r>
            <w:r>
              <w:rPr>
                <w:rFonts w:ascii="宋体" w:hAnsi="Times New Roman" w:eastAsia="Times New Roman"/>
              </w:rPr>
              <w:t>关资格证书</w:t>
            </w:r>
          </w:p>
        </w:tc>
        <w:tc>
          <w:tcPr>
            <w:tcW w:w="5861" w:type="dxa"/>
            <w:gridSpan w:val="6"/>
            <w:vAlign w:val="center"/>
          </w:tcPr>
          <w:p w14:paraId="02531FBC">
            <w:pPr>
              <w:spacing w:after="160" w:line="360" w:lineRule="auto"/>
              <w:ind w:left="-107" w:right="-107"/>
              <w:rPr>
                <w:rFonts w:ascii="宋体" w:hAnsi="Times New Roman" w:eastAsia="Times New Roman"/>
              </w:rPr>
            </w:pPr>
          </w:p>
        </w:tc>
      </w:tr>
      <w:tr w14:paraId="353B9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522" w:type="dxa"/>
            <w:gridSpan w:val="9"/>
            <w:vAlign w:val="center"/>
          </w:tcPr>
          <w:p w14:paraId="522B97A5">
            <w:pPr>
              <w:spacing w:after="160" w:line="360" w:lineRule="auto"/>
              <w:ind w:left="-107" w:right="-107"/>
              <w:jc w:val="center"/>
              <w:rPr>
                <w:rFonts w:ascii="宋体" w:hAnsi="Times New Roman" w:eastAsia="Times New Roman"/>
              </w:rPr>
            </w:pPr>
            <w:r>
              <w:rPr>
                <w:rFonts w:hint="eastAsia" w:ascii="宋体" w:hAnsi="宋体" w:eastAsia="宋体" w:cs="宋体"/>
              </w:rPr>
              <w:t>在</w:t>
            </w:r>
            <w:r>
              <w:rPr>
                <w:rFonts w:ascii="宋体" w:hAnsi="Times New Roman" w:eastAsia="Times New Roman"/>
              </w:rPr>
              <w:t>建和已完工程项目情况</w:t>
            </w:r>
          </w:p>
        </w:tc>
      </w:tr>
      <w:tr w14:paraId="36F3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418" w:type="dxa"/>
            <w:gridSpan w:val="2"/>
            <w:vAlign w:val="center"/>
          </w:tcPr>
          <w:p w14:paraId="2FCAD050">
            <w:pPr>
              <w:spacing w:after="160" w:line="360" w:lineRule="auto"/>
              <w:ind w:left="-107" w:right="-107"/>
              <w:jc w:val="center"/>
              <w:rPr>
                <w:rFonts w:ascii="宋体" w:hAnsi="Times New Roman" w:eastAsia="Times New Roman"/>
              </w:rPr>
            </w:pPr>
            <w:r>
              <w:rPr>
                <w:rFonts w:hint="eastAsia" w:ascii="宋体" w:hAnsi="宋体" w:eastAsia="宋体" w:cs="宋体"/>
              </w:rPr>
              <w:t>建</w:t>
            </w:r>
            <w:r>
              <w:rPr>
                <w:rFonts w:ascii="宋体" w:hAnsi="Times New Roman" w:eastAsia="Times New Roman"/>
              </w:rPr>
              <w:t>设单位</w:t>
            </w:r>
          </w:p>
        </w:tc>
        <w:tc>
          <w:tcPr>
            <w:tcW w:w="1422" w:type="dxa"/>
            <w:gridSpan w:val="2"/>
            <w:vAlign w:val="center"/>
          </w:tcPr>
          <w:p w14:paraId="7F079C9B">
            <w:pPr>
              <w:spacing w:after="160" w:line="360" w:lineRule="auto"/>
              <w:ind w:left="-107" w:right="-107"/>
              <w:jc w:val="center"/>
              <w:rPr>
                <w:rFonts w:ascii="宋体" w:hAnsi="Times New Roman" w:eastAsia="Times New Roman"/>
              </w:rPr>
            </w:pPr>
            <w:r>
              <w:rPr>
                <w:rFonts w:hint="eastAsia" w:ascii="宋体" w:hAnsi="宋体" w:eastAsia="宋体" w:cs="宋体"/>
              </w:rPr>
              <w:t>项</w:t>
            </w:r>
            <w:r>
              <w:rPr>
                <w:rFonts w:ascii="宋体" w:hAnsi="Times New Roman" w:eastAsia="Times New Roman"/>
              </w:rPr>
              <w:t>目名称</w:t>
            </w:r>
          </w:p>
        </w:tc>
        <w:tc>
          <w:tcPr>
            <w:tcW w:w="1282" w:type="dxa"/>
            <w:vAlign w:val="center"/>
          </w:tcPr>
          <w:p w14:paraId="028A249C">
            <w:pPr>
              <w:spacing w:after="160" w:line="360" w:lineRule="auto"/>
              <w:ind w:left="-107" w:right="-107"/>
              <w:jc w:val="center"/>
              <w:rPr>
                <w:rFonts w:ascii="宋体" w:hAnsi="Times New Roman" w:eastAsia="Times New Roman"/>
              </w:rPr>
            </w:pPr>
            <w:r>
              <w:rPr>
                <w:rFonts w:hint="eastAsia" w:ascii="宋体" w:hAnsi="宋体" w:eastAsia="宋体" w:cs="宋体"/>
              </w:rPr>
              <w:t>建</w:t>
            </w:r>
            <w:r>
              <w:rPr>
                <w:rFonts w:ascii="宋体" w:hAnsi="Times New Roman" w:eastAsia="Times New Roman"/>
              </w:rPr>
              <w:t>设规模</w:t>
            </w:r>
          </w:p>
        </w:tc>
        <w:tc>
          <w:tcPr>
            <w:tcW w:w="1812" w:type="dxa"/>
            <w:vAlign w:val="center"/>
          </w:tcPr>
          <w:p w14:paraId="25FBA90A">
            <w:pPr>
              <w:spacing w:after="160" w:line="360" w:lineRule="auto"/>
              <w:ind w:left="-107" w:right="-107"/>
              <w:jc w:val="center"/>
              <w:rPr>
                <w:rFonts w:ascii="宋体" w:hAnsi="Times New Roman" w:eastAsia="Times New Roman"/>
              </w:rPr>
            </w:pPr>
            <w:r>
              <w:rPr>
                <w:rFonts w:hint="eastAsia" w:ascii="宋体" w:hAnsi="宋体" w:eastAsia="宋体" w:cs="宋体"/>
              </w:rPr>
              <w:t>开</w:t>
            </w:r>
            <w:r>
              <w:rPr>
                <w:rFonts w:ascii="宋体" w:hAnsi="Times New Roman" w:eastAsia="Times New Roman"/>
              </w:rPr>
              <w:t>、竣工日期</w:t>
            </w:r>
          </w:p>
        </w:tc>
        <w:tc>
          <w:tcPr>
            <w:tcW w:w="1345" w:type="dxa"/>
            <w:gridSpan w:val="2"/>
            <w:vAlign w:val="center"/>
          </w:tcPr>
          <w:p w14:paraId="3F42D9C8">
            <w:pPr>
              <w:spacing w:after="160" w:line="360" w:lineRule="auto"/>
              <w:ind w:left="-107" w:right="-107"/>
              <w:jc w:val="center"/>
              <w:rPr>
                <w:rFonts w:ascii="宋体" w:hAnsi="Times New Roman" w:eastAsia="Times New Roman"/>
              </w:rPr>
            </w:pPr>
            <w:r>
              <w:rPr>
                <w:rFonts w:hint="eastAsia" w:ascii="宋体" w:hAnsi="宋体" w:eastAsia="宋体" w:cs="宋体"/>
              </w:rPr>
              <w:t>在</w:t>
            </w:r>
            <w:r>
              <w:rPr>
                <w:rFonts w:ascii="宋体" w:hAnsi="Times New Roman" w:eastAsia="Times New Roman"/>
              </w:rPr>
              <w:t>建或已完</w:t>
            </w:r>
          </w:p>
        </w:tc>
        <w:tc>
          <w:tcPr>
            <w:tcW w:w="1243" w:type="dxa"/>
            <w:vAlign w:val="center"/>
          </w:tcPr>
          <w:p w14:paraId="3ECB8DB7">
            <w:pPr>
              <w:spacing w:after="160" w:line="360" w:lineRule="auto"/>
              <w:ind w:left="-107" w:right="-107"/>
              <w:jc w:val="center"/>
              <w:rPr>
                <w:rFonts w:ascii="宋体" w:hAnsi="Times New Roman" w:eastAsia="Times New Roman"/>
              </w:rPr>
            </w:pPr>
            <w:r>
              <w:rPr>
                <w:rFonts w:hint="eastAsia" w:ascii="宋体" w:hAnsi="宋体" w:eastAsia="宋体" w:cs="宋体"/>
              </w:rPr>
              <w:t>工</w:t>
            </w:r>
            <w:r>
              <w:rPr>
                <w:rFonts w:ascii="宋体" w:hAnsi="Times New Roman" w:eastAsia="Times New Roman"/>
              </w:rPr>
              <w:t>程质量</w:t>
            </w:r>
          </w:p>
        </w:tc>
      </w:tr>
      <w:tr w14:paraId="314D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418" w:type="dxa"/>
            <w:gridSpan w:val="2"/>
          </w:tcPr>
          <w:p w14:paraId="54BBC126">
            <w:pPr>
              <w:spacing w:after="160" w:line="360" w:lineRule="auto"/>
              <w:rPr>
                <w:rFonts w:ascii="宋体" w:hAnsi="Times New Roman" w:eastAsia="Times New Roman"/>
              </w:rPr>
            </w:pPr>
          </w:p>
        </w:tc>
        <w:tc>
          <w:tcPr>
            <w:tcW w:w="1422" w:type="dxa"/>
            <w:gridSpan w:val="2"/>
          </w:tcPr>
          <w:p w14:paraId="3F23CF8D">
            <w:pPr>
              <w:spacing w:after="160" w:line="360" w:lineRule="auto"/>
              <w:rPr>
                <w:rFonts w:ascii="宋体" w:hAnsi="Times New Roman" w:eastAsia="Times New Roman"/>
              </w:rPr>
            </w:pPr>
          </w:p>
        </w:tc>
        <w:tc>
          <w:tcPr>
            <w:tcW w:w="1282" w:type="dxa"/>
          </w:tcPr>
          <w:p w14:paraId="23871662">
            <w:pPr>
              <w:spacing w:after="160" w:line="360" w:lineRule="auto"/>
              <w:rPr>
                <w:rFonts w:ascii="宋体" w:hAnsi="Times New Roman" w:eastAsia="Times New Roman"/>
              </w:rPr>
            </w:pPr>
          </w:p>
        </w:tc>
        <w:tc>
          <w:tcPr>
            <w:tcW w:w="1812" w:type="dxa"/>
          </w:tcPr>
          <w:p w14:paraId="0DE8A68B">
            <w:pPr>
              <w:spacing w:after="160" w:line="360" w:lineRule="auto"/>
              <w:rPr>
                <w:rFonts w:ascii="宋体" w:hAnsi="Times New Roman" w:eastAsia="Times New Roman"/>
              </w:rPr>
            </w:pPr>
          </w:p>
        </w:tc>
        <w:tc>
          <w:tcPr>
            <w:tcW w:w="1345" w:type="dxa"/>
            <w:gridSpan w:val="2"/>
          </w:tcPr>
          <w:p w14:paraId="5F376D2D">
            <w:pPr>
              <w:spacing w:after="160" w:line="360" w:lineRule="auto"/>
              <w:rPr>
                <w:rFonts w:ascii="宋体" w:hAnsi="Times New Roman" w:eastAsia="Times New Roman"/>
              </w:rPr>
            </w:pPr>
          </w:p>
        </w:tc>
        <w:tc>
          <w:tcPr>
            <w:tcW w:w="1243" w:type="dxa"/>
          </w:tcPr>
          <w:p w14:paraId="20F07972">
            <w:pPr>
              <w:spacing w:after="160" w:line="360" w:lineRule="auto"/>
              <w:rPr>
                <w:rFonts w:ascii="宋体" w:hAnsi="Times New Roman" w:eastAsia="Times New Roman"/>
              </w:rPr>
            </w:pPr>
          </w:p>
        </w:tc>
      </w:tr>
      <w:tr w14:paraId="0585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418" w:type="dxa"/>
            <w:gridSpan w:val="2"/>
          </w:tcPr>
          <w:p w14:paraId="38E7008F">
            <w:pPr>
              <w:spacing w:after="160" w:line="360" w:lineRule="auto"/>
              <w:rPr>
                <w:rFonts w:ascii="宋体" w:hAnsi="Times New Roman" w:eastAsia="Times New Roman"/>
              </w:rPr>
            </w:pPr>
          </w:p>
        </w:tc>
        <w:tc>
          <w:tcPr>
            <w:tcW w:w="1422" w:type="dxa"/>
            <w:gridSpan w:val="2"/>
          </w:tcPr>
          <w:p w14:paraId="74283C4E">
            <w:pPr>
              <w:spacing w:after="160" w:line="360" w:lineRule="auto"/>
              <w:rPr>
                <w:rFonts w:ascii="宋体" w:hAnsi="Times New Roman" w:eastAsia="Times New Roman"/>
              </w:rPr>
            </w:pPr>
          </w:p>
        </w:tc>
        <w:tc>
          <w:tcPr>
            <w:tcW w:w="1282" w:type="dxa"/>
          </w:tcPr>
          <w:p w14:paraId="02C91A77">
            <w:pPr>
              <w:spacing w:after="160" w:line="360" w:lineRule="auto"/>
              <w:rPr>
                <w:rFonts w:ascii="宋体" w:hAnsi="Times New Roman" w:eastAsia="Times New Roman"/>
              </w:rPr>
            </w:pPr>
          </w:p>
        </w:tc>
        <w:tc>
          <w:tcPr>
            <w:tcW w:w="1812" w:type="dxa"/>
          </w:tcPr>
          <w:p w14:paraId="2317F77B">
            <w:pPr>
              <w:spacing w:after="160" w:line="360" w:lineRule="auto"/>
              <w:rPr>
                <w:rFonts w:ascii="宋体" w:hAnsi="Times New Roman" w:eastAsia="Times New Roman"/>
              </w:rPr>
            </w:pPr>
          </w:p>
        </w:tc>
        <w:tc>
          <w:tcPr>
            <w:tcW w:w="1345" w:type="dxa"/>
            <w:gridSpan w:val="2"/>
          </w:tcPr>
          <w:p w14:paraId="47291B1C">
            <w:pPr>
              <w:spacing w:after="160" w:line="360" w:lineRule="auto"/>
              <w:rPr>
                <w:rFonts w:ascii="宋体" w:hAnsi="Times New Roman" w:eastAsia="Times New Roman"/>
              </w:rPr>
            </w:pPr>
          </w:p>
        </w:tc>
        <w:tc>
          <w:tcPr>
            <w:tcW w:w="1243" w:type="dxa"/>
          </w:tcPr>
          <w:p w14:paraId="00C0E79A">
            <w:pPr>
              <w:spacing w:after="160" w:line="360" w:lineRule="auto"/>
              <w:rPr>
                <w:rFonts w:ascii="宋体" w:hAnsi="Times New Roman" w:eastAsia="Times New Roman"/>
              </w:rPr>
            </w:pPr>
          </w:p>
        </w:tc>
      </w:tr>
    </w:tbl>
    <w:p w14:paraId="11E02E76">
      <w:pPr>
        <w:spacing w:after="160" w:line="360" w:lineRule="auto"/>
        <w:ind w:right="-89"/>
        <w:jc w:val="left"/>
        <w:rPr>
          <w:rFonts w:ascii="宋体" w:hAnsi="宋体" w:eastAsia="宋体"/>
        </w:rPr>
      </w:pPr>
      <w:bookmarkStart w:id="19" w:name="_2.8_拟任本项目管理及技术人员"/>
      <w:bookmarkEnd w:id="19"/>
      <w:bookmarkStart w:id="20" w:name="_技术条款响应表"/>
      <w:bookmarkEnd w:id="20"/>
      <w:bookmarkStart w:id="21" w:name="_详细配置及工程量清单"/>
      <w:bookmarkEnd w:id="21"/>
      <w:bookmarkStart w:id="22" w:name="_保证金退付书"/>
      <w:bookmarkEnd w:id="22"/>
      <w:bookmarkStart w:id="23" w:name="_投标报价一览表"/>
      <w:bookmarkEnd w:id="23"/>
      <w:bookmarkStart w:id="24" w:name="_附__件"/>
      <w:bookmarkEnd w:id="24"/>
      <w:bookmarkStart w:id="25" w:name="_商务条款响应表"/>
      <w:bookmarkEnd w:id="25"/>
    </w:p>
    <w:tbl>
      <w:tblPr>
        <w:tblStyle w:val="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14:paraId="3116B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5" w:hRule="atLeast"/>
          <w:jc w:val="center"/>
        </w:trPr>
        <w:tc>
          <w:tcPr>
            <w:tcW w:w="4261" w:type="dxa"/>
            <w:shd w:val="clear" w:color="000000" w:fill="auto"/>
            <w:vAlign w:val="center"/>
          </w:tcPr>
          <w:p w14:paraId="40C10EC9">
            <w:pPr>
              <w:spacing w:after="160" w:line="360" w:lineRule="auto"/>
              <w:ind w:right="-89"/>
              <w:jc w:val="center"/>
              <w:rPr>
                <w:rFonts w:ascii="宋体" w:hAnsi="宋体" w:eastAsia="宋体"/>
              </w:rPr>
            </w:pPr>
            <w:r>
              <w:rPr>
                <w:rFonts w:ascii="宋体" w:hAnsi="宋体" w:eastAsia="宋体"/>
              </w:rPr>
              <w:t>身份证正面</w:t>
            </w:r>
          </w:p>
        </w:tc>
        <w:tc>
          <w:tcPr>
            <w:tcW w:w="4261" w:type="dxa"/>
            <w:shd w:val="clear" w:color="000000" w:fill="auto"/>
            <w:vAlign w:val="center"/>
          </w:tcPr>
          <w:p w14:paraId="40266C58">
            <w:pPr>
              <w:spacing w:after="160" w:line="360" w:lineRule="auto"/>
              <w:ind w:right="-89"/>
              <w:jc w:val="center"/>
              <w:rPr>
                <w:rFonts w:ascii="宋体" w:hAnsi="宋体" w:eastAsia="宋体"/>
              </w:rPr>
            </w:pPr>
            <w:r>
              <w:rPr>
                <w:rFonts w:ascii="宋体" w:hAnsi="宋体" w:eastAsia="宋体"/>
              </w:rPr>
              <w:t>身份证反面</w:t>
            </w:r>
          </w:p>
        </w:tc>
      </w:tr>
    </w:tbl>
    <w:p w14:paraId="1BEF2858">
      <w:pPr>
        <w:spacing w:after="160" w:line="360" w:lineRule="auto"/>
        <w:ind w:right="-89" w:firstLine="482"/>
        <w:jc w:val="left"/>
        <w:rPr>
          <w:rFonts w:ascii="宋体" w:hAnsi="宋体" w:eastAsia="宋体"/>
        </w:rPr>
      </w:pPr>
    </w:p>
    <w:p w14:paraId="1EE3A5E3">
      <w:pPr>
        <w:spacing w:after="160" w:line="360" w:lineRule="auto"/>
        <w:ind w:right="-89" w:firstLine="482"/>
        <w:jc w:val="left"/>
        <w:rPr>
          <w:rFonts w:ascii="宋体" w:hAnsi="宋体" w:eastAsia="宋体"/>
        </w:rPr>
      </w:pPr>
      <w:r>
        <w:rPr>
          <w:rFonts w:ascii="宋体" w:hAnsi="宋体" w:eastAsia="宋体"/>
        </w:rPr>
        <w:t>投标人名称：（盖章）</w:t>
      </w:r>
    </w:p>
    <w:p w14:paraId="10B90FE3">
      <w:pPr>
        <w:spacing w:after="160" w:line="360" w:lineRule="auto"/>
        <w:ind w:right="-89" w:firstLine="482"/>
        <w:jc w:val="left"/>
        <w:rPr>
          <w:rFonts w:ascii="宋体" w:hAnsi="宋体" w:eastAsia="宋体"/>
        </w:rPr>
      </w:pPr>
      <w:r>
        <w:rPr>
          <w:rFonts w:ascii="宋体" w:hAnsi="宋体" w:eastAsia="宋体"/>
        </w:rPr>
        <w:t xml:space="preserve">投标人授权代表签字：          </w:t>
      </w:r>
    </w:p>
    <w:p w14:paraId="2F48DF3B">
      <w:pPr>
        <w:spacing w:line="360" w:lineRule="auto"/>
        <w:ind w:firstLine="420" w:firstLineChars="200"/>
      </w:pPr>
      <w:r>
        <w:rPr>
          <w:rFonts w:ascii="宋体" w:hAnsi="宋体" w:eastAsia="宋体"/>
        </w:rPr>
        <w:t>日    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4BC6">
    <w:pPr>
      <w:pStyle w:val="6"/>
    </w:pPr>
    <w:r>
      <w:rPr>
        <w:rFonts w:hint="eastAsia"/>
      </w:rPr>
      <w:t>深圳大学后勤</w:t>
    </w:r>
    <w:r>
      <w:t>保障部</w:t>
    </w:r>
    <w:r>
      <w:rPr>
        <w:rFonts w:hint="eastAsia"/>
      </w:rPr>
      <w:t>竞价</w:t>
    </w:r>
    <w:r>
      <w:t>采购文件</w:t>
    </w:r>
  </w:p>
  <w:p w14:paraId="29D5F6C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43A01"/>
    <w:multiLevelType w:val="singleLevel"/>
    <w:tmpl w:val="FC743A01"/>
    <w:lvl w:ilvl="0" w:tentative="0">
      <w:start w:val="1"/>
      <w:numFmt w:val="chineseCounting"/>
      <w:suff w:val="nothing"/>
      <w:lvlText w:val="（%1）"/>
      <w:lvlJc w:val="left"/>
      <w:pPr>
        <w:ind w:left="0" w:firstLine="420"/>
      </w:pPr>
      <w:rPr>
        <w:rFonts w:hint="eastAsia"/>
      </w:rPr>
    </w:lvl>
  </w:abstractNum>
  <w:abstractNum w:abstractNumId="1">
    <w:nsid w:val="1286CE58"/>
    <w:multiLevelType w:val="singleLevel"/>
    <w:tmpl w:val="1286CE58"/>
    <w:lvl w:ilvl="0" w:tentative="0">
      <w:start w:val="1"/>
      <w:numFmt w:val="chineseCounting"/>
      <w:suff w:val="nothing"/>
      <w:lvlText w:val="（%1）"/>
      <w:lvlJc w:val="left"/>
      <w:pPr>
        <w:ind w:left="0" w:firstLine="420"/>
      </w:pPr>
      <w:rPr>
        <w:rFonts w:hint="eastAsia"/>
      </w:rPr>
    </w:lvl>
  </w:abstractNum>
  <w:abstractNum w:abstractNumId="2">
    <w:nsid w:val="3DAB3695"/>
    <w:multiLevelType w:val="singleLevel"/>
    <w:tmpl w:val="3DAB3695"/>
    <w:lvl w:ilvl="0" w:tentative="0">
      <w:start w:val="1"/>
      <w:numFmt w:val="chineseCounting"/>
      <w:suff w:val="nothing"/>
      <w:lvlText w:val="%1、"/>
      <w:lvlJc w:val="left"/>
      <w:rPr>
        <w:rFonts w:hint="eastAsia"/>
      </w:rPr>
    </w:lvl>
  </w:abstractNum>
  <w:abstractNum w:abstractNumId="3">
    <w:nsid w:val="581D1325"/>
    <w:multiLevelType w:val="multilevel"/>
    <w:tmpl w:val="581D132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121"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D6075A3"/>
    <w:multiLevelType w:val="multilevel"/>
    <w:tmpl w:val="5D6075A3"/>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71"/>
    <w:rsid w:val="00004AD3"/>
    <w:rsid w:val="001E5571"/>
    <w:rsid w:val="002361C6"/>
    <w:rsid w:val="002375A7"/>
    <w:rsid w:val="00282103"/>
    <w:rsid w:val="002A40C7"/>
    <w:rsid w:val="002E2D0C"/>
    <w:rsid w:val="002F2AB9"/>
    <w:rsid w:val="003218D6"/>
    <w:rsid w:val="003C764B"/>
    <w:rsid w:val="00484EB1"/>
    <w:rsid w:val="00522F72"/>
    <w:rsid w:val="005855C5"/>
    <w:rsid w:val="005C1434"/>
    <w:rsid w:val="005F69FB"/>
    <w:rsid w:val="006322D6"/>
    <w:rsid w:val="006C012E"/>
    <w:rsid w:val="007C188D"/>
    <w:rsid w:val="007E72E4"/>
    <w:rsid w:val="009B4D12"/>
    <w:rsid w:val="00A623DA"/>
    <w:rsid w:val="00AB122A"/>
    <w:rsid w:val="00AE20D8"/>
    <w:rsid w:val="00B30203"/>
    <w:rsid w:val="00B74FA8"/>
    <w:rsid w:val="00BF7ECC"/>
    <w:rsid w:val="00C314C6"/>
    <w:rsid w:val="00D1032E"/>
    <w:rsid w:val="00E51A4D"/>
    <w:rsid w:val="00E748C3"/>
    <w:rsid w:val="00EC10E7"/>
    <w:rsid w:val="00F74811"/>
    <w:rsid w:val="00FE68A8"/>
    <w:rsid w:val="1B65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6"/>
    <w:autoRedefine/>
    <w:qFormat/>
    <w:uiPriority w:val="0"/>
    <w:pPr>
      <w:ind w:firstLine="420"/>
    </w:pPr>
    <w:rPr>
      <w:rFonts w:ascii="Times New Roman" w:hAnsi="Times New Roman" w:eastAsia="宋体" w:cs="Times New Roman"/>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qFormat/>
    <w:uiPriority w:val="39"/>
    <w:pPr>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qFormat/>
    <w:uiPriority w:val="0"/>
    <w:rPr>
      <w:sz w:val="21"/>
      <w:szCs w:val="21"/>
    </w:rPr>
  </w:style>
  <w:style w:type="character" w:customStyle="1" w:styleId="11">
    <w:name w:val="页眉 Char"/>
    <w:basedOn w:val="9"/>
    <w:link w:val="6"/>
    <w:uiPriority w:val="99"/>
    <w:rPr>
      <w:sz w:val="18"/>
      <w:szCs w:val="18"/>
    </w:rPr>
  </w:style>
  <w:style w:type="character" w:customStyle="1" w:styleId="12">
    <w:name w:val="页脚 Char"/>
    <w:basedOn w:val="9"/>
    <w:link w:val="5"/>
    <w:uiPriority w:val="99"/>
    <w:rPr>
      <w:sz w:val="18"/>
      <w:szCs w:val="18"/>
    </w:rPr>
  </w:style>
  <w:style w:type="character" w:customStyle="1" w:styleId="13">
    <w:name w:val="标题 1 Char"/>
    <w:basedOn w:val="9"/>
    <w:link w:val="2"/>
    <w:qFormat/>
    <w:uiPriority w:val="9"/>
    <w:rPr>
      <w:b/>
      <w:bCs/>
      <w:kern w:val="44"/>
      <w:sz w:val="44"/>
      <w:szCs w:val="44"/>
    </w:rPr>
  </w:style>
  <w:style w:type="character" w:customStyle="1" w:styleId="14">
    <w:name w:val="标题 2 Char"/>
    <w:basedOn w:val="9"/>
    <w:link w:val="3"/>
    <w:qFormat/>
    <w:uiPriority w:val="9"/>
    <w:rPr>
      <w:rFonts w:asciiTheme="majorHAnsi" w:hAnsiTheme="majorHAnsi" w:eastAsiaTheme="majorEastAsia" w:cstheme="majorBidi"/>
      <w:b/>
      <w:bCs/>
      <w:sz w:val="32"/>
      <w:szCs w:val="32"/>
    </w:rPr>
  </w:style>
  <w:style w:type="paragraph" w:styleId="15">
    <w:name w:val="List Paragraph"/>
    <w:autoRedefine/>
    <w:qFormat/>
    <w:uiPriority w:val="34"/>
    <w:pPr>
      <w:ind w:left="850"/>
      <w:jc w:val="both"/>
    </w:pPr>
    <w:rPr>
      <w:rFonts w:ascii="宋体" w:hAnsi="宋体" w:eastAsia="Times New Roman" w:cs="Times New Roman"/>
      <w:kern w:val="0"/>
      <w:sz w:val="21"/>
      <w:szCs w:val="21"/>
      <w:lang w:val="en-US" w:eastAsia="zh-CN" w:bidi="ar-SA"/>
    </w:rPr>
  </w:style>
  <w:style w:type="character" w:customStyle="1" w:styleId="16">
    <w:name w:val="正文缩进 Char"/>
    <w:link w:val="4"/>
    <w:autoRedefine/>
    <w:qFormat/>
    <w:uiPriority w:val="0"/>
    <w:rPr>
      <w:rFonts w:ascii="Times New Roman" w:hAnsi="Times New Roman" w:eastAsia="宋体" w:cs="Times New Roman"/>
      <w:szCs w:val="20"/>
    </w:r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Pages>
  <Words>11628</Words>
  <Characters>11900</Characters>
  <Lines>94</Lines>
  <Paragraphs>26</Paragraphs>
  <TotalTime>41</TotalTime>
  <ScaleCrop>false</ScaleCrop>
  <LinksUpToDate>false</LinksUpToDate>
  <CharactersWithSpaces>12449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2024-06-05T08:13:00Z</dcterms:created>
  <dc:creator>Microsoft</dc:creator>
  <cp:lastModifiedBy>ysf</cp:lastModifiedBy>
  <dcterms:modified xsi:type="dcterms:W3CDTF">2025-03-14T00:59:23Z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eyJoZGlkIjoiYzFiM2ZlMTdjMjgyMDVjZTk1NThhNTljZWQwNmM2NjYiLCJ1c2VySWQiOiI2NDYxODg5NjMifQ==</vt:lpwstr>
  </property>
  <property fmtid="{D5CDD505-2E9C-101B-9397-08002B2CF9AE}" pid="3" name="KSOProductBuildVer">
    <vt:lpwstr>2052-12.1.0.20305</vt:lpwstr>
  </property>
  <property fmtid="{D5CDD505-2E9C-101B-9397-08002B2CF9AE}" pid="4" name="ICV">
    <vt:lpwstr>E106F1D5CA8B48ED886509CCDF23AAC6_12</vt:lpwstr>
  </property>
</Properties>
</file>