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A9655">
      <w:pPr>
        <w:pStyle w:val="4"/>
        <w:jc w:val="center"/>
        <w:outlineLvl w:val="1"/>
      </w:pPr>
      <w:r>
        <w:rPr>
          <w:b/>
          <w:sz w:val="36"/>
        </w:rPr>
        <w:t>采购需求</w:t>
      </w:r>
    </w:p>
    <w:p w14:paraId="753F5D24">
      <w:pPr>
        <w:pStyle w:val="4"/>
      </w:pPr>
      <w:r>
        <w:rPr>
          <w:b/>
          <w:sz w:val="24"/>
        </w:rPr>
        <w:t>一、项目概况：</w:t>
      </w:r>
    </w:p>
    <w:p w14:paraId="037C96D7">
      <w:pPr>
        <w:pStyle w:val="4"/>
        <w:ind w:firstLine="420"/>
        <w:rPr>
          <w:rFonts w:hint="eastAsia" w:eastAsiaTheme="minorEastAsia"/>
          <w:lang w:eastAsia="zh-CN"/>
        </w:rPr>
      </w:pPr>
      <w:r>
        <w:rPr>
          <w:sz w:val="21"/>
        </w:rPr>
        <w:t>1、项目名称：</w:t>
      </w:r>
      <w:r>
        <w:rPr>
          <w:rFonts w:hint="eastAsia"/>
          <w:sz w:val="21"/>
          <w:lang w:eastAsia="zh-CN"/>
        </w:rPr>
        <w:t>省道S118线四会河东桥危旧桥梁改造工程</w:t>
      </w:r>
    </w:p>
    <w:p w14:paraId="0B7EAB7A">
      <w:pPr>
        <w:pStyle w:val="4"/>
        <w:ind w:firstLine="420"/>
        <w:jc w:val="both"/>
      </w:pPr>
      <w:r>
        <w:rPr>
          <w:sz w:val="21"/>
        </w:rPr>
        <w:t>2、建设地点：肇庆市四会市</w:t>
      </w:r>
    </w:p>
    <w:p w14:paraId="4639327B">
      <w:pPr>
        <w:pStyle w:val="4"/>
        <w:ind w:firstLine="420"/>
        <w:jc w:val="both"/>
      </w:pPr>
      <w:r>
        <w:rPr>
          <w:sz w:val="21"/>
        </w:rPr>
        <w:t>3、建设单位：四会市公路事务中心</w:t>
      </w:r>
    </w:p>
    <w:p w14:paraId="4A0EDF70">
      <w:pPr>
        <w:pStyle w:val="4"/>
        <w:ind w:firstLine="420"/>
        <w:jc w:val="both"/>
      </w:pPr>
      <w:r>
        <w:rPr>
          <w:sz w:val="21"/>
        </w:rPr>
        <w:t>4、工程概况：</w:t>
      </w:r>
      <w:r>
        <w:rPr>
          <w:rFonts w:hint="eastAsia"/>
          <w:sz w:val="21"/>
        </w:rPr>
        <w:t>四会市S118线河东桥，中心桩号为K162+526.47,本项目主要为拆除旧桥上部结构后,重建1-7.5m 装配式钢筋砼实心板结构。凿除部分旧桥台，重做台帽，对旧桥前墙及渠底采用外包混凝土进行加固。本次重建工程根据桥梁前后道路标高对桥面标高进行调顺。桥梁由于桥梁斜交角度较小，角度为17.1°。桥梁全长按路中线在桥面系范围内的长度计，本项目设计起点桩号为K162+499.1，终点桩号为K162+559.7，全长60.6m，桥梁全宽与道路宽度相同(包含路基宽度)为30m。</w:t>
      </w:r>
    </w:p>
    <w:p w14:paraId="59613551">
      <w:pPr>
        <w:pStyle w:val="4"/>
        <w:ind w:firstLine="420"/>
        <w:jc w:val="both"/>
      </w:pPr>
      <w:r>
        <w:rPr>
          <w:sz w:val="21"/>
        </w:rPr>
        <w:t>5、技术标准：</w:t>
      </w:r>
    </w:p>
    <w:p w14:paraId="27C3CF4A">
      <w:pPr>
        <w:pStyle w:val="4"/>
        <w:ind w:firstLine="420"/>
      </w:pPr>
      <w:r>
        <w:rPr>
          <w:sz w:val="21"/>
        </w:rPr>
        <w:t>（1）公路等级：一级公路；</w:t>
      </w:r>
    </w:p>
    <w:p w14:paraId="4753E046">
      <w:pPr>
        <w:pStyle w:val="4"/>
        <w:ind w:firstLine="420"/>
        <w:rPr>
          <w:sz w:val="21"/>
        </w:rPr>
      </w:pPr>
      <w:r>
        <w:rPr>
          <w:sz w:val="21"/>
        </w:rPr>
        <w:t>（2）设计速度：60km/h；</w:t>
      </w:r>
    </w:p>
    <w:p w14:paraId="52626573">
      <w:pPr>
        <w:pStyle w:val="4"/>
        <w:ind w:firstLine="420"/>
        <w:rPr>
          <w:sz w:val="21"/>
        </w:rPr>
      </w:pPr>
      <w:r>
        <w:rPr>
          <w:sz w:val="21"/>
        </w:rPr>
        <w:t>（3）</w:t>
      </w:r>
      <w:r>
        <w:rPr>
          <w:rFonts w:hint="eastAsia"/>
          <w:sz w:val="21"/>
        </w:rPr>
        <w:t>桥梁全宽</w:t>
      </w:r>
      <w:r>
        <w:rPr>
          <w:sz w:val="21"/>
        </w:rPr>
        <w:t>：</w:t>
      </w:r>
      <w:r>
        <w:rPr>
          <w:rFonts w:hint="default"/>
          <w:sz w:val="21"/>
        </w:rPr>
        <w:t>149m</w:t>
      </w:r>
      <w:r>
        <w:rPr>
          <w:sz w:val="21"/>
        </w:rPr>
        <w:t>；</w:t>
      </w:r>
    </w:p>
    <w:p w14:paraId="1EC8E152">
      <w:pPr>
        <w:pStyle w:val="4"/>
        <w:ind w:firstLine="420"/>
        <w:rPr>
          <w:sz w:val="21"/>
        </w:rPr>
      </w:pPr>
      <w:r>
        <w:rPr>
          <w:sz w:val="21"/>
        </w:rPr>
        <w:t>（4）</w:t>
      </w:r>
      <w:r>
        <w:rPr>
          <w:rFonts w:hint="eastAsia"/>
          <w:sz w:val="21"/>
        </w:rPr>
        <w:t>桥梁净跨径</w:t>
      </w:r>
      <w:r>
        <w:rPr>
          <w:sz w:val="21"/>
        </w:rPr>
        <w:t>：</w:t>
      </w:r>
      <w:r>
        <w:rPr>
          <w:rFonts w:hint="default"/>
          <w:sz w:val="21"/>
        </w:rPr>
        <w:t>7m</w:t>
      </w:r>
      <w:r>
        <w:rPr>
          <w:sz w:val="21"/>
        </w:rPr>
        <w:t>；</w:t>
      </w:r>
    </w:p>
    <w:p w14:paraId="6BA3ED07">
      <w:pPr>
        <w:pStyle w:val="4"/>
        <w:ind w:firstLine="420"/>
        <w:rPr>
          <w:sz w:val="21"/>
        </w:rPr>
      </w:pPr>
      <w:r>
        <w:rPr>
          <w:sz w:val="21"/>
        </w:rPr>
        <w:t>（5）路面类型：沥青路面；</w:t>
      </w:r>
    </w:p>
    <w:p w14:paraId="278E4B0F">
      <w:pPr>
        <w:pStyle w:val="4"/>
        <w:ind w:firstLine="420"/>
      </w:pPr>
      <w:r>
        <w:rPr>
          <w:sz w:val="21"/>
        </w:rPr>
        <w:t>（6）</w:t>
      </w:r>
      <w:r>
        <w:rPr>
          <w:rFonts w:hint="eastAsia"/>
          <w:sz w:val="21"/>
        </w:rPr>
        <w:t>设计荷载</w:t>
      </w:r>
      <w:r>
        <w:rPr>
          <w:sz w:val="21"/>
        </w:rPr>
        <w:t>：</w:t>
      </w:r>
      <w:r>
        <w:rPr>
          <w:rFonts w:hint="eastAsia"/>
          <w:sz w:val="21"/>
        </w:rPr>
        <w:t>汽</w:t>
      </w:r>
      <w:r>
        <w:rPr>
          <w:rFonts w:hint="default"/>
          <w:sz w:val="21"/>
        </w:rPr>
        <w:t>-20</w:t>
      </w:r>
      <w:r>
        <w:rPr>
          <w:rFonts w:hint="eastAsia"/>
          <w:sz w:val="21"/>
        </w:rPr>
        <w:t>、挂</w:t>
      </w:r>
      <w:r>
        <w:rPr>
          <w:rFonts w:hint="default"/>
          <w:sz w:val="21"/>
        </w:rPr>
        <w:t>-100</w:t>
      </w:r>
      <w:r>
        <w:rPr>
          <w:sz w:val="21"/>
        </w:rPr>
        <w:t>。</w:t>
      </w:r>
    </w:p>
    <w:p w14:paraId="095F1CEF">
      <w:pPr>
        <w:pStyle w:val="4"/>
        <w:jc w:val="both"/>
      </w:pPr>
      <w:r>
        <w:rPr>
          <w:b/>
          <w:sz w:val="24"/>
        </w:rPr>
        <w:t>二、报价要求：</w:t>
      </w:r>
    </w:p>
    <w:p w14:paraId="7D1BAB4B">
      <w:pPr>
        <w:pStyle w:val="4"/>
        <w:ind w:firstLine="420"/>
      </w:pPr>
      <w:r>
        <w:rPr>
          <w:sz w:val="21"/>
        </w:rPr>
        <w:t>（1）本项目投标报价按招文及工程量清单说明要求采用工程量固化清单总报价填报，报价不能大于预算金额</w:t>
      </w:r>
      <w:r>
        <w:rPr>
          <w:rFonts w:hint="eastAsia"/>
          <w:sz w:val="21"/>
          <w:lang w:eastAsia="zh-CN"/>
        </w:rPr>
        <w:t>3769505</w:t>
      </w:r>
      <w:r>
        <w:rPr>
          <w:sz w:val="21"/>
        </w:rPr>
        <w:t>.00元，否则投标无效。且要求供应商须在投标（响应）文件中提供已标价工程量清单（包括清单说明）。</w:t>
      </w:r>
    </w:p>
    <w:p w14:paraId="4D4D2706">
      <w:pPr>
        <w:pStyle w:val="4"/>
        <w:ind w:firstLine="420"/>
      </w:pPr>
      <w:r>
        <w:rPr>
          <w:sz w:val="21"/>
        </w:rPr>
        <w:t>（2）投标人应被认为在填报投标报价之前，已经仔细阅读了本招标文件的所有有关章节以及审查了所有相关资料，已确保本次招标的所有范围内的各种价格风险均已包含在投标报价内。投标报价后，任何因投标人的疏漏而提出的不利于采购人的合同调价申请将不被接受。</w:t>
      </w:r>
    </w:p>
    <w:p w14:paraId="00A10671">
      <w:pPr>
        <w:pStyle w:val="4"/>
        <w:ind w:firstLine="420"/>
      </w:pPr>
      <w:r>
        <w:rPr>
          <w:sz w:val="21"/>
        </w:rPr>
        <w:t>（3）投标报价必须包含施工费、运输费、税费、保险费、负责装车、人工、验收、代理服务费（中标服务费）、利润和履约过程可预见或不可预见的一切费用，以及供应商认为必要的其他货物、材料、服务，费用不管是否在投标人报价中单列，均视为投标报价总价中已包括该费用，采购人将不予支付除招标文件及承包合同约定的由采购人承担的风险因素之外的任何补偿。</w:t>
      </w:r>
    </w:p>
    <w:p w14:paraId="00FFB575">
      <w:pPr>
        <w:pStyle w:val="4"/>
        <w:ind w:firstLine="630"/>
      </w:pPr>
      <w:r>
        <w:rPr>
          <w:sz w:val="21"/>
        </w:rPr>
        <w:t>提醒： (1)投标报价各种取费项目及计取标准不得超出政府造价管理部门相关规定。（2）采购品种数量以实际发生为准，按实结算，总金额不超出本项目预算金额。施工内容以采购人最终确认为准。中标供应商不能因实际发生量与预算服务量有差异而向采购人进行索赔。</w:t>
      </w:r>
    </w:p>
    <w:p w14:paraId="3666855E">
      <w:pPr>
        <w:pStyle w:val="4"/>
      </w:pPr>
      <w:r>
        <w:rPr>
          <w:sz w:val="21"/>
        </w:rPr>
        <w:t>（3）报价人应承担所有与编写和提交响应文件有关的费用，不论投标的结果如何，采购代理机构、采购人在任何情况下均无义务和责任承担这些费用。（4）成交人不许转包，不许擅自分包。不许随意更换项目负责人，如确须更换，则事前须征得采购人同意，如有违反，一经发现取消中标资格，并赔偿由此造成的一切损失(包含质量安全事故、拖延工期、增加投资等损失)。在施工过程中，项目负责人如不到位，则在工程款中扣除2%作为处罚，造成损失的，按实际发生额赔偿。（5）报价人中标后，如因采购人的原因取消建设的，成交人应无条件服从，不得因此向采购人提出任何索赔。</w:t>
      </w:r>
    </w:p>
    <w:p w14:paraId="41187FC8">
      <w:pPr>
        <w:pStyle w:val="4"/>
      </w:pPr>
      <w:r>
        <w:t>采购包1（</w:t>
      </w:r>
      <w:r>
        <w:rPr>
          <w:rFonts w:hint="eastAsia"/>
          <w:lang w:eastAsia="zh-CN"/>
        </w:rPr>
        <w:t>省道S118线四会河东桥危旧桥梁改造工程</w:t>
      </w:r>
      <w:r>
        <w:t>）</w:t>
      </w:r>
    </w:p>
    <w:p w14:paraId="422635D3">
      <w:pPr>
        <w:pStyle w:val="4"/>
      </w:pPr>
      <w:bookmarkStart w:id="0" w:name="_GoBack"/>
      <w:bookmarkEnd w:id="0"/>
      <w:r>
        <w:rPr>
          <w:b/>
        </w:rPr>
        <w:t>1.主要商务要求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21"/>
        <w:gridCol w:w="4901"/>
      </w:tblGrid>
      <w:tr w14:paraId="71CE3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9DF64C">
            <w:pPr>
              <w:pStyle w:val="4"/>
            </w:pPr>
            <w:r>
              <w:t>标的提供的时间</w:t>
            </w:r>
          </w:p>
        </w:tc>
        <w:tc>
          <w:tcPr>
            <w:tcW w:w="4153" w:type="dxa"/>
          </w:tcPr>
          <w:p w14:paraId="5D2321B6">
            <w:pPr>
              <w:pStyle w:val="4"/>
            </w:pPr>
            <w:r>
              <w:t>施工工期</w:t>
            </w:r>
            <w:r>
              <w:rPr>
                <w:rFonts w:hint="eastAsia"/>
                <w:lang w:eastAsia="zh-CN"/>
              </w:rPr>
              <w:t>180</w:t>
            </w:r>
            <w:r>
              <w:t>天（具体时间以监理签署开工令开始计算）。保修期限：1年</w:t>
            </w:r>
          </w:p>
        </w:tc>
      </w:tr>
      <w:tr w14:paraId="03D9F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48F1CB">
            <w:pPr>
              <w:pStyle w:val="4"/>
            </w:pPr>
            <w:r>
              <w:t>标的提供的地点</w:t>
            </w:r>
          </w:p>
        </w:tc>
        <w:tc>
          <w:tcPr>
            <w:tcW w:w="4153" w:type="dxa"/>
          </w:tcPr>
          <w:p w14:paraId="3B3997D3">
            <w:pPr>
              <w:pStyle w:val="4"/>
            </w:pPr>
            <w:r>
              <w:t>肇庆市四会市（以采购人指定地点为准）</w:t>
            </w:r>
          </w:p>
        </w:tc>
      </w:tr>
      <w:tr w14:paraId="071ED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78B1ED">
            <w:pPr>
              <w:pStyle w:val="4"/>
            </w:pPr>
            <w:r>
              <w:t>付款方式</w:t>
            </w:r>
          </w:p>
        </w:tc>
        <w:tc>
          <w:tcPr>
            <w:tcW w:w="4153" w:type="dxa"/>
          </w:tcPr>
          <w:p w14:paraId="7B75BCE4">
            <w:pPr>
              <w:pStyle w:val="4"/>
            </w:pPr>
            <w:r>
              <w:t>1期：支付比例30%,取得施工许可证并进场后支付合同价的30%作为工程预付款。</w:t>
            </w:r>
          </w:p>
          <w:p w14:paraId="1ABC5E7B">
            <w:pPr>
              <w:pStyle w:val="4"/>
            </w:pPr>
            <w:r>
              <w:t>2期：支付比例50%,工程进度款按进度拨付，工程付款至工程总造价的80%（含预付款）时暂停拨付工程款。</w:t>
            </w:r>
          </w:p>
          <w:p w14:paraId="5CCC8290">
            <w:pPr>
              <w:pStyle w:val="4"/>
            </w:pPr>
            <w:r>
              <w:t>3期：支付比例17%,待工程竣（交）工结算经双方确认后送四会市投资审核中心进行评审，出具结算评审报告后30天内支付至结算总价的97%,余款3%作为工程质量保证金（承包人也可以提交额度为结算价3%的银行保函或提交保额为结算价3%的建设工程质量保险合同（保险单）替代质量保证金，如承包人选择提交银行保函或工程质量保险，工程款应付至结算价的100%）。</w:t>
            </w:r>
          </w:p>
          <w:p w14:paraId="07045F1C">
            <w:pPr>
              <w:pStyle w:val="4"/>
            </w:pPr>
            <w:r>
              <w:t>4期：支付比例3%,质量保证金在竣工验收合格后30天内无息退还（缺陷责任期内没出现任何质量问题或出现质量问题已按要求维修）。如施工单位能提供结算价3%的其他形式保修承诺，如现金、银行保函、保险等，则支付工程款至100%。</w:t>
            </w:r>
          </w:p>
          <w:p w14:paraId="6B1E1C89">
            <w:pPr>
              <w:pStyle w:val="4"/>
            </w:pPr>
            <w:r>
              <w:t>如项目发生合同融资，采购人需将合同款项支付到合同约定收款账户</w:t>
            </w:r>
          </w:p>
        </w:tc>
      </w:tr>
      <w:tr w14:paraId="75EEC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4D98D3">
            <w:pPr>
              <w:pStyle w:val="4"/>
            </w:pPr>
            <w:r>
              <w:t>验收要求</w:t>
            </w:r>
          </w:p>
        </w:tc>
        <w:tc>
          <w:tcPr>
            <w:tcW w:w="4153" w:type="dxa"/>
          </w:tcPr>
          <w:p w14:paraId="07D8A094">
            <w:pPr>
              <w:pStyle w:val="4"/>
            </w:pPr>
            <w:r>
              <w:t>1期：1.本项目以施工图纸、招标文件和中华人民共和国交通运输部发布的最新版本《公路工程质量检验评定标准》。其他要求按照相关规范及上级发文执行。</w:t>
            </w:r>
          </w:p>
        </w:tc>
      </w:tr>
      <w:tr w14:paraId="77E80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7EFE0C">
            <w:pPr>
              <w:pStyle w:val="4"/>
            </w:pPr>
            <w:r>
              <w:t>履约保证金</w:t>
            </w:r>
          </w:p>
        </w:tc>
        <w:tc>
          <w:tcPr>
            <w:tcW w:w="4153" w:type="dxa"/>
          </w:tcPr>
          <w:p w14:paraId="776FDCB4">
            <w:pPr>
              <w:pStyle w:val="4"/>
            </w:pPr>
            <w:r>
              <w:t>交纳比例：5%</w:t>
            </w:r>
          </w:p>
          <w:p w14:paraId="6850F581">
            <w:pPr>
              <w:pStyle w:val="4"/>
            </w:pPr>
            <w:r>
              <w:t>缴费渠道：电子保函（保险）</w:t>
            </w:r>
          </w:p>
          <w:p w14:paraId="2A4CD845">
            <w:pPr>
              <w:pStyle w:val="4"/>
            </w:pPr>
            <w:r>
              <w:t>说明：1、成交人最迟在合同签订后五日内向采购人提交履约保证金，履约保证金金额为合同金额的5%，可采用电子保函（保险）模式递交。待工程缺陷责任期满后 30 天内无息退还。 2、如果成交人没有按照规定提交履约保证金，则视为自动放弃成交资格，并没收该成交人的磋商保证金（如有）。在此情况下，采购人或采购代理机构可按规定将合同授予下一个成交候选人，或重新采购。 3、如成交人不按要求或投标承诺进行履约，采购人有权没收其履约保证金。造成采购人损失的，采购人将进一步索赔和追究违约责任。</w:t>
            </w:r>
          </w:p>
          <w:p w14:paraId="32B6B570">
            <w:pPr>
              <w:pStyle w:val="4"/>
            </w:pPr>
            <w:r>
              <w:t xml:space="preserve"> 履约保证金可以以履约保函（保险）形式提供，目前"广东政府采购智慧云平台金融服务中心(https://gdgpo.czt.gd.gov.cn/zcdservice/zcd/guangdong/)已实现电子履约保函（保险）在线办理功能，有意愿供应商可自行办理提供。</w:t>
            </w:r>
          </w:p>
        </w:tc>
      </w:tr>
      <w:tr w14:paraId="3D125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958640">
            <w:pPr>
              <w:pStyle w:val="4"/>
            </w:pPr>
            <w:r>
              <w:t>其他</w:t>
            </w:r>
          </w:p>
        </w:tc>
        <w:tc>
          <w:tcPr>
            <w:tcW w:w="4153" w:type="dxa"/>
          </w:tcPr>
          <w:p w14:paraId="6B7183F2">
            <w:pPr>
              <w:pStyle w:val="4"/>
            </w:pPr>
            <w:r>
              <w:t>其他，1、合同价款：成交人在竞争性磋商中的最终报价即为合同价款。 2、结算方式：（1）结算价 = 经财政审定的结算金额。（2）在施工过程中，采购人可根据工程实际情况和需要，优化、调整设计和部分单项工程等建设内容，由此产生的变更造价经监理及采购人确认后，统一在竣工结算时再作调整，成交人按要求配合。（3）凡是图纸有而工程量清单没有的（漏项缺项）项目，由成交人按程序报采购人审查确认批准后才允许实施，其增加的造价统一在竣工结算时再作调整，否则所发生的一切费用采购人不给予承认。凡是图纸有而工程量清单以暂估价或暂列金出现的项目，应由成交人提前按程序上报，询价确定单价后再实施，否则所发生的一切费用采购人按所询价格签定。（4）在工程项目竣工前，已经缴纳履约保证金的，发包人不得同时预留工程质量保证金。”中标人的履约保证金或履约担保期延伸至工程缺陷责任期满之日止，不再扣留工程质量保证金。竣工验收后在保修期内若发现施工质量问题，承包人全部负责无偿保修，延误保修时间的，由发包人代为实施，费用从保证金中支付或对中标人和担保人进行追收。结算综合单价确认说明，共分以下两种情形：①如报价人在竞争性磋商中的最终成交价（即合同价）与初次投标报价（即响应文件内的投标报价）无变动，结算综合单价以报价人响应文件“已标价的工程量清单”中的综合单价为准。②如报价人在竞争性磋商中的最终成交价（即合同价）与初次投标报价（即响应文件内的投标报价）有变动，结算综合单价=报价人响应文件“已标价的工程量清单”中的综合单价×（1-二次报价下浮率）。报价人未在磋商现场递交最终投标报价的“已标价的工程量清单”，须在签订合同时向采购人提供并作为合同附件之一。最终结算应以经财政审定的结算金额为准。</w:t>
            </w:r>
          </w:p>
        </w:tc>
      </w:tr>
    </w:tbl>
    <w:p w14:paraId="5A3CE8C5">
      <w:pPr>
        <w:pStyle w:val="4"/>
      </w:pPr>
      <w:r>
        <w:rPr>
          <w:b/>
        </w:rPr>
        <w:t>2.技术标准与要求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856"/>
        <w:gridCol w:w="885"/>
        <w:gridCol w:w="856"/>
        <w:gridCol w:w="879"/>
        <w:gridCol w:w="1279"/>
        <w:gridCol w:w="1279"/>
        <w:gridCol w:w="777"/>
        <w:gridCol w:w="856"/>
      </w:tblGrid>
      <w:tr w14:paraId="36C2B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318EAC30">
            <w:pPr>
              <w:pStyle w:val="4"/>
              <w:jc w:val="center"/>
            </w:pPr>
            <w:r>
              <w:t>序号</w:t>
            </w:r>
          </w:p>
        </w:tc>
        <w:tc>
          <w:tcPr>
            <w:tcW w:w="933" w:type="dxa"/>
          </w:tcPr>
          <w:p w14:paraId="610842C4">
            <w:pPr>
              <w:pStyle w:val="4"/>
              <w:jc w:val="center"/>
            </w:pPr>
            <w:r>
              <w:t>品目名称</w:t>
            </w:r>
          </w:p>
        </w:tc>
        <w:tc>
          <w:tcPr>
            <w:tcW w:w="933" w:type="dxa"/>
          </w:tcPr>
          <w:p w14:paraId="22DC0AC0">
            <w:pPr>
              <w:pStyle w:val="4"/>
              <w:jc w:val="center"/>
            </w:pPr>
            <w:r>
              <w:t>标的名称</w:t>
            </w:r>
          </w:p>
        </w:tc>
        <w:tc>
          <w:tcPr>
            <w:tcW w:w="933" w:type="dxa"/>
          </w:tcPr>
          <w:p w14:paraId="1BECC688">
            <w:pPr>
              <w:pStyle w:val="4"/>
              <w:jc w:val="center"/>
            </w:pPr>
            <w:r>
              <w:t>单位</w:t>
            </w:r>
          </w:p>
        </w:tc>
        <w:tc>
          <w:tcPr>
            <w:tcW w:w="933" w:type="dxa"/>
          </w:tcPr>
          <w:p w14:paraId="79045FC8">
            <w:pPr>
              <w:pStyle w:val="4"/>
              <w:jc w:val="center"/>
            </w:pPr>
            <w:r>
              <w:t>数量</w:t>
            </w:r>
          </w:p>
        </w:tc>
        <w:tc>
          <w:tcPr>
            <w:tcW w:w="933" w:type="dxa"/>
          </w:tcPr>
          <w:p w14:paraId="0B5856E5">
            <w:pPr>
              <w:pStyle w:val="4"/>
              <w:jc w:val="center"/>
            </w:pPr>
            <w:r>
              <w:t>分项预算单价（元）</w:t>
            </w:r>
          </w:p>
        </w:tc>
        <w:tc>
          <w:tcPr>
            <w:tcW w:w="933" w:type="dxa"/>
          </w:tcPr>
          <w:p w14:paraId="3A4072B8">
            <w:pPr>
              <w:pStyle w:val="4"/>
              <w:jc w:val="center"/>
            </w:pPr>
            <w:r>
              <w:t>分项预算总价（元）</w:t>
            </w:r>
          </w:p>
        </w:tc>
        <w:tc>
          <w:tcPr>
            <w:tcW w:w="840" w:type="dxa"/>
          </w:tcPr>
          <w:p w14:paraId="325BA982">
            <w:pPr>
              <w:pStyle w:val="4"/>
            </w:pPr>
            <w:r>
              <w:t>所属行业</w:t>
            </w:r>
          </w:p>
        </w:tc>
        <w:tc>
          <w:tcPr>
            <w:tcW w:w="933" w:type="dxa"/>
          </w:tcPr>
          <w:p w14:paraId="0552516A">
            <w:pPr>
              <w:pStyle w:val="4"/>
              <w:jc w:val="center"/>
            </w:pPr>
            <w:r>
              <w:t>技术要求</w:t>
            </w:r>
          </w:p>
        </w:tc>
      </w:tr>
      <w:tr w14:paraId="4B0D1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3" w:type="dxa"/>
          </w:tcPr>
          <w:p w14:paraId="429B8D6D">
            <w:pPr>
              <w:pStyle w:val="4"/>
              <w:jc w:val="center"/>
            </w:pPr>
            <w:r>
              <w:t>1</w:t>
            </w:r>
          </w:p>
        </w:tc>
        <w:tc>
          <w:tcPr>
            <w:tcW w:w="933" w:type="dxa"/>
          </w:tcPr>
          <w:p w14:paraId="129D23A3">
            <w:pPr>
              <w:pStyle w:val="4"/>
              <w:jc w:val="left"/>
            </w:pPr>
            <w:r>
              <w:t>其他建筑工程</w:t>
            </w:r>
          </w:p>
        </w:tc>
        <w:tc>
          <w:tcPr>
            <w:tcW w:w="933" w:type="dxa"/>
          </w:tcPr>
          <w:p w14:paraId="3116A838">
            <w:pPr>
              <w:pStyle w:val="4"/>
              <w:jc w:val="left"/>
              <w:rPr>
                <w:rFonts w:hint="eastAsia" w:eastAsiaTheme="minorEastAsia"/>
                <w:lang w:eastAsia="zh-CN"/>
              </w:rPr>
            </w:pPr>
            <w:r>
              <w:rPr>
                <w:rFonts w:hint="eastAsia"/>
                <w:lang w:eastAsia="zh-CN"/>
              </w:rPr>
              <w:t>省道S118线四会河东桥危旧桥梁改造工程</w:t>
            </w:r>
          </w:p>
        </w:tc>
        <w:tc>
          <w:tcPr>
            <w:tcW w:w="933" w:type="dxa"/>
          </w:tcPr>
          <w:p w14:paraId="7F009B6E">
            <w:pPr>
              <w:pStyle w:val="4"/>
              <w:jc w:val="left"/>
            </w:pPr>
            <w:r>
              <w:t>项</w:t>
            </w:r>
          </w:p>
        </w:tc>
        <w:tc>
          <w:tcPr>
            <w:tcW w:w="933" w:type="dxa"/>
          </w:tcPr>
          <w:p w14:paraId="7F32373B">
            <w:pPr>
              <w:pStyle w:val="4"/>
              <w:jc w:val="right"/>
            </w:pPr>
            <w:r>
              <w:t>1.00</w:t>
            </w:r>
          </w:p>
        </w:tc>
        <w:tc>
          <w:tcPr>
            <w:tcW w:w="933" w:type="dxa"/>
          </w:tcPr>
          <w:p w14:paraId="21B9F25D">
            <w:pPr>
              <w:pStyle w:val="4"/>
              <w:jc w:val="right"/>
              <w:rPr>
                <w:rFonts w:hint="eastAsia" w:eastAsiaTheme="minorEastAsia"/>
                <w:lang w:eastAsia="zh-CN"/>
              </w:rPr>
            </w:pPr>
            <w:r>
              <w:rPr>
                <w:rFonts w:hint="eastAsia"/>
                <w:lang w:eastAsia="zh-CN"/>
              </w:rPr>
              <w:t>3,769,505.00</w:t>
            </w:r>
          </w:p>
        </w:tc>
        <w:tc>
          <w:tcPr>
            <w:tcW w:w="933" w:type="dxa"/>
          </w:tcPr>
          <w:p w14:paraId="0B4C308B">
            <w:pPr>
              <w:pStyle w:val="4"/>
              <w:jc w:val="right"/>
              <w:rPr>
                <w:rFonts w:hint="eastAsia" w:eastAsiaTheme="minorEastAsia"/>
                <w:lang w:eastAsia="zh-CN"/>
              </w:rPr>
            </w:pPr>
            <w:r>
              <w:rPr>
                <w:rFonts w:hint="eastAsia"/>
                <w:lang w:eastAsia="zh-CN"/>
              </w:rPr>
              <w:t>3,769,505.00</w:t>
            </w:r>
          </w:p>
        </w:tc>
        <w:tc>
          <w:tcPr>
            <w:tcW w:w="840" w:type="dxa"/>
          </w:tcPr>
          <w:p w14:paraId="5E3FC25D">
            <w:pPr>
              <w:pStyle w:val="4"/>
            </w:pPr>
            <w:r>
              <w:t>建筑业</w:t>
            </w:r>
          </w:p>
        </w:tc>
        <w:tc>
          <w:tcPr>
            <w:tcW w:w="933" w:type="dxa"/>
          </w:tcPr>
          <w:p w14:paraId="00BF2B40">
            <w:pPr>
              <w:pStyle w:val="4"/>
            </w:pPr>
            <w:r>
              <w:t>详见附表一</w:t>
            </w:r>
          </w:p>
        </w:tc>
      </w:tr>
    </w:tbl>
    <w:p w14:paraId="60D6030F">
      <w:pPr>
        <w:pStyle w:val="4"/>
        <w:rPr>
          <w:rFonts w:hint="eastAsia" w:eastAsiaTheme="minorEastAsia"/>
          <w:lang w:eastAsia="zh-CN"/>
        </w:rPr>
      </w:pPr>
      <w:r>
        <w:rPr>
          <w:b/>
        </w:rPr>
        <w:t>附表一：</w:t>
      </w:r>
      <w:r>
        <w:rPr>
          <w:rFonts w:hint="eastAsia"/>
          <w:b/>
          <w:lang w:eastAsia="zh-CN"/>
        </w:rPr>
        <w:t>省道S118线四会河东桥危旧桥梁改造工程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16"/>
        <w:gridCol w:w="5814"/>
      </w:tblGrid>
      <w:tr w14:paraId="34BA9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683D9A9">
            <w:pPr>
              <w:pStyle w:val="4"/>
            </w:pPr>
            <w:r>
              <w:t>参数性质</w:t>
            </w:r>
          </w:p>
        </w:tc>
        <w:tc>
          <w:tcPr>
            <w:tcW w:w="415" w:type="dxa"/>
          </w:tcPr>
          <w:p w14:paraId="05699566">
            <w:pPr>
              <w:pStyle w:val="4"/>
            </w:pPr>
            <w:r>
              <w:t>序号</w:t>
            </w:r>
          </w:p>
        </w:tc>
        <w:tc>
          <w:tcPr>
            <w:tcW w:w="5814" w:type="dxa"/>
          </w:tcPr>
          <w:p w14:paraId="50B5AB10">
            <w:pPr>
              <w:pStyle w:val="4"/>
            </w:pPr>
            <w:r>
              <w:t>具体技术(参数)要求</w:t>
            </w:r>
          </w:p>
        </w:tc>
      </w:tr>
      <w:tr w14:paraId="58128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FBD991">
            <w:pPr>
              <w:pStyle w:val="4"/>
            </w:pPr>
            <w:r>
              <w:t>★</w:t>
            </w:r>
          </w:p>
        </w:tc>
        <w:tc>
          <w:tcPr>
            <w:tcW w:w="415" w:type="dxa"/>
          </w:tcPr>
          <w:p w14:paraId="341EC4F0">
            <w:pPr>
              <w:pStyle w:val="4"/>
            </w:pPr>
            <w:r>
              <w:t>1</w:t>
            </w:r>
          </w:p>
        </w:tc>
        <w:tc>
          <w:tcPr>
            <w:tcW w:w="5814" w:type="dxa"/>
          </w:tcPr>
          <w:p w14:paraId="10FD22A8">
            <w:pPr>
              <w:pStyle w:val="4"/>
            </w:pPr>
            <w:r>
              <w:rPr>
                <w:sz w:val="21"/>
              </w:rPr>
              <w:t>质量问题</w:t>
            </w:r>
          </w:p>
          <w:p w14:paraId="04B42C6E">
            <w:pPr>
              <w:pStyle w:val="4"/>
            </w:pPr>
            <w:r>
              <w:rPr>
                <w:sz w:val="21"/>
              </w:rPr>
              <w:t>工程交工验收的质量评定：符合国评质量检验评定标准。</w:t>
            </w:r>
          </w:p>
          <w:p w14:paraId="4B1EFDCB">
            <w:pPr>
              <w:pStyle w:val="4"/>
            </w:pPr>
            <w:r>
              <w:rPr>
                <w:sz w:val="21"/>
              </w:rPr>
              <w:t>交工（或竣工）验收的质量评定：合格。</w:t>
            </w:r>
          </w:p>
          <w:p w14:paraId="1CB72665">
            <w:pPr>
              <w:pStyle w:val="4"/>
            </w:pPr>
            <w:r>
              <w:rPr>
                <w:sz w:val="21"/>
              </w:rPr>
              <w:t>报价人在施工中如果工程质量不符合设计要求和有关规定，采购人要求停工和返工时，报价人须立即执行，并承担由此产生的各种费用，工期不予顺延。</w:t>
            </w:r>
          </w:p>
        </w:tc>
      </w:tr>
      <w:tr w14:paraId="5CF08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ECF9054">
            <w:pPr>
              <w:pStyle w:val="4"/>
            </w:pPr>
            <w:r>
              <w:t>★</w:t>
            </w:r>
          </w:p>
        </w:tc>
        <w:tc>
          <w:tcPr>
            <w:tcW w:w="415" w:type="dxa"/>
          </w:tcPr>
          <w:p w14:paraId="722069C2">
            <w:pPr>
              <w:pStyle w:val="4"/>
            </w:pPr>
            <w:r>
              <w:t>2</w:t>
            </w:r>
          </w:p>
        </w:tc>
        <w:tc>
          <w:tcPr>
            <w:tcW w:w="5814" w:type="dxa"/>
          </w:tcPr>
          <w:p w14:paraId="1806B4BE">
            <w:pPr>
              <w:pStyle w:val="4"/>
            </w:pPr>
            <w:r>
              <w:rPr>
                <w:sz w:val="21"/>
              </w:rPr>
              <w:t>安全目标</w:t>
            </w:r>
          </w:p>
          <w:p w14:paraId="3791F8D1">
            <w:pPr>
              <w:pStyle w:val="4"/>
            </w:pPr>
            <w:r>
              <w:rPr>
                <w:sz w:val="21"/>
              </w:rPr>
              <w:t>严格执行有关安全生产的法律法规和规章制度，确保项目建设期内无安全生产事故。</w:t>
            </w:r>
          </w:p>
        </w:tc>
      </w:tr>
      <w:tr w14:paraId="44567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823FB75"/>
        </w:tc>
        <w:tc>
          <w:tcPr>
            <w:tcW w:w="415" w:type="dxa"/>
          </w:tcPr>
          <w:p w14:paraId="68815383">
            <w:pPr>
              <w:pStyle w:val="4"/>
            </w:pPr>
            <w:r>
              <w:t>3</w:t>
            </w:r>
          </w:p>
        </w:tc>
        <w:tc>
          <w:tcPr>
            <w:tcW w:w="5814" w:type="dxa"/>
          </w:tcPr>
          <w:p w14:paraId="770A92B9">
            <w:pPr>
              <w:pStyle w:val="4"/>
            </w:pPr>
            <w:r>
              <w:rPr>
                <w:sz w:val="21"/>
              </w:rPr>
              <w:t>工程量清单：</w:t>
            </w:r>
          </w:p>
          <w:p w14:paraId="12CF5EB8">
            <w:pPr>
              <w:pStyle w:val="4"/>
            </w:pPr>
            <w:r>
              <w:rPr>
                <w:sz w:val="21"/>
              </w:rPr>
              <w:t>本工程量和说明为采购文件的组成部分，一经中标且签订合同，即成为合同的组成部分，具体详见《工程量清单》（另附），实际完成工程量须以施工、监理、业主三方签认为准。</w:t>
            </w:r>
          </w:p>
        </w:tc>
      </w:tr>
      <w:tr w14:paraId="35393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57CF438"/>
        </w:tc>
        <w:tc>
          <w:tcPr>
            <w:tcW w:w="415" w:type="dxa"/>
          </w:tcPr>
          <w:p w14:paraId="014225A7">
            <w:pPr>
              <w:pStyle w:val="4"/>
            </w:pPr>
            <w:r>
              <w:t>4</w:t>
            </w:r>
          </w:p>
        </w:tc>
        <w:tc>
          <w:tcPr>
            <w:tcW w:w="5814" w:type="dxa"/>
          </w:tcPr>
          <w:p w14:paraId="45AA6B67">
            <w:pPr>
              <w:pStyle w:val="4"/>
            </w:pPr>
            <w:r>
              <w:rPr>
                <w:sz w:val="21"/>
              </w:rPr>
              <w:t>图纸：</w:t>
            </w:r>
          </w:p>
          <w:p w14:paraId="1BA1B62A">
            <w:pPr>
              <w:pStyle w:val="4"/>
            </w:pPr>
            <w:r>
              <w:rPr>
                <w:sz w:val="21"/>
              </w:rPr>
              <w:t>依据施工图纸（另附）及补充说明的要求，本项目的材料、设备、施工须达到现行中华人民共和国以及省、自治区、直辖市或行业的建设标准、规范的要求。</w:t>
            </w:r>
          </w:p>
        </w:tc>
      </w:tr>
      <w:tr w14:paraId="53E02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745ABFD"/>
        </w:tc>
        <w:tc>
          <w:tcPr>
            <w:tcW w:w="415" w:type="dxa"/>
          </w:tcPr>
          <w:p w14:paraId="0513FF22">
            <w:pPr>
              <w:pStyle w:val="4"/>
            </w:pPr>
            <w:r>
              <w:t>5</w:t>
            </w:r>
          </w:p>
        </w:tc>
        <w:tc>
          <w:tcPr>
            <w:tcW w:w="5814" w:type="dxa"/>
          </w:tcPr>
          <w:p w14:paraId="38791C3E">
            <w:pPr>
              <w:pStyle w:val="4"/>
              <w:jc w:val="both"/>
            </w:pPr>
            <w:r>
              <w:rPr>
                <w:b/>
                <w:sz w:val="21"/>
              </w:rPr>
              <w:t>一、现场施工要求</w:t>
            </w:r>
          </w:p>
          <w:p w14:paraId="66A30BEB">
            <w:pPr>
              <w:pStyle w:val="4"/>
              <w:ind w:firstLine="440"/>
              <w:jc w:val="both"/>
            </w:pPr>
            <w:r>
              <w:rPr>
                <w:sz w:val="21"/>
              </w:rPr>
              <w:t>1.在工程进行中，成交人要注意保护场内的各种管线和设施。若有任何损坏，须立即通知有关部门和采购人，并由损坏单位承担损失和修复费用。</w:t>
            </w:r>
          </w:p>
          <w:p w14:paraId="5EE28E06">
            <w:pPr>
              <w:pStyle w:val="4"/>
              <w:ind w:firstLine="440"/>
              <w:jc w:val="both"/>
            </w:pPr>
            <w:r>
              <w:rPr>
                <w:sz w:val="21"/>
              </w:rPr>
              <w:t>2.若工程施工需要，成交人应委托有相应资质的单位对施工场地周边的建筑物、构造物的现状进行证据保存工作，并提供相关报告给采购人、监理单位，同时要采取相关措施做好保护工作。若因成交人原因，未能对施工场地周边建筑物、构造物进行现状证据保存，从而引起相关纠纷的，或在施工过程中，由于成交人未能落实相关保护措施而导致施工场地周边的建筑物、构造物沉降、撕裂等损毁的，由成交人负责处理相关纠纷、修复损毁并承担相关费用，采购人不再支付任何费用。</w:t>
            </w:r>
          </w:p>
          <w:p w14:paraId="7D4A4D29">
            <w:pPr>
              <w:pStyle w:val="4"/>
              <w:ind w:firstLine="440"/>
              <w:jc w:val="both"/>
            </w:pPr>
            <w:r>
              <w:rPr>
                <w:sz w:val="21"/>
              </w:rPr>
              <w:t>3.采购人不提供临设及材料加工场地，临时设施及材料加工由成交人自行解决，其费用由成交人自理。</w:t>
            </w:r>
          </w:p>
          <w:p w14:paraId="61B2DFE0">
            <w:pPr>
              <w:pStyle w:val="4"/>
              <w:ind w:firstLine="440"/>
              <w:jc w:val="both"/>
            </w:pPr>
            <w:r>
              <w:rPr>
                <w:sz w:val="21"/>
              </w:rPr>
              <w:t>4.施工用水、用电均由成交人自行与供水、供电部门协商解决，所有用水、用电费用由成交人支付。</w:t>
            </w:r>
          </w:p>
          <w:p w14:paraId="53C0E9AC">
            <w:pPr>
              <w:pStyle w:val="4"/>
              <w:ind w:firstLine="440"/>
              <w:jc w:val="both"/>
            </w:pPr>
            <w:r>
              <w:rPr>
                <w:sz w:val="21"/>
              </w:rPr>
              <w:t>5.进场施工人员必须严格遵守相关规章制度。进入施工现场人员必须佩戴工作证，并自觉接受检查。</w:t>
            </w:r>
          </w:p>
          <w:p w14:paraId="60F93E09">
            <w:pPr>
              <w:pStyle w:val="4"/>
              <w:ind w:firstLine="440"/>
              <w:jc w:val="both"/>
            </w:pPr>
            <w:r>
              <w:rPr>
                <w:sz w:val="21"/>
              </w:rPr>
              <w:t>6.成交人应确保施工现场的清洁卫生，建筑垃圾必须清理干净。</w:t>
            </w:r>
          </w:p>
          <w:p w14:paraId="07766999">
            <w:pPr>
              <w:pStyle w:val="4"/>
              <w:jc w:val="both"/>
            </w:pPr>
            <w:r>
              <w:rPr>
                <w:b/>
                <w:sz w:val="21"/>
              </w:rPr>
              <w:t>二、材料及设备供应要求</w:t>
            </w:r>
          </w:p>
          <w:p w14:paraId="3CDBD2DE">
            <w:pPr>
              <w:pStyle w:val="4"/>
              <w:ind w:firstLine="442"/>
              <w:jc w:val="both"/>
            </w:pPr>
            <w:r>
              <w:rPr>
                <w:sz w:val="21"/>
              </w:rPr>
              <w:t>1.本项目使用的工程材料，应按采购人提供的材料样板、品牌范围、质量等级采购使用，采购前报样板给采购人选，所选购的材料须有产品合格证、生产许可证等证明材料，并经现场监理和采购人验证后方可施工。</w:t>
            </w:r>
          </w:p>
          <w:p w14:paraId="70E7531E">
            <w:pPr>
              <w:pStyle w:val="4"/>
              <w:ind w:firstLine="442"/>
              <w:jc w:val="both"/>
            </w:pPr>
            <w:r>
              <w:rPr>
                <w:sz w:val="21"/>
              </w:rPr>
              <w:t>2.本工程所承包范围内所需的材料、成品、未成品的采购、运输、保管、质量等责任均由成交人承担，采购人不提供任何材料。</w:t>
            </w:r>
          </w:p>
          <w:p w14:paraId="7C303EC7">
            <w:pPr>
              <w:pStyle w:val="4"/>
              <w:ind w:firstLine="442"/>
              <w:jc w:val="both"/>
            </w:pPr>
            <w:r>
              <w:rPr>
                <w:sz w:val="21"/>
              </w:rPr>
              <w:t>3.采购供应的材料，其名称、品种、型号、规格、质量等，均应符合国家、地方及行业有关规范及要求，并能满足采购人的要求。</w:t>
            </w:r>
          </w:p>
          <w:p w14:paraId="03FA0F37">
            <w:pPr>
              <w:pStyle w:val="4"/>
              <w:ind w:firstLine="442"/>
              <w:jc w:val="both"/>
            </w:pPr>
            <w:r>
              <w:rPr>
                <w:sz w:val="21"/>
              </w:rPr>
              <w:t>4.由于成交人提供的伪劣、假冒等所有不合格材料而导致的损失、事故及一切后果，均由成交人负责并赔偿采购人所有损失，并负责免费更换所有已施工的不合格材料。</w:t>
            </w:r>
          </w:p>
          <w:p w14:paraId="4E4C118F">
            <w:pPr>
              <w:pStyle w:val="4"/>
              <w:ind w:firstLine="442"/>
              <w:jc w:val="both"/>
            </w:pPr>
            <w:r>
              <w:rPr>
                <w:sz w:val="21"/>
              </w:rPr>
              <w:t>5.施工工具、设备零配件的进场，现场的安装调试，试运行等每道工序均按成交人的质量保证体系检验复核，采购人确认。成交人对对施工人员的人身完全负责，成交人对供货设备的质量、技术要求的详细内容、检验及试验的技术指标、与外系统相关连接的质量及安全负责。</w:t>
            </w:r>
          </w:p>
          <w:p w14:paraId="57027C9D">
            <w:pPr>
              <w:pStyle w:val="4"/>
            </w:pPr>
            <w:r>
              <w:rPr>
                <w:sz w:val="21"/>
              </w:rPr>
              <w:t>注：上述要求更详细说明见合同协议书的条款及规范。</w:t>
            </w:r>
          </w:p>
        </w:tc>
      </w:tr>
      <w:tr w14:paraId="5FFC4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06F006">
            <w:pPr>
              <w:pStyle w:val="4"/>
            </w:pPr>
            <w:r>
              <w:t>说明</w:t>
            </w:r>
          </w:p>
        </w:tc>
        <w:tc>
          <w:tcPr>
            <w:tcW w:w="6229" w:type="dxa"/>
            <w:gridSpan w:val="2"/>
          </w:tcPr>
          <w:p w14:paraId="4A82E6C0">
            <w:pPr>
              <w:pStyle w:val="4"/>
              <w:jc w:val="left"/>
            </w:pPr>
            <w:r>
              <w:t xml:space="preserve"> 打“★”号条款为实质性条款，若有任何一条负偏离或不满足则导致投标无效。 </w:t>
            </w:r>
            <w:r>
              <w:br w:type="textWrapping"/>
            </w:r>
            <w:r>
              <w:t>打“▲”号条款为重要技术参数，若有部分“▲”条款未响应或不满足，不作为无效投标条款。</w:t>
            </w:r>
          </w:p>
        </w:tc>
      </w:tr>
    </w:tbl>
    <w:p w14:paraId="6544C6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E4428"/>
    <w:rsid w:val="02AE1145"/>
    <w:rsid w:val="0B7F7B23"/>
    <w:rsid w:val="106E4428"/>
    <w:rsid w:val="38D1032B"/>
    <w:rsid w:val="55085A60"/>
    <w:rsid w:val="5E99597B"/>
    <w:rsid w:val="6056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1206</Words>
  <Characters>1287</Characters>
  <Lines>0</Lines>
  <Paragraphs>0</Paragraphs>
  <TotalTime>2</TotalTime>
  <ScaleCrop>false</ScaleCrop>
  <LinksUpToDate>false</LinksUpToDate>
  <CharactersWithSpaces>1289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2025-10-11T04:05:00Z</dcterms:created>
  <dc:creator>SU</dc:creator>
  <cp:lastModifiedBy>SU</cp:lastModifiedBy>
  <dcterms:modified xsi:type="dcterms:W3CDTF">2025-10-11T07:12:14Z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FB43FF2E96E546B88F8F9881F065BE67_11</vt:lpwstr>
  </property>
  <property fmtid="{D5CDD505-2E9C-101B-9397-08002B2CF9AE}" pid="4" name="KSOTemplateDocerSaveRecord">
    <vt:lpwstr>eyJoZGlkIjoiZjkyNjgwYmUzZjk2YzE5ZTgwMjhhMmM1YTEyOGNkYTEiLCJ1c2VySWQiOiIyMzg4Mzc2MDcifQ==</vt:lpwstr>
  </property>
</Properties>
</file>