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82231">
      <w:pPr>
        <w:keepNext w:val="0"/>
        <w:keepLines w:val="0"/>
        <w:pageBreakBefore w:val="0"/>
        <w:widowControl/>
        <w:kinsoku/>
        <w:wordWrap/>
        <w:overflowPunct/>
        <w:topLinePunct w:val="0"/>
        <w:autoSpaceDE/>
        <w:autoSpaceDN/>
        <w:bidi w:val="0"/>
        <w:adjustRightInd/>
        <w:snapToGrid/>
        <w:jc w:val="left"/>
        <w:textAlignment w:val="auto"/>
        <w:rPr>
          <w:rFonts w:hint="default" w:cs="宋体"/>
          <w:b/>
          <w:bCs/>
          <w:color w:val="000000"/>
          <w:sz w:val="40"/>
          <w:szCs w:val="40"/>
          <w:lang w:val="en-US" w:eastAsia="zh-CN"/>
        </w:rPr>
      </w:pPr>
      <w:r>
        <w:rPr>
          <w:rFonts w:hint="eastAsia" w:cs="宋体"/>
          <w:b/>
          <w:bCs/>
          <w:color w:val="000000"/>
          <w:sz w:val="40"/>
          <w:szCs w:val="40"/>
          <w:lang w:val="en-US" w:eastAsia="zh-CN"/>
        </w:rPr>
        <w:t>山西二建集团大土河西合煤矿稀缺煤种压煤解放与煤矸石无害化处置项目零星材料询价文件</w:t>
      </w:r>
    </w:p>
    <w:p w14:paraId="21FEE3E3">
      <w:pPr>
        <w:pStyle w:val="15"/>
        <w:keepNext w:val="0"/>
        <w:keepLines w:val="0"/>
        <w:pageBreakBefore w:val="0"/>
        <w:widowControl w:val="0"/>
        <w:kinsoku/>
        <w:wordWrap/>
        <w:overflowPunct/>
        <w:topLinePunct w:val="0"/>
        <w:autoSpaceDE/>
        <w:autoSpaceDN/>
        <w:bidi w:val="0"/>
        <w:adjustRightInd/>
        <w:snapToGrid/>
        <w:spacing w:before="0" w:beforeAutospacing="0" w:after="0" w:afterAutospacing="0"/>
        <w:ind w:left="0" w:firstLine="0"/>
        <w:jc w:val="both"/>
        <w:textAlignment w:val="auto"/>
        <w:rPr>
          <w:rFonts w:hint="eastAsia" w:ascii="宋体" w:hAnsi="宋体" w:eastAsia="宋体" w:cs="宋体"/>
          <w:b/>
          <w:bCs/>
          <w:color w:val="000000"/>
          <w:sz w:val="40"/>
          <w:szCs w:val="40"/>
          <w:lang w:val="en-US" w:eastAsia="zh-CN"/>
        </w:rPr>
      </w:pPr>
    </w:p>
    <w:p w14:paraId="4536C0A9">
      <w:pPr>
        <w:pStyle w:val="15"/>
        <w:ind w:left="420" w:firstLine="0"/>
        <w:jc w:val="center"/>
        <w:rPr>
          <w:rFonts w:hint="default" w:ascii="仿宋" w:hAnsi="仿宋" w:eastAsia="仿宋"/>
          <w:color w:val="000000"/>
          <w:kern w:val="0"/>
          <w:sz w:val="28"/>
          <w:szCs w:val="28"/>
          <w:highlight w:val="yellow"/>
          <w:lang w:val="en-US" w:eastAsia="zh-CN"/>
        </w:rPr>
      </w:pPr>
      <w:r>
        <w:rPr>
          <w:rFonts w:hint="eastAsia" w:ascii="仿宋" w:hAnsi="仿宋" w:eastAsia="仿宋"/>
          <w:sz w:val="28"/>
          <w:szCs w:val="28"/>
          <w:highlight w:val="none"/>
          <w:lang w:val="en-US" w:eastAsia="zh-CN"/>
        </w:rPr>
        <w:t>询价编号：</w:t>
      </w:r>
      <w:r>
        <w:rPr>
          <w:rFonts w:hint="eastAsia" w:ascii="仿宋" w:hAnsi="仿宋" w:eastAsia="仿宋"/>
          <w:sz w:val="28"/>
          <w:szCs w:val="28"/>
          <w:highlight w:val="none"/>
        </w:rPr>
        <w:t>XJBH20240000032060</w:t>
      </w:r>
    </w:p>
    <w:p w14:paraId="02681254">
      <w:pPr>
        <w:pStyle w:val="15"/>
        <w:keepNext w:val="0"/>
        <w:keepLines w:val="0"/>
        <w:pageBreakBefore w:val="0"/>
        <w:numPr>
          <w:ilvl w:val="0"/>
          <w:numId w:val="1"/>
        </w:numPr>
        <w:kinsoku/>
        <w:wordWrap/>
        <w:overflowPunct/>
        <w:topLinePunct w:val="0"/>
        <w:bidi w:val="0"/>
        <w:spacing w:line="360" w:lineRule="auto"/>
        <w:ind w:left="0" w:leftChars="0" w:firstLine="0" w:firstLineChars="0"/>
        <w:rPr>
          <w:rFonts w:hint="eastAsia" w:ascii="仿宋" w:hAnsi="仿宋" w:eastAsia="仿宋"/>
          <w:color w:val="000000"/>
          <w:sz w:val="24"/>
          <w:szCs w:val="24"/>
        </w:rPr>
      </w:pPr>
      <w:r>
        <w:rPr>
          <w:rFonts w:hint="eastAsia" w:ascii="仿宋" w:hAnsi="仿宋" w:eastAsia="仿宋"/>
          <w:b/>
          <w:sz w:val="28"/>
          <w:szCs w:val="28"/>
        </w:rPr>
        <w:t>工程项目概况</w:t>
      </w:r>
      <w:r>
        <w:rPr>
          <w:rFonts w:hint="eastAsia" w:ascii="仿宋" w:hAnsi="仿宋" w:eastAsia="仿宋"/>
          <w:sz w:val="28"/>
          <w:szCs w:val="28"/>
        </w:rPr>
        <w:t>：</w:t>
      </w:r>
    </w:p>
    <w:p w14:paraId="4B1DEE3E">
      <w:pPr>
        <w:keepNext w:val="0"/>
        <w:keepLines w:val="0"/>
        <w:pageBreakBefore w:val="0"/>
        <w:kinsoku/>
        <w:wordWrap/>
        <w:overflowPunct/>
        <w:topLinePunct w:val="0"/>
        <w:bidi w:val="0"/>
        <w:spacing w:line="360" w:lineRule="auto"/>
        <w:ind w:firstLine="240" w:firstLineChars="100"/>
        <w:rPr>
          <w:rFonts w:hint="eastAsia" w:ascii="仿宋" w:hAnsi="仿宋" w:eastAsia="仿宋" w:cs="宋体"/>
          <w:color w:val="000000"/>
          <w:kern w:val="2"/>
          <w:sz w:val="24"/>
          <w:szCs w:val="24"/>
          <w:lang w:val="en-US" w:eastAsia="zh-CN" w:bidi="ar-SA"/>
        </w:rPr>
      </w:pPr>
      <w:r>
        <w:rPr>
          <w:rFonts w:hint="eastAsia" w:ascii="仿宋" w:hAnsi="仿宋" w:eastAsia="仿宋" w:cs="宋体"/>
          <w:color w:val="000000"/>
          <w:kern w:val="2"/>
          <w:sz w:val="24"/>
          <w:szCs w:val="24"/>
          <w:lang w:val="en-US" w:eastAsia="zh-CN" w:bidi="ar-SA"/>
        </w:rPr>
        <w:t>1.本工程为山西吕梁中阳西合煤业有限公司覆岩离层充填绿色开采与矸石无害化处置煤矸石制浆站；由乙方负责在大土河西合煤业除投资建设两条制浆生产线，分别为：煤矸石制浆生产线、粉煤灰制浆生产线和注浆站。甲方负责提供技术指导。</w:t>
      </w:r>
    </w:p>
    <w:p w14:paraId="0A0C492F">
      <w:pPr>
        <w:keepNext w:val="0"/>
        <w:keepLines w:val="0"/>
        <w:pageBreakBefore w:val="0"/>
        <w:kinsoku/>
        <w:wordWrap/>
        <w:overflowPunct/>
        <w:topLinePunct w:val="0"/>
        <w:bidi w:val="0"/>
        <w:spacing w:line="360" w:lineRule="auto"/>
        <w:ind w:firstLine="240" w:firstLineChars="100"/>
        <w:rPr>
          <w:rFonts w:hint="default" w:ascii="仿宋" w:hAnsi="仿宋" w:eastAsia="仿宋" w:cs="宋体"/>
          <w:color w:val="000000"/>
          <w:kern w:val="2"/>
          <w:sz w:val="24"/>
          <w:szCs w:val="24"/>
          <w:lang w:val="en-US" w:eastAsia="zh-CN" w:bidi="ar-SA"/>
        </w:rPr>
      </w:pPr>
      <w:r>
        <w:rPr>
          <w:rFonts w:hint="eastAsia" w:ascii="仿宋" w:hAnsi="仿宋" w:eastAsia="仿宋" w:cs="宋体"/>
          <w:color w:val="000000"/>
          <w:kern w:val="2"/>
          <w:sz w:val="24"/>
          <w:szCs w:val="24"/>
          <w:lang w:val="en-US" w:eastAsia="zh-CN" w:bidi="ar-SA"/>
        </w:rPr>
        <w:t>2.本工程建筑面积为1101.10㎡，基底面积为786.50㎡；</w:t>
      </w:r>
    </w:p>
    <w:p w14:paraId="2E25B31C">
      <w:pPr>
        <w:keepNext w:val="0"/>
        <w:keepLines w:val="0"/>
        <w:pageBreakBefore w:val="0"/>
        <w:kinsoku/>
        <w:wordWrap/>
        <w:overflowPunct/>
        <w:topLinePunct w:val="0"/>
        <w:bidi w:val="0"/>
        <w:spacing w:line="360" w:lineRule="auto"/>
        <w:ind w:firstLine="240" w:firstLineChars="100"/>
        <w:rPr>
          <w:rFonts w:hint="default" w:ascii="仿宋" w:hAnsi="仿宋" w:eastAsia="仿宋" w:cs="宋体"/>
          <w:color w:val="000000"/>
          <w:kern w:val="2"/>
          <w:sz w:val="24"/>
          <w:szCs w:val="24"/>
          <w:lang w:val="en-US" w:eastAsia="zh-CN" w:bidi="ar-SA"/>
        </w:rPr>
      </w:pPr>
      <w:r>
        <w:rPr>
          <w:rFonts w:hint="eastAsia" w:ascii="仿宋" w:hAnsi="仿宋" w:eastAsia="仿宋" w:cs="宋体"/>
          <w:color w:val="000000"/>
          <w:kern w:val="2"/>
          <w:sz w:val="24"/>
          <w:szCs w:val="24"/>
          <w:lang w:val="en-US" w:eastAsia="zh-CN" w:bidi="ar-SA"/>
        </w:rPr>
        <w:t>3.本工程建筑总高度为15.60m，地上一层，室内外高差为0.300m；</w:t>
      </w:r>
    </w:p>
    <w:p w14:paraId="5CE114E3">
      <w:pPr>
        <w:keepNext w:val="0"/>
        <w:keepLines w:val="0"/>
        <w:pageBreakBefore w:val="0"/>
        <w:kinsoku/>
        <w:wordWrap/>
        <w:overflowPunct/>
        <w:topLinePunct w:val="0"/>
        <w:bidi w:val="0"/>
        <w:spacing w:line="360" w:lineRule="auto"/>
        <w:ind w:firstLine="240" w:firstLineChars="100"/>
        <w:rPr>
          <w:rFonts w:hint="eastAsia" w:ascii="仿宋" w:hAnsi="仿宋" w:eastAsia="仿宋" w:cs="宋体"/>
          <w:color w:val="000000"/>
          <w:kern w:val="2"/>
          <w:sz w:val="24"/>
          <w:szCs w:val="24"/>
          <w:lang w:val="en-US" w:eastAsia="zh-CN" w:bidi="ar-SA"/>
        </w:rPr>
      </w:pPr>
      <w:r>
        <w:rPr>
          <w:rFonts w:hint="eastAsia" w:ascii="仿宋" w:hAnsi="仿宋" w:eastAsia="仿宋" w:cs="宋体"/>
          <w:color w:val="000000"/>
          <w:kern w:val="2"/>
          <w:sz w:val="24"/>
          <w:szCs w:val="24"/>
          <w:lang w:val="en-US" w:eastAsia="zh-CN" w:bidi="ar-SA"/>
        </w:rPr>
        <w:t>4.、乙方负责对5107工作面进行注浆。</w:t>
      </w:r>
    </w:p>
    <w:p w14:paraId="23ACA13D">
      <w:pPr>
        <w:keepNext w:val="0"/>
        <w:keepLines w:val="0"/>
        <w:pageBreakBefore w:val="0"/>
        <w:numPr>
          <w:ilvl w:val="0"/>
          <w:numId w:val="0"/>
        </w:numPr>
        <w:kinsoku/>
        <w:wordWrap/>
        <w:overflowPunct/>
        <w:topLinePunct w:val="0"/>
        <w:bidi w:val="0"/>
        <w:spacing w:line="360" w:lineRule="auto"/>
        <w:rPr>
          <w:rFonts w:hint="eastAsia" w:ascii="仿宋" w:hAnsi="仿宋" w:eastAsia="仿宋"/>
          <w:b/>
          <w:sz w:val="28"/>
          <w:szCs w:val="28"/>
        </w:rPr>
      </w:pPr>
      <w:r>
        <w:rPr>
          <w:rFonts w:hint="eastAsia" w:ascii="仿宋" w:hAnsi="仿宋" w:eastAsia="仿宋"/>
          <w:b/>
          <w:sz w:val="28"/>
          <w:szCs w:val="28"/>
        </w:rPr>
        <w:t>二、询价物资明细</w:t>
      </w:r>
    </w:p>
    <w:p w14:paraId="40CD1B35">
      <w:pPr>
        <w:keepNext w:val="0"/>
        <w:keepLines w:val="0"/>
        <w:pageBreakBefore w:val="0"/>
        <w:kinsoku/>
        <w:wordWrap/>
        <w:overflowPunct/>
        <w:topLinePunct w:val="0"/>
        <w:bidi w:val="0"/>
        <w:spacing w:line="360" w:lineRule="auto"/>
        <w:jc w:val="center"/>
        <w:rPr>
          <w:rFonts w:hint="eastAsia" w:ascii="仿宋" w:hAnsi="仿宋" w:eastAsia="仿宋"/>
          <w:b/>
          <w:sz w:val="28"/>
          <w:szCs w:val="28"/>
        </w:rPr>
      </w:pPr>
      <w:r>
        <w:rPr>
          <w:rFonts w:hint="eastAsia" w:ascii="仿宋" w:hAnsi="仿宋" w:eastAsia="仿宋"/>
          <w:b/>
          <w:sz w:val="28"/>
          <w:szCs w:val="28"/>
        </w:rPr>
        <w:t>询价物资一览表</w:t>
      </w:r>
    </w:p>
    <w:tbl>
      <w:tblPr>
        <w:tblStyle w:val="12"/>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81"/>
        <w:gridCol w:w="1102"/>
        <w:gridCol w:w="1695"/>
        <w:gridCol w:w="960"/>
        <w:gridCol w:w="990"/>
        <w:gridCol w:w="1184"/>
        <w:gridCol w:w="1664"/>
        <w:gridCol w:w="1112"/>
      </w:tblGrid>
      <w:tr w14:paraId="0914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98" w:hRule="atLeast"/>
          <w:jc w:val="center"/>
        </w:trPr>
        <w:tc>
          <w:tcPr>
            <w:tcW w:w="881" w:type="dxa"/>
            <w:tcBorders>
              <w:top w:val="single" w:color="auto" w:sz="4" w:space="0"/>
              <w:left w:val="single" w:color="auto" w:sz="4" w:space="0"/>
              <w:bottom w:val="single" w:color="auto" w:sz="4" w:space="0"/>
              <w:right w:val="single" w:color="auto" w:sz="4" w:space="0"/>
            </w:tcBorders>
            <w:vAlign w:val="center"/>
          </w:tcPr>
          <w:p w14:paraId="4806C7BC">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sz w:val="20"/>
                <w:szCs w:val="20"/>
              </w:rPr>
            </w:pPr>
            <w:r>
              <w:rPr>
                <w:rFonts w:hint="eastAsia" w:ascii="仿宋" w:hAnsi="仿宋" w:eastAsia="仿宋" w:cs="仿宋"/>
                <w:sz w:val="20"/>
                <w:szCs w:val="20"/>
              </w:rPr>
              <w:t>序号</w:t>
            </w:r>
          </w:p>
        </w:tc>
        <w:tc>
          <w:tcPr>
            <w:tcW w:w="1102" w:type="dxa"/>
            <w:tcBorders>
              <w:top w:val="single" w:color="auto" w:sz="4" w:space="0"/>
              <w:left w:val="single" w:color="auto" w:sz="4" w:space="0"/>
              <w:bottom w:val="single" w:color="auto" w:sz="4" w:space="0"/>
              <w:right w:val="single" w:color="auto" w:sz="4" w:space="0"/>
            </w:tcBorders>
            <w:vAlign w:val="center"/>
          </w:tcPr>
          <w:p w14:paraId="7C2BD007">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sz w:val="20"/>
                <w:szCs w:val="20"/>
              </w:rPr>
            </w:pPr>
            <w:r>
              <w:rPr>
                <w:rFonts w:hint="eastAsia" w:ascii="仿宋" w:hAnsi="仿宋" w:eastAsia="仿宋" w:cs="仿宋"/>
                <w:sz w:val="20"/>
                <w:szCs w:val="20"/>
              </w:rPr>
              <w:t>物资名称</w:t>
            </w:r>
          </w:p>
        </w:tc>
        <w:tc>
          <w:tcPr>
            <w:tcW w:w="1695" w:type="dxa"/>
            <w:tcBorders>
              <w:top w:val="single" w:color="auto" w:sz="4" w:space="0"/>
              <w:left w:val="single" w:color="auto" w:sz="4" w:space="0"/>
              <w:bottom w:val="single" w:color="auto" w:sz="4" w:space="0"/>
              <w:right w:val="single" w:color="auto" w:sz="4" w:space="0"/>
            </w:tcBorders>
            <w:vAlign w:val="center"/>
          </w:tcPr>
          <w:p w14:paraId="0B821650">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sz w:val="20"/>
                <w:szCs w:val="20"/>
              </w:rPr>
            </w:pPr>
            <w:r>
              <w:rPr>
                <w:rFonts w:hint="eastAsia" w:ascii="仿宋" w:hAnsi="仿宋" w:eastAsia="仿宋" w:cs="仿宋"/>
                <w:sz w:val="20"/>
                <w:szCs w:val="20"/>
              </w:rPr>
              <w:t>规格型号</w:t>
            </w:r>
          </w:p>
        </w:tc>
        <w:tc>
          <w:tcPr>
            <w:tcW w:w="960" w:type="dxa"/>
            <w:tcBorders>
              <w:top w:val="single" w:color="auto" w:sz="4" w:space="0"/>
              <w:left w:val="single" w:color="auto" w:sz="4" w:space="0"/>
              <w:bottom w:val="single" w:color="auto" w:sz="4" w:space="0"/>
              <w:right w:val="single" w:color="auto" w:sz="4" w:space="0"/>
            </w:tcBorders>
            <w:vAlign w:val="center"/>
          </w:tcPr>
          <w:p w14:paraId="21819EE4">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sz w:val="20"/>
                <w:szCs w:val="20"/>
              </w:rPr>
            </w:pPr>
            <w:r>
              <w:rPr>
                <w:rFonts w:hint="eastAsia" w:ascii="仿宋" w:hAnsi="仿宋" w:eastAsia="仿宋" w:cs="仿宋"/>
                <w:sz w:val="20"/>
                <w:szCs w:val="20"/>
              </w:rPr>
              <w:t>单位</w:t>
            </w:r>
          </w:p>
        </w:tc>
        <w:tc>
          <w:tcPr>
            <w:tcW w:w="990" w:type="dxa"/>
            <w:tcBorders>
              <w:top w:val="single" w:color="auto" w:sz="4" w:space="0"/>
              <w:left w:val="single" w:color="auto" w:sz="4" w:space="0"/>
              <w:bottom w:val="single" w:color="auto" w:sz="4" w:space="0"/>
              <w:right w:val="single" w:color="auto" w:sz="4" w:space="0"/>
            </w:tcBorders>
            <w:vAlign w:val="center"/>
          </w:tcPr>
          <w:p w14:paraId="2A8FC0CB">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sz w:val="20"/>
                <w:szCs w:val="20"/>
              </w:rPr>
            </w:pPr>
            <w:r>
              <w:rPr>
                <w:rFonts w:hint="eastAsia" w:ascii="仿宋" w:hAnsi="仿宋" w:eastAsia="仿宋" w:cs="仿宋"/>
                <w:sz w:val="20"/>
                <w:szCs w:val="20"/>
              </w:rPr>
              <w:t>数量</w:t>
            </w:r>
          </w:p>
        </w:tc>
        <w:tc>
          <w:tcPr>
            <w:tcW w:w="1184" w:type="dxa"/>
            <w:tcBorders>
              <w:top w:val="single" w:color="auto" w:sz="4" w:space="0"/>
              <w:left w:val="single" w:color="auto" w:sz="4" w:space="0"/>
              <w:bottom w:val="single" w:color="auto" w:sz="4" w:space="0"/>
              <w:right w:val="single" w:color="auto" w:sz="4" w:space="0"/>
            </w:tcBorders>
            <w:vAlign w:val="center"/>
          </w:tcPr>
          <w:p w14:paraId="021DD091">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sz w:val="20"/>
                <w:szCs w:val="20"/>
              </w:rPr>
            </w:pPr>
            <w:r>
              <w:rPr>
                <w:rFonts w:hint="eastAsia" w:ascii="仿宋" w:hAnsi="仿宋" w:eastAsia="仿宋" w:cs="仿宋"/>
                <w:sz w:val="20"/>
                <w:szCs w:val="20"/>
              </w:rPr>
              <w:t>交货时间</w:t>
            </w:r>
          </w:p>
        </w:tc>
        <w:tc>
          <w:tcPr>
            <w:tcW w:w="1664" w:type="dxa"/>
            <w:tcBorders>
              <w:top w:val="single" w:color="auto" w:sz="4" w:space="0"/>
              <w:left w:val="single" w:color="auto" w:sz="4" w:space="0"/>
              <w:bottom w:val="single" w:color="auto" w:sz="4" w:space="0"/>
              <w:right w:val="single" w:color="auto" w:sz="4" w:space="0"/>
            </w:tcBorders>
            <w:vAlign w:val="center"/>
          </w:tcPr>
          <w:p w14:paraId="1EDF4462">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sz w:val="20"/>
                <w:szCs w:val="20"/>
              </w:rPr>
            </w:pPr>
            <w:r>
              <w:rPr>
                <w:rFonts w:hint="eastAsia" w:ascii="仿宋" w:hAnsi="仿宋" w:eastAsia="仿宋" w:cs="仿宋"/>
                <w:sz w:val="20"/>
                <w:szCs w:val="20"/>
              </w:rPr>
              <w:t>交货地点</w:t>
            </w:r>
          </w:p>
        </w:tc>
        <w:tc>
          <w:tcPr>
            <w:tcW w:w="1112" w:type="dxa"/>
            <w:tcBorders>
              <w:top w:val="single" w:color="auto" w:sz="4" w:space="0"/>
              <w:left w:val="single" w:color="auto" w:sz="4" w:space="0"/>
              <w:bottom w:val="single" w:color="auto" w:sz="4" w:space="0"/>
              <w:right w:val="single" w:color="auto" w:sz="4" w:space="0"/>
            </w:tcBorders>
            <w:vAlign w:val="center"/>
          </w:tcPr>
          <w:p w14:paraId="1FD5A582">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sz w:val="20"/>
                <w:szCs w:val="20"/>
              </w:rPr>
            </w:pPr>
            <w:r>
              <w:rPr>
                <w:rFonts w:hint="eastAsia" w:ascii="仿宋" w:hAnsi="仿宋" w:eastAsia="仿宋" w:cs="仿宋"/>
                <w:sz w:val="20"/>
                <w:szCs w:val="20"/>
              </w:rPr>
              <w:t>交货状态及条件</w:t>
            </w:r>
          </w:p>
        </w:tc>
      </w:tr>
      <w:tr w14:paraId="4230E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69" w:hRule="atLeast"/>
          <w:jc w:val="center"/>
        </w:trPr>
        <w:tc>
          <w:tcPr>
            <w:tcW w:w="881" w:type="dxa"/>
            <w:tcBorders>
              <w:top w:val="single" w:color="auto" w:sz="4" w:space="0"/>
              <w:left w:val="single" w:color="auto" w:sz="4" w:space="0"/>
              <w:bottom w:val="single" w:color="auto" w:sz="4" w:space="0"/>
              <w:right w:val="single" w:color="auto" w:sz="4" w:space="0"/>
            </w:tcBorders>
            <w:vAlign w:val="center"/>
          </w:tcPr>
          <w:p w14:paraId="391F2C9C">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1102" w:type="dxa"/>
            <w:tcBorders>
              <w:top w:val="single" w:color="auto" w:sz="4" w:space="0"/>
              <w:left w:val="single" w:color="auto" w:sz="4" w:space="0"/>
              <w:bottom w:val="single" w:color="auto" w:sz="4" w:space="0"/>
              <w:right w:val="single" w:color="auto" w:sz="4" w:space="0"/>
            </w:tcBorders>
            <w:vAlign w:val="center"/>
          </w:tcPr>
          <w:p w14:paraId="79490A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i w:val="0"/>
                <w:iCs w:val="0"/>
                <w:color w:val="000000"/>
                <w:kern w:val="0"/>
                <w:sz w:val="24"/>
                <w:szCs w:val="24"/>
                <w:u w:val="none"/>
                <w:lang w:val="en-US" w:eastAsia="zh-CN" w:bidi="ar"/>
              </w:rPr>
              <w:t>绿网</w:t>
            </w:r>
          </w:p>
        </w:tc>
        <w:tc>
          <w:tcPr>
            <w:tcW w:w="1695" w:type="dxa"/>
            <w:tcBorders>
              <w:top w:val="single" w:color="auto" w:sz="4" w:space="0"/>
              <w:left w:val="single" w:color="auto" w:sz="4" w:space="0"/>
              <w:bottom w:val="single" w:color="auto" w:sz="4" w:space="0"/>
              <w:right w:val="single" w:color="auto" w:sz="4" w:space="0"/>
            </w:tcBorders>
            <w:vAlign w:val="center"/>
          </w:tcPr>
          <w:p w14:paraId="6C1BAF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sz w:val="24"/>
                <w:szCs w:val="24"/>
                <w:lang w:val="en-US" w:eastAsia="zh-CN"/>
              </w:rPr>
              <w:t>6目</w:t>
            </w:r>
          </w:p>
        </w:tc>
        <w:tc>
          <w:tcPr>
            <w:tcW w:w="960" w:type="dxa"/>
            <w:tcBorders>
              <w:top w:val="single" w:color="auto" w:sz="4" w:space="0"/>
              <w:left w:val="single" w:color="auto" w:sz="4" w:space="0"/>
              <w:bottom w:val="single" w:color="auto" w:sz="4" w:space="0"/>
              <w:right w:val="single" w:color="auto" w:sz="4" w:space="0"/>
            </w:tcBorders>
            <w:vAlign w:val="center"/>
          </w:tcPr>
          <w:p w14:paraId="420637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sz w:val="20"/>
                <w:szCs w:val="20"/>
                <w:lang w:val="en-US" w:eastAsia="zh-CN"/>
              </w:rPr>
            </w:pPr>
            <w:r>
              <w:rPr>
                <w:rFonts w:hint="eastAsia" w:ascii="仿宋" w:hAnsi="仿宋" w:eastAsia="仿宋" w:cs="仿宋"/>
                <w:sz w:val="24"/>
                <w:szCs w:val="24"/>
                <w:lang w:val="en-US" w:eastAsia="zh-CN"/>
              </w:rPr>
              <w:t>卷</w:t>
            </w:r>
          </w:p>
        </w:tc>
        <w:tc>
          <w:tcPr>
            <w:tcW w:w="990" w:type="dxa"/>
            <w:tcBorders>
              <w:top w:val="single" w:color="auto" w:sz="4" w:space="0"/>
              <w:left w:val="single" w:color="auto" w:sz="4" w:space="0"/>
              <w:bottom w:val="single" w:color="auto" w:sz="4" w:space="0"/>
              <w:right w:val="single" w:color="auto" w:sz="4" w:space="0"/>
            </w:tcBorders>
            <w:vAlign w:val="center"/>
          </w:tcPr>
          <w:p w14:paraId="6995FF2B">
            <w:pPr>
              <w:keepNext w:val="0"/>
              <w:keepLines w:val="0"/>
              <w:pageBreakBefore w:val="0"/>
              <w:widowControl/>
              <w:suppressLineNumbers w:val="0"/>
              <w:kinsoku/>
              <w:wordWrap/>
              <w:overflowPunct/>
              <w:topLinePunct w:val="0"/>
              <w:autoSpaceDE/>
              <w:autoSpaceDN/>
              <w:bidi w:val="0"/>
              <w:adjustRightInd/>
              <w:snapToGrid/>
              <w:spacing w:line="280" w:lineRule="exact"/>
              <w:ind w:firstLine="240" w:firstLineChars="100"/>
              <w:jc w:val="both"/>
              <w:textAlignment w:val="center"/>
              <w:rPr>
                <w:rFonts w:hint="default" w:ascii="仿宋" w:hAnsi="仿宋" w:eastAsia="仿宋" w:cs="仿宋"/>
                <w:color w:val="000000"/>
                <w:sz w:val="20"/>
                <w:szCs w:val="20"/>
                <w:lang w:val="en-US" w:eastAsia="zh-CN"/>
              </w:rPr>
            </w:pPr>
            <w:r>
              <w:rPr>
                <w:rFonts w:hint="eastAsia" w:ascii="仿宋" w:hAnsi="仿宋" w:eastAsia="仿宋" w:cs="仿宋"/>
                <w:sz w:val="24"/>
                <w:szCs w:val="24"/>
                <w:lang w:val="en-US" w:eastAsia="zh-CN"/>
              </w:rPr>
              <w:t>3000</w:t>
            </w:r>
          </w:p>
        </w:tc>
        <w:tc>
          <w:tcPr>
            <w:tcW w:w="1184" w:type="dxa"/>
            <w:tcBorders>
              <w:top w:val="single" w:color="auto" w:sz="4" w:space="0"/>
              <w:left w:val="single" w:color="auto" w:sz="4" w:space="0"/>
              <w:bottom w:val="single" w:color="auto" w:sz="4" w:space="0"/>
              <w:right w:val="single" w:color="auto" w:sz="4" w:space="0"/>
            </w:tcBorders>
            <w:vAlign w:val="center"/>
          </w:tcPr>
          <w:p w14:paraId="4169FC8A">
            <w:pPr>
              <w:keepNext w:val="0"/>
              <w:keepLines w:val="0"/>
              <w:pageBreakBefore w:val="0"/>
              <w:widowControl/>
              <w:kinsoku/>
              <w:wordWrap/>
              <w:overflowPunct/>
              <w:topLinePunct w:val="0"/>
              <w:bidi w:val="0"/>
              <w:spacing w:line="360" w:lineRule="auto"/>
              <w:jc w:val="center"/>
              <w:textAlignment w:val="center"/>
              <w:rPr>
                <w:rFonts w:hint="default" w:ascii="仿宋" w:hAnsi="仿宋" w:eastAsia="仿宋" w:cs="仿宋"/>
                <w:color w:val="000000"/>
                <w:sz w:val="20"/>
                <w:szCs w:val="20"/>
                <w:lang w:val="en-US" w:eastAsia="zh-CN"/>
              </w:rPr>
            </w:pPr>
          </w:p>
        </w:tc>
        <w:tc>
          <w:tcPr>
            <w:tcW w:w="1664" w:type="dxa"/>
            <w:vMerge w:val="restart"/>
            <w:tcBorders>
              <w:top w:val="nil"/>
              <w:left w:val="single" w:color="auto" w:sz="4" w:space="0"/>
              <w:right w:val="single" w:color="auto" w:sz="4" w:space="0"/>
            </w:tcBorders>
            <w:vAlign w:val="center"/>
          </w:tcPr>
          <w:p w14:paraId="3C56D802">
            <w:pPr>
              <w:keepNext w:val="0"/>
              <w:keepLines w:val="0"/>
              <w:pageBreakBefore w:val="0"/>
              <w:widowControl/>
              <w:kinsoku/>
              <w:wordWrap/>
              <w:overflowPunct/>
              <w:topLinePunct w:val="0"/>
              <w:bidi w:val="0"/>
              <w:spacing w:line="360" w:lineRule="auto"/>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山西吕梁中阳西合煤业有限公司项目现场</w:t>
            </w:r>
          </w:p>
        </w:tc>
        <w:tc>
          <w:tcPr>
            <w:tcW w:w="1112" w:type="dxa"/>
            <w:vMerge w:val="restart"/>
            <w:tcBorders>
              <w:top w:val="nil"/>
              <w:left w:val="single" w:color="auto" w:sz="4" w:space="0"/>
              <w:right w:val="single" w:color="auto" w:sz="4" w:space="0"/>
            </w:tcBorders>
            <w:vAlign w:val="center"/>
          </w:tcPr>
          <w:p w14:paraId="4D116B90">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color w:val="000000"/>
                <w:sz w:val="20"/>
                <w:szCs w:val="20"/>
                <w:lang w:val="en-US" w:eastAsia="zh-CN"/>
              </w:rPr>
            </w:pPr>
            <w:r>
              <w:rPr>
                <w:rFonts w:hint="eastAsia" w:ascii="仿宋" w:hAnsi="仿宋" w:eastAsia="仿宋" w:cs="宋体"/>
                <w:b w:val="0"/>
                <w:bCs w:val="0"/>
                <w:color w:val="000000"/>
                <w:kern w:val="2"/>
                <w:sz w:val="24"/>
                <w:szCs w:val="24"/>
                <w:highlight w:val="none"/>
                <w:lang w:val="en-US" w:eastAsia="zh-CN" w:bidi="ar-SA"/>
              </w:rPr>
              <w:t>接</w:t>
            </w:r>
            <w:r>
              <w:rPr>
                <w:rFonts w:hint="eastAsia" w:ascii="仿宋" w:hAnsi="仿宋" w:eastAsia="仿宋" w:cs="仿宋"/>
                <w:color w:val="000000"/>
                <w:sz w:val="20"/>
                <w:szCs w:val="20"/>
                <w:lang w:val="en-US" w:eastAsia="zh-CN"/>
              </w:rPr>
              <w:t>甲方通知后3天内供</w:t>
            </w:r>
            <w:bookmarkStart w:id="1" w:name="_GoBack"/>
            <w:bookmarkEnd w:id="1"/>
            <w:r>
              <w:rPr>
                <w:rFonts w:hint="eastAsia" w:ascii="仿宋" w:hAnsi="仿宋" w:eastAsia="仿宋" w:cs="仿宋"/>
                <w:color w:val="000000"/>
                <w:sz w:val="20"/>
                <w:szCs w:val="20"/>
                <w:lang w:val="en-US" w:eastAsia="zh-CN"/>
              </w:rPr>
              <w:t>货</w:t>
            </w:r>
          </w:p>
        </w:tc>
      </w:tr>
      <w:tr w14:paraId="2C48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69" w:hRule="atLeast"/>
          <w:jc w:val="center"/>
        </w:trPr>
        <w:tc>
          <w:tcPr>
            <w:tcW w:w="881" w:type="dxa"/>
            <w:tcBorders>
              <w:top w:val="single" w:color="auto" w:sz="4" w:space="0"/>
              <w:left w:val="single" w:color="auto" w:sz="4" w:space="0"/>
              <w:bottom w:val="single" w:color="auto" w:sz="4" w:space="0"/>
              <w:right w:val="single" w:color="auto" w:sz="4" w:space="0"/>
            </w:tcBorders>
            <w:vAlign w:val="center"/>
          </w:tcPr>
          <w:p w14:paraId="7D1558FE">
            <w:pPr>
              <w:keepNext w:val="0"/>
              <w:keepLines w:val="0"/>
              <w:pageBreakBefore w:val="0"/>
              <w:widowControl/>
              <w:kinsoku/>
              <w:wordWrap/>
              <w:overflowPunct/>
              <w:topLinePunct w:val="0"/>
              <w:bidi w:val="0"/>
              <w:spacing w:line="360" w:lineRule="auto"/>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2</w:t>
            </w:r>
          </w:p>
        </w:tc>
        <w:tc>
          <w:tcPr>
            <w:tcW w:w="1102" w:type="dxa"/>
            <w:tcBorders>
              <w:top w:val="single" w:color="auto" w:sz="4" w:space="0"/>
              <w:left w:val="single" w:color="auto" w:sz="4" w:space="0"/>
              <w:bottom w:val="single" w:color="auto" w:sz="4" w:space="0"/>
              <w:right w:val="single" w:color="auto" w:sz="4" w:space="0"/>
            </w:tcBorders>
            <w:vAlign w:val="center"/>
          </w:tcPr>
          <w:p w14:paraId="7B47DB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sz w:val="24"/>
                <w:szCs w:val="24"/>
                <w:lang w:val="en-US" w:eastAsia="zh-CN"/>
              </w:rPr>
              <w:t>镀锌扁铁</w:t>
            </w:r>
          </w:p>
        </w:tc>
        <w:tc>
          <w:tcPr>
            <w:tcW w:w="1695" w:type="dxa"/>
            <w:tcBorders>
              <w:top w:val="single" w:color="auto" w:sz="4" w:space="0"/>
              <w:left w:val="single" w:color="auto" w:sz="4" w:space="0"/>
              <w:bottom w:val="single" w:color="auto" w:sz="4" w:space="0"/>
              <w:right w:val="single" w:color="auto" w:sz="4" w:space="0"/>
            </w:tcBorders>
            <w:vAlign w:val="center"/>
          </w:tcPr>
          <w:p w14:paraId="1DBC42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sz w:val="20"/>
                <w:szCs w:val="20"/>
                <w:lang w:val="en-US" w:eastAsia="zh-CN"/>
              </w:rPr>
            </w:pPr>
            <w:r>
              <w:rPr>
                <w:rFonts w:hint="eastAsia" w:ascii="仿宋" w:hAnsi="仿宋" w:eastAsia="仿宋" w:cs="仿宋"/>
                <w:sz w:val="24"/>
                <w:szCs w:val="24"/>
                <w:lang w:val="en-US" w:eastAsia="zh-CN"/>
              </w:rPr>
              <w:t>40*4</w:t>
            </w:r>
          </w:p>
        </w:tc>
        <w:tc>
          <w:tcPr>
            <w:tcW w:w="960" w:type="dxa"/>
            <w:tcBorders>
              <w:top w:val="single" w:color="auto" w:sz="4" w:space="0"/>
              <w:left w:val="single" w:color="auto" w:sz="4" w:space="0"/>
              <w:bottom w:val="single" w:color="auto" w:sz="4" w:space="0"/>
              <w:right w:val="single" w:color="auto" w:sz="4" w:space="0"/>
            </w:tcBorders>
            <w:vAlign w:val="center"/>
          </w:tcPr>
          <w:p w14:paraId="594DF1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sz w:val="24"/>
                <w:szCs w:val="24"/>
                <w:lang w:val="en-US" w:eastAsia="zh-CN"/>
              </w:rPr>
              <w:t>米</w:t>
            </w:r>
          </w:p>
        </w:tc>
        <w:tc>
          <w:tcPr>
            <w:tcW w:w="990" w:type="dxa"/>
            <w:tcBorders>
              <w:top w:val="single" w:color="auto" w:sz="4" w:space="0"/>
              <w:left w:val="single" w:color="auto" w:sz="4" w:space="0"/>
              <w:bottom w:val="single" w:color="auto" w:sz="4" w:space="0"/>
              <w:right w:val="single" w:color="auto" w:sz="4" w:space="0"/>
            </w:tcBorders>
            <w:vAlign w:val="center"/>
          </w:tcPr>
          <w:p w14:paraId="04AD2A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sz w:val="24"/>
                <w:szCs w:val="24"/>
                <w:lang w:val="en-US" w:eastAsia="zh-CN"/>
              </w:rPr>
              <w:t>500</w:t>
            </w:r>
          </w:p>
        </w:tc>
        <w:tc>
          <w:tcPr>
            <w:tcW w:w="1184" w:type="dxa"/>
            <w:tcBorders>
              <w:top w:val="single" w:color="auto" w:sz="4" w:space="0"/>
              <w:left w:val="single" w:color="auto" w:sz="4" w:space="0"/>
              <w:bottom w:val="single" w:color="auto" w:sz="4" w:space="0"/>
              <w:right w:val="single" w:color="auto" w:sz="4" w:space="0"/>
            </w:tcBorders>
            <w:vAlign w:val="center"/>
          </w:tcPr>
          <w:p w14:paraId="63436FC3">
            <w:pPr>
              <w:keepNext w:val="0"/>
              <w:keepLines w:val="0"/>
              <w:pageBreakBefore w:val="0"/>
              <w:widowControl/>
              <w:kinsoku/>
              <w:wordWrap/>
              <w:overflowPunct/>
              <w:topLinePunct w:val="0"/>
              <w:bidi w:val="0"/>
              <w:spacing w:line="360" w:lineRule="auto"/>
              <w:jc w:val="center"/>
              <w:textAlignment w:val="center"/>
              <w:rPr>
                <w:rFonts w:hint="default" w:ascii="仿宋" w:hAnsi="仿宋" w:eastAsia="仿宋" w:cs="仿宋"/>
                <w:color w:val="000000"/>
                <w:sz w:val="20"/>
                <w:szCs w:val="20"/>
                <w:lang w:val="en-US" w:eastAsia="zh-CN"/>
              </w:rPr>
            </w:pPr>
          </w:p>
        </w:tc>
        <w:tc>
          <w:tcPr>
            <w:tcW w:w="1664" w:type="dxa"/>
            <w:vMerge w:val="continue"/>
            <w:tcBorders>
              <w:left w:val="single" w:color="auto" w:sz="4" w:space="0"/>
              <w:right w:val="single" w:color="auto" w:sz="4" w:space="0"/>
            </w:tcBorders>
            <w:vAlign w:val="center"/>
          </w:tcPr>
          <w:p w14:paraId="42E051AF">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color w:val="000000"/>
                <w:sz w:val="20"/>
                <w:szCs w:val="20"/>
                <w:lang w:val="en-US" w:eastAsia="zh-CN"/>
              </w:rPr>
            </w:pPr>
          </w:p>
        </w:tc>
        <w:tc>
          <w:tcPr>
            <w:tcW w:w="1112" w:type="dxa"/>
            <w:vMerge w:val="continue"/>
            <w:tcBorders>
              <w:left w:val="single" w:color="auto" w:sz="4" w:space="0"/>
              <w:right w:val="single" w:color="auto" w:sz="4" w:space="0"/>
            </w:tcBorders>
            <w:vAlign w:val="center"/>
          </w:tcPr>
          <w:p w14:paraId="1254C603">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color w:val="000000"/>
                <w:sz w:val="20"/>
                <w:szCs w:val="20"/>
              </w:rPr>
            </w:pPr>
          </w:p>
        </w:tc>
      </w:tr>
      <w:tr w14:paraId="47052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69" w:hRule="atLeast"/>
          <w:jc w:val="center"/>
        </w:trPr>
        <w:tc>
          <w:tcPr>
            <w:tcW w:w="881" w:type="dxa"/>
            <w:tcBorders>
              <w:top w:val="single" w:color="auto" w:sz="4" w:space="0"/>
              <w:left w:val="single" w:color="auto" w:sz="4" w:space="0"/>
              <w:bottom w:val="single" w:color="auto" w:sz="4" w:space="0"/>
              <w:right w:val="single" w:color="auto" w:sz="4" w:space="0"/>
            </w:tcBorders>
            <w:vAlign w:val="center"/>
          </w:tcPr>
          <w:p w14:paraId="299E3D39">
            <w:pPr>
              <w:keepNext w:val="0"/>
              <w:keepLines w:val="0"/>
              <w:pageBreakBefore w:val="0"/>
              <w:widowControl/>
              <w:kinsoku/>
              <w:wordWrap/>
              <w:overflowPunct/>
              <w:topLinePunct w:val="0"/>
              <w:bidi w:val="0"/>
              <w:spacing w:line="360" w:lineRule="auto"/>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w:t>
            </w:r>
          </w:p>
        </w:tc>
        <w:tc>
          <w:tcPr>
            <w:tcW w:w="1102" w:type="dxa"/>
            <w:tcBorders>
              <w:top w:val="single" w:color="auto" w:sz="4" w:space="0"/>
              <w:left w:val="single" w:color="auto" w:sz="4" w:space="0"/>
              <w:bottom w:val="single" w:color="auto" w:sz="4" w:space="0"/>
              <w:right w:val="single" w:color="auto" w:sz="4" w:space="0"/>
            </w:tcBorders>
            <w:vAlign w:val="center"/>
          </w:tcPr>
          <w:p w14:paraId="43FDFA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sz w:val="20"/>
                <w:szCs w:val="20"/>
                <w:lang w:val="en-US" w:eastAsia="zh-CN"/>
              </w:rPr>
            </w:pPr>
            <w:r>
              <w:rPr>
                <w:rFonts w:hint="eastAsia" w:ascii="仿宋" w:hAnsi="仿宋" w:eastAsia="仿宋" w:cs="仿宋"/>
                <w:sz w:val="24"/>
                <w:szCs w:val="24"/>
                <w:lang w:val="en-US" w:eastAsia="zh-CN"/>
              </w:rPr>
              <w:t>止水板</w:t>
            </w:r>
          </w:p>
        </w:tc>
        <w:tc>
          <w:tcPr>
            <w:tcW w:w="1695" w:type="dxa"/>
            <w:tcBorders>
              <w:top w:val="single" w:color="auto" w:sz="4" w:space="0"/>
              <w:left w:val="single" w:color="auto" w:sz="4" w:space="0"/>
              <w:bottom w:val="single" w:color="auto" w:sz="4" w:space="0"/>
              <w:right w:val="single" w:color="auto" w:sz="4" w:space="0"/>
            </w:tcBorders>
            <w:vAlign w:val="center"/>
          </w:tcPr>
          <w:p w14:paraId="056E42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sz w:val="20"/>
                <w:szCs w:val="20"/>
                <w:lang w:val="en-US" w:eastAsia="zh-CN"/>
              </w:rPr>
            </w:pPr>
          </w:p>
        </w:tc>
        <w:tc>
          <w:tcPr>
            <w:tcW w:w="960" w:type="dxa"/>
            <w:tcBorders>
              <w:top w:val="single" w:color="auto" w:sz="4" w:space="0"/>
              <w:left w:val="single" w:color="auto" w:sz="4" w:space="0"/>
              <w:bottom w:val="single" w:color="auto" w:sz="4" w:space="0"/>
              <w:right w:val="single" w:color="auto" w:sz="4" w:space="0"/>
            </w:tcBorders>
            <w:vAlign w:val="center"/>
          </w:tcPr>
          <w:p w14:paraId="04F8B7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sz w:val="24"/>
                <w:szCs w:val="24"/>
                <w:lang w:val="en-US" w:eastAsia="zh-CN"/>
              </w:rPr>
              <w:t>m³</w:t>
            </w:r>
          </w:p>
        </w:tc>
        <w:tc>
          <w:tcPr>
            <w:tcW w:w="990" w:type="dxa"/>
            <w:tcBorders>
              <w:top w:val="single" w:color="auto" w:sz="4" w:space="0"/>
              <w:left w:val="single" w:color="auto" w:sz="4" w:space="0"/>
              <w:bottom w:val="single" w:color="auto" w:sz="4" w:space="0"/>
              <w:right w:val="single" w:color="auto" w:sz="4" w:space="0"/>
            </w:tcBorders>
            <w:vAlign w:val="center"/>
          </w:tcPr>
          <w:p w14:paraId="29D773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sz w:val="24"/>
                <w:szCs w:val="24"/>
                <w:lang w:val="en-US" w:eastAsia="zh-CN"/>
              </w:rPr>
              <w:t>10</w:t>
            </w:r>
          </w:p>
        </w:tc>
        <w:tc>
          <w:tcPr>
            <w:tcW w:w="1184" w:type="dxa"/>
            <w:tcBorders>
              <w:top w:val="single" w:color="auto" w:sz="4" w:space="0"/>
              <w:left w:val="single" w:color="auto" w:sz="4" w:space="0"/>
              <w:bottom w:val="single" w:color="auto" w:sz="4" w:space="0"/>
              <w:right w:val="single" w:color="auto" w:sz="4" w:space="0"/>
            </w:tcBorders>
            <w:vAlign w:val="center"/>
          </w:tcPr>
          <w:p w14:paraId="399A4D72">
            <w:pPr>
              <w:keepNext w:val="0"/>
              <w:keepLines w:val="0"/>
              <w:pageBreakBefore w:val="0"/>
              <w:widowControl/>
              <w:kinsoku/>
              <w:wordWrap/>
              <w:overflowPunct/>
              <w:topLinePunct w:val="0"/>
              <w:bidi w:val="0"/>
              <w:spacing w:line="360" w:lineRule="auto"/>
              <w:jc w:val="center"/>
              <w:textAlignment w:val="center"/>
              <w:rPr>
                <w:rFonts w:hint="default" w:ascii="仿宋" w:hAnsi="仿宋" w:eastAsia="仿宋" w:cs="仿宋"/>
                <w:color w:val="000000"/>
                <w:sz w:val="20"/>
                <w:szCs w:val="20"/>
                <w:lang w:val="en-US" w:eastAsia="zh-CN"/>
              </w:rPr>
            </w:pPr>
          </w:p>
        </w:tc>
        <w:tc>
          <w:tcPr>
            <w:tcW w:w="1664" w:type="dxa"/>
            <w:vMerge w:val="continue"/>
            <w:tcBorders>
              <w:left w:val="single" w:color="auto" w:sz="4" w:space="0"/>
              <w:right w:val="single" w:color="auto" w:sz="4" w:space="0"/>
            </w:tcBorders>
            <w:vAlign w:val="center"/>
          </w:tcPr>
          <w:p w14:paraId="2FF55255">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color w:val="000000"/>
                <w:sz w:val="20"/>
                <w:szCs w:val="20"/>
                <w:lang w:val="en-US" w:eastAsia="zh-CN"/>
              </w:rPr>
            </w:pPr>
          </w:p>
        </w:tc>
        <w:tc>
          <w:tcPr>
            <w:tcW w:w="1112" w:type="dxa"/>
            <w:vMerge w:val="continue"/>
            <w:tcBorders>
              <w:left w:val="single" w:color="auto" w:sz="4" w:space="0"/>
              <w:right w:val="single" w:color="auto" w:sz="4" w:space="0"/>
            </w:tcBorders>
            <w:vAlign w:val="center"/>
          </w:tcPr>
          <w:p w14:paraId="1D8D9E93">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color w:val="000000"/>
                <w:sz w:val="20"/>
                <w:szCs w:val="20"/>
              </w:rPr>
            </w:pPr>
          </w:p>
        </w:tc>
      </w:tr>
      <w:tr w14:paraId="00B72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69" w:hRule="atLeast"/>
          <w:jc w:val="center"/>
        </w:trPr>
        <w:tc>
          <w:tcPr>
            <w:tcW w:w="881" w:type="dxa"/>
            <w:tcBorders>
              <w:top w:val="single" w:color="auto" w:sz="4" w:space="0"/>
              <w:left w:val="single" w:color="auto" w:sz="4" w:space="0"/>
              <w:bottom w:val="single" w:color="auto" w:sz="4" w:space="0"/>
              <w:right w:val="single" w:color="auto" w:sz="4" w:space="0"/>
            </w:tcBorders>
            <w:vAlign w:val="center"/>
          </w:tcPr>
          <w:p w14:paraId="4422FF34">
            <w:pPr>
              <w:keepNext w:val="0"/>
              <w:keepLines w:val="0"/>
              <w:pageBreakBefore w:val="0"/>
              <w:widowControl/>
              <w:kinsoku/>
              <w:wordWrap/>
              <w:overflowPunct/>
              <w:topLinePunct w:val="0"/>
              <w:bidi w:val="0"/>
              <w:spacing w:line="360" w:lineRule="auto"/>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4</w:t>
            </w:r>
          </w:p>
        </w:tc>
        <w:tc>
          <w:tcPr>
            <w:tcW w:w="1102" w:type="dxa"/>
            <w:tcBorders>
              <w:top w:val="single" w:color="auto" w:sz="4" w:space="0"/>
              <w:left w:val="single" w:color="auto" w:sz="4" w:space="0"/>
              <w:bottom w:val="single" w:color="auto" w:sz="4" w:space="0"/>
              <w:right w:val="single" w:color="auto" w:sz="4" w:space="0"/>
            </w:tcBorders>
            <w:vAlign w:val="center"/>
          </w:tcPr>
          <w:p w14:paraId="3D90C9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sz w:val="20"/>
                <w:szCs w:val="20"/>
                <w:lang w:val="en-US" w:eastAsia="zh-CN"/>
              </w:rPr>
            </w:pPr>
            <w:r>
              <w:rPr>
                <w:rFonts w:hint="eastAsia" w:ascii="仿宋" w:hAnsi="仿宋" w:eastAsia="仿宋" w:cs="仿宋"/>
                <w:sz w:val="24"/>
                <w:szCs w:val="24"/>
                <w:lang w:val="en-US" w:eastAsia="zh-CN"/>
              </w:rPr>
              <w:t>14止水螺杆</w:t>
            </w:r>
          </w:p>
        </w:tc>
        <w:tc>
          <w:tcPr>
            <w:tcW w:w="1695" w:type="dxa"/>
            <w:tcBorders>
              <w:top w:val="single" w:color="auto" w:sz="4" w:space="0"/>
              <w:left w:val="single" w:color="auto" w:sz="4" w:space="0"/>
              <w:bottom w:val="single" w:color="auto" w:sz="4" w:space="0"/>
              <w:right w:val="single" w:color="auto" w:sz="4" w:space="0"/>
            </w:tcBorders>
            <w:vAlign w:val="center"/>
          </w:tcPr>
          <w:p w14:paraId="59CBB6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sz w:val="24"/>
                <w:szCs w:val="24"/>
                <w:lang w:val="en-US" w:eastAsia="zh-CN"/>
              </w:rPr>
              <w:t>0.8m</w:t>
            </w:r>
          </w:p>
        </w:tc>
        <w:tc>
          <w:tcPr>
            <w:tcW w:w="960" w:type="dxa"/>
            <w:tcBorders>
              <w:top w:val="single" w:color="auto" w:sz="4" w:space="0"/>
              <w:left w:val="single" w:color="auto" w:sz="4" w:space="0"/>
              <w:bottom w:val="single" w:color="auto" w:sz="4" w:space="0"/>
              <w:right w:val="single" w:color="auto" w:sz="4" w:space="0"/>
            </w:tcBorders>
            <w:vAlign w:val="center"/>
          </w:tcPr>
          <w:p w14:paraId="58148B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sz w:val="24"/>
                <w:szCs w:val="24"/>
                <w:lang w:val="en-US" w:eastAsia="zh-CN"/>
              </w:rPr>
              <w:t>套</w:t>
            </w:r>
          </w:p>
        </w:tc>
        <w:tc>
          <w:tcPr>
            <w:tcW w:w="990" w:type="dxa"/>
            <w:tcBorders>
              <w:top w:val="single" w:color="auto" w:sz="4" w:space="0"/>
              <w:left w:val="single" w:color="auto" w:sz="4" w:space="0"/>
              <w:bottom w:val="single" w:color="auto" w:sz="4" w:space="0"/>
              <w:right w:val="single" w:color="auto" w:sz="4" w:space="0"/>
            </w:tcBorders>
            <w:vAlign w:val="center"/>
          </w:tcPr>
          <w:p w14:paraId="305BB7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sz w:val="24"/>
                <w:szCs w:val="24"/>
                <w:lang w:val="en-US" w:eastAsia="zh-CN"/>
              </w:rPr>
              <w:t>3700</w:t>
            </w:r>
          </w:p>
        </w:tc>
        <w:tc>
          <w:tcPr>
            <w:tcW w:w="1184" w:type="dxa"/>
            <w:tcBorders>
              <w:top w:val="single" w:color="auto" w:sz="4" w:space="0"/>
              <w:left w:val="single" w:color="auto" w:sz="4" w:space="0"/>
              <w:bottom w:val="single" w:color="auto" w:sz="4" w:space="0"/>
              <w:right w:val="single" w:color="auto" w:sz="4" w:space="0"/>
            </w:tcBorders>
            <w:vAlign w:val="center"/>
          </w:tcPr>
          <w:p w14:paraId="46735112">
            <w:pPr>
              <w:keepNext w:val="0"/>
              <w:keepLines w:val="0"/>
              <w:pageBreakBefore w:val="0"/>
              <w:widowControl/>
              <w:kinsoku/>
              <w:wordWrap/>
              <w:overflowPunct/>
              <w:topLinePunct w:val="0"/>
              <w:bidi w:val="0"/>
              <w:spacing w:line="360" w:lineRule="auto"/>
              <w:jc w:val="center"/>
              <w:textAlignment w:val="center"/>
              <w:rPr>
                <w:rFonts w:hint="default" w:ascii="仿宋" w:hAnsi="仿宋" w:eastAsia="仿宋" w:cs="仿宋"/>
                <w:color w:val="000000"/>
                <w:sz w:val="20"/>
                <w:szCs w:val="20"/>
                <w:lang w:val="en-US" w:eastAsia="zh-CN"/>
              </w:rPr>
            </w:pPr>
          </w:p>
        </w:tc>
        <w:tc>
          <w:tcPr>
            <w:tcW w:w="1664" w:type="dxa"/>
            <w:vMerge w:val="continue"/>
            <w:tcBorders>
              <w:left w:val="single" w:color="auto" w:sz="4" w:space="0"/>
              <w:right w:val="single" w:color="auto" w:sz="4" w:space="0"/>
            </w:tcBorders>
            <w:vAlign w:val="center"/>
          </w:tcPr>
          <w:p w14:paraId="63C33FB0">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color w:val="000000"/>
                <w:sz w:val="20"/>
                <w:szCs w:val="20"/>
                <w:lang w:val="en-US" w:eastAsia="zh-CN"/>
              </w:rPr>
            </w:pPr>
          </w:p>
        </w:tc>
        <w:tc>
          <w:tcPr>
            <w:tcW w:w="1112" w:type="dxa"/>
            <w:vMerge w:val="continue"/>
            <w:tcBorders>
              <w:left w:val="single" w:color="auto" w:sz="4" w:space="0"/>
              <w:right w:val="single" w:color="auto" w:sz="4" w:space="0"/>
            </w:tcBorders>
            <w:vAlign w:val="center"/>
          </w:tcPr>
          <w:p w14:paraId="2A90117C">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color w:val="000000"/>
                <w:sz w:val="20"/>
                <w:szCs w:val="20"/>
              </w:rPr>
            </w:pPr>
          </w:p>
        </w:tc>
      </w:tr>
      <w:tr w14:paraId="342F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881" w:type="dxa"/>
            <w:tcBorders>
              <w:top w:val="single" w:color="auto" w:sz="4" w:space="0"/>
              <w:left w:val="single" w:color="auto" w:sz="4" w:space="0"/>
              <w:bottom w:val="single" w:color="auto" w:sz="4" w:space="0"/>
              <w:right w:val="single" w:color="auto" w:sz="4" w:space="0"/>
            </w:tcBorders>
            <w:vAlign w:val="center"/>
          </w:tcPr>
          <w:p w14:paraId="546E8E8B">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olor w:val="000000"/>
                <w:sz w:val="20"/>
                <w:szCs w:val="20"/>
                <w:lang w:eastAsia="zh-CN"/>
              </w:rPr>
            </w:pPr>
            <w:bookmarkStart w:id="0" w:name="_Toc7642"/>
            <w:bookmarkEnd w:id="0"/>
            <w:r>
              <w:rPr>
                <w:rFonts w:hint="eastAsia" w:ascii="仿宋" w:hAnsi="仿宋" w:eastAsia="仿宋"/>
                <w:color w:val="000000"/>
                <w:sz w:val="20"/>
                <w:szCs w:val="20"/>
                <w:lang w:eastAsia="zh-CN"/>
              </w:rPr>
              <w:t>合计</w:t>
            </w:r>
          </w:p>
        </w:tc>
        <w:tc>
          <w:tcPr>
            <w:tcW w:w="1102" w:type="dxa"/>
            <w:tcBorders>
              <w:top w:val="single" w:color="auto" w:sz="4" w:space="0"/>
              <w:left w:val="single" w:color="auto" w:sz="4" w:space="0"/>
              <w:bottom w:val="single" w:color="auto" w:sz="4" w:space="0"/>
              <w:right w:val="single" w:color="auto" w:sz="4" w:space="0"/>
            </w:tcBorders>
            <w:vAlign w:val="center"/>
          </w:tcPr>
          <w:p w14:paraId="790176E3">
            <w:pPr>
              <w:keepNext w:val="0"/>
              <w:keepLines w:val="0"/>
              <w:pageBreakBefore w:val="0"/>
              <w:widowControl/>
              <w:kinsoku/>
              <w:wordWrap/>
              <w:overflowPunct/>
              <w:topLinePunct w:val="0"/>
              <w:bidi w:val="0"/>
              <w:spacing w:line="360" w:lineRule="auto"/>
              <w:jc w:val="center"/>
              <w:textAlignment w:val="center"/>
              <w:rPr>
                <w:rFonts w:ascii="仿宋" w:hAnsi="仿宋" w:eastAsia="仿宋"/>
                <w:color w:val="000000"/>
                <w:sz w:val="20"/>
                <w:szCs w:val="20"/>
              </w:rPr>
            </w:pPr>
          </w:p>
        </w:tc>
        <w:tc>
          <w:tcPr>
            <w:tcW w:w="1695" w:type="dxa"/>
            <w:tcBorders>
              <w:top w:val="single" w:color="auto" w:sz="4" w:space="0"/>
              <w:left w:val="single" w:color="auto" w:sz="4" w:space="0"/>
              <w:bottom w:val="single" w:color="auto" w:sz="4" w:space="0"/>
              <w:right w:val="single" w:color="auto" w:sz="4" w:space="0"/>
            </w:tcBorders>
            <w:vAlign w:val="center"/>
          </w:tcPr>
          <w:p w14:paraId="26BCCC1F">
            <w:pPr>
              <w:keepNext w:val="0"/>
              <w:keepLines w:val="0"/>
              <w:pageBreakBefore w:val="0"/>
              <w:widowControl/>
              <w:kinsoku/>
              <w:wordWrap/>
              <w:overflowPunct/>
              <w:topLinePunct w:val="0"/>
              <w:bidi w:val="0"/>
              <w:spacing w:line="360" w:lineRule="auto"/>
              <w:jc w:val="center"/>
              <w:textAlignment w:val="center"/>
              <w:rPr>
                <w:rFonts w:ascii="仿宋" w:hAnsi="仿宋" w:eastAsia="仿宋"/>
                <w:color w:val="000000"/>
                <w:sz w:val="20"/>
                <w:szCs w:val="20"/>
              </w:rPr>
            </w:pPr>
          </w:p>
        </w:tc>
        <w:tc>
          <w:tcPr>
            <w:tcW w:w="960" w:type="dxa"/>
            <w:tcBorders>
              <w:top w:val="single" w:color="auto" w:sz="4" w:space="0"/>
              <w:left w:val="single" w:color="auto" w:sz="4" w:space="0"/>
              <w:bottom w:val="single" w:color="auto" w:sz="4" w:space="0"/>
              <w:right w:val="single" w:color="auto" w:sz="4" w:space="0"/>
            </w:tcBorders>
            <w:vAlign w:val="center"/>
          </w:tcPr>
          <w:p w14:paraId="155DA38D">
            <w:pPr>
              <w:keepNext w:val="0"/>
              <w:keepLines w:val="0"/>
              <w:pageBreakBefore w:val="0"/>
              <w:widowControl/>
              <w:kinsoku/>
              <w:wordWrap/>
              <w:overflowPunct/>
              <w:topLinePunct w:val="0"/>
              <w:bidi w:val="0"/>
              <w:spacing w:line="360" w:lineRule="auto"/>
              <w:jc w:val="center"/>
              <w:textAlignment w:val="center"/>
              <w:rPr>
                <w:rFonts w:ascii="仿宋" w:hAnsi="仿宋" w:eastAsia="仿宋"/>
                <w:color w:val="000000"/>
                <w:sz w:val="20"/>
                <w:szCs w:val="20"/>
              </w:rPr>
            </w:pPr>
          </w:p>
        </w:tc>
        <w:tc>
          <w:tcPr>
            <w:tcW w:w="990" w:type="dxa"/>
            <w:tcBorders>
              <w:top w:val="single" w:color="auto" w:sz="4" w:space="0"/>
              <w:left w:val="single" w:color="auto" w:sz="4" w:space="0"/>
              <w:bottom w:val="single" w:color="auto" w:sz="4" w:space="0"/>
              <w:right w:val="single" w:color="auto" w:sz="4" w:space="0"/>
            </w:tcBorders>
            <w:vAlign w:val="center"/>
          </w:tcPr>
          <w:p w14:paraId="4E2E11FC">
            <w:pPr>
              <w:keepNext w:val="0"/>
              <w:keepLines w:val="0"/>
              <w:pageBreakBefore w:val="0"/>
              <w:widowControl/>
              <w:kinsoku/>
              <w:wordWrap/>
              <w:overflowPunct/>
              <w:topLinePunct w:val="0"/>
              <w:bidi w:val="0"/>
              <w:spacing w:line="360" w:lineRule="auto"/>
              <w:jc w:val="center"/>
              <w:textAlignment w:val="center"/>
              <w:rPr>
                <w:rFonts w:hint="default" w:ascii="仿宋" w:hAnsi="仿宋" w:eastAsia="仿宋"/>
                <w:color w:val="000000"/>
                <w:sz w:val="20"/>
                <w:szCs w:val="20"/>
                <w:lang w:val="en-US" w:eastAsia="zh-CN"/>
              </w:rPr>
            </w:pPr>
          </w:p>
        </w:tc>
        <w:tc>
          <w:tcPr>
            <w:tcW w:w="1184" w:type="dxa"/>
            <w:tcBorders>
              <w:top w:val="single" w:color="auto" w:sz="4" w:space="0"/>
              <w:left w:val="single" w:color="auto" w:sz="4" w:space="0"/>
              <w:bottom w:val="single" w:color="auto" w:sz="4" w:space="0"/>
              <w:right w:val="single" w:color="auto" w:sz="4" w:space="0"/>
            </w:tcBorders>
            <w:vAlign w:val="center"/>
          </w:tcPr>
          <w:p w14:paraId="275F746A">
            <w:pPr>
              <w:keepNext w:val="0"/>
              <w:keepLines w:val="0"/>
              <w:pageBreakBefore w:val="0"/>
              <w:widowControl/>
              <w:kinsoku/>
              <w:wordWrap/>
              <w:overflowPunct/>
              <w:topLinePunct w:val="0"/>
              <w:bidi w:val="0"/>
              <w:spacing w:line="360" w:lineRule="auto"/>
              <w:jc w:val="center"/>
              <w:textAlignment w:val="center"/>
              <w:rPr>
                <w:rFonts w:ascii="仿宋" w:hAnsi="仿宋" w:eastAsia="仿宋"/>
                <w:color w:val="000000"/>
                <w:sz w:val="20"/>
                <w:szCs w:val="20"/>
              </w:rPr>
            </w:pPr>
          </w:p>
        </w:tc>
        <w:tc>
          <w:tcPr>
            <w:tcW w:w="1664" w:type="dxa"/>
            <w:tcBorders>
              <w:top w:val="nil"/>
              <w:left w:val="single" w:color="auto" w:sz="4" w:space="0"/>
              <w:bottom w:val="nil"/>
              <w:right w:val="single" w:color="auto" w:sz="4" w:space="0"/>
            </w:tcBorders>
            <w:vAlign w:val="center"/>
          </w:tcPr>
          <w:p w14:paraId="4EA4C762">
            <w:pPr>
              <w:keepNext w:val="0"/>
              <w:keepLines w:val="0"/>
              <w:pageBreakBefore w:val="0"/>
              <w:widowControl/>
              <w:kinsoku/>
              <w:wordWrap/>
              <w:overflowPunct/>
              <w:topLinePunct w:val="0"/>
              <w:bidi w:val="0"/>
              <w:spacing w:line="360" w:lineRule="auto"/>
              <w:jc w:val="left"/>
              <w:rPr>
                <w:rFonts w:ascii="仿宋" w:hAnsi="仿宋" w:eastAsia="仿宋"/>
                <w:color w:val="000000"/>
                <w:sz w:val="20"/>
                <w:szCs w:val="20"/>
              </w:rPr>
            </w:pPr>
          </w:p>
        </w:tc>
        <w:tc>
          <w:tcPr>
            <w:tcW w:w="1112" w:type="dxa"/>
            <w:vMerge w:val="continue"/>
            <w:tcBorders>
              <w:left w:val="single" w:color="auto" w:sz="4" w:space="0"/>
              <w:right w:val="single" w:color="auto" w:sz="4" w:space="0"/>
            </w:tcBorders>
            <w:vAlign w:val="center"/>
          </w:tcPr>
          <w:p w14:paraId="041ED1D0">
            <w:pPr>
              <w:keepNext w:val="0"/>
              <w:keepLines w:val="0"/>
              <w:pageBreakBefore w:val="0"/>
              <w:widowControl/>
              <w:kinsoku/>
              <w:wordWrap/>
              <w:overflowPunct/>
              <w:topLinePunct w:val="0"/>
              <w:bidi w:val="0"/>
              <w:spacing w:line="360" w:lineRule="auto"/>
              <w:jc w:val="left"/>
              <w:rPr>
                <w:rFonts w:ascii="仿宋" w:hAnsi="仿宋" w:eastAsia="仿宋"/>
                <w:color w:val="000000"/>
                <w:sz w:val="20"/>
                <w:szCs w:val="20"/>
              </w:rPr>
            </w:pPr>
          </w:p>
        </w:tc>
      </w:tr>
    </w:tbl>
    <w:p w14:paraId="173A5A2D">
      <w:pPr>
        <w:keepNext w:val="0"/>
        <w:keepLines w:val="0"/>
        <w:pageBreakBefore w:val="0"/>
        <w:kinsoku/>
        <w:wordWrap/>
        <w:overflowPunct/>
        <w:topLinePunct w:val="0"/>
        <w:bidi w:val="0"/>
        <w:snapToGrid w:val="0"/>
        <w:spacing w:line="360" w:lineRule="auto"/>
        <w:ind w:right="480"/>
        <w:rPr>
          <w:rFonts w:hint="eastAsia" w:ascii="仿宋" w:hAnsi="仿宋" w:eastAsia="仿宋" w:cs="Times New Roman"/>
          <w:color w:val="000000"/>
          <w:sz w:val="24"/>
          <w:szCs w:val="24"/>
          <w:lang w:eastAsia="zh-CN"/>
        </w:rPr>
      </w:pPr>
      <w:r>
        <w:rPr>
          <w:rFonts w:hint="eastAsia" w:ascii="仿宋" w:hAnsi="仿宋" w:eastAsia="仿宋"/>
          <w:color w:val="000000"/>
          <w:sz w:val="24"/>
          <w:szCs w:val="24"/>
        </w:rPr>
        <w:t xml:space="preserve">    规格、数量与询价文件规格、数量不符的，以</w:t>
      </w:r>
      <w:r>
        <w:rPr>
          <w:rFonts w:hint="eastAsia" w:ascii="仿宋" w:hAnsi="仿宋" w:eastAsia="仿宋"/>
          <w:color w:val="000000"/>
          <w:sz w:val="24"/>
          <w:szCs w:val="24"/>
          <w:lang w:eastAsia="zh-CN"/>
        </w:rPr>
        <w:t>现场要求的</w:t>
      </w:r>
      <w:r>
        <w:rPr>
          <w:rFonts w:hint="eastAsia" w:ascii="仿宋" w:hAnsi="仿宋" w:eastAsia="仿宋"/>
          <w:color w:val="000000"/>
          <w:sz w:val="24"/>
          <w:szCs w:val="24"/>
        </w:rPr>
        <w:t>规格、数量为准；投标人必须开具增值税</w:t>
      </w:r>
      <w:r>
        <w:rPr>
          <w:rFonts w:hint="eastAsia" w:ascii="仿宋" w:hAnsi="仿宋" w:eastAsia="仿宋"/>
          <w:color w:val="000000"/>
          <w:sz w:val="24"/>
          <w:szCs w:val="24"/>
          <w:lang w:eastAsia="zh-CN"/>
        </w:rPr>
        <w:t>专用</w:t>
      </w:r>
      <w:r>
        <w:rPr>
          <w:rFonts w:hint="eastAsia" w:ascii="仿宋" w:hAnsi="仿宋" w:eastAsia="仿宋"/>
          <w:color w:val="000000"/>
          <w:sz w:val="24"/>
          <w:szCs w:val="24"/>
        </w:rPr>
        <w:t>发票</w:t>
      </w:r>
      <w:r>
        <w:rPr>
          <w:rFonts w:hint="eastAsia" w:ascii="仿宋" w:hAnsi="仿宋" w:eastAsia="仿宋"/>
          <w:color w:val="000000"/>
          <w:sz w:val="24"/>
          <w:szCs w:val="24"/>
          <w:lang w:eastAsia="zh-CN"/>
        </w:rPr>
        <w:t>。</w:t>
      </w:r>
    </w:p>
    <w:p w14:paraId="25137484">
      <w:pPr>
        <w:pStyle w:val="6"/>
        <w:keepNext w:val="0"/>
        <w:keepLines w:val="0"/>
        <w:pageBreakBefore w:val="0"/>
        <w:numPr>
          <w:ilvl w:val="0"/>
          <w:numId w:val="0"/>
        </w:numPr>
        <w:kinsoku/>
        <w:wordWrap/>
        <w:overflowPunct/>
        <w:topLinePunct w:val="0"/>
        <w:bidi w:val="0"/>
        <w:spacing w:line="360" w:lineRule="auto"/>
        <w:ind w:right="-425" w:rightChars="0"/>
        <w:rPr>
          <w:rFonts w:hint="eastAsia" w:ascii="仿宋" w:hAnsi="仿宋" w:eastAsia="仿宋" w:cs="宋体"/>
          <w:b w:val="0"/>
          <w:bCs w:val="0"/>
          <w:color w:val="000000"/>
          <w:kern w:val="2"/>
          <w:sz w:val="24"/>
          <w:szCs w:val="24"/>
          <w:highlight w:val="none"/>
          <w:lang w:val="en-US" w:eastAsia="zh-CN" w:bidi="ar-SA"/>
        </w:rPr>
      </w:pPr>
      <w:r>
        <w:rPr>
          <w:rFonts w:hint="eastAsia" w:ascii="仿宋" w:hAnsi="仿宋" w:eastAsia="仿宋"/>
          <w:b/>
          <w:sz w:val="28"/>
          <w:szCs w:val="28"/>
          <w:highlight w:val="none"/>
          <w:lang w:val="en-US" w:eastAsia="zh-CN"/>
        </w:rPr>
        <w:t>三、</w:t>
      </w:r>
      <w:r>
        <w:rPr>
          <w:rFonts w:hint="eastAsia" w:ascii="仿宋" w:hAnsi="仿宋" w:eastAsia="仿宋"/>
          <w:b/>
          <w:sz w:val="28"/>
          <w:szCs w:val="28"/>
          <w:highlight w:val="none"/>
        </w:rPr>
        <w:t>质量标准或技术要求：</w:t>
      </w:r>
      <w:r>
        <w:rPr>
          <w:rFonts w:hint="eastAsia" w:ascii="仿宋" w:hAnsi="仿宋" w:eastAsia="仿宋" w:cs="宋体"/>
          <w:b w:val="0"/>
          <w:bCs w:val="0"/>
          <w:color w:val="000000"/>
          <w:kern w:val="2"/>
          <w:sz w:val="24"/>
          <w:szCs w:val="24"/>
          <w:highlight w:val="none"/>
          <w:lang w:val="en-US" w:eastAsia="zh-CN" w:bidi="ar-SA"/>
        </w:rPr>
        <w:t>符合国家标准及设计图纸等相关技术要求。具体要求： 按国家质量评定标准执行</w:t>
      </w:r>
    </w:p>
    <w:p w14:paraId="2804EFA7">
      <w:pPr>
        <w:pStyle w:val="6"/>
        <w:keepNext w:val="0"/>
        <w:keepLines w:val="0"/>
        <w:pageBreakBefore w:val="0"/>
        <w:numPr>
          <w:ilvl w:val="0"/>
          <w:numId w:val="0"/>
        </w:numPr>
        <w:kinsoku/>
        <w:wordWrap/>
        <w:overflowPunct/>
        <w:topLinePunct w:val="0"/>
        <w:bidi w:val="0"/>
        <w:spacing w:line="360" w:lineRule="auto"/>
        <w:ind w:right="-425" w:rightChars="0"/>
        <w:rPr>
          <w:rFonts w:hint="eastAsia" w:ascii="仿宋" w:hAnsi="仿宋" w:eastAsia="仿宋" w:cs="宋体"/>
          <w:b w:val="0"/>
          <w:bCs w:val="0"/>
          <w:color w:val="000000"/>
          <w:kern w:val="2"/>
          <w:sz w:val="24"/>
          <w:szCs w:val="24"/>
          <w:highlight w:val="none"/>
          <w:lang w:val="en-US" w:eastAsia="zh-CN" w:bidi="ar-SA"/>
        </w:rPr>
      </w:pPr>
      <w:r>
        <w:rPr>
          <w:rFonts w:hint="eastAsia" w:ascii="仿宋" w:hAnsi="仿宋" w:eastAsia="仿宋"/>
          <w:b/>
          <w:sz w:val="28"/>
          <w:szCs w:val="28"/>
          <w:highlight w:val="none"/>
          <w:lang w:val="en-US" w:eastAsia="zh-CN"/>
        </w:rPr>
        <w:t>四、</w:t>
      </w:r>
      <w:r>
        <w:rPr>
          <w:rFonts w:hint="eastAsia" w:ascii="仿宋" w:hAnsi="仿宋" w:eastAsia="仿宋"/>
          <w:b/>
          <w:sz w:val="28"/>
          <w:szCs w:val="28"/>
          <w:highlight w:val="none"/>
        </w:rPr>
        <w:t>交货方式：</w:t>
      </w:r>
      <w:r>
        <w:rPr>
          <w:rFonts w:hint="eastAsia" w:ascii="仿宋" w:hAnsi="仿宋" w:eastAsia="仿宋" w:cs="宋体"/>
          <w:b w:val="0"/>
          <w:bCs w:val="0"/>
          <w:color w:val="000000"/>
          <w:kern w:val="2"/>
          <w:sz w:val="24"/>
          <w:szCs w:val="24"/>
          <w:highlight w:val="none"/>
          <w:lang w:val="en-US" w:eastAsia="zh-CN" w:bidi="ar-SA"/>
        </w:rPr>
        <w:t>接甲方通知后3天内供货。按甲方计划送货至甲方项目施工现场的指定地点或甲方指定的集中加工地点。</w:t>
      </w:r>
    </w:p>
    <w:p w14:paraId="3D7C46AC">
      <w:pPr>
        <w:pStyle w:val="6"/>
        <w:keepNext w:val="0"/>
        <w:keepLines w:val="0"/>
        <w:pageBreakBefore w:val="0"/>
        <w:numPr>
          <w:ilvl w:val="0"/>
          <w:numId w:val="0"/>
        </w:numPr>
        <w:kinsoku/>
        <w:wordWrap/>
        <w:overflowPunct/>
        <w:topLinePunct w:val="0"/>
        <w:bidi w:val="0"/>
        <w:spacing w:line="360" w:lineRule="auto"/>
        <w:ind w:right="-425" w:rightChars="0"/>
        <w:rPr>
          <w:rFonts w:hint="eastAsia" w:ascii="仿宋" w:hAnsi="仿宋" w:eastAsia="仿宋"/>
          <w:b/>
          <w:sz w:val="28"/>
          <w:szCs w:val="28"/>
          <w:highlight w:val="none"/>
        </w:rPr>
      </w:pPr>
      <w:r>
        <w:rPr>
          <w:rFonts w:hint="eastAsia"/>
          <w:b/>
          <w:bCs/>
          <w:highlight w:val="none"/>
          <w:lang w:val="en-US" w:eastAsia="zh-CN"/>
        </w:rPr>
        <w:t>五</w:t>
      </w:r>
      <w:r>
        <w:rPr>
          <w:rFonts w:hint="eastAsia" w:ascii="仿宋" w:hAnsi="仿宋" w:eastAsia="仿宋"/>
          <w:b/>
          <w:sz w:val="28"/>
          <w:szCs w:val="28"/>
          <w:highlight w:val="none"/>
        </w:rPr>
        <w:t>.结算与支付</w:t>
      </w:r>
    </w:p>
    <w:p w14:paraId="1846145A">
      <w:pPr>
        <w:pStyle w:val="6"/>
        <w:keepNext w:val="0"/>
        <w:keepLines w:val="0"/>
        <w:pageBreakBefore w:val="0"/>
        <w:numPr>
          <w:ilvl w:val="0"/>
          <w:numId w:val="0"/>
        </w:numPr>
        <w:kinsoku/>
        <w:wordWrap/>
        <w:overflowPunct/>
        <w:topLinePunct w:val="0"/>
        <w:bidi w:val="0"/>
        <w:spacing w:line="360" w:lineRule="auto"/>
        <w:ind w:right="-425" w:rightChars="0"/>
        <w:rPr>
          <w:rFonts w:hint="eastAsia" w:ascii="仿宋" w:hAnsi="仿宋" w:eastAsia="仿宋" w:cs="宋体"/>
          <w:b/>
          <w:bCs/>
          <w:highlight w:val="none"/>
          <w:lang w:val="en-US" w:eastAsia="zh-CN"/>
        </w:rPr>
      </w:pPr>
      <w:r>
        <w:rPr>
          <w:rFonts w:hint="eastAsia" w:ascii="仿宋" w:hAnsi="仿宋" w:eastAsia="仿宋" w:cs="宋体"/>
          <w:b/>
          <w:bCs/>
          <w:highlight w:val="none"/>
        </w:rPr>
        <w:t>1.供应结算周期</w:t>
      </w:r>
      <w:r>
        <w:rPr>
          <w:rFonts w:hint="eastAsia" w:ascii="仿宋" w:hAnsi="仿宋" w:eastAsia="仿宋"/>
          <w:b/>
          <w:bCs/>
          <w:highlight w:val="none"/>
        </w:rPr>
        <w:t>：</w:t>
      </w:r>
      <w:r>
        <w:rPr>
          <w:rFonts w:hint="eastAsia" w:ascii="仿宋" w:hAnsi="仿宋" w:eastAsia="仿宋" w:cs="宋体"/>
          <w:color w:val="000000"/>
          <w:kern w:val="2"/>
          <w:sz w:val="24"/>
          <w:szCs w:val="24"/>
          <w:lang w:val="en-US" w:eastAsia="zh-CN" w:bidi="ar-SA"/>
        </w:rPr>
        <w:t>上月10日至本月的9日为一</w:t>
      </w:r>
      <w:r>
        <w:rPr>
          <w:rFonts w:hint="eastAsia" w:ascii="仿宋" w:hAnsi="仿宋" w:eastAsia="仿宋" w:cs="仿宋"/>
          <w:b w:val="0"/>
          <w:bCs w:val="0"/>
          <w:sz w:val="24"/>
          <w:szCs w:val="24"/>
          <w:highlight w:val="none"/>
          <w:lang w:val="en-US" w:eastAsia="zh-CN"/>
        </w:rPr>
        <w:t>个结算周期</w:t>
      </w:r>
    </w:p>
    <w:p w14:paraId="161B4A9A">
      <w:pPr>
        <w:keepNext w:val="0"/>
        <w:keepLines w:val="0"/>
        <w:pageBreakBefore w:val="0"/>
        <w:kinsoku/>
        <w:wordWrap/>
        <w:overflowPunct/>
        <w:topLinePunct w:val="0"/>
        <w:bidi w:val="0"/>
        <w:spacing w:line="360" w:lineRule="auto"/>
        <w:rPr>
          <w:rFonts w:hint="eastAsia" w:ascii="仿宋" w:hAnsi="仿宋" w:eastAsia="仿宋" w:cs="宋体"/>
          <w:b/>
          <w:bCs/>
          <w:color w:val="000000"/>
          <w:kern w:val="2"/>
          <w:sz w:val="24"/>
          <w:szCs w:val="24"/>
          <w:highlight w:val="none"/>
          <w:lang w:val="en-US" w:eastAsia="zh-CN" w:bidi="ar-SA"/>
        </w:rPr>
      </w:pPr>
      <w:r>
        <w:rPr>
          <w:rFonts w:hint="eastAsia" w:ascii="仿宋" w:hAnsi="仿宋" w:eastAsia="仿宋" w:cs="宋体"/>
          <w:b/>
          <w:bCs/>
          <w:color w:val="000000"/>
          <w:kern w:val="2"/>
          <w:sz w:val="24"/>
          <w:szCs w:val="24"/>
          <w:highlight w:val="none"/>
          <w:lang w:val="en-US" w:eastAsia="zh-CN" w:bidi="ar-SA"/>
        </w:rPr>
        <w:t xml:space="preserve"> 2.支付条件：</w:t>
      </w:r>
    </w:p>
    <w:p w14:paraId="706A575E">
      <w:pPr>
        <w:keepNext w:val="0"/>
        <w:keepLines w:val="0"/>
        <w:pageBreakBefore w:val="0"/>
        <w:kinsoku/>
        <w:wordWrap/>
        <w:overflowPunct/>
        <w:topLinePunct w:val="0"/>
        <w:bidi w:val="0"/>
        <w:spacing w:line="360" w:lineRule="auto"/>
        <w:ind w:firstLine="240" w:firstLineChars="100"/>
        <w:rPr>
          <w:rFonts w:hint="eastAsia" w:ascii="仿宋" w:hAnsi="仿宋" w:eastAsia="仿宋" w:cs="宋体"/>
          <w:color w:val="000000"/>
          <w:kern w:val="2"/>
          <w:sz w:val="24"/>
          <w:szCs w:val="24"/>
          <w:lang w:val="en-US" w:eastAsia="zh-CN" w:bidi="ar-SA"/>
        </w:rPr>
      </w:pPr>
      <w:r>
        <w:rPr>
          <w:rFonts w:hint="eastAsia" w:ascii="仿宋" w:hAnsi="仿宋" w:eastAsia="仿宋" w:cs="宋体"/>
          <w:color w:val="000000"/>
          <w:kern w:val="2"/>
          <w:sz w:val="24"/>
          <w:szCs w:val="24"/>
          <w:lang w:val="en-US" w:eastAsia="zh-CN" w:bidi="ar-SA"/>
        </w:rPr>
        <w:t>1）货款支付前，乙方须提供支付款项等值的增值税专用发票。乙方须确保其开具的增值税扣税凭证的形式与内容均合法、有效、完整、准确。若开具不合格的增值税扣税凭证，甲方有权迟延支付应付款项直至乙方开具合格票据之日且不承担任何违约责任，在此期间，乙方的各项合同义务仍应按合同约定履行。</w:t>
      </w:r>
    </w:p>
    <w:p w14:paraId="7C7C561E">
      <w:pPr>
        <w:pStyle w:val="6"/>
        <w:rPr>
          <w:rFonts w:hint="default" w:ascii="仿宋" w:hAnsi="仿宋" w:eastAsia="仿宋" w:cs="宋体"/>
          <w:color w:val="000000"/>
          <w:kern w:val="2"/>
          <w:sz w:val="24"/>
          <w:szCs w:val="24"/>
          <w:lang w:val="en-US" w:eastAsia="zh-CN" w:bidi="ar-SA"/>
        </w:rPr>
      </w:pPr>
      <w:r>
        <w:rPr>
          <w:rFonts w:hint="eastAsia" w:ascii="仿宋" w:hAnsi="仿宋" w:eastAsia="仿宋" w:cs="宋体"/>
          <w:color w:val="000000"/>
          <w:kern w:val="2"/>
          <w:sz w:val="24"/>
          <w:szCs w:val="24"/>
          <w:lang w:val="en-US" w:eastAsia="zh-CN" w:bidi="ar-SA"/>
        </w:rPr>
        <w:t>（2）货款的支付时间：</w:t>
      </w:r>
      <w:r>
        <w:rPr>
          <w:rFonts w:hint="eastAsia" w:ascii="仿宋" w:hAnsi="仿宋" w:eastAsia="仿宋" w:cs="仿宋"/>
          <w:sz w:val="24"/>
          <w:szCs w:val="24"/>
          <w:lang w:val="en-US" w:eastAsia="zh-CN"/>
        </w:rPr>
        <w:t>根据结算金额，100％支付货款</w:t>
      </w:r>
      <w:r>
        <w:rPr>
          <w:rFonts w:hint="eastAsia" w:ascii="仿宋" w:hAnsi="仿宋" w:eastAsia="仿宋" w:cs="宋体"/>
          <w:color w:val="000000"/>
          <w:kern w:val="2"/>
          <w:sz w:val="24"/>
          <w:szCs w:val="24"/>
          <w:lang w:val="en-US" w:eastAsia="zh-CN" w:bidi="ar-SA"/>
        </w:rPr>
        <w:t>。</w:t>
      </w:r>
    </w:p>
    <w:p w14:paraId="7FB79C7C">
      <w:pPr>
        <w:numPr>
          <w:ilvl w:val="0"/>
          <w:numId w:val="0"/>
        </w:numPr>
        <w:spacing w:line="360" w:lineRule="auto"/>
        <w:rPr>
          <w:rFonts w:hint="eastAsia" w:ascii="仿宋" w:hAnsi="仿宋" w:eastAsia="仿宋" w:cs="宋体"/>
          <w:color w:val="000000"/>
          <w:kern w:val="2"/>
          <w:sz w:val="24"/>
          <w:szCs w:val="24"/>
          <w:lang w:val="en-US" w:eastAsia="zh-CN" w:bidi="ar-SA"/>
        </w:rPr>
      </w:pPr>
      <w:r>
        <w:rPr>
          <w:rFonts w:hint="eastAsia" w:ascii="仿宋" w:hAnsi="仿宋" w:eastAsia="仿宋" w:cs="宋体"/>
          <w:color w:val="000000"/>
          <w:kern w:val="2"/>
          <w:sz w:val="24"/>
          <w:szCs w:val="24"/>
          <w:lang w:val="en-US" w:eastAsia="zh-CN" w:bidi="ar-SA"/>
        </w:rPr>
        <w:t>（3）合作期间，对于已取得增值税专用发票、尚未认证但确需付款的业务，公司可先按扣除税款及票面金额10%风险保证金后的金额支付。若乙方出现一次开具不合规发票现象，下次扣款时，无论对应发票是否通过认证，均按扣除票面金额10%风险保证金后的金额支付。</w:t>
      </w:r>
    </w:p>
    <w:p w14:paraId="1D464526">
      <w:pPr>
        <w:numPr>
          <w:ilvl w:val="0"/>
          <w:numId w:val="0"/>
        </w:numPr>
        <w:spacing w:line="360" w:lineRule="auto"/>
        <w:rPr>
          <w:rFonts w:hint="eastAsia" w:ascii="仿宋" w:hAnsi="仿宋" w:eastAsia="仿宋" w:cs="宋体"/>
          <w:color w:val="000000"/>
          <w:kern w:val="2"/>
          <w:sz w:val="24"/>
          <w:szCs w:val="24"/>
          <w:lang w:val="en-US" w:eastAsia="zh-CN" w:bidi="ar-SA"/>
        </w:rPr>
      </w:pPr>
    </w:p>
    <w:p w14:paraId="5DE07D61">
      <w:pPr>
        <w:keepNext w:val="0"/>
        <w:keepLines w:val="0"/>
        <w:pageBreakBefore w:val="0"/>
        <w:kinsoku/>
        <w:wordWrap/>
        <w:overflowPunct/>
        <w:topLinePunct w:val="0"/>
        <w:bidi w:val="0"/>
        <w:spacing w:line="360" w:lineRule="auto"/>
        <w:ind w:firstLine="240" w:firstLineChars="100"/>
        <w:rPr>
          <w:rFonts w:hint="eastAsia" w:ascii="仿宋" w:hAnsi="仿宋" w:eastAsia="仿宋" w:cs="宋体"/>
          <w:color w:val="000000"/>
          <w:sz w:val="24"/>
          <w:szCs w:val="24"/>
        </w:rPr>
      </w:pPr>
      <w:r>
        <w:rPr>
          <w:rFonts w:hint="eastAsia" w:ascii="仿宋" w:hAnsi="仿宋" w:eastAsia="仿宋" w:cs="宋体"/>
          <w:color w:val="000000"/>
          <w:kern w:val="2"/>
          <w:sz w:val="24"/>
          <w:szCs w:val="24"/>
          <w:lang w:val="en-US" w:eastAsia="zh-CN" w:bidi="ar-SA"/>
        </w:rPr>
        <w:t>（4）货款的支付方式：货款的支付方式：</w:t>
      </w:r>
      <w:r>
        <w:rPr>
          <w:rFonts w:hint="eastAsia" w:ascii="仿宋" w:hAnsi="仿宋" w:eastAsia="仿宋" w:cs="宋体"/>
          <w:color w:val="000000"/>
          <w:sz w:val="24"/>
          <w:szCs w:val="24"/>
        </w:rPr>
        <w:t>银行转账、银行承兑汇票、供应链金融产品（E信通、云链）、银行代理支付等。甲方不承担银行承兑汇票等方式的贴息。</w:t>
      </w:r>
    </w:p>
    <w:p w14:paraId="5F815B3C">
      <w:pPr>
        <w:keepNext w:val="0"/>
        <w:keepLines w:val="0"/>
        <w:pageBreakBefore w:val="0"/>
        <w:kinsoku/>
        <w:wordWrap/>
        <w:overflowPunct/>
        <w:topLinePunct w:val="0"/>
        <w:bidi w:val="0"/>
        <w:spacing w:line="360" w:lineRule="auto"/>
        <w:ind w:firstLine="240" w:firstLineChars="100"/>
        <w:rPr>
          <w:rFonts w:hint="eastAsia" w:eastAsiaTheme="minorEastAsia"/>
          <w:lang w:val="en-US" w:eastAsia="zh-CN"/>
        </w:rPr>
      </w:pPr>
      <w:r>
        <w:rPr>
          <w:rFonts w:hint="eastAsia" w:ascii="仿宋" w:hAnsi="仿宋" w:eastAsia="仿宋" w:cs="宋体"/>
          <w:color w:val="000000"/>
          <w:kern w:val="2"/>
          <w:sz w:val="24"/>
          <w:szCs w:val="24"/>
          <w:lang w:val="en-US" w:eastAsia="zh-CN" w:bidi="ar-SA"/>
        </w:rPr>
        <w:t>（5）运杂费和其它费用的支付时间及方式： 随材料款一起支付  。</w:t>
      </w:r>
    </w:p>
    <w:p w14:paraId="421B0698">
      <w:pPr>
        <w:pStyle w:val="15"/>
        <w:keepNext w:val="0"/>
        <w:keepLines w:val="0"/>
        <w:pageBreakBefore w:val="0"/>
        <w:kinsoku/>
        <w:wordWrap/>
        <w:overflowPunct/>
        <w:topLinePunct w:val="0"/>
        <w:bidi w:val="0"/>
        <w:spacing w:line="360" w:lineRule="auto"/>
        <w:ind w:left="0" w:leftChars="0" w:firstLine="0" w:firstLineChars="0"/>
        <w:jc w:val="left"/>
        <w:rPr>
          <w:rFonts w:hint="eastAsia" w:ascii="仿宋" w:hAnsi="仿宋" w:eastAsia="仿宋" w:cs="宋体"/>
          <w:color w:val="000000"/>
          <w:kern w:val="2"/>
          <w:sz w:val="24"/>
          <w:szCs w:val="24"/>
          <w:lang w:val="en-US" w:eastAsia="zh-CN" w:bidi="ar-SA"/>
        </w:rPr>
      </w:pPr>
      <w:r>
        <w:rPr>
          <w:rFonts w:hint="eastAsia" w:ascii="仿宋" w:hAnsi="仿宋" w:eastAsia="仿宋" w:cs="Times New Roman"/>
          <w:b/>
          <w:color w:val="000000"/>
          <w:kern w:val="2"/>
          <w:sz w:val="28"/>
          <w:szCs w:val="28"/>
          <w:highlight w:val="none"/>
          <w:lang w:val="en-US" w:eastAsia="zh-CN" w:bidi="ar-SA"/>
        </w:rPr>
        <w:t>六.开票信息</w:t>
      </w:r>
      <w:r>
        <w:rPr>
          <w:rFonts w:hint="eastAsia" w:ascii="仿宋" w:hAnsi="仿宋" w:eastAsia="仿宋" w:cs="宋体"/>
          <w:color w:val="000000"/>
          <w:kern w:val="2"/>
          <w:sz w:val="24"/>
          <w:szCs w:val="24"/>
          <w:lang w:val="en-US" w:eastAsia="zh-CN" w:bidi="ar-SA"/>
        </w:rPr>
        <w:t xml:space="preserve">              </w:t>
      </w:r>
    </w:p>
    <w:p w14:paraId="4E244DEA">
      <w:pPr>
        <w:keepNext w:val="0"/>
        <w:keepLines w:val="0"/>
        <w:pageBreakBefore w:val="0"/>
        <w:kinsoku/>
        <w:wordWrap/>
        <w:overflowPunct/>
        <w:topLinePunct w:val="0"/>
        <w:bidi w:val="0"/>
        <w:spacing w:line="360" w:lineRule="auto"/>
        <w:ind w:firstLine="240" w:firstLineChars="100"/>
        <w:rPr>
          <w:rFonts w:hint="eastAsia" w:ascii="仿宋" w:hAnsi="仿宋" w:eastAsia="仿宋" w:cs="宋体"/>
          <w:color w:val="000000"/>
          <w:kern w:val="2"/>
          <w:sz w:val="24"/>
          <w:szCs w:val="24"/>
          <w:lang w:val="en-US" w:eastAsia="zh-CN" w:bidi="ar-SA"/>
        </w:rPr>
      </w:pPr>
      <w:r>
        <w:rPr>
          <w:rFonts w:hint="eastAsia" w:ascii="仿宋" w:hAnsi="仿宋" w:eastAsia="仿宋" w:cs="宋体"/>
          <w:color w:val="000000"/>
          <w:kern w:val="2"/>
          <w:sz w:val="24"/>
          <w:szCs w:val="24"/>
          <w:lang w:val="en-US" w:eastAsia="zh-CN" w:bidi="ar-SA"/>
        </w:rPr>
        <w:t xml:space="preserve">发票种类： 增值税专用发票                                    </w:t>
      </w:r>
    </w:p>
    <w:p w14:paraId="5201CA8F">
      <w:pPr>
        <w:spacing w:line="360" w:lineRule="auto"/>
        <w:ind w:firstLine="240" w:firstLineChars="100"/>
        <w:rPr>
          <w:rFonts w:hint="eastAsia" w:ascii="仿宋" w:hAnsi="仿宋" w:eastAsia="仿宋" w:cs="宋体"/>
          <w:color w:val="000000"/>
          <w:kern w:val="2"/>
          <w:sz w:val="24"/>
          <w:szCs w:val="24"/>
          <w:highlight w:val="none"/>
          <w:lang w:val="en-US" w:eastAsia="zh-CN" w:bidi="ar-SA"/>
        </w:rPr>
      </w:pPr>
      <w:r>
        <w:rPr>
          <w:rFonts w:hint="eastAsia" w:ascii="仿宋" w:hAnsi="仿宋" w:eastAsia="仿宋"/>
          <w:color w:val="000000"/>
          <w:sz w:val="24"/>
          <w:szCs w:val="24"/>
          <w:highlight w:val="none"/>
        </w:rPr>
        <w:t>发票抬头：</w:t>
      </w:r>
      <w:r>
        <w:rPr>
          <w:rFonts w:hint="eastAsia" w:ascii="仿宋" w:hAnsi="仿宋" w:eastAsia="仿宋" w:cs="宋体"/>
          <w:color w:val="000000"/>
          <w:kern w:val="2"/>
          <w:sz w:val="24"/>
          <w:szCs w:val="24"/>
          <w:highlight w:val="none"/>
          <w:lang w:val="en-US" w:eastAsia="zh-CN" w:bidi="ar-SA"/>
        </w:rPr>
        <w:t xml:space="preserve">山西二建集团有限公司  </w:t>
      </w:r>
    </w:p>
    <w:p w14:paraId="6364D437">
      <w:pPr>
        <w:pStyle w:val="15"/>
        <w:spacing w:before="0" w:beforeAutospacing="0" w:after="0" w:afterAutospacing="0" w:line="560" w:lineRule="exact"/>
        <w:ind w:left="0" w:leftChars="0" w:firstLine="240" w:firstLineChars="100"/>
        <w:jc w:val="left"/>
        <w:rPr>
          <w:rFonts w:hint="eastAsia" w:ascii="仿宋" w:hAnsi="仿宋" w:eastAsia="仿宋" w:cs="宋体"/>
          <w:color w:val="000000"/>
          <w:kern w:val="2"/>
          <w:sz w:val="24"/>
          <w:szCs w:val="24"/>
          <w:highlight w:val="none"/>
          <w:lang w:val="en-US" w:eastAsia="zh-CN" w:bidi="ar-SA"/>
        </w:rPr>
      </w:pPr>
      <w:r>
        <w:rPr>
          <w:rFonts w:hint="eastAsia" w:ascii="仿宋" w:hAnsi="仿宋" w:eastAsia="仿宋" w:cs="宋体"/>
          <w:color w:val="000000"/>
          <w:kern w:val="2"/>
          <w:sz w:val="24"/>
          <w:szCs w:val="24"/>
          <w:highlight w:val="none"/>
          <w:lang w:val="en-US" w:eastAsia="zh-CN" w:bidi="ar-SA"/>
        </w:rPr>
        <w:t>税    号：911400007011334043</w:t>
      </w:r>
    </w:p>
    <w:p w14:paraId="1F0EA9C2">
      <w:pPr>
        <w:pStyle w:val="15"/>
        <w:spacing w:before="0" w:beforeAutospacing="0" w:after="0" w:afterAutospacing="0" w:line="560" w:lineRule="exact"/>
        <w:ind w:left="0" w:leftChars="0" w:firstLine="240" w:firstLineChars="100"/>
        <w:jc w:val="left"/>
        <w:rPr>
          <w:rFonts w:hint="eastAsia" w:ascii="仿宋" w:hAnsi="仿宋" w:eastAsia="仿宋" w:cs="宋体"/>
          <w:color w:val="000000"/>
          <w:kern w:val="2"/>
          <w:sz w:val="24"/>
          <w:szCs w:val="24"/>
          <w:highlight w:val="none"/>
          <w:lang w:val="en-US" w:eastAsia="zh-CN" w:bidi="ar-SA"/>
        </w:rPr>
      </w:pPr>
      <w:r>
        <w:rPr>
          <w:rFonts w:hint="eastAsia" w:ascii="仿宋" w:hAnsi="仿宋" w:eastAsia="仿宋" w:cs="宋体"/>
          <w:color w:val="000000"/>
          <w:kern w:val="2"/>
          <w:sz w:val="24"/>
          <w:szCs w:val="24"/>
          <w:highlight w:val="none"/>
          <w:lang w:val="en-US" w:eastAsia="zh-CN" w:bidi="ar-SA"/>
        </w:rPr>
        <w:t>开户银行：建设银行并州北路支行</w:t>
      </w:r>
    </w:p>
    <w:p w14:paraId="23F5AA73">
      <w:pPr>
        <w:pStyle w:val="15"/>
        <w:spacing w:before="0" w:beforeAutospacing="0" w:after="0" w:afterAutospacing="0" w:line="560" w:lineRule="exact"/>
        <w:ind w:left="0" w:leftChars="0" w:firstLine="240" w:firstLineChars="100"/>
        <w:jc w:val="left"/>
        <w:rPr>
          <w:rFonts w:hint="eastAsia" w:ascii="仿宋" w:hAnsi="仿宋" w:eastAsia="仿宋" w:cs="宋体"/>
          <w:color w:val="000000"/>
          <w:kern w:val="2"/>
          <w:sz w:val="24"/>
          <w:szCs w:val="24"/>
          <w:highlight w:val="none"/>
          <w:lang w:val="en-US" w:eastAsia="zh-CN" w:bidi="ar-SA"/>
        </w:rPr>
      </w:pPr>
      <w:r>
        <w:rPr>
          <w:rFonts w:hint="eastAsia" w:ascii="仿宋" w:hAnsi="仿宋" w:eastAsia="仿宋" w:cs="宋体"/>
          <w:color w:val="000000"/>
          <w:kern w:val="2"/>
          <w:sz w:val="24"/>
          <w:szCs w:val="24"/>
          <w:highlight w:val="none"/>
          <w:lang w:val="en-US" w:eastAsia="zh-CN" w:bidi="ar-SA"/>
        </w:rPr>
        <w:t>账    号：14001825408050013283</w:t>
      </w:r>
    </w:p>
    <w:p w14:paraId="74CE3936">
      <w:pPr>
        <w:pStyle w:val="15"/>
        <w:spacing w:before="0" w:beforeAutospacing="0" w:after="0" w:afterAutospacing="0" w:line="560" w:lineRule="exact"/>
        <w:ind w:left="0" w:leftChars="0" w:firstLine="240" w:firstLineChars="100"/>
        <w:jc w:val="left"/>
        <w:rPr>
          <w:rFonts w:hint="eastAsia" w:ascii="仿宋" w:hAnsi="仿宋" w:eastAsia="仿宋" w:cs="宋体"/>
          <w:color w:val="000000"/>
          <w:kern w:val="2"/>
          <w:sz w:val="24"/>
          <w:szCs w:val="24"/>
          <w:highlight w:val="none"/>
          <w:lang w:val="en-US" w:eastAsia="zh-CN" w:bidi="ar-SA"/>
        </w:rPr>
      </w:pPr>
      <w:r>
        <w:rPr>
          <w:rFonts w:hint="eastAsia" w:ascii="仿宋" w:hAnsi="仿宋" w:eastAsia="仿宋" w:cs="宋体"/>
          <w:color w:val="000000"/>
          <w:kern w:val="2"/>
          <w:sz w:val="24"/>
          <w:szCs w:val="24"/>
          <w:highlight w:val="none"/>
          <w:lang w:val="en-US" w:eastAsia="zh-CN" w:bidi="ar-SA"/>
        </w:rPr>
        <w:t>地    址：山西省太原市杏花岭区东华门街1号</w:t>
      </w:r>
    </w:p>
    <w:p w14:paraId="282A27DC">
      <w:pPr>
        <w:keepNext w:val="0"/>
        <w:keepLines w:val="0"/>
        <w:pageBreakBefore w:val="0"/>
        <w:kinsoku/>
        <w:wordWrap/>
        <w:overflowPunct/>
        <w:topLinePunct w:val="0"/>
        <w:bidi w:val="0"/>
        <w:spacing w:line="360" w:lineRule="auto"/>
        <w:ind w:firstLine="240" w:firstLineChars="100"/>
        <w:rPr>
          <w:rFonts w:hint="eastAsia"/>
          <w:sz w:val="24"/>
          <w:szCs w:val="24"/>
          <w:u w:val="single"/>
        </w:rPr>
      </w:pPr>
      <w:r>
        <w:rPr>
          <w:rFonts w:hint="eastAsia" w:ascii="仿宋" w:hAnsi="仿宋" w:eastAsia="仿宋" w:cs="宋体"/>
          <w:color w:val="000000"/>
          <w:kern w:val="2"/>
          <w:sz w:val="24"/>
          <w:szCs w:val="24"/>
          <w:highlight w:val="none"/>
          <w:lang w:val="en-US" w:eastAsia="zh-CN" w:bidi="ar-SA"/>
        </w:rPr>
        <w:t>其他要</w:t>
      </w:r>
      <w:r>
        <w:rPr>
          <w:rFonts w:hint="eastAsia" w:ascii="仿宋" w:hAnsi="仿宋" w:eastAsia="仿宋" w:cs="宋体"/>
          <w:color w:val="000000"/>
          <w:sz w:val="24"/>
          <w:szCs w:val="24"/>
          <w:highlight w:val="none"/>
        </w:rPr>
        <w:t xml:space="preserve">求:签订合同时确定      </w:t>
      </w:r>
      <w:r>
        <w:rPr>
          <w:rFonts w:hint="eastAsia"/>
          <w:sz w:val="24"/>
          <w:szCs w:val="24"/>
          <w:highlight w:val="none"/>
        </w:rPr>
        <w:t xml:space="preserve">  </w:t>
      </w:r>
      <w:r>
        <w:rPr>
          <w:rFonts w:hint="eastAsia" w:ascii="仿宋" w:hAnsi="仿宋" w:eastAsia="仿宋"/>
          <w:color w:val="000000"/>
          <w:sz w:val="24"/>
          <w:szCs w:val="24"/>
          <w:highlight w:val="none"/>
        </w:rPr>
        <w:t xml:space="preserve"> </w:t>
      </w:r>
      <w:r>
        <w:rPr>
          <w:rFonts w:hint="eastAsia" w:ascii="仿宋" w:hAnsi="仿宋" w:eastAsia="仿宋" w:cs="宋体"/>
          <w:color w:val="000000"/>
          <w:sz w:val="24"/>
          <w:szCs w:val="24"/>
        </w:rPr>
        <w:t xml:space="preserve">  </w:t>
      </w:r>
      <w:r>
        <w:rPr>
          <w:rFonts w:hint="eastAsia"/>
          <w:sz w:val="24"/>
          <w:szCs w:val="24"/>
        </w:rPr>
        <w:t xml:space="preserve">  </w:t>
      </w:r>
      <w:r>
        <w:rPr>
          <w:rFonts w:hint="eastAsia" w:ascii="仿宋" w:hAnsi="仿宋" w:eastAsia="仿宋"/>
          <w:color w:val="000000"/>
          <w:sz w:val="24"/>
          <w:szCs w:val="24"/>
        </w:rPr>
        <w:t xml:space="preserve">    </w:t>
      </w:r>
      <w:r>
        <w:rPr>
          <w:rFonts w:hint="eastAsia" w:ascii="仿宋" w:hAnsi="仿宋" w:eastAsia="仿宋" w:cs="宋体"/>
          <w:color w:val="000000"/>
          <w:kern w:val="2"/>
          <w:sz w:val="24"/>
          <w:szCs w:val="24"/>
          <w:lang w:val="en-US" w:eastAsia="zh-CN" w:bidi="ar-SA"/>
        </w:rPr>
        <w:t xml:space="preserve">       </w:t>
      </w:r>
      <w:r>
        <w:rPr>
          <w:rFonts w:hint="eastAsia"/>
          <w:sz w:val="24"/>
          <w:szCs w:val="24"/>
        </w:rPr>
        <w:t xml:space="preserve">             </w:t>
      </w:r>
    </w:p>
    <w:p w14:paraId="76138461">
      <w:pPr>
        <w:pStyle w:val="15"/>
        <w:keepNext w:val="0"/>
        <w:keepLines w:val="0"/>
        <w:pageBreakBefore w:val="0"/>
        <w:kinsoku/>
        <w:wordWrap/>
        <w:overflowPunct/>
        <w:topLinePunct w:val="0"/>
        <w:bidi w:val="0"/>
        <w:spacing w:line="360" w:lineRule="auto"/>
        <w:ind w:left="0" w:leftChars="0" w:firstLine="0" w:firstLineChars="0"/>
        <w:jc w:val="left"/>
        <w:rPr>
          <w:rFonts w:hint="default" w:ascii="仿宋" w:hAnsi="仿宋" w:eastAsia="仿宋" w:cs="Times New Roman"/>
          <w:b/>
          <w:color w:val="000000"/>
          <w:kern w:val="2"/>
          <w:sz w:val="28"/>
          <w:szCs w:val="28"/>
          <w:highlight w:val="none"/>
          <w:lang w:val="en-US" w:eastAsia="zh-CN" w:bidi="ar-SA"/>
        </w:rPr>
      </w:pPr>
      <w:r>
        <w:rPr>
          <w:rFonts w:hint="eastAsia" w:ascii="仿宋" w:hAnsi="仿宋" w:eastAsia="仿宋" w:cs="Times New Roman"/>
          <w:b/>
          <w:color w:val="000000"/>
          <w:kern w:val="2"/>
          <w:sz w:val="28"/>
          <w:szCs w:val="28"/>
          <w:highlight w:val="none"/>
          <w:lang w:val="en-US" w:eastAsia="zh-CN" w:bidi="ar-SA"/>
        </w:rPr>
        <w:t>七.供应商资格条件</w:t>
      </w:r>
    </w:p>
    <w:p w14:paraId="4ABA809D">
      <w:pPr>
        <w:pStyle w:val="15"/>
        <w:keepNext w:val="0"/>
        <w:keepLines w:val="0"/>
        <w:pageBreakBefore w:val="0"/>
        <w:kinsoku/>
        <w:wordWrap/>
        <w:overflowPunct/>
        <w:topLinePunct w:val="0"/>
        <w:bidi w:val="0"/>
        <w:spacing w:before="0" w:beforeAutospacing="0" w:after="0" w:afterAutospacing="0" w:line="360" w:lineRule="auto"/>
        <w:ind w:left="618" w:firstLine="0"/>
        <w:rPr>
          <w:rFonts w:hint="eastAsia"/>
          <w:b/>
          <w:bCs/>
          <w:sz w:val="24"/>
          <w:szCs w:val="24"/>
        </w:rPr>
      </w:pPr>
      <w:r>
        <w:rPr>
          <w:rFonts w:hint="eastAsia"/>
          <w:b/>
          <w:bCs/>
          <w:sz w:val="24"/>
          <w:szCs w:val="24"/>
        </w:rPr>
        <w:t xml:space="preserve">    </w:t>
      </w:r>
      <w:r>
        <w:rPr>
          <w:rFonts w:hint="eastAsia" w:ascii="仿宋" w:hAnsi="仿宋" w:eastAsia="仿宋"/>
          <w:color w:val="000000"/>
          <w:sz w:val="24"/>
          <w:szCs w:val="24"/>
        </w:rPr>
        <w:t>资格要求：在中华人民共和国境内依法经国家工商、税务机关登记注册，符合询价物资经营范围，具有独立企业法人资格的生产厂或代理贸易商。</w:t>
      </w:r>
    </w:p>
    <w:p w14:paraId="75F92FD1">
      <w:pPr>
        <w:pStyle w:val="15"/>
        <w:keepNext w:val="0"/>
        <w:keepLines w:val="0"/>
        <w:pageBreakBefore w:val="0"/>
        <w:kinsoku/>
        <w:wordWrap/>
        <w:overflowPunct/>
        <w:topLinePunct w:val="0"/>
        <w:bidi w:val="0"/>
        <w:spacing w:line="360" w:lineRule="auto"/>
        <w:ind w:left="0" w:leftChars="0" w:firstLine="0" w:firstLineChars="0"/>
        <w:jc w:val="left"/>
        <w:rPr>
          <w:rFonts w:hint="eastAsia" w:ascii="仿宋" w:hAnsi="仿宋" w:eastAsia="仿宋"/>
          <w:b/>
          <w:sz w:val="28"/>
          <w:szCs w:val="28"/>
        </w:rPr>
      </w:pPr>
      <w:r>
        <w:rPr>
          <w:rFonts w:hint="eastAsia" w:ascii="仿宋" w:hAnsi="仿宋" w:eastAsia="仿宋"/>
          <w:b/>
          <w:sz w:val="28"/>
          <w:szCs w:val="28"/>
          <w:lang w:val="en-US" w:eastAsia="zh-CN"/>
        </w:rPr>
        <w:t>八</w:t>
      </w:r>
      <w:r>
        <w:rPr>
          <w:rFonts w:hint="eastAsia" w:ascii="仿宋" w:hAnsi="仿宋" w:eastAsia="仿宋"/>
          <w:b/>
          <w:sz w:val="28"/>
          <w:szCs w:val="28"/>
        </w:rPr>
        <w:t>、报价文件的递交与开标时间</w:t>
      </w:r>
    </w:p>
    <w:p w14:paraId="1B1BE87C">
      <w:pPr>
        <w:pStyle w:val="15"/>
        <w:keepNext w:val="0"/>
        <w:keepLines w:val="0"/>
        <w:pageBreakBefore w:val="0"/>
        <w:kinsoku/>
        <w:wordWrap/>
        <w:overflowPunct/>
        <w:topLinePunct w:val="0"/>
        <w:bidi w:val="0"/>
        <w:spacing w:before="0" w:beforeAutospacing="0" w:after="0" w:afterAutospacing="0" w:line="360" w:lineRule="auto"/>
        <w:ind w:left="0" w:firstLine="480" w:firstLineChars="200"/>
        <w:rPr>
          <w:rFonts w:hint="default" w:ascii="仿宋" w:hAnsi="仿宋" w:eastAsia="仿宋"/>
          <w:color w:val="000000"/>
          <w:sz w:val="24"/>
          <w:szCs w:val="24"/>
          <w:highlight w:val="none"/>
          <w:lang w:val="en-US" w:eastAsia="zh-CN"/>
        </w:rPr>
      </w:pPr>
      <w:r>
        <w:rPr>
          <w:rFonts w:hint="eastAsia" w:ascii="仿宋" w:hAnsi="仿宋" w:eastAsia="仿宋"/>
          <w:color w:val="000000"/>
          <w:sz w:val="24"/>
          <w:szCs w:val="24"/>
          <w:highlight w:val="none"/>
        </w:rPr>
        <w:t>（一）本次询价完全采用筑服云电子商务平台线上开标方式，响应及递交文件截止时间：</w:t>
      </w:r>
      <w:r>
        <w:rPr>
          <w:rFonts w:hint="eastAsia" w:ascii="仿宋" w:hAnsi="仿宋" w:eastAsia="仿宋"/>
          <w:color w:val="000000"/>
          <w:sz w:val="24"/>
          <w:szCs w:val="24"/>
          <w:highlight w:val="none"/>
          <w:lang w:val="en-US" w:eastAsia="zh-CN"/>
        </w:rPr>
        <w:t>2024年12月13日9时</w:t>
      </w:r>
    </w:p>
    <w:p w14:paraId="762E375F">
      <w:pPr>
        <w:pStyle w:val="15"/>
        <w:keepNext w:val="0"/>
        <w:keepLines w:val="0"/>
        <w:pageBreakBefore w:val="0"/>
        <w:kinsoku/>
        <w:wordWrap/>
        <w:overflowPunct/>
        <w:topLinePunct w:val="0"/>
        <w:bidi w:val="0"/>
        <w:spacing w:before="0" w:beforeAutospacing="0" w:after="0" w:afterAutospacing="0" w:line="360" w:lineRule="auto"/>
        <w:ind w:left="0" w:firstLine="480" w:firstLineChars="200"/>
        <w:rPr>
          <w:rFonts w:hint="eastAsia" w:ascii="仿宋" w:hAnsi="仿宋" w:eastAsia="仿宋"/>
          <w:color w:val="000000"/>
          <w:sz w:val="24"/>
          <w:szCs w:val="24"/>
          <w:lang w:eastAsia="zh-CN"/>
        </w:rPr>
      </w:pPr>
      <w:r>
        <w:rPr>
          <w:rFonts w:hint="eastAsia" w:ascii="仿宋" w:hAnsi="仿宋" w:eastAsia="仿宋"/>
          <w:color w:val="000000"/>
          <w:sz w:val="24"/>
          <w:szCs w:val="24"/>
          <w:highlight w:val="none"/>
        </w:rPr>
        <w:t>（</w:t>
      </w:r>
      <w:r>
        <w:rPr>
          <w:rFonts w:hint="eastAsia" w:ascii="仿宋" w:hAnsi="仿宋" w:eastAsia="仿宋"/>
          <w:color w:val="000000"/>
          <w:sz w:val="24"/>
          <w:szCs w:val="24"/>
          <w:highlight w:val="none"/>
          <w:lang w:eastAsia="zh-CN"/>
        </w:rPr>
        <w:t>二</w:t>
      </w:r>
      <w:r>
        <w:rPr>
          <w:rFonts w:hint="eastAsia" w:ascii="仿宋" w:hAnsi="仿宋" w:eastAsia="仿宋"/>
          <w:color w:val="000000"/>
          <w:sz w:val="24"/>
          <w:szCs w:val="24"/>
          <w:highlight w:val="none"/>
        </w:rPr>
        <w:t>）</w:t>
      </w:r>
      <w:r>
        <w:rPr>
          <w:rFonts w:hint="eastAsia" w:ascii="仿宋" w:hAnsi="仿宋" w:eastAsia="仿宋"/>
          <w:color w:val="000000"/>
          <w:sz w:val="24"/>
          <w:szCs w:val="24"/>
        </w:rPr>
        <w:t>未在筑服云电子商务平台上传投标文件或进行报价的，视为放弃投标资格</w:t>
      </w:r>
      <w:r>
        <w:rPr>
          <w:rFonts w:hint="eastAsia" w:ascii="仿宋" w:hAnsi="仿宋" w:eastAsia="仿宋"/>
          <w:color w:val="000000"/>
          <w:sz w:val="24"/>
          <w:szCs w:val="24"/>
          <w:lang w:eastAsia="zh-CN"/>
        </w:rPr>
        <w:t>。</w:t>
      </w:r>
    </w:p>
    <w:p w14:paraId="33B90240">
      <w:pPr>
        <w:keepNext w:val="0"/>
        <w:keepLines w:val="0"/>
        <w:pageBreakBefore w:val="0"/>
        <w:kinsoku/>
        <w:wordWrap/>
        <w:overflowPunct/>
        <w:topLinePunct w:val="0"/>
        <w:bidi w:val="0"/>
        <w:spacing w:line="360" w:lineRule="auto"/>
        <w:ind w:firstLine="720" w:firstLineChars="300"/>
        <w:rPr>
          <w:rFonts w:hint="eastAsia" w:ascii="仿宋" w:hAnsi="仿宋" w:eastAsia="仿宋" w:cs="宋体"/>
          <w:color w:val="000000"/>
          <w:sz w:val="24"/>
          <w:szCs w:val="24"/>
          <w:highlight w:val="none"/>
          <w:lang w:eastAsia="zh-CN"/>
        </w:rPr>
      </w:pPr>
    </w:p>
    <w:p w14:paraId="2892E9B4">
      <w:pPr>
        <w:keepNext w:val="0"/>
        <w:keepLines w:val="0"/>
        <w:pageBreakBefore w:val="0"/>
        <w:numPr>
          <w:ilvl w:val="0"/>
          <w:numId w:val="0"/>
        </w:numPr>
        <w:kinsoku/>
        <w:wordWrap/>
        <w:overflowPunct/>
        <w:topLinePunct w:val="0"/>
        <w:bidi w:val="0"/>
        <w:spacing w:line="360" w:lineRule="auto"/>
        <w:ind w:firstLine="281" w:firstLineChars="100"/>
        <w:rPr>
          <w:rFonts w:hint="eastAsia" w:ascii="仿宋" w:hAnsi="仿宋" w:eastAsia="仿宋"/>
          <w:b/>
          <w:sz w:val="28"/>
          <w:szCs w:val="28"/>
        </w:rPr>
      </w:pPr>
      <w:r>
        <w:rPr>
          <w:rFonts w:hint="eastAsia" w:ascii="仿宋" w:hAnsi="仿宋" w:eastAsia="仿宋" w:cs="宋体"/>
          <w:b/>
          <w:sz w:val="28"/>
          <w:szCs w:val="28"/>
          <w:lang w:val="en-US" w:eastAsia="zh-CN"/>
        </w:rPr>
        <w:t>九、</w:t>
      </w:r>
      <w:r>
        <w:rPr>
          <w:rFonts w:hint="eastAsia" w:ascii="仿宋" w:hAnsi="仿宋" w:eastAsia="仿宋"/>
          <w:b/>
          <w:sz w:val="28"/>
          <w:szCs w:val="28"/>
        </w:rPr>
        <w:t>询价方法</w:t>
      </w:r>
    </w:p>
    <w:p w14:paraId="79CB01F3">
      <w:pPr>
        <w:keepNext w:val="0"/>
        <w:keepLines w:val="0"/>
        <w:pageBreakBefore w:val="0"/>
        <w:kinsoku/>
        <w:wordWrap/>
        <w:overflowPunct/>
        <w:topLinePunct w:val="0"/>
        <w:bidi w:val="0"/>
        <w:spacing w:line="360" w:lineRule="auto"/>
        <w:ind w:firstLine="720" w:firstLineChars="300"/>
        <w:rPr>
          <w:rFonts w:hint="eastAsia" w:ascii="仿宋" w:hAnsi="仿宋" w:eastAsia="仿宋" w:cs="宋体"/>
          <w:color w:val="000000"/>
          <w:sz w:val="24"/>
          <w:szCs w:val="24"/>
          <w:highlight w:val="none"/>
        </w:rPr>
      </w:pPr>
      <w:r>
        <w:rPr>
          <w:rFonts w:hint="eastAsia" w:ascii="仿宋" w:hAnsi="仿宋" w:eastAsia="仿宋" w:cs="宋体"/>
          <w:color w:val="000000"/>
          <w:sz w:val="24"/>
          <w:szCs w:val="24"/>
          <w:highlight w:val="none"/>
        </w:rPr>
        <w:t>本次询价采购，拟采用线上公开询价开标的方式进行，有效报价按含税总价排序，报价最低的报价人为第一推荐候选人的询价办法，但低于成本价的或超过询价人可以接受价格的除外。公开询价开标为报价人按照询价书要求在筑服云电子商务平台响应报价并按照询价采购文件中要求的报价文件格式（PDF或WORD格式）上传报价文件，报价文件须加盖报价单位鲜章，最终报价以上传的报价文件为准。逾期未按要求操作的视为放弃本次询价报价，报价时间以筑服云电子商务平台挂网公布的询价书为准。询价采购小组成员可根据实际评审情况邀请响应单位进行二次报价。</w:t>
      </w:r>
    </w:p>
    <w:p w14:paraId="5F9C83CE">
      <w:pPr>
        <w:keepNext w:val="0"/>
        <w:keepLines w:val="0"/>
        <w:pageBreakBefore w:val="0"/>
        <w:kinsoku/>
        <w:wordWrap/>
        <w:overflowPunct/>
        <w:topLinePunct w:val="0"/>
        <w:bidi w:val="0"/>
        <w:spacing w:line="360" w:lineRule="auto"/>
        <w:rPr>
          <w:rFonts w:hint="default" w:ascii="仿宋" w:hAnsi="仿宋" w:eastAsia="仿宋"/>
          <w:b/>
          <w:sz w:val="28"/>
          <w:szCs w:val="28"/>
          <w:lang w:val="en-US" w:eastAsia="zh-CN"/>
        </w:rPr>
      </w:pPr>
      <w:r>
        <w:rPr>
          <w:rFonts w:hint="eastAsia" w:ascii="仿宋" w:hAnsi="仿宋" w:eastAsia="仿宋"/>
          <w:b/>
          <w:sz w:val="28"/>
          <w:szCs w:val="28"/>
          <w:lang w:val="en-US" w:eastAsia="zh-CN"/>
        </w:rPr>
        <w:t>十</w:t>
      </w:r>
      <w:r>
        <w:rPr>
          <w:rFonts w:hint="eastAsia" w:ascii="仿宋" w:hAnsi="仿宋" w:eastAsia="仿宋"/>
          <w:b/>
          <w:sz w:val="28"/>
          <w:szCs w:val="28"/>
        </w:rPr>
        <w:t>、</w:t>
      </w:r>
      <w:r>
        <w:rPr>
          <w:rFonts w:hint="eastAsia" w:ascii="仿宋" w:hAnsi="仿宋" w:eastAsia="仿宋"/>
          <w:b/>
          <w:sz w:val="28"/>
          <w:szCs w:val="28"/>
          <w:lang w:val="en-US" w:eastAsia="zh-CN"/>
        </w:rPr>
        <w:t>组织单位</w:t>
      </w:r>
    </w:p>
    <w:p w14:paraId="75E56465">
      <w:pPr>
        <w:keepNext w:val="0"/>
        <w:keepLines w:val="0"/>
        <w:pageBreakBefore w:val="0"/>
        <w:kinsoku/>
        <w:wordWrap/>
        <w:overflowPunct/>
        <w:topLinePunct w:val="0"/>
        <w:bidi w:val="0"/>
        <w:spacing w:line="360" w:lineRule="auto"/>
        <w:ind w:firstLine="281" w:firstLineChars="100"/>
        <w:rPr>
          <w:rFonts w:hint="eastAsia" w:ascii="仿宋" w:hAnsi="仿宋" w:eastAsia="仿宋"/>
          <w:b/>
          <w:sz w:val="28"/>
          <w:szCs w:val="28"/>
        </w:rPr>
      </w:pPr>
    </w:p>
    <w:p w14:paraId="43D3A5D4">
      <w:pPr>
        <w:keepNext w:val="0"/>
        <w:keepLines w:val="0"/>
        <w:pageBreakBefore w:val="0"/>
        <w:kinsoku/>
        <w:wordWrap/>
        <w:overflowPunct/>
        <w:topLinePunct w:val="0"/>
        <w:bidi w:val="0"/>
        <w:spacing w:line="360" w:lineRule="auto"/>
        <w:ind w:firstLine="480" w:firstLineChars="200"/>
        <w:rPr>
          <w:rFonts w:hint="eastAsia" w:ascii="仿宋" w:hAnsi="仿宋" w:eastAsia="仿宋" w:cs="宋体"/>
          <w:color w:val="000000"/>
          <w:sz w:val="24"/>
          <w:szCs w:val="24"/>
          <w:highlight w:val="none"/>
          <w:lang w:eastAsia="zh-CN"/>
        </w:rPr>
      </w:pPr>
      <w:r>
        <w:rPr>
          <w:rFonts w:hint="eastAsia" w:ascii="仿宋" w:hAnsi="仿宋" w:eastAsia="仿宋" w:cs="宋体"/>
          <w:color w:val="000000"/>
          <w:sz w:val="24"/>
          <w:szCs w:val="24"/>
          <w:highlight w:val="none"/>
        </w:rPr>
        <w:t>采购人：山西二建集团</w:t>
      </w:r>
      <w:r>
        <w:rPr>
          <w:rFonts w:hint="eastAsia" w:ascii="仿宋" w:hAnsi="仿宋" w:eastAsia="仿宋" w:cs="宋体"/>
          <w:color w:val="000000"/>
          <w:sz w:val="24"/>
          <w:szCs w:val="24"/>
          <w:highlight w:val="none"/>
          <w:lang w:eastAsia="zh-CN"/>
        </w:rPr>
        <w:t>有限公司</w:t>
      </w:r>
    </w:p>
    <w:p w14:paraId="7AE029A8">
      <w:pPr>
        <w:keepNext w:val="0"/>
        <w:keepLines w:val="0"/>
        <w:pageBreakBefore w:val="0"/>
        <w:kinsoku/>
        <w:wordWrap/>
        <w:overflowPunct/>
        <w:topLinePunct w:val="0"/>
        <w:bidi w:val="0"/>
        <w:spacing w:line="360" w:lineRule="auto"/>
        <w:ind w:firstLine="480" w:firstLineChars="200"/>
        <w:rPr>
          <w:rFonts w:hint="default" w:ascii="仿宋" w:hAnsi="仿宋" w:eastAsia="仿宋" w:cs="宋体"/>
          <w:color w:val="000000"/>
          <w:sz w:val="24"/>
          <w:szCs w:val="24"/>
          <w:highlight w:val="none"/>
          <w:lang w:val="en-US" w:eastAsia="zh-CN"/>
        </w:rPr>
      </w:pPr>
      <w:r>
        <w:rPr>
          <w:rFonts w:hint="eastAsia" w:ascii="仿宋" w:hAnsi="仿宋" w:eastAsia="仿宋" w:cs="宋体"/>
          <w:color w:val="000000"/>
          <w:sz w:val="24"/>
          <w:szCs w:val="24"/>
          <w:highlight w:val="none"/>
        </w:rPr>
        <w:t>联系人</w:t>
      </w:r>
      <w:r>
        <w:rPr>
          <w:rFonts w:hint="eastAsia" w:ascii="仿宋" w:hAnsi="仿宋" w:eastAsia="仿宋" w:cs="宋体"/>
          <w:color w:val="000000"/>
          <w:sz w:val="24"/>
          <w:szCs w:val="24"/>
          <w:highlight w:val="none"/>
          <w:lang w:eastAsia="zh-CN"/>
        </w:rPr>
        <w:t>：</w:t>
      </w:r>
      <w:r>
        <w:rPr>
          <w:rFonts w:hint="eastAsia" w:ascii="仿宋" w:hAnsi="仿宋" w:eastAsia="仿宋" w:cs="宋体"/>
          <w:color w:val="000000"/>
          <w:sz w:val="24"/>
          <w:szCs w:val="24"/>
          <w:highlight w:val="none"/>
          <w:lang w:val="en-US" w:eastAsia="zh-CN"/>
        </w:rPr>
        <w:t>侯跃文 18735178054</w:t>
      </w:r>
    </w:p>
    <w:p w14:paraId="5743A2B9">
      <w:pPr>
        <w:keepNext w:val="0"/>
        <w:keepLines w:val="0"/>
        <w:pageBreakBefore w:val="0"/>
        <w:kinsoku/>
        <w:wordWrap/>
        <w:overflowPunct/>
        <w:topLinePunct w:val="0"/>
        <w:bidi w:val="0"/>
        <w:spacing w:line="360" w:lineRule="auto"/>
        <w:rPr>
          <w:rFonts w:hint="eastAsia" w:ascii="仿宋" w:hAnsi="仿宋" w:eastAsia="仿宋" w:cs="宋体"/>
          <w:color w:val="000000"/>
          <w:sz w:val="24"/>
          <w:szCs w:val="24"/>
          <w:highlight w:val="none"/>
          <w:lang w:val="en-US" w:eastAsia="zh-CN"/>
        </w:rPr>
      </w:pPr>
    </w:p>
    <w:p w14:paraId="515DB04A">
      <w:pPr>
        <w:keepNext w:val="0"/>
        <w:keepLines w:val="0"/>
        <w:pageBreakBefore w:val="0"/>
        <w:kinsoku/>
        <w:wordWrap/>
        <w:overflowPunct/>
        <w:topLinePunct w:val="0"/>
        <w:bidi w:val="0"/>
        <w:spacing w:line="360" w:lineRule="auto"/>
        <w:ind w:firstLine="480" w:firstLineChars="200"/>
        <w:rPr>
          <w:rFonts w:hint="eastAsia" w:ascii="仿宋" w:hAnsi="仿宋" w:eastAsia="仿宋" w:cs="宋体"/>
          <w:color w:val="000000"/>
          <w:sz w:val="24"/>
          <w:szCs w:val="24"/>
          <w:highlight w:val="none"/>
          <w:lang w:val="en-US" w:eastAsia="zh-CN"/>
        </w:rPr>
      </w:pPr>
    </w:p>
    <w:p w14:paraId="5C792540">
      <w:pPr>
        <w:keepNext w:val="0"/>
        <w:keepLines w:val="0"/>
        <w:pageBreakBefore w:val="0"/>
        <w:kinsoku/>
        <w:wordWrap/>
        <w:overflowPunct/>
        <w:topLinePunct w:val="0"/>
        <w:bidi w:val="0"/>
        <w:spacing w:line="360" w:lineRule="auto"/>
        <w:ind w:firstLine="480" w:firstLineChars="200"/>
        <w:rPr>
          <w:rFonts w:hint="eastAsia" w:ascii="仿宋" w:hAnsi="仿宋" w:eastAsia="仿宋" w:cs="宋体"/>
          <w:color w:val="000000"/>
          <w:sz w:val="24"/>
          <w:szCs w:val="24"/>
          <w:highlight w:val="none"/>
          <w:lang w:val="en-US" w:eastAsia="zh-CN"/>
        </w:rPr>
      </w:pPr>
    </w:p>
    <w:p w14:paraId="0146224A">
      <w:pPr>
        <w:keepNext w:val="0"/>
        <w:keepLines w:val="0"/>
        <w:pageBreakBefore w:val="0"/>
        <w:kinsoku/>
        <w:wordWrap/>
        <w:overflowPunct/>
        <w:topLinePunct w:val="0"/>
        <w:bidi w:val="0"/>
        <w:spacing w:line="360" w:lineRule="auto"/>
        <w:ind w:firstLine="4800" w:firstLineChars="2000"/>
        <w:rPr>
          <w:rFonts w:hint="eastAsia" w:ascii="仿宋" w:hAnsi="仿宋" w:eastAsia="仿宋"/>
          <w:sz w:val="28"/>
          <w:szCs w:val="28"/>
          <w:lang w:val="en-US" w:eastAsia="zh-CN"/>
        </w:rPr>
      </w:pPr>
      <w:r>
        <w:rPr>
          <w:rFonts w:hint="eastAsia" w:ascii="仿宋" w:hAnsi="仿宋" w:eastAsia="仿宋" w:cs="宋体"/>
          <w:color w:val="000000"/>
          <w:sz w:val="24"/>
          <w:szCs w:val="24"/>
          <w:highlight w:val="none"/>
          <w:lang w:val="en-US" w:eastAsia="zh-CN"/>
        </w:rPr>
        <w:t>2024年12月9日</w:t>
      </w:r>
      <w:r>
        <w:rPr>
          <w:rFonts w:hint="eastAsia" w:ascii="仿宋" w:hAnsi="仿宋" w:eastAsia="仿宋"/>
          <w:sz w:val="28"/>
          <w:szCs w:val="28"/>
          <w:lang w:val="en-US" w:eastAsia="zh-CN"/>
        </w:rPr>
        <w:br w:type="page"/>
      </w:r>
    </w:p>
    <w:p w14:paraId="2D5AFE12">
      <w:pPr>
        <w:pStyle w:val="11"/>
        <w:keepNext w:val="0"/>
        <w:keepLines w:val="0"/>
        <w:pageBreakBefore w:val="0"/>
        <w:kinsoku/>
        <w:wordWrap/>
        <w:overflowPunct/>
        <w:topLinePunct w:val="0"/>
        <w:bidi w:val="0"/>
        <w:spacing w:line="360" w:lineRule="auto"/>
        <w:rPr>
          <w:rFonts w:hint="default"/>
          <w:lang w:val="en-US" w:eastAsia="zh-CN"/>
        </w:rPr>
        <w:sectPr>
          <w:pgSz w:w="11906" w:h="16838"/>
          <w:pgMar w:top="1440" w:right="1800" w:bottom="1440" w:left="1800" w:header="851" w:footer="992" w:gutter="0"/>
          <w:cols w:space="720" w:num="1"/>
          <w:docGrid w:type="lines" w:linePitch="312" w:charSpace="0"/>
        </w:sectPr>
      </w:pPr>
    </w:p>
    <w:tbl>
      <w:tblPr>
        <w:tblStyle w:val="12"/>
        <w:tblW w:w="140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5"/>
        <w:gridCol w:w="1020"/>
        <w:gridCol w:w="990"/>
        <w:gridCol w:w="675"/>
        <w:gridCol w:w="1050"/>
        <w:gridCol w:w="790"/>
        <w:gridCol w:w="960"/>
        <w:gridCol w:w="954"/>
        <w:gridCol w:w="947"/>
        <w:gridCol w:w="1770"/>
        <w:gridCol w:w="1326"/>
        <w:gridCol w:w="2826"/>
        <w:gridCol w:w="236"/>
      </w:tblGrid>
      <w:tr w14:paraId="241AF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214" w:hRule="atLeast"/>
        </w:trPr>
        <w:tc>
          <w:tcPr>
            <w:tcW w:w="13863" w:type="dxa"/>
            <w:gridSpan w:val="12"/>
            <w:tcBorders>
              <w:top w:val="nil"/>
              <w:left w:val="nil"/>
              <w:bottom w:val="nil"/>
              <w:right w:val="nil"/>
            </w:tcBorders>
            <w:shd w:val="clear" w:color="auto" w:fill="auto"/>
            <w:noWrap/>
            <w:vAlign w:val="center"/>
          </w:tcPr>
          <w:p w14:paraId="75A9D95A">
            <w:pPr>
              <w:keepNext w:val="0"/>
              <w:keepLines w:val="0"/>
              <w:widowControl/>
              <w:suppressLineNumbers w:val="0"/>
              <w:jc w:val="center"/>
              <w:textAlignment w:val="center"/>
              <w:rPr>
                <w:rFonts w:ascii="仿宋" w:hAnsi="仿宋" w:eastAsia="仿宋" w:cs="仿宋"/>
                <w:b/>
                <w:bCs/>
                <w:i w:val="0"/>
                <w:iCs w:val="0"/>
                <w:color w:val="000000"/>
                <w:sz w:val="40"/>
                <w:szCs w:val="40"/>
                <w:u w:val="none"/>
              </w:rPr>
            </w:pPr>
            <w:r>
              <w:rPr>
                <w:rFonts w:hint="eastAsia" w:ascii="仿宋" w:hAnsi="仿宋" w:eastAsia="仿宋" w:cs="仿宋"/>
                <w:b/>
                <w:bCs/>
                <w:i w:val="0"/>
                <w:iCs w:val="0"/>
                <w:color w:val="000000"/>
                <w:kern w:val="0"/>
                <w:sz w:val="40"/>
                <w:szCs w:val="40"/>
                <w:u w:val="none"/>
                <w:lang w:val="en-US" w:eastAsia="zh-CN" w:bidi="ar"/>
              </w:rPr>
              <w:t>报价单</w:t>
            </w:r>
          </w:p>
        </w:tc>
      </w:tr>
      <w:tr w14:paraId="06CB9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36" w:type="dxa"/>
          <w:trHeight w:val="214" w:hRule="atLeast"/>
        </w:trPr>
        <w:tc>
          <w:tcPr>
            <w:tcW w:w="13863" w:type="dxa"/>
            <w:gridSpan w:val="12"/>
            <w:tcBorders>
              <w:top w:val="nil"/>
              <w:left w:val="nil"/>
              <w:bottom w:val="nil"/>
              <w:right w:val="nil"/>
            </w:tcBorders>
            <w:shd w:val="clear" w:color="auto" w:fill="auto"/>
            <w:noWrap/>
            <w:vAlign w:val="center"/>
          </w:tcPr>
          <w:p w14:paraId="256FC13F">
            <w:pPr>
              <w:widowControl/>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项目名称：大土河西合煤矿稀缺煤种压煤解放与煤矸石无害化处置</w:t>
            </w:r>
          </w:p>
        </w:tc>
      </w:tr>
      <w:tr w14:paraId="2FC3F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36" w:type="dxa"/>
          <w:trHeight w:val="107" w:hRule="atLeast"/>
        </w:trPr>
        <w:tc>
          <w:tcPr>
            <w:tcW w:w="4290" w:type="dxa"/>
            <w:gridSpan w:val="5"/>
            <w:tcBorders>
              <w:top w:val="nil"/>
              <w:left w:val="nil"/>
              <w:bottom w:val="nil"/>
              <w:right w:val="nil"/>
            </w:tcBorders>
            <w:shd w:val="clear" w:color="auto" w:fill="auto"/>
            <w:noWrap/>
            <w:vAlign w:val="center"/>
          </w:tcPr>
          <w:p w14:paraId="3B2AE46C">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物资名称：零星材料</w:t>
            </w:r>
          </w:p>
        </w:tc>
        <w:tc>
          <w:tcPr>
            <w:tcW w:w="790" w:type="dxa"/>
            <w:tcBorders>
              <w:top w:val="nil"/>
              <w:left w:val="nil"/>
              <w:bottom w:val="nil"/>
              <w:right w:val="nil"/>
            </w:tcBorders>
            <w:shd w:val="clear" w:color="auto" w:fill="auto"/>
            <w:noWrap/>
            <w:vAlign w:val="center"/>
          </w:tcPr>
          <w:p w14:paraId="1CE6BDDB">
            <w:pPr>
              <w:jc w:val="left"/>
              <w:rPr>
                <w:rFonts w:hint="eastAsia" w:ascii="仿宋" w:hAnsi="仿宋" w:eastAsia="仿宋" w:cs="仿宋"/>
                <w:i w:val="0"/>
                <w:iCs w:val="0"/>
                <w:color w:val="000000"/>
                <w:sz w:val="24"/>
                <w:szCs w:val="24"/>
                <w:u w:val="none"/>
              </w:rPr>
            </w:pPr>
          </w:p>
        </w:tc>
        <w:tc>
          <w:tcPr>
            <w:tcW w:w="960" w:type="dxa"/>
            <w:tcBorders>
              <w:top w:val="nil"/>
              <w:left w:val="nil"/>
              <w:bottom w:val="nil"/>
              <w:right w:val="nil"/>
            </w:tcBorders>
            <w:shd w:val="clear" w:color="auto" w:fill="auto"/>
            <w:noWrap/>
            <w:vAlign w:val="center"/>
          </w:tcPr>
          <w:p w14:paraId="1DE68723">
            <w:pPr>
              <w:jc w:val="left"/>
              <w:rPr>
                <w:rFonts w:hint="eastAsia" w:ascii="仿宋" w:hAnsi="仿宋" w:eastAsia="仿宋" w:cs="仿宋"/>
                <w:i w:val="0"/>
                <w:iCs w:val="0"/>
                <w:color w:val="000000"/>
                <w:sz w:val="24"/>
                <w:szCs w:val="24"/>
                <w:u w:val="none"/>
              </w:rPr>
            </w:pPr>
          </w:p>
        </w:tc>
        <w:tc>
          <w:tcPr>
            <w:tcW w:w="954" w:type="dxa"/>
            <w:tcBorders>
              <w:top w:val="nil"/>
              <w:left w:val="nil"/>
              <w:bottom w:val="nil"/>
              <w:right w:val="nil"/>
            </w:tcBorders>
            <w:shd w:val="clear" w:color="auto" w:fill="auto"/>
            <w:noWrap/>
            <w:vAlign w:val="center"/>
          </w:tcPr>
          <w:p w14:paraId="4F6DC4FC">
            <w:pPr>
              <w:jc w:val="right"/>
              <w:rPr>
                <w:rFonts w:hint="eastAsia" w:ascii="仿宋" w:hAnsi="仿宋" w:eastAsia="仿宋" w:cs="仿宋"/>
                <w:i w:val="0"/>
                <w:iCs w:val="0"/>
                <w:color w:val="000000"/>
                <w:sz w:val="24"/>
                <w:szCs w:val="24"/>
                <w:u w:val="none"/>
              </w:rPr>
            </w:pPr>
          </w:p>
        </w:tc>
        <w:tc>
          <w:tcPr>
            <w:tcW w:w="947" w:type="dxa"/>
            <w:tcBorders>
              <w:top w:val="nil"/>
              <w:left w:val="nil"/>
              <w:bottom w:val="nil"/>
              <w:right w:val="nil"/>
            </w:tcBorders>
            <w:shd w:val="clear" w:color="auto" w:fill="auto"/>
            <w:noWrap/>
            <w:vAlign w:val="center"/>
          </w:tcPr>
          <w:p w14:paraId="370E4242">
            <w:pPr>
              <w:jc w:val="left"/>
              <w:rPr>
                <w:rFonts w:hint="eastAsia" w:ascii="仿宋" w:hAnsi="仿宋" w:eastAsia="仿宋" w:cs="仿宋"/>
                <w:i w:val="0"/>
                <w:iCs w:val="0"/>
                <w:color w:val="000000"/>
                <w:sz w:val="24"/>
                <w:szCs w:val="24"/>
                <w:u w:val="none"/>
              </w:rPr>
            </w:pPr>
          </w:p>
        </w:tc>
        <w:tc>
          <w:tcPr>
            <w:tcW w:w="1770" w:type="dxa"/>
            <w:tcBorders>
              <w:top w:val="nil"/>
              <w:left w:val="nil"/>
              <w:bottom w:val="nil"/>
              <w:right w:val="nil"/>
            </w:tcBorders>
            <w:shd w:val="clear" w:color="auto" w:fill="auto"/>
            <w:noWrap/>
            <w:vAlign w:val="center"/>
          </w:tcPr>
          <w:p w14:paraId="763B050B">
            <w:pPr>
              <w:jc w:val="left"/>
              <w:rPr>
                <w:rFonts w:hint="eastAsia" w:ascii="仿宋" w:hAnsi="仿宋" w:eastAsia="仿宋" w:cs="仿宋"/>
                <w:i w:val="0"/>
                <w:iCs w:val="0"/>
                <w:color w:val="000000"/>
                <w:sz w:val="24"/>
                <w:szCs w:val="24"/>
                <w:u w:val="none"/>
              </w:rPr>
            </w:pPr>
          </w:p>
        </w:tc>
        <w:tc>
          <w:tcPr>
            <w:tcW w:w="1326" w:type="dxa"/>
            <w:tcBorders>
              <w:top w:val="nil"/>
              <w:left w:val="nil"/>
              <w:bottom w:val="nil"/>
              <w:right w:val="nil"/>
            </w:tcBorders>
            <w:shd w:val="clear" w:color="auto" w:fill="auto"/>
            <w:noWrap/>
            <w:vAlign w:val="center"/>
          </w:tcPr>
          <w:p w14:paraId="4E8EA4DD">
            <w:pPr>
              <w:jc w:val="left"/>
              <w:rPr>
                <w:rFonts w:hint="eastAsia" w:ascii="仿宋" w:hAnsi="仿宋" w:eastAsia="仿宋" w:cs="仿宋"/>
                <w:i w:val="0"/>
                <w:iCs w:val="0"/>
                <w:color w:val="000000"/>
                <w:sz w:val="24"/>
                <w:szCs w:val="24"/>
                <w:u w:val="none"/>
              </w:rPr>
            </w:pPr>
          </w:p>
        </w:tc>
        <w:tc>
          <w:tcPr>
            <w:tcW w:w="2826" w:type="dxa"/>
            <w:tcBorders>
              <w:top w:val="nil"/>
              <w:left w:val="nil"/>
              <w:bottom w:val="nil"/>
              <w:right w:val="nil"/>
            </w:tcBorders>
            <w:shd w:val="clear" w:color="auto" w:fill="auto"/>
            <w:noWrap/>
            <w:vAlign w:val="center"/>
          </w:tcPr>
          <w:p w14:paraId="2DFEBD24">
            <w:pPr>
              <w:jc w:val="left"/>
              <w:rPr>
                <w:rFonts w:hint="eastAsia" w:ascii="仿宋" w:hAnsi="仿宋" w:eastAsia="仿宋" w:cs="仿宋"/>
                <w:i w:val="0"/>
                <w:iCs w:val="0"/>
                <w:color w:val="000000"/>
                <w:sz w:val="24"/>
                <w:szCs w:val="24"/>
                <w:u w:val="none"/>
              </w:rPr>
            </w:pPr>
          </w:p>
        </w:tc>
      </w:tr>
      <w:tr w14:paraId="206D6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36" w:type="dxa"/>
          <w:trHeight w:val="327"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5D3D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F160B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物资名称</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C99A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规格型号</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154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计量单位</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61D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9C651">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含税出厂单价（元）</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1DB9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综合费用（元）            3</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BEE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到站含税单价（元）4=2+3</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26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到站含税总价（元）</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2187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到货地点</w:t>
            </w:r>
          </w:p>
        </w:tc>
        <w:tc>
          <w:tcPr>
            <w:tcW w:w="13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831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交货验收方式</w:t>
            </w:r>
          </w:p>
        </w:tc>
        <w:tc>
          <w:tcPr>
            <w:tcW w:w="28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D8265">
            <w:pPr>
              <w:keepNext w:val="0"/>
              <w:keepLines w:val="0"/>
              <w:widowControl/>
              <w:suppressLineNumbers w:val="0"/>
              <w:ind w:right="424" w:rightChars="202"/>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备注</w:t>
            </w:r>
          </w:p>
        </w:tc>
      </w:tr>
      <w:tr w14:paraId="1DD77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36" w:type="dxa"/>
          <w:trHeight w:val="15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28AD0">
            <w:pPr>
              <w:jc w:val="center"/>
              <w:rPr>
                <w:rFonts w:hint="eastAsia" w:ascii="仿宋" w:hAnsi="仿宋" w:eastAsia="仿宋" w:cs="仿宋"/>
                <w:i w:val="0"/>
                <w:iCs w:val="0"/>
                <w:color w:val="000000"/>
                <w:sz w:val="24"/>
                <w:szCs w:val="24"/>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76579">
            <w:pPr>
              <w:jc w:val="center"/>
              <w:rPr>
                <w:rFonts w:hint="eastAsia" w:ascii="仿宋" w:hAnsi="仿宋" w:eastAsia="仿宋" w:cs="仿宋"/>
                <w:i w:val="0"/>
                <w:iCs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2B41D">
            <w:pPr>
              <w:jc w:val="center"/>
              <w:rPr>
                <w:rFonts w:hint="eastAsia" w:ascii="仿宋" w:hAnsi="仿宋" w:eastAsia="仿宋" w:cs="仿宋"/>
                <w:i w:val="0"/>
                <w:iCs w:val="0"/>
                <w:color w:val="000000"/>
                <w:sz w:val="24"/>
                <w:szCs w:val="24"/>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982BE">
            <w:pPr>
              <w:jc w:val="center"/>
              <w:rPr>
                <w:rFonts w:hint="eastAsia" w:ascii="仿宋" w:hAnsi="仿宋" w:eastAsia="仿宋" w:cs="仿宋"/>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BB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958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9B118">
            <w:pPr>
              <w:jc w:val="center"/>
              <w:rPr>
                <w:rFonts w:hint="eastAsia" w:ascii="仿宋" w:hAnsi="仿宋" w:eastAsia="仿宋" w:cs="仿宋"/>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2F77F">
            <w:pPr>
              <w:jc w:val="center"/>
              <w:rPr>
                <w:rFonts w:hint="eastAsia" w:ascii="仿宋" w:hAnsi="仿宋" w:eastAsia="仿宋" w:cs="仿宋"/>
                <w:i w:val="0"/>
                <w:iCs w:val="0"/>
                <w:color w:val="000000"/>
                <w:sz w:val="24"/>
                <w:szCs w:val="24"/>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54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5=1*4</w:t>
            </w: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D785A">
            <w:pPr>
              <w:jc w:val="center"/>
              <w:rPr>
                <w:rFonts w:hint="eastAsia" w:ascii="仿宋" w:hAnsi="仿宋" w:eastAsia="仿宋" w:cs="仿宋"/>
                <w:i w:val="0"/>
                <w:iCs w:val="0"/>
                <w:color w:val="000000"/>
                <w:sz w:val="24"/>
                <w:szCs w:val="24"/>
                <w:u w:val="none"/>
              </w:rPr>
            </w:p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CB5E8">
            <w:pPr>
              <w:jc w:val="center"/>
              <w:rPr>
                <w:rFonts w:hint="eastAsia" w:ascii="仿宋" w:hAnsi="仿宋" w:eastAsia="仿宋" w:cs="仿宋"/>
                <w:i w:val="0"/>
                <w:iCs w:val="0"/>
                <w:color w:val="000000"/>
                <w:sz w:val="24"/>
                <w:szCs w:val="24"/>
                <w:u w:val="none"/>
              </w:rPr>
            </w:pPr>
          </w:p>
        </w:tc>
        <w:tc>
          <w:tcPr>
            <w:tcW w:w="28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A8EDD">
            <w:pPr>
              <w:jc w:val="center"/>
              <w:rPr>
                <w:rFonts w:hint="eastAsia" w:ascii="仿宋" w:hAnsi="仿宋" w:eastAsia="仿宋" w:cs="仿宋"/>
                <w:i w:val="0"/>
                <w:iCs w:val="0"/>
                <w:color w:val="000000"/>
                <w:sz w:val="20"/>
                <w:szCs w:val="20"/>
                <w:u w:val="none"/>
              </w:rPr>
            </w:pPr>
          </w:p>
        </w:tc>
      </w:tr>
      <w:tr w14:paraId="0453D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36" w:type="dxa"/>
          <w:trHeight w:val="807"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2D711">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color w:val="000000"/>
                <w:sz w:val="20"/>
                <w:szCs w:val="20"/>
                <w:lang w:val="en-US" w:eastAsia="zh-CN"/>
              </w:rPr>
              <w:t>1</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06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i w:val="0"/>
                <w:iCs w:val="0"/>
                <w:color w:val="000000"/>
                <w:kern w:val="0"/>
                <w:sz w:val="24"/>
                <w:szCs w:val="24"/>
                <w:u w:val="none"/>
                <w:lang w:val="en-US" w:eastAsia="zh-CN" w:bidi="ar"/>
              </w:rPr>
              <w:t>绿网</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A9B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sz w:val="24"/>
                <w:szCs w:val="24"/>
                <w:lang w:val="en-US" w:eastAsia="zh-CN"/>
              </w:rPr>
              <w:t>6目</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1DF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r>
              <w:rPr>
                <w:rFonts w:hint="eastAsia" w:ascii="仿宋" w:hAnsi="仿宋" w:eastAsia="仿宋" w:cs="仿宋"/>
                <w:sz w:val="24"/>
                <w:szCs w:val="24"/>
                <w:lang w:val="en-US" w:eastAsia="zh-CN"/>
              </w:rPr>
              <w:t>卷</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C541D">
            <w:pPr>
              <w:keepNext w:val="0"/>
              <w:keepLines w:val="0"/>
              <w:pageBreakBefore w:val="0"/>
              <w:widowControl/>
              <w:suppressLineNumbers w:val="0"/>
              <w:kinsoku/>
              <w:wordWrap/>
              <w:overflowPunct/>
              <w:topLinePunct w:val="0"/>
              <w:autoSpaceDE/>
              <w:autoSpaceDN/>
              <w:bidi w:val="0"/>
              <w:adjustRightInd/>
              <w:snapToGrid/>
              <w:spacing w:line="280" w:lineRule="exact"/>
              <w:ind w:firstLine="240" w:firstLineChars="100"/>
              <w:jc w:val="both"/>
              <w:textAlignment w:val="center"/>
              <w:rPr>
                <w:rFonts w:hint="default" w:ascii="仿宋" w:hAnsi="仿宋" w:eastAsia="仿宋" w:cs="仿宋"/>
                <w:color w:val="000000"/>
                <w:sz w:val="20"/>
                <w:szCs w:val="20"/>
                <w:lang w:val="en-US" w:eastAsia="zh-CN"/>
              </w:rPr>
            </w:pPr>
            <w:r>
              <w:rPr>
                <w:rFonts w:hint="eastAsia" w:ascii="仿宋" w:hAnsi="仿宋" w:eastAsia="仿宋" w:cs="仿宋"/>
                <w:sz w:val="24"/>
                <w:szCs w:val="24"/>
                <w:lang w:val="en-US" w:eastAsia="zh-CN"/>
              </w:rPr>
              <w:t>3000</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779E1">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54120">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21B4C">
            <w:pPr>
              <w:jc w:val="both"/>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1CE0">
            <w:pPr>
              <w:jc w:val="both"/>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1770" w:type="dxa"/>
            <w:vMerge w:val="restart"/>
            <w:tcBorders>
              <w:top w:val="single" w:color="000000" w:sz="4" w:space="0"/>
              <w:left w:val="single" w:color="000000" w:sz="4" w:space="0"/>
              <w:right w:val="single" w:color="000000" w:sz="4" w:space="0"/>
            </w:tcBorders>
            <w:shd w:val="clear" w:color="auto" w:fill="auto"/>
            <w:noWrap/>
            <w:vAlign w:val="center"/>
          </w:tcPr>
          <w:p w14:paraId="0BF575AF">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r>
              <w:rPr>
                <w:rFonts w:hint="eastAsia" w:ascii="仿宋" w:hAnsi="仿宋" w:eastAsia="仿宋" w:cs="仿宋"/>
                <w:i w:val="0"/>
                <w:iCs w:val="0"/>
                <w:color w:val="000000" w:themeColor="text1"/>
                <w:sz w:val="20"/>
                <w:szCs w:val="20"/>
                <w:u w:val="none"/>
                <w:lang w:val="en-US" w:eastAsia="zh-CN"/>
                <w14:textFill>
                  <w14:solidFill>
                    <w14:schemeClr w14:val="tx1"/>
                  </w14:solidFill>
                </w14:textFill>
              </w:rPr>
              <w:t>山西吕梁中阳西合煤业</w:t>
            </w:r>
            <w:r>
              <w:rPr>
                <w:rFonts w:hint="eastAsia" w:ascii="仿宋" w:hAnsi="仿宋" w:eastAsia="仿宋" w:cs="仿宋"/>
                <w:i w:val="0"/>
                <w:iCs w:val="0"/>
                <w:color w:val="000000" w:themeColor="text1"/>
                <w:sz w:val="20"/>
                <w:szCs w:val="20"/>
                <w:u w:val="none"/>
                <w:lang w:eastAsia="zh-CN"/>
                <w14:textFill>
                  <w14:solidFill>
                    <w14:schemeClr w14:val="tx1"/>
                  </w14:solidFill>
                </w14:textFill>
              </w:rPr>
              <w:t>项目</w:t>
            </w:r>
            <w:r>
              <w:rPr>
                <w:rFonts w:hint="eastAsia" w:ascii="仿宋" w:hAnsi="仿宋" w:eastAsia="仿宋" w:cs="仿宋"/>
                <w:i w:val="0"/>
                <w:iCs w:val="0"/>
                <w:color w:val="000000" w:themeColor="text1"/>
                <w:sz w:val="20"/>
                <w:szCs w:val="20"/>
                <w:u w:val="none"/>
                <w:lang w:val="en-US" w:eastAsia="zh-CN"/>
                <w14:textFill>
                  <w14:solidFill>
                    <w14:schemeClr w14:val="tx1"/>
                  </w14:solidFill>
                </w14:textFill>
              </w:rPr>
              <w:t>现场</w:t>
            </w:r>
          </w:p>
        </w:tc>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DFF0E">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r>
              <w:rPr>
                <w:rFonts w:hint="eastAsia" w:ascii="仿宋" w:hAnsi="仿宋" w:eastAsia="仿宋" w:cs="仿宋"/>
                <w:i w:val="0"/>
                <w:iCs w:val="0"/>
                <w:color w:val="000000" w:themeColor="text1"/>
                <w:sz w:val="20"/>
                <w:szCs w:val="20"/>
                <w:u w:val="none"/>
                <w:lang w:val="en-US" w:eastAsia="zh-CN"/>
                <w14:textFill>
                  <w14:solidFill>
                    <w14:schemeClr w14:val="tx1"/>
                  </w14:solidFill>
                </w14:textFill>
              </w:rPr>
              <w:t>计数</w:t>
            </w:r>
          </w:p>
        </w:tc>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B768F">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color w:val="000000"/>
                <w:sz w:val="20"/>
                <w:szCs w:val="20"/>
                <w:lang w:val="en-US" w:eastAsia="zh-CN"/>
              </w:rPr>
            </w:pPr>
          </w:p>
        </w:tc>
      </w:tr>
      <w:tr w14:paraId="5CF1F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36" w:type="dxa"/>
          <w:trHeight w:val="83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6C66B">
            <w:pPr>
              <w:keepNext w:val="0"/>
              <w:keepLines w:val="0"/>
              <w:pageBreakBefore w:val="0"/>
              <w:widowControl/>
              <w:kinsoku/>
              <w:wordWrap/>
              <w:overflowPunct/>
              <w:topLinePunct w:val="0"/>
              <w:bidi w:val="0"/>
              <w:spacing w:line="360" w:lineRule="auto"/>
              <w:jc w:val="center"/>
              <w:textAlignment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F3C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仿宋" w:hAnsi="仿宋" w:eastAsia="仿宋" w:cs="仿宋"/>
                <w:sz w:val="24"/>
                <w:szCs w:val="24"/>
                <w:lang w:val="en-US" w:eastAsia="zh-CN"/>
              </w:rPr>
              <w:t>镀锌扁铁</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41C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sz w:val="20"/>
                <w:szCs w:val="20"/>
                <w:lang w:val="en-US" w:eastAsia="zh-CN"/>
              </w:rPr>
            </w:pPr>
            <w:r>
              <w:rPr>
                <w:rFonts w:hint="eastAsia" w:ascii="仿宋" w:hAnsi="仿宋" w:eastAsia="仿宋" w:cs="仿宋"/>
                <w:sz w:val="24"/>
                <w:szCs w:val="24"/>
                <w:lang w:val="en-US" w:eastAsia="zh-CN"/>
              </w:rPr>
              <w:t>40*4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B56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sz w:val="20"/>
                <w:szCs w:val="20"/>
                <w:lang w:val="en-US" w:eastAsia="zh-CN"/>
                <w14:textFill>
                  <w14:solidFill>
                    <w14:schemeClr w14:val="tx1"/>
                  </w14:solidFill>
                </w14:textFill>
              </w:rPr>
            </w:pPr>
            <w:r>
              <w:rPr>
                <w:rFonts w:hint="eastAsia" w:ascii="仿宋" w:hAnsi="仿宋" w:eastAsia="仿宋" w:cs="仿宋"/>
                <w:sz w:val="24"/>
                <w:szCs w:val="24"/>
                <w:lang w:val="en-US" w:eastAsia="zh-CN"/>
              </w:rPr>
              <w:t>米</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148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sz w:val="20"/>
                <w:szCs w:val="20"/>
                <w:lang w:val="en-US" w:eastAsia="zh-CN"/>
              </w:rPr>
            </w:pPr>
            <w:r>
              <w:rPr>
                <w:rFonts w:hint="eastAsia" w:ascii="仿宋" w:hAnsi="仿宋" w:eastAsia="仿宋" w:cs="仿宋"/>
                <w:sz w:val="24"/>
                <w:szCs w:val="24"/>
                <w:lang w:val="en-US" w:eastAsia="zh-CN"/>
              </w:rPr>
              <w:t>500</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55905">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E04DD">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2C370">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DE76D">
            <w:pPr>
              <w:jc w:val="both"/>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1770" w:type="dxa"/>
            <w:vMerge w:val="continue"/>
            <w:tcBorders>
              <w:left w:val="single" w:color="000000" w:sz="4" w:space="0"/>
              <w:right w:val="single" w:color="000000" w:sz="4" w:space="0"/>
            </w:tcBorders>
            <w:shd w:val="clear" w:color="auto" w:fill="auto"/>
            <w:noWrap/>
            <w:vAlign w:val="center"/>
          </w:tcPr>
          <w:p w14:paraId="1954B747">
            <w:pPr>
              <w:jc w:val="center"/>
              <w:rPr>
                <w:rFonts w:hint="eastAsia"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90C47">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r>
              <w:rPr>
                <w:rFonts w:hint="eastAsia" w:ascii="仿宋" w:hAnsi="仿宋" w:eastAsia="仿宋" w:cs="仿宋"/>
                <w:i w:val="0"/>
                <w:iCs w:val="0"/>
                <w:color w:val="000000" w:themeColor="text1"/>
                <w:sz w:val="20"/>
                <w:szCs w:val="20"/>
                <w:u w:val="none"/>
                <w:lang w:val="en-US" w:eastAsia="zh-CN"/>
                <w14:textFill>
                  <w14:solidFill>
                    <w14:schemeClr w14:val="tx1"/>
                  </w14:solidFill>
                </w14:textFill>
              </w:rPr>
              <w:t>尺量</w:t>
            </w:r>
          </w:p>
        </w:tc>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8DCB8">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color w:val="000000"/>
                <w:sz w:val="20"/>
                <w:szCs w:val="20"/>
                <w:lang w:val="en-US" w:eastAsia="zh-CN"/>
              </w:rPr>
            </w:pPr>
          </w:p>
        </w:tc>
      </w:tr>
      <w:tr w14:paraId="31C58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36" w:type="dxa"/>
          <w:trHeight w:val="413"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488D6">
            <w:pPr>
              <w:keepNext w:val="0"/>
              <w:keepLines w:val="0"/>
              <w:pageBreakBefore w:val="0"/>
              <w:widowControl/>
              <w:kinsoku/>
              <w:wordWrap/>
              <w:overflowPunct/>
              <w:topLinePunct w:val="0"/>
              <w:bidi w:val="0"/>
              <w:spacing w:line="360" w:lineRule="auto"/>
              <w:jc w:val="center"/>
              <w:textAlignment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3</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D9C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仿宋" w:hAnsi="仿宋" w:eastAsia="仿宋" w:cs="仿宋"/>
                <w:sz w:val="24"/>
                <w:szCs w:val="24"/>
                <w:lang w:val="en-US" w:eastAsia="zh-CN"/>
              </w:rPr>
              <w:t>止水板</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FBF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sz w:val="20"/>
                <w:szCs w:val="20"/>
                <w:lang w:val="en-US" w:eastAsia="zh-CN"/>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0E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themeColor="text1"/>
                <w:sz w:val="20"/>
                <w:szCs w:val="20"/>
                <w:lang w:val="en-US" w:eastAsia="zh-CN"/>
                <w14:textFill>
                  <w14:solidFill>
                    <w14:schemeClr w14:val="tx1"/>
                  </w14:solidFill>
                </w14:textFill>
              </w:rPr>
            </w:pPr>
            <w:r>
              <w:rPr>
                <w:rFonts w:hint="eastAsia" w:ascii="仿宋" w:hAnsi="仿宋" w:eastAsia="仿宋" w:cs="仿宋"/>
                <w:sz w:val="24"/>
                <w:szCs w:val="24"/>
                <w:lang w:val="en-US" w:eastAsia="zh-CN"/>
              </w:rPr>
              <w:t>m³</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CA1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000000"/>
                <w:sz w:val="20"/>
                <w:szCs w:val="20"/>
                <w:lang w:val="en-US" w:eastAsia="zh-CN"/>
              </w:rPr>
            </w:pPr>
            <w:r>
              <w:rPr>
                <w:rFonts w:hint="eastAsia" w:ascii="仿宋" w:hAnsi="仿宋" w:eastAsia="仿宋" w:cs="仿宋"/>
                <w:sz w:val="24"/>
                <w:szCs w:val="24"/>
                <w:lang w:val="en-US" w:eastAsia="zh-CN"/>
              </w:rPr>
              <w:t>10</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B78D1">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BC407">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7DBA8">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2B8F1">
            <w:pPr>
              <w:jc w:val="both"/>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1770" w:type="dxa"/>
            <w:vMerge w:val="continue"/>
            <w:tcBorders>
              <w:left w:val="single" w:color="000000" w:sz="4" w:space="0"/>
              <w:right w:val="single" w:color="000000" w:sz="4" w:space="0"/>
            </w:tcBorders>
            <w:shd w:val="clear" w:color="auto" w:fill="auto"/>
            <w:noWrap/>
            <w:vAlign w:val="center"/>
          </w:tcPr>
          <w:p w14:paraId="1D2AEF94">
            <w:pPr>
              <w:jc w:val="center"/>
              <w:rPr>
                <w:rFonts w:hint="eastAsia"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014D">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r>
              <w:rPr>
                <w:rFonts w:hint="eastAsia" w:ascii="仿宋" w:hAnsi="仿宋" w:eastAsia="仿宋" w:cs="仿宋"/>
                <w:i w:val="0"/>
                <w:iCs w:val="0"/>
                <w:color w:val="000000" w:themeColor="text1"/>
                <w:sz w:val="20"/>
                <w:szCs w:val="20"/>
                <w:u w:val="none"/>
                <w:lang w:val="en-US" w:eastAsia="zh-CN"/>
                <w14:textFill>
                  <w14:solidFill>
                    <w14:schemeClr w14:val="tx1"/>
                  </w14:solidFill>
                </w14:textFill>
              </w:rPr>
              <w:t>尺量</w:t>
            </w:r>
          </w:p>
        </w:tc>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DB03A">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color w:val="000000"/>
                <w:sz w:val="20"/>
                <w:szCs w:val="20"/>
                <w:lang w:val="en-US" w:eastAsia="zh-CN"/>
              </w:rPr>
            </w:pPr>
          </w:p>
        </w:tc>
      </w:tr>
      <w:tr w14:paraId="5DAF0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36" w:type="dxa"/>
          <w:trHeight w:val="214"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7EE05">
            <w:pPr>
              <w:keepNext w:val="0"/>
              <w:keepLines w:val="0"/>
              <w:pageBreakBefore w:val="0"/>
              <w:widowControl/>
              <w:kinsoku/>
              <w:wordWrap/>
              <w:overflowPunct/>
              <w:topLinePunct w:val="0"/>
              <w:bidi w:val="0"/>
              <w:spacing w:line="360" w:lineRule="auto"/>
              <w:jc w:val="center"/>
              <w:textAlignment w:val="center"/>
              <w:rPr>
                <w:rFonts w:hint="default" w:ascii="仿宋" w:hAnsi="仿宋" w:eastAsia="仿宋" w:cs="仿宋"/>
                <w:color w:val="FF0000"/>
                <w:kern w:val="0"/>
                <w:sz w:val="20"/>
                <w:szCs w:val="20"/>
                <w:lang w:val="en-US" w:eastAsia="zh-CN"/>
              </w:rPr>
            </w:pPr>
            <w:r>
              <w:rPr>
                <w:rFonts w:hint="eastAsia" w:ascii="仿宋" w:hAnsi="仿宋" w:eastAsia="仿宋" w:cs="仿宋"/>
                <w:color w:val="FF0000"/>
                <w:kern w:val="0"/>
                <w:sz w:val="20"/>
                <w:szCs w:val="20"/>
                <w:lang w:val="en-US" w:eastAsia="zh-CN"/>
              </w:rPr>
              <w:t>4</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810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FF0000"/>
                <w:sz w:val="22"/>
                <w:szCs w:val="22"/>
                <w:lang w:val="en-US" w:eastAsia="zh-CN"/>
              </w:rPr>
            </w:pPr>
            <w:r>
              <w:rPr>
                <w:rFonts w:hint="eastAsia" w:ascii="仿宋" w:hAnsi="仿宋" w:eastAsia="仿宋" w:cs="仿宋"/>
                <w:sz w:val="24"/>
                <w:szCs w:val="24"/>
                <w:lang w:val="en-US" w:eastAsia="zh-CN"/>
              </w:rPr>
              <w:t>14止水螺杆</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40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0"/>
                <w:szCs w:val="20"/>
                <w:lang w:val="en-US" w:eastAsia="zh-CN"/>
              </w:rPr>
            </w:pPr>
            <w:r>
              <w:rPr>
                <w:rFonts w:hint="eastAsia" w:ascii="仿宋" w:hAnsi="仿宋" w:eastAsia="仿宋" w:cs="仿宋"/>
                <w:sz w:val="24"/>
                <w:szCs w:val="24"/>
                <w:lang w:val="en-US" w:eastAsia="zh-CN"/>
              </w:rPr>
              <w:t>0.8m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1E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FF0000"/>
                <w:sz w:val="20"/>
                <w:szCs w:val="20"/>
                <w:lang w:val="en-US" w:eastAsia="zh-CN"/>
              </w:rPr>
            </w:pPr>
            <w:r>
              <w:rPr>
                <w:rFonts w:hint="eastAsia" w:ascii="仿宋" w:hAnsi="仿宋" w:eastAsia="仿宋" w:cs="仿宋"/>
                <w:sz w:val="24"/>
                <w:szCs w:val="24"/>
                <w:lang w:val="en-US" w:eastAsia="zh-CN"/>
              </w:rPr>
              <w:t>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C24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FF0000"/>
                <w:sz w:val="20"/>
                <w:szCs w:val="20"/>
                <w:lang w:val="en-US" w:eastAsia="zh-CN"/>
              </w:rPr>
            </w:pPr>
            <w:r>
              <w:rPr>
                <w:rFonts w:hint="eastAsia" w:ascii="仿宋" w:hAnsi="仿宋" w:eastAsia="仿宋" w:cs="仿宋"/>
                <w:sz w:val="24"/>
                <w:szCs w:val="24"/>
                <w:lang w:val="en-US" w:eastAsia="zh-CN"/>
              </w:rPr>
              <w:t>3700</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0C7C5">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66610">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E46DA">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1D3F1">
            <w:pPr>
              <w:jc w:val="both"/>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1770" w:type="dxa"/>
            <w:vMerge w:val="continue"/>
            <w:tcBorders>
              <w:left w:val="single" w:color="000000" w:sz="4" w:space="0"/>
              <w:right w:val="single" w:color="000000" w:sz="4" w:space="0"/>
            </w:tcBorders>
            <w:shd w:val="clear" w:color="auto" w:fill="auto"/>
            <w:noWrap/>
            <w:vAlign w:val="center"/>
          </w:tcPr>
          <w:p w14:paraId="72FFE046">
            <w:pPr>
              <w:jc w:val="center"/>
              <w:rPr>
                <w:rFonts w:hint="eastAsia" w:ascii="仿宋" w:hAnsi="仿宋" w:eastAsia="仿宋" w:cs="仿宋"/>
                <w:i w:val="0"/>
                <w:iCs w:val="0"/>
                <w:color w:val="000000" w:themeColor="text1"/>
                <w:sz w:val="20"/>
                <w:szCs w:val="20"/>
                <w:u w:val="none"/>
                <w:lang w:val="en-US" w:eastAsia="zh-CN"/>
                <w14:textFill>
                  <w14:solidFill>
                    <w14:schemeClr w14:val="tx1"/>
                  </w14:solidFill>
                </w14:textFill>
              </w:rPr>
            </w:pPr>
          </w:p>
        </w:tc>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3BDB8">
            <w:pPr>
              <w:jc w:val="center"/>
              <w:rPr>
                <w:rFonts w:hint="default" w:ascii="仿宋" w:hAnsi="仿宋" w:eastAsia="仿宋" w:cs="仿宋"/>
                <w:i w:val="0"/>
                <w:iCs w:val="0"/>
                <w:color w:val="000000" w:themeColor="text1"/>
                <w:sz w:val="20"/>
                <w:szCs w:val="20"/>
                <w:u w:val="none"/>
                <w:lang w:val="en-US" w:eastAsia="zh-CN"/>
                <w14:textFill>
                  <w14:solidFill>
                    <w14:schemeClr w14:val="tx1"/>
                  </w14:solidFill>
                </w14:textFill>
              </w:rPr>
            </w:pPr>
            <w:r>
              <w:rPr>
                <w:rFonts w:hint="eastAsia" w:ascii="仿宋" w:hAnsi="仿宋" w:eastAsia="仿宋" w:cs="仿宋"/>
                <w:i w:val="0"/>
                <w:iCs w:val="0"/>
                <w:color w:val="000000" w:themeColor="text1"/>
                <w:sz w:val="20"/>
                <w:szCs w:val="20"/>
                <w:u w:val="none"/>
                <w:lang w:val="en-US" w:eastAsia="zh-CN"/>
                <w14:textFill>
                  <w14:solidFill>
                    <w14:schemeClr w14:val="tx1"/>
                  </w14:solidFill>
                </w14:textFill>
              </w:rPr>
              <w:t>计数</w:t>
            </w:r>
          </w:p>
        </w:tc>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A43DF">
            <w:pPr>
              <w:keepNext w:val="0"/>
              <w:keepLines w:val="0"/>
              <w:pageBreakBefore w:val="0"/>
              <w:widowControl/>
              <w:kinsoku/>
              <w:wordWrap/>
              <w:overflowPunct/>
              <w:topLinePunct w:val="0"/>
              <w:bidi w:val="0"/>
              <w:spacing w:line="360" w:lineRule="auto"/>
              <w:jc w:val="center"/>
              <w:textAlignment w:val="center"/>
              <w:rPr>
                <w:rFonts w:hint="eastAsia" w:ascii="仿宋" w:hAnsi="仿宋" w:eastAsia="仿宋" w:cs="仿宋"/>
                <w:color w:val="000000"/>
                <w:sz w:val="20"/>
                <w:szCs w:val="20"/>
                <w:lang w:val="en-US" w:eastAsia="zh-CN"/>
              </w:rPr>
            </w:pPr>
          </w:p>
        </w:tc>
      </w:tr>
      <w:tr w14:paraId="48F85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36" w:type="dxa"/>
          <w:trHeight w:val="22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CF75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合计</w:t>
            </w:r>
          </w:p>
        </w:tc>
        <w:tc>
          <w:tcPr>
            <w:tcW w:w="13308" w:type="dxa"/>
            <w:gridSpan w:val="11"/>
            <w:tcBorders>
              <w:top w:val="single" w:color="000000" w:sz="4" w:space="0"/>
              <w:left w:val="single" w:color="000000" w:sz="4" w:space="0"/>
              <w:bottom w:val="single" w:color="000000" w:sz="4" w:space="0"/>
              <w:right w:val="single" w:color="000000" w:sz="4" w:space="0"/>
            </w:tcBorders>
            <w:shd w:val="clear" w:color="auto" w:fill="auto"/>
            <w:noWrap/>
            <w:vAlign w:val="top"/>
          </w:tcPr>
          <w:p w14:paraId="56254862">
            <w:pPr>
              <w:jc w:val="center"/>
              <w:rPr>
                <w:rFonts w:hint="default" w:ascii="仿宋" w:hAnsi="仿宋" w:eastAsia="仿宋" w:cs="仿宋"/>
                <w:i w:val="0"/>
                <w:iCs w:val="0"/>
                <w:color w:val="000000"/>
                <w:sz w:val="24"/>
                <w:szCs w:val="24"/>
                <w:u w:val="none"/>
                <w:lang w:val="en-US"/>
              </w:rPr>
            </w:pPr>
          </w:p>
        </w:tc>
      </w:tr>
      <w:tr w14:paraId="2B597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3863"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568B1">
            <w:pPr>
              <w:keepNext w:val="0"/>
              <w:keepLines w:val="0"/>
              <w:widowControl/>
              <w:suppressLineNumbers w:val="0"/>
              <w:jc w:val="left"/>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 xml:space="preserve">报价单位（盖单位章）： </w:t>
            </w:r>
          </w:p>
        </w:tc>
        <w:tc>
          <w:tcPr>
            <w:tcW w:w="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BF7D0">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p>
        </w:tc>
      </w:tr>
      <w:tr w14:paraId="189A1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 w:hRule="atLeast"/>
        </w:trPr>
        <w:tc>
          <w:tcPr>
            <w:tcW w:w="13863" w:type="dxa"/>
            <w:gridSpan w:val="12"/>
            <w:tcBorders>
              <w:bottom w:val="single" w:color="auto" w:sz="4" w:space="0"/>
            </w:tcBorders>
            <w:shd w:val="clear" w:color="auto" w:fill="auto"/>
            <w:vAlign w:val="center"/>
          </w:tcPr>
          <w:p w14:paraId="1F5BD8D8">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color w:val="000000"/>
                <w:sz w:val="20"/>
                <w:szCs w:val="20"/>
                <w:lang w:val="en-US" w:eastAsia="zh-CN"/>
              </w:rPr>
              <w:t>报价时间：  年   月    日</w:t>
            </w:r>
          </w:p>
        </w:tc>
        <w:tc>
          <w:tcPr>
            <w:tcW w:w="236" w:type="dxa"/>
            <w:tcBorders>
              <w:bottom w:val="single" w:color="auto" w:sz="4" w:space="0"/>
            </w:tcBorders>
            <w:shd w:val="clear" w:color="auto" w:fill="auto"/>
            <w:vAlign w:val="center"/>
          </w:tcPr>
          <w:p w14:paraId="6F1A1943">
            <w:pPr>
              <w:pStyle w:val="11"/>
              <w:ind w:firstLine="420" w:firstLineChars="0"/>
              <w:rPr>
                <w:rFonts w:hint="eastAsia" w:ascii="仿宋" w:hAnsi="仿宋" w:eastAsia="仿宋" w:cs="仿宋"/>
                <w:i w:val="0"/>
                <w:iCs w:val="0"/>
                <w:color w:val="000000"/>
                <w:kern w:val="2"/>
                <w:sz w:val="24"/>
                <w:szCs w:val="24"/>
                <w:u w:val="none"/>
                <w:lang w:val="en-US" w:eastAsia="zh-CN" w:bidi="ar-SA"/>
              </w:rPr>
            </w:pPr>
          </w:p>
        </w:tc>
      </w:tr>
    </w:tbl>
    <w:p w14:paraId="33D22580">
      <w:pPr>
        <w:bidi w:val="0"/>
        <w:rPr>
          <w:rFonts w:hint="default"/>
          <w:lang w:val="en-US" w:eastAsia="zh-CN"/>
        </w:rPr>
      </w:pPr>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5DB76E"/>
    <w:multiLevelType w:val="singleLevel"/>
    <w:tmpl w:val="745DB76E"/>
    <w:lvl w:ilvl="0" w:tentative="0">
      <w:start w:val="1"/>
      <w:numFmt w:val="chineseCounting"/>
      <w:suff w:val="nothing"/>
      <w:lvlText w:val="%1、"/>
      <w:lvlJc w:val="left"/>
      <w:pPr>
        <w:ind w:left="-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1OTQzNjQyZWVhZTIzMTQyY2EzZTc0ZTVjN2RjYjkifQ=="/>
  </w:docVars>
  <w:rsids>
    <w:rsidRoot w:val="002A4FDD"/>
    <w:rsid w:val="00050F74"/>
    <w:rsid w:val="000A2134"/>
    <w:rsid w:val="002A4FDD"/>
    <w:rsid w:val="005714C6"/>
    <w:rsid w:val="00604475"/>
    <w:rsid w:val="00965B40"/>
    <w:rsid w:val="00A329D5"/>
    <w:rsid w:val="00D70859"/>
    <w:rsid w:val="01343C87"/>
    <w:rsid w:val="02763DD5"/>
    <w:rsid w:val="03847B35"/>
    <w:rsid w:val="03D007B3"/>
    <w:rsid w:val="04B14F1D"/>
    <w:rsid w:val="04DB6CEF"/>
    <w:rsid w:val="050F6932"/>
    <w:rsid w:val="055A7363"/>
    <w:rsid w:val="057A5919"/>
    <w:rsid w:val="06A10AA7"/>
    <w:rsid w:val="07BE78C6"/>
    <w:rsid w:val="07F7533D"/>
    <w:rsid w:val="088B4BE1"/>
    <w:rsid w:val="08C600CE"/>
    <w:rsid w:val="0B07004E"/>
    <w:rsid w:val="0B3568A8"/>
    <w:rsid w:val="0B8B44B9"/>
    <w:rsid w:val="0BB772BD"/>
    <w:rsid w:val="0C2D7542"/>
    <w:rsid w:val="0C3241BF"/>
    <w:rsid w:val="0DAB6151"/>
    <w:rsid w:val="0E06620A"/>
    <w:rsid w:val="0E492328"/>
    <w:rsid w:val="0EB63A2E"/>
    <w:rsid w:val="0ECC12D1"/>
    <w:rsid w:val="0EF976F8"/>
    <w:rsid w:val="0F1C65C4"/>
    <w:rsid w:val="0F9815A7"/>
    <w:rsid w:val="0FC75C3E"/>
    <w:rsid w:val="11575FCA"/>
    <w:rsid w:val="11650CEB"/>
    <w:rsid w:val="11B81FE1"/>
    <w:rsid w:val="12925116"/>
    <w:rsid w:val="1389768F"/>
    <w:rsid w:val="13CC1508"/>
    <w:rsid w:val="14B52807"/>
    <w:rsid w:val="15883A78"/>
    <w:rsid w:val="162566AE"/>
    <w:rsid w:val="17290654"/>
    <w:rsid w:val="174B35F9"/>
    <w:rsid w:val="17763179"/>
    <w:rsid w:val="179D1A5D"/>
    <w:rsid w:val="187C36D2"/>
    <w:rsid w:val="190D24F0"/>
    <w:rsid w:val="19856C4C"/>
    <w:rsid w:val="19885571"/>
    <w:rsid w:val="1A130995"/>
    <w:rsid w:val="1A5333C6"/>
    <w:rsid w:val="1AA43A9D"/>
    <w:rsid w:val="1ACB4904"/>
    <w:rsid w:val="1B3726E7"/>
    <w:rsid w:val="1B543250"/>
    <w:rsid w:val="1B643F13"/>
    <w:rsid w:val="1B656D35"/>
    <w:rsid w:val="1BFD41B0"/>
    <w:rsid w:val="1C2B1F00"/>
    <w:rsid w:val="1C625023"/>
    <w:rsid w:val="1D183372"/>
    <w:rsid w:val="1D84513B"/>
    <w:rsid w:val="1D9C1C68"/>
    <w:rsid w:val="201C198C"/>
    <w:rsid w:val="21893052"/>
    <w:rsid w:val="21AB746C"/>
    <w:rsid w:val="23001FF6"/>
    <w:rsid w:val="24DB3C16"/>
    <w:rsid w:val="257B138A"/>
    <w:rsid w:val="28563058"/>
    <w:rsid w:val="2967011C"/>
    <w:rsid w:val="298638E8"/>
    <w:rsid w:val="2A1B3327"/>
    <w:rsid w:val="2A703001"/>
    <w:rsid w:val="2C353361"/>
    <w:rsid w:val="2C66290D"/>
    <w:rsid w:val="2CB24FCC"/>
    <w:rsid w:val="2CC971DC"/>
    <w:rsid w:val="2CFA4416"/>
    <w:rsid w:val="2D4367AA"/>
    <w:rsid w:val="2E7F7E8F"/>
    <w:rsid w:val="2E844DC4"/>
    <w:rsid w:val="2FA07EE4"/>
    <w:rsid w:val="303E6A7D"/>
    <w:rsid w:val="3119508C"/>
    <w:rsid w:val="31321010"/>
    <w:rsid w:val="31C403B6"/>
    <w:rsid w:val="32620605"/>
    <w:rsid w:val="32755658"/>
    <w:rsid w:val="32967772"/>
    <w:rsid w:val="336778D1"/>
    <w:rsid w:val="33C97300"/>
    <w:rsid w:val="34A76F46"/>
    <w:rsid w:val="36AA32BB"/>
    <w:rsid w:val="36F62AE0"/>
    <w:rsid w:val="37521BDE"/>
    <w:rsid w:val="38D273C9"/>
    <w:rsid w:val="38EA4A6F"/>
    <w:rsid w:val="392703C5"/>
    <w:rsid w:val="393D6AED"/>
    <w:rsid w:val="394D27AC"/>
    <w:rsid w:val="395D4E3F"/>
    <w:rsid w:val="398C320C"/>
    <w:rsid w:val="39BE350B"/>
    <w:rsid w:val="3AB35870"/>
    <w:rsid w:val="3B591E46"/>
    <w:rsid w:val="3C1E28BD"/>
    <w:rsid w:val="3C432323"/>
    <w:rsid w:val="3D440B11"/>
    <w:rsid w:val="3D791D75"/>
    <w:rsid w:val="3D9C2824"/>
    <w:rsid w:val="3E5C6488"/>
    <w:rsid w:val="3F0A35CC"/>
    <w:rsid w:val="3F3701D9"/>
    <w:rsid w:val="40217FC5"/>
    <w:rsid w:val="410F4ECA"/>
    <w:rsid w:val="413D3C14"/>
    <w:rsid w:val="41801E32"/>
    <w:rsid w:val="41924200"/>
    <w:rsid w:val="41B74CD6"/>
    <w:rsid w:val="41E25A28"/>
    <w:rsid w:val="41E975B0"/>
    <w:rsid w:val="42016025"/>
    <w:rsid w:val="426F456D"/>
    <w:rsid w:val="43006C88"/>
    <w:rsid w:val="430D73BE"/>
    <w:rsid w:val="45012B06"/>
    <w:rsid w:val="45232CF2"/>
    <w:rsid w:val="45237196"/>
    <w:rsid w:val="45356A64"/>
    <w:rsid w:val="457277D5"/>
    <w:rsid w:val="46D149CF"/>
    <w:rsid w:val="47263D93"/>
    <w:rsid w:val="472A7BD1"/>
    <w:rsid w:val="47B85108"/>
    <w:rsid w:val="489934F2"/>
    <w:rsid w:val="49380D36"/>
    <w:rsid w:val="4A126315"/>
    <w:rsid w:val="4A785AB0"/>
    <w:rsid w:val="4A830860"/>
    <w:rsid w:val="4B1914F9"/>
    <w:rsid w:val="4B315D69"/>
    <w:rsid w:val="4C9C4EC9"/>
    <w:rsid w:val="4D467EC5"/>
    <w:rsid w:val="4E031912"/>
    <w:rsid w:val="4EA71046"/>
    <w:rsid w:val="4F67204A"/>
    <w:rsid w:val="505C7CBA"/>
    <w:rsid w:val="506179B5"/>
    <w:rsid w:val="51CC4711"/>
    <w:rsid w:val="520F0C0E"/>
    <w:rsid w:val="53C005F6"/>
    <w:rsid w:val="53E2021C"/>
    <w:rsid w:val="549C03CB"/>
    <w:rsid w:val="55454655"/>
    <w:rsid w:val="55741347"/>
    <w:rsid w:val="55810145"/>
    <w:rsid w:val="562A2C1B"/>
    <w:rsid w:val="562B7847"/>
    <w:rsid w:val="56572BA9"/>
    <w:rsid w:val="56685052"/>
    <w:rsid w:val="56CB3DDB"/>
    <w:rsid w:val="571F1A6C"/>
    <w:rsid w:val="57B04A5D"/>
    <w:rsid w:val="57F24422"/>
    <w:rsid w:val="58422359"/>
    <w:rsid w:val="58D15F92"/>
    <w:rsid w:val="598A2EE8"/>
    <w:rsid w:val="59ED3C40"/>
    <w:rsid w:val="5A533C21"/>
    <w:rsid w:val="5DD24E5D"/>
    <w:rsid w:val="5F20199D"/>
    <w:rsid w:val="5F2303A3"/>
    <w:rsid w:val="5F773F0E"/>
    <w:rsid w:val="5F795ED8"/>
    <w:rsid w:val="602A71D2"/>
    <w:rsid w:val="60A443C6"/>
    <w:rsid w:val="60AE6D2D"/>
    <w:rsid w:val="61517DC1"/>
    <w:rsid w:val="61BF5C93"/>
    <w:rsid w:val="625307F3"/>
    <w:rsid w:val="62A96AD4"/>
    <w:rsid w:val="63453A75"/>
    <w:rsid w:val="638B442C"/>
    <w:rsid w:val="6492430D"/>
    <w:rsid w:val="64D427F8"/>
    <w:rsid w:val="655631A0"/>
    <w:rsid w:val="65F20CCD"/>
    <w:rsid w:val="68B64687"/>
    <w:rsid w:val="6A6908F7"/>
    <w:rsid w:val="6A6E08AB"/>
    <w:rsid w:val="6C7553FD"/>
    <w:rsid w:val="6CA0395C"/>
    <w:rsid w:val="6EC302BB"/>
    <w:rsid w:val="6EF20214"/>
    <w:rsid w:val="6EF70BC7"/>
    <w:rsid w:val="70030E51"/>
    <w:rsid w:val="71566079"/>
    <w:rsid w:val="715A34B2"/>
    <w:rsid w:val="71842901"/>
    <w:rsid w:val="71C7797A"/>
    <w:rsid w:val="71D84CE0"/>
    <w:rsid w:val="72326A16"/>
    <w:rsid w:val="727B1B10"/>
    <w:rsid w:val="72F66380"/>
    <w:rsid w:val="73CC2623"/>
    <w:rsid w:val="73EB05CF"/>
    <w:rsid w:val="73EF00BF"/>
    <w:rsid w:val="74381A66"/>
    <w:rsid w:val="748778FB"/>
    <w:rsid w:val="74DE54FC"/>
    <w:rsid w:val="751E0BB4"/>
    <w:rsid w:val="755D72AA"/>
    <w:rsid w:val="7675230E"/>
    <w:rsid w:val="7686481D"/>
    <w:rsid w:val="78CE6B33"/>
    <w:rsid w:val="791A00AF"/>
    <w:rsid w:val="79226841"/>
    <w:rsid w:val="79852371"/>
    <w:rsid w:val="799D600B"/>
    <w:rsid w:val="7A392E23"/>
    <w:rsid w:val="7B2736D8"/>
    <w:rsid w:val="7C064CAB"/>
    <w:rsid w:val="7C2334E4"/>
    <w:rsid w:val="7C293300"/>
    <w:rsid w:val="7C376AA7"/>
    <w:rsid w:val="7D3E3E65"/>
    <w:rsid w:val="7D751B04"/>
    <w:rsid w:val="7DAC0DCF"/>
    <w:rsid w:val="7DCA040C"/>
    <w:rsid w:val="7EA34EDC"/>
    <w:rsid w:val="7EF26CB5"/>
    <w:rsid w:val="7FEB60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autoRedefine/>
    <w:qFormat/>
    <w:uiPriority w:val="9"/>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autoRedefine/>
    <w:unhideWhenUsed/>
    <w:qFormat/>
    <w:uiPriority w:val="9"/>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link w:val="14"/>
    <w:autoRedefine/>
    <w:qFormat/>
    <w:uiPriority w:val="99"/>
    <w:pPr>
      <w:autoSpaceDE w:val="0"/>
      <w:autoSpaceDN w:val="0"/>
      <w:adjustRightInd w:val="0"/>
      <w:spacing w:before="100" w:beforeAutospacing="1" w:after="100" w:afterAutospacing="1" w:line="500" w:lineRule="exact"/>
      <w:ind w:right="-425"/>
      <w:outlineLvl w:val="3"/>
    </w:pPr>
    <w:rPr>
      <w:rFonts w:ascii="宋体" w:hAnsi="Arial" w:eastAsia="宋体" w:cs="Times New Roman"/>
      <w:color w:val="000000"/>
      <w:sz w:val="24"/>
      <w:szCs w:val="24"/>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after="60" w:line="360" w:lineRule="atLeast"/>
      <w:ind w:left="72" w:leftChars="30" w:right="30" w:rightChars="30"/>
      <w:jc w:val="center"/>
      <w:textAlignment w:val="baseline"/>
    </w:pPr>
    <w:rPr>
      <w:rFonts w:ascii="Times New Roman" w:hAnsi="Times New Roman" w:eastAsia="宋体" w:cs="Times New Roman"/>
      <w:kern w:val="0"/>
      <w:sz w:val="20"/>
      <w:szCs w:val="20"/>
    </w:rPr>
  </w:style>
  <w:style w:type="paragraph" w:styleId="7">
    <w:name w:val="Body Text Indent"/>
    <w:basedOn w:val="1"/>
    <w:next w:val="8"/>
    <w:autoRedefine/>
    <w:qFormat/>
    <w:uiPriority w:val="0"/>
    <w:pPr>
      <w:spacing w:line="500" w:lineRule="atLeast"/>
      <w:ind w:firstLine="630"/>
    </w:pPr>
    <w:rPr>
      <w:rFonts w:ascii="宋体" w:hAnsi="华文中宋"/>
      <w:kern w:val="0"/>
      <w:sz w:val="24"/>
      <w:szCs w:val="20"/>
    </w:rPr>
  </w:style>
  <w:style w:type="paragraph" w:styleId="8">
    <w:name w:val="envelope return"/>
    <w:basedOn w:val="1"/>
    <w:autoRedefine/>
    <w:unhideWhenUsed/>
    <w:qFormat/>
    <w:uiPriority w:val="99"/>
    <w:pPr>
      <w:snapToGrid w:val="0"/>
    </w:pPr>
    <w:rPr>
      <w:rFonts w:ascii="Arial" w:hAnsi="Arial"/>
    </w:rPr>
  </w:style>
  <w:style w:type="paragraph" w:styleId="9">
    <w:name w:val="Plain Text"/>
    <w:basedOn w:val="1"/>
    <w:autoRedefine/>
    <w:qFormat/>
    <w:uiPriority w:val="0"/>
    <w:rPr>
      <w:rFonts w:ascii="宋体" w:hAnsi="Courier New"/>
      <w:szCs w:val="21"/>
    </w:rPr>
  </w:style>
  <w:style w:type="paragraph" w:styleId="10">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1">
    <w:name w:val="Body Text First Indent 2"/>
    <w:basedOn w:val="7"/>
    <w:autoRedefine/>
    <w:qFormat/>
    <w:uiPriority w:val="0"/>
    <w:pPr>
      <w:ind w:firstLine="420"/>
    </w:pPr>
  </w:style>
  <w:style w:type="character" w:customStyle="1" w:styleId="14">
    <w:name w:val="标题 4 Char"/>
    <w:basedOn w:val="13"/>
    <w:link w:val="6"/>
    <w:autoRedefine/>
    <w:qFormat/>
    <w:uiPriority w:val="99"/>
    <w:rPr>
      <w:rFonts w:ascii="宋体" w:hAnsi="Arial" w:eastAsia="宋体" w:cs="Times New Roman"/>
      <w:color w:val="000000"/>
      <w:sz w:val="24"/>
      <w:szCs w:val="24"/>
    </w:rPr>
  </w:style>
  <w:style w:type="paragraph" w:customStyle="1" w:styleId="15">
    <w:name w:val="List Paragraph"/>
    <w:basedOn w:val="1"/>
    <w:autoRedefine/>
    <w:qFormat/>
    <w:uiPriority w:val="0"/>
    <w:pPr>
      <w:spacing w:before="100" w:beforeAutospacing="1" w:after="100" w:afterAutospacing="1"/>
      <w:ind w:left="620" w:firstLine="422"/>
    </w:pPr>
    <w:rPr>
      <w:rFonts w:ascii="宋体" w:hAnsi="宋体" w:eastAsia="宋体" w:cs="宋体"/>
      <w:szCs w:val="21"/>
    </w:rPr>
  </w:style>
  <w:style w:type="character" w:customStyle="1" w:styleId="16">
    <w:name w:val="15"/>
    <w:basedOn w:val="13"/>
    <w:autoRedefine/>
    <w:qFormat/>
    <w:uiPriority w:val="0"/>
    <w:rPr>
      <w:rFonts w:hint="eastAsia" w:ascii="宋体" w:hAnsi="宋体" w:eastAsia="宋体"/>
      <w:color w:val="000000"/>
      <w:sz w:val="21"/>
      <w:szCs w:val="21"/>
    </w:rPr>
  </w:style>
  <w:style w:type="character" w:customStyle="1" w:styleId="17">
    <w:name w:val="16"/>
    <w:basedOn w:val="13"/>
    <w:autoRedefine/>
    <w:qFormat/>
    <w:uiPriority w:val="0"/>
    <w:rPr>
      <w:rFonts w:hint="eastAsia" w:ascii="宋体" w:hAnsi="宋体" w:eastAsia="宋体"/>
      <w:color w:val="000000"/>
      <w:sz w:val="21"/>
      <w:szCs w:val="21"/>
    </w:rPr>
  </w:style>
  <w:style w:type="paragraph" w:customStyle="1" w:styleId="18">
    <w:name w:val="Default"/>
    <w:autoRedefine/>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table" w:customStyle="1" w:styleId="19">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1729</Words>
  <Characters>1871</Characters>
  <Lines>10</Lines>
  <Paragraphs>2</Paragraphs>
  <TotalTime>1</TotalTime>
  <ScaleCrop>false</ScaleCrop>
  <LinksUpToDate>false</LinksUpToDate>
  <CharactersWithSpaces>2011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2023-04-03T02:28:00Z</dcterms:created>
  <dc:creator>User</dc:creator>
  <cp:lastModifiedBy>张宁</cp:lastModifiedBy>
  <dcterms:modified xsi:type="dcterms:W3CDTF">2024-12-09T00:46:48Z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CAF05153D14349F594E92B2B8035F98B</vt:lpwstr>
  </property>
</Properties>
</file>