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after="120" w:line="720" w:lineRule="auto"/>
        <w:ind w:right="-20"/>
        <w:rPr>
          <w:rFonts w:hint="eastAsia" w:ascii="微软雅黑" w:hAnsi="微软雅黑" w:eastAsia="微软雅黑" w:cs="Arial Unicode MS"/>
          <w:color w:val="auto"/>
          <w:spacing w:val="2"/>
          <w:w w:val="99"/>
          <w:sz w:val="52"/>
          <w:szCs w:val="52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</w:t>
      </w:r>
      <w:r>
        <w:rPr>
          <w:rFonts w:ascii="Arial Unicode MS" w:eastAsia="Arial Unicode MS" w:cs="Arial Unicode MS"/>
          <w:b/>
          <w:spacing w:val="2"/>
          <w:w w:val="99"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1846580</wp:posOffset>
            </wp:positionH>
            <wp:positionV relativeFrom="paragraph">
              <wp:posOffset>-12700</wp:posOffset>
            </wp:positionV>
            <wp:extent cx="1247775" cy="1123950"/>
            <wp:effectExtent l="0" t="0" r="9525" b="0"/>
            <wp:wrapTight wrapText="bothSides">
              <wp:wrapPolygon>
                <wp:start x="7255" y="0"/>
                <wp:lineTo x="4617" y="2197"/>
                <wp:lineTo x="989" y="5858"/>
                <wp:lineTo x="0" y="8420"/>
                <wp:lineTo x="0" y="15376"/>
                <wp:lineTo x="660" y="17939"/>
                <wp:lineTo x="4947" y="21234"/>
                <wp:lineTo x="5276" y="21234"/>
                <wp:lineTo x="11872" y="21234"/>
                <wp:lineTo x="13191" y="20868"/>
                <wp:lineTo x="15499" y="18305"/>
                <wp:lineTo x="15829" y="17573"/>
                <wp:lineTo x="21435" y="11715"/>
                <wp:lineTo x="21435" y="8786"/>
                <wp:lineTo x="16159" y="5858"/>
                <wp:lineTo x="9893" y="0"/>
                <wp:lineTo x="7255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微软雅黑" w:hAnsi="微软雅黑" w:eastAsia="微软雅黑" w:cs="Arial Unicode MS"/>
          <w:color w:val="auto"/>
          <w:spacing w:val="2"/>
          <w:w w:val="99"/>
          <w:sz w:val="52"/>
          <w:szCs w:val="52"/>
          <w:lang w:eastAsia="zh-CN"/>
        </w:rPr>
      </w:pPr>
    </w:p>
    <w:p>
      <w:pPr>
        <w:jc w:val="center"/>
        <w:rPr>
          <w:rFonts w:hint="eastAsia" w:ascii="微软雅黑" w:hAnsi="微软雅黑" w:eastAsia="微软雅黑" w:cs="Arial Unicode MS"/>
          <w:color w:val="auto"/>
          <w:spacing w:val="2"/>
          <w:w w:val="99"/>
          <w:sz w:val="52"/>
          <w:szCs w:val="52"/>
          <w:lang w:eastAsia="zh-CN"/>
        </w:rPr>
      </w:pPr>
    </w:p>
    <w:p>
      <w:pPr>
        <w:jc w:val="center"/>
        <w:rPr>
          <w:rFonts w:ascii="微软雅黑" w:hAnsi="微软雅黑" w:eastAsia="微软雅黑" w:cs="Arial Unicode MS"/>
          <w:color w:val="auto"/>
          <w:spacing w:val="2"/>
          <w:w w:val="99"/>
          <w:sz w:val="52"/>
          <w:szCs w:val="52"/>
          <w:lang w:eastAsia="zh-CN"/>
        </w:rPr>
      </w:pPr>
      <w:r>
        <w:rPr>
          <w:rFonts w:hint="eastAsia" w:ascii="微软雅黑" w:hAnsi="微软雅黑" w:eastAsia="微软雅黑" w:cs="Arial Unicode MS"/>
          <w:color w:val="auto"/>
          <w:spacing w:val="2"/>
          <w:w w:val="99"/>
          <w:sz w:val="52"/>
          <w:szCs w:val="52"/>
          <w:lang w:eastAsia="zh-CN"/>
        </w:rPr>
        <w:t>中海油能源发展股份有限公司</w:t>
      </w:r>
    </w:p>
    <w:p>
      <w:pPr>
        <w:jc w:val="center"/>
        <w:rPr>
          <w:rFonts w:hint="default" w:ascii="微软雅黑" w:hAnsi="微软雅黑" w:eastAsia="微软雅黑" w:cs="Arial Unicode MS"/>
          <w:b/>
          <w:color w:val="auto"/>
          <w:spacing w:val="2"/>
          <w:w w:val="99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Arial Unicode MS"/>
          <w:b/>
          <w:color w:val="auto"/>
          <w:spacing w:val="2"/>
          <w:w w:val="99"/>
          <w:sz w:val="32"/>
          <w:szCs w:val="32"/>
          <w:highlight w:val="none"/>
          <w:lang w:val="en-US" w:eastAsia="zh-CN"/>
        </w:rPr>
        <w:t>电动阀等4项采购</w:t>
      </w:r>
    </w:p>
    <w:p>
      <w:pPr>
        <w:jc w:val="center"/>
        <w:rPr>
          <w:rFonts w:hint="default" w:ascii="微软雅黑" w:hAnsi="微软雅黑" w:eastAsia="微软雅黑" w:cs="Arial Unicode MS"/>
          <w:b/>
          <w:color w:val="auto"/>
          <w:spacing w:val="2"/>
          <w:w w:val="99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Arial Unicode MS"/>
          <w:b/>
          <w:color w:val="auto"/>
          <w:spacing w:val="2"/>
          <w:w w:val="99"/>
          <w:sz w:val="52"/>
          <w:szCs w:val="52"/>
          <w:lang w:eastAsia="zh-CN"/>
        </w:rPr>
        <w:t>采购技术要求书</w:t>
      </w:r>
    </w:p>
    <w:p>
      <w:pPr>
        <w:autoSpaceDE w:val="0"/>
        <w:autoSpaceDN w:val="0"/>
        <w:spacing w:before="120" w:after="120" w:line="720" w:lineRule="auto"/>
        <w:ind w:left="3518" w:leftChars="290" w:right="-20" w:hanging="2880" w:hangingChars="900"/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>引用技术标准编号：</w:t>
      </w:r>
      <w:r>
        <w:rPr>
          <w:rFonts w:hint="eastAsia" w:ascii="Arial Unicode MS" w:eastAsia="Arial Unicode MS" w:cs="Arial Unicode MS"/>
          <w:spacing w:val="2"/>
          <w:w w:val="99"/>
          <w:sz w:val="30"/>
          <w:szCs w:val="30"/>
          <w:lang w:val="en-US" w:eastAsia="zh-CN"/>
        </w:rPr>
        <w:t>CGBZ071-ZB-2023、GB/T 2624.2-2006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 xml:space="preserve">    </w:t>
      </w:r>
    </w:p>
    <w:p>
      <w:pPr>
        <w:pStyle w:val="13"/>
        <w:rPr>
          <w:rFonts w:hint="default"/>
          <w:lang w:val="en-US" w:eastAsia="zh-CN"/>
        </w:rPr>
      </w:pPr>
    </w:p>
    <w:p>
      <w:pPr>
        <w:autoSpaceDE w:val="0"/>
        <w:autoSpaceDN w:val="0"/>
        <w:spacing w:before="120" w:after="120" w:line="720" w:lineRule="auto"/>
        <w:ind w:right="-20"/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 xml:space="preserve">    编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 xml:space="preserve">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>制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 xml:space="preserve">  人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>：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 xml:space="preserve">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 xml:space="preserve">  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 xml:space="preserve">      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2"/>
          <w:szCs w:val="32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 xml:space="preserve">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>作业部负责人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>：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2"/>
          <w:szCs w:val="32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 xml:space="preserve">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>技术中心负责人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>：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15" w:lineRule="auto"/>
        <w:ind w:right="-23" w:firstLine="640" w:firstLineChars="200"/>
        <w:textAlignment w:val="auto"/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val="en-US"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lang w:val="en-US" w:eastAsia="zh-CN"/>
        </w:rPr>
        <w:t>总工/技术主管领导：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Arial Unicode MS" w:eastAsia="Arial Unicode MS" w:cs="Arial Unicode MS"/>
          <w:spacing w:val="2"/>
          <w:w w:val="99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15" w:lineRule="auto"/>
        <w:ind w:right="-23" w:firstLine="720" w:firstLineChars="200"/>
        <w:textAlignment w:val="auto"/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val="en-US" w:eastAsia="zh-CN"/>
        </w:rPr>
        <w:t xml:space="preserve">    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15" w:lineRule="auto"/>
        <w:ind w:right="-23" w:firstLine="720" w:firstLineChars="200"/>
        <w:textAlignment w:val="auto"/>
        <w:rPr>
          <w:rFonts w:hint="eastAsia" w:ascii="Arial Unicode MS" w:eastAsia="Arial Unicode MS" w:cs="Arial Unicode MS"/>
          <w:spacing w:val="2"/>
          <w:w w:val="99"/>
          <w:sz w:val="36"/>
          <w:szCs w:val="36"/>
          <w:lang w:eastAsia="zh-CN"/>
        </w:rPr>
      </w:pPr>
    </w:p>
    <w:p>
      <w:pPr>
        <w:widowControl/>
        <w:rPr>
          <w:rFonts w:ascii="宋体" w:eastAsia="宋体" w:cs="宋体"/>
          <w:b/>
          <w:color w:val="000000"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br w:type="page"/>
      </w:r>
    </w:p>
    <w:p>
      <w:pPr>
        <w:pStyle w:val="25"/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</w:pPr>
      <w:bookmarkStart w:id="0" w:name="_Toc13248928"/>
      <w:bookmarkStart w:id="1" w:name="_Toc13249325"/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一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、需求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概况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9" w:right="119" w:rightChars="0" w:firstLine="630" w:firstLineChars="3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渤中26-6油田开发项目（一期）BZ26-6WHPB平台4口调整井投产工作及配套设施改造工程，需采购电动阀等。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9" w:right="119" w:rightChars="0" w:firstLine="630" w:firstLineChars="300"/>
        <w:textAlignment w:val="auto"/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标准应用情况概述：本需求应用《关断阀和开关阀》 CGBZ071-ZB-2023、《用安装在圆形截面管道中的差压装置测量满管流体流量 第2部分：孔板》GB/T 2624.2-2006采购标准（有补充引用），并根据设备清单加以补充。</w:t>
      </w:r>
      <w:bookmarkStart w:id="4" w:name="_GoBack"/>
      <w:bookmarkEnd w:id="4"/>
    </w:p>
    <w:p>
      <w:pPr>
        <w:pStyle w:val="25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、需求一览表</w:t>
      </w:r>
      <w:bookmarkEnd w:id="0"/>
      <w:bookmarkEnd w:id="1"/>
    </w:p>
    <w:tbl>
      <w:tblPr>
        <w:tblStyle w:val="14"/>
        <w:tblpPr w:leftFromText="180" w:rightFromText="180" w:vertAnchor="text" w:horzAnchor="page" w:tblpX="1520" w:tblpY="9"/>
        <w:tblOverlap w:val="never"/>
        <w:tblW w:w="9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35"/>
        <w:gridCol w:w="975"/>
        <w:gridCol w:w="630"/>
        <w:gridCol w:w="645"/>
        <w:gridCol w:w="3405"/>
        <w:gridCol w:w="114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2" w:name="_Toc13249326"/>
            <w:bookmarkStart w:id="3" w:name="_Toc13248929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物资编码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货物名称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数量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主要技术指标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交货期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85174817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电动阀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SET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电动阀\液压\FL\球阀\3inRTJ 2500lb\F51/F51/F51\ExdⅡBT4 IP56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合同签订后2个月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85174825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电动阀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SET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电动阀\液压\FL\球阀\2inRTJ 2500lb\F316/F316/F316\ExdⅡBT4 IP56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合同签订后2个月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85174832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泄放阀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SET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泄放阀\电液\FO\球阀\2inRTJ 2500lb\F51/F51/F51\ExdⅡBT4 IP56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合同签订后2个月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85181163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限流孔板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EA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限流孔板\0～1750m3/h\2inRTJ 2500lb\39000kPa\天然气\F51/F51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合同签订后2个月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pStyle w:val="25"/>
        <w:numPr>
          <w:ilvl w:val="0"/>
          <w:numId w:val="0"/>
        </w:numPr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执行标准/规范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CGBZ071-ZB-2023  《采购技术标准-开关阀》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GB/T2624.2-2006  《用安装在圆形截面管道中的差压装置测量满管流体流量 第2部分：孔板》</w:t>
      </w:r>
    </w:p>
    <w:p>
      <w:pPr>
        <w:pStyle w:val="25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、设计/使用条件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1、设计要求（详见设计数据表）：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1）电动阀: </w:t>
      </w:r>
      <w:r>
        <w:rPr>
          <w:rFonts w:hint="eastAsia" w:ascii="宋体" w:hAnsi="宋体" w:eastAsia="宋体" w:cs="宋体"/>
          <w:highlight w:val="none"/>
          <w:lang w:eastAsia="zh-CN"/>
        </w:rPr>
        <w:t>MD(DD)-DDS-WHPB-IN-1006 电动阀数据表(CN-USP-BHB-BZ26-6) REVB；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2）泄放阀：MD(DD)-DDS-WHPB-IN-1005 放空阀数据表(CN-USP-BHB-BZ26-6) REVB；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3）限流孔板：MD(DD)-DDS-WHPB-IN-1010 限流孔板数据表(CN-USP-BHB-BZ26-6) REVB；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9" w:right="119" w:rightChars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  <w:lang w:eastAsia="zh-CN"/>
        </w:rPr>
        <w:t>到货/安装或使用地点：</w:t>
      </w:r>
      <w:r>
        <w:rPr>
          <w:rFonts w:hint="eastAsia" w:ascii="宋体" w:hAnsi="宋体" w:eastAsia="宋体" w:cs="宋体"/>
          <w:lang w:val="en-US" w:eastAsia="zh-CN"/>
        </w:rPr>
        <w:t>海上平台；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 w:rightChars="0"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1）</w:t>
      </w:r>
      <w:r>
        <w:rPr>
          <w:rFonts w:hint="eastAsia" w:ascii="宋体" w:hAnsi="宋体" w:eastAsia="宋体" w:cs="宋体"/>
          <w:lang w:eastAsia="zh-CN"/>
        </w:rPr>
        <w:t>送货地点：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天津市塘沽区渤港北一路与东五路交叉口设施中心3号码头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2）收货联系人：杜方舟 （物流公司仓储一体化人员）  电话：18722012329；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  <w:lang w:eastAsia="zh-CN"/>
        </w:rPr>
        <w:t>作业环境要求：</w:t>
      </w:r>
      <w:r>
        <w:rPr>
          <w:rFonts w:hint="eastAsia" w:ascii="宋体" w:hAnsi="宋体" w:eastAsia="宋体" w:cs="宋体"/>
        </w:rPr>
        <w:t>潮湿、含盐的腐蚀性环境；有凝露、油雾、盐雾和霉菌的影响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有平台作业时所产生的振动和晃动。</w:t>
      </w:r>
    </w:p>
    <w:p>
      <w:pPr>
        <w:pStyle w:val="25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五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技术要求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 w:bidi="ar-SA"/>
        </w:rPr>
        <w:t>1、电动阀、泄放阀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【本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物资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部分引用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《关断阀和开关阀》 CGBZ071-ZB-2023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5、技术要求的内容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】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以下为引用标准中所列重要参数，纳入评议范围: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★阀门应该具有双重阻断和泄放(DBB)功能及自泄放体腔(自泄到上游)；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2）阀门阀杆应为防吹出型；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【下述要求为对上述标准中参数的补充优化】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1）★阀门的尺寸、压力等级和工艺连接形式应满足阀门数据表的要求；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2）阀体材料、阀球材料、阀座材料以及阀杆材料均须符合阀门数据表中的要求；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3）★所有阀门都应该按照数据表的要求采用全通径；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4）阀门泄漏等级应满足阀门数据表的要求；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5）★投标时需提供所投产品制造商的有效的《中华人民共和国特种设备生产许可证》许可项目：压力管道元件制造，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且许可子项目需包含压力管道阀门，许可级别：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A1，并提供有效的特种设备型式试验证书（压力管道元件）且证书批准范围涵盖本次招标范围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。原件扫描件（原件备查）可在全国特种设备公示信息查询平台（https://cnse.e-cqs.cn/info-pub/pub）或行政主管部门网站核实；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6）执行机构应配备高亮中文显示屏，能实时显示阀门开度以及故障、报警等信息。电控箱带有多个信号指示灯，能分别代表电源、故障、远程控制、开到位和关到位。阀门执行机构具有浪涌保护功能，并集成在电路板中，不允许外置防浪涌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7）执行机构的最大输出扭矩不得超过阀杆所能承受扭矩的90%。扭矩应至少为阀门在最大压差下相对扭矩值的1.3倍；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8）★阀体和执行机构需要具有有效期内的SIL2 及以上的认证证书，投标时需提供原件扫描件（原件备查）；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9）★阀门应满足API 6D或ASME B16.34的规范要求，并应根据API 607或API 6FA进行了防火测试及认证。具有有效期内的API 6D证书，投标时需提供原件扫描件（原件备查）；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10）★电液执行机构的电磁阀防爆等级不低于Exd IIB T4，防护等级不低于IP56。电磁阀需具有CCC认证证书，且证书在有效期内。投标时需提供原件扫描件（原件备查）；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 xml:space="preserve">11）★满足数据表要求（MD(DD)-DDS-WHPB-IN-1006 电动阀数据表(CN-USP-BHB-BZ26-6) REVB、MD(DD)-DDS-WHPB-IN-1005 放空阀数据表(CN-USP-BHB-BZ26-6) REVB）；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12）★供货时提供合格证、材质证、出厂测试报告、单批次B类船检证书（船检证书要求为“海上设施产品检验证书”，参考标准里有《海上固定平台安全规则》，船级社要求为CCS、ABS、BV、DNV之一）。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 w:bidi="ar-SA"/>
        </w:rPr>
        <w:t>2、限流孔板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【本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物资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部分引用《用安装在圆形截面管道中的差压装置测量满管流体流量 第2部分：孔板》GB/T2624.2-2006中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5.1.2总体形状的内容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】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以下为引用标准中所列重要参数，纳入评议范围: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1）★孔板在管道内的部分应该是圆的并与管道轴线同轴。孔板的两端面应始终是平整的和平行的。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 w:bidi="ar-SA"/>
        </w:rPr>
        <w:t>【下述要求为对上述标准中参数的补充优化】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1）★满足数据表要求（MD(DD)-DDS-WHPB-IN-1010 限流孔板数据表(CN-USP-BHB-BZ26-6) REVB）；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2）★供货时提供合格证、出厂测试报告、单批次B类船检证书（船检证书要求为“海上设施产品检验证书”，参考标准里有《海上固定平台安全规则》，船级社要求为CCS、ABS、BV、DNV之一）。</w:t>
      </w:r>
      <w:r>
        <w:rPr>
          <w:rFonts w:hint="eastAsia" w:ascii="宋体" w:hAnsi="宋体" w:eastAsia="宋体" w:cs="宋体"/>
          <w:highlight w:val="none"/>
          <w:lang w:eastAsia="zh-CN"/>
        </w:rPr>
        <w:t xml:space="preserve">                                                              </w:t>
      </w:r>
    </w:p>
    <w:p>
      <w:pPr>
        <w:pStyle w:val="25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、标识、包装、运输和存储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1、产品标识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2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仪表设备配备不锈钢铭牌，包含设备编号、名称、型号、尺寸、材质、压力等级、流量控制范围、制造日期等内容。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产品包装：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 xml:space="preserve">卖方应保证送货时所供设备具备完整、完好、合适的包装，保证设备防雨、防潮，具备叉车、吊车卸车条件。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 xml:space="preserve">3、产品运输：投标人应选择适当的产品运输方式。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4、产品存储：设备应妥善包装，以适合仓储存放。</w:t>
      </w:r>
    </w:p>
    <w:p>
      <w:pPr>
        <w:pStyle w:val="25"/>
        <w:numPr>
          <w:ilvl w:val="0"/>
          <w:numId w:val="0"/>
        </w:numPr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、技术文件</w:t>
      </w:r>
    </w:p>
    <w:p>
      <w:pPr>
        <w:pStyle w:val="5"/>
        <w:ind w:firstLine="420" w:firstLineChars="200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1、卖方应按照采购订单提供的数据表进行匹配选型。</w:t>
      </w:r>
    </w:p>
    <w:p>
      <w:pPr>
        <w:pStyle w:val="5"/>
        <w:ind w:firstLine="420" w:firstLineChars="200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2、产品交付技术文件包：产品合格证、产品操作说明书、维护保养说明书、出厂检验报告、试压报告、材质证书等作为完工文件，整理成册，一正一副。</w:t>
      </w:r>
    </w:p>
    <w:p>
      <w:pPr>
        <w:pStyle w:val="25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、技术服务与售后服务</w:t>
      </w:r>
    </w:p>
    <w:p>
      <w:pPr>
        <w:pStyle w:val="5"/>
        <w:ind w:firstLine="420" w:firstLineChars="200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1、质保期为验收合格后12个月。</w:t>
      </w:r>
    </w:p>
    <w:p>
      <w:pPr>
        <w:pStyle w:val="5"/>
        <w:ind w:firstLine="420" w:firstLineChars="200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2、到货验收不合格，无条件退换货。在产品质保期内，如有产品质量问题，供应商需及时免费更换或维修。</w:t>
      </w:r>
    </w:p>
    <w:p>
      <w:pPr>
        <w:pStyle w:val="5"/>
        <w:ind w:firstLine="420" w:firstLineChars="200"/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3、在设备安装/调试阶段，卖方负责提供技术支持。</w:t>
      </w:r>
    </w:p>
    <w:p>
      <w:pPr>
        <w:pStyle w:val="5"/>
        <w:ind w:firstLine="420" w:firstLineChars="200"/>
        <w:rPr>
          <w:rFonts w:hint="default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 w:bidi="ar-SA"/>
        </w:rPr>
        <w:t>4、如需卖方现场服务，卖方在接到卖方通知24小时内给予答复，48小时到达现场。</w:t>
      </w:r>
      <w:bookmarkEnd w:id="2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338F9"/>
    <w:multiLevelType w:val="singleLevel"/>
    <w:tmpl w:val="EB5338F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2FC8BA6"/>
    <w:multiLevelType w:val="singleLevel"/>
    <w:tmpl w:val="42FC8BA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CF"/>
    <w:rsid w:val="0000572C"/>
    <w:rsid w:val="00015CC7"/>
    <w:rsid w:val="00055FDF"/>
    <w:rsid w:val="0006646A"/>
    <w:rsid w:val="0009050D"/>
    <w:rsid w:val="000E7DCA"/>
    <w:rsid w:val="001323F9"/>
    <w:rsid w:val="001644CF"/>
    <w:rsid w:val="001B3054"/>
    <w:rsid w:val="001C0975"/>
    <w:rsid w:val="00223923"/>
    <w:rsid w:val="00255671"/>
    <w:rsid w:val="00291AC4"/>
    <w:rsid w:val="00296D9D"/>
    <w:rsid w:val="002A2EAC"/>
    <w:rsid w:val="002B756F"/>
    <w:rsid w:val="002D753E"/>
    <w:rsid w:val="002E2797"/>
    <w:rsid w:val="00316452"/>
    <w:rsid w:val="00335848"/>
    <w:rsid w:val="00367E0B"/>
    <w:rsid w:val="0037391E"/>
    <w:rsid w:val="00397269"/>
    <w:rsid w:val="004020A3"/>
    <w:rsid w:val="004077E1"/>
    <w:rsid w:val="004236F4"/>
    <w:rsid w:val="00496085"/>
    <w:rsid w:val="004D2468"/>
    <w:rsid w:val="005C1CC9"/>
    <w:rsid w:val="005C6578"/>
    <w:rsid w:val="0060078E"/>
    <w:rsid w:val="0069154A"/>
    <w:rsid w:val="006D5366"/>
    <w:rsid w:val="00706FF6"/>
    <w:rsid w:val="00723A5A"/>
    <w:rsid w:val="00753CBD"/>
    <w:rsid w:val="0076111A"/>
    <w:rsid w:val="00767FC6"/>
    <w:rsid w:val="0078770E"/>
    <w:rsid w:val="00834BD4"/>
    <w:rsid w:val="00852B10"/>
    <w:rsid w:val="00857686"/>
    <w:rsid w:val="008A30AE"/>
    <w:rsid w:val="008D107A"/>
    <w:rsid w:val="008F1C83"/>
    <w:rsid w:val="009824EA"/>
    <w:rsid w:val="009B54BE"/>
    <w:rsid w:val="009C2FD5"/>
    <w:rsid w:val="00A2514C"/>
    <w:rsid w:val="00A8052C"/>
    <w:rsid w:val="00AF5B72"/>
    <w:rsid w:val="00B10F50"/>
    <w:rsid w:val="00B15418"/>
    <w:rsid w:val="00B324F3"/>
    <w:rsid w:val="00B56245"/>
    <w:rsid w:val="00B56A52"/>
    <w:rsid w:val="00BE3C84"/>
    <w:rsid w:val="00C55808"/>
    <w:rsid w:val="00C61DB8"/>
    <w:rsid w:val="00C74A9D"/>
    <w:rsid w:val="00CE1FC9"/>
    <w:rsid w:val="00CF5864"/>
    <w:rsid w:val="00D50E01"/>
    <w:rsid w:val="00D71F6F"/>
    <w:rsid w:val="00E30386"/>
    <w:rsid w:val="00E53CCA"/>
    <w:rsid w:val="00E87CFE"/>
    <w:rsid w:val="00EC4D35"/>
    <w:rsid w:val="00EF142B"/>
    <w:rsid w:val="00F22A9E"/>
    <w:rsid w:val="00FD2EA2"/>
    <w:rsid w:val="01C14B70"/>
    <w:rsid w:val="027B5C50"/>
    <w:rsid w:val="02D57912"/>
    <w:rsid w:val="03087086"/>
    <w:rsid w:val="030E6E26"/>
    <w:rsid w:val="03610A19"/>
    <w:rsid w:val="06B1240A"/>
    <w:rsid w:val="06CC51B2"/>
    <w:rsid w:val="06DD1471"/>
    <w:rsid w:val="082619A4"/>
    <w:rsid w:val="088B09D8"/>
    <w:rsid w:val="090A5A61"/>
    <w:rsid w:val="09483348"/>
    <w:rsid w:val="09AB073A"/>
    <w:rsid w:val="09CC42C4"/>
    <w:rsid w:val="09FD62EE"/>
    <w:rsid w:val="0A2E2341"/>
    <w:rsid w:val="0BC53C4E"/>
    <w:rsid w:val="0C51597A"/>
    <w:rsid w:val="0DBE4C2B"/>
    <w:rsid w:val="0DDA6FD4"/>
    <w:rsid w:val="0FA24294"/>
    <w:rsid w:val="0FAC6DB7"/>
    <w:rsid w:val="0FEF6DFB"/>
    <w:rsid w:val="0FFB128B"/>
    <w:rsid w:val="10A705D8"/>
    <w:rsid w:val="11CF2D47"/>
    <w:rsid w:val="13394518"/>
    <w:rsid w:val="14E44553"/>
    <w:rsid w:val="155C4F74"/>
    <w:rsid w:val="1573093F"/>
    <w:rsid w:val="17587B44"/>
    <w:rsid w:val="184738E0"/>
    <w:rsid w:val="186A061D"/>
    <w:rsid w:val="19C06BAB"/>
    <w:rsid w:val="1A33348C"/>
    <w:rsid w:val="1C405CCE"/>
    <w:rsid w:val="1CAD6619"/>
    <w:rsid w:val="1EF24DFA"/>
    <w:rsid w:val="1F5B3D90"/>
    <w:rsid w:val="207C25DC"/>
    <w:rsid w:val="211F751B"/>
    <w:rsid w:val="21931DA4"/>
    <w:rsid w:val="2197066B"/>
    <w:rsid w:val="22E55FF7"/>
    <w:rsid w:val="22FB0B85"/>
    <w:rsid w:val="24FD1B62"/>
    <w:rsid w:val="260F2C23"/>
    <w:rsid w:val="26AD2AC6"/>
    <w:rsid w:val="27B01338"/>
    <w:rsid w:val="280821E0"/>
    <w:rsid w:val="280E7144"/>
    <w:rsid w:val="2AEF2984"/>
    <w:rsid w:val="2B7032A0"/>
    <w:rsid w:val="2B8F43E5"/>
    <w:rsid w:val="2D015AC5"/>
    <w:rsid w:val="2EA9281C"/>
    <w:rsid w:val="2EF80E59"/>
    <w:rsid w:val="2FBA5803"/>
    <w:rsid w:val="2FCF2D24"/>
    <w:rsid w:val="30C23A44"/>
    <w:rsid w:val="312A7037"/>
    <w:rsid w:val="313D0E9D"/>
    <w:rsid w:val="35C277CF"/>
    <w:rsid w:val="36327D03"/>
    <w:rsid w:val="37F35707"/>
    <w:rsid w:val="38B80368"/>
    <w:rsid w:val="39246F3A"/>
    <w:rsid w:val="39810466"/>
    <w:rsid w:val="3B275B70"/>
    <w:rsid w:val="3C602016"/>
    <w:rsid w:val="3C850B8A"/>
    <w:rsid w:val="3CAE0A4E"/>
    <w:rsid w:val="3D30129D"/>
    <w:rsid w:val="3D461E16"/>
    <w:rsid w:val="3DA443AE"/>
    <w:rsid w:val="3DC24B6B"/>
    <w:rsid w:val="3E6F6E19"/>
    <w:rsid w:val="3F2156F4"/>
    <w:rsid w:val="3F3653DB"/>
    <w:rsid w:val="402117E4"/>
    <w:rsid w:val="405655EB"/>
    <w:rsid w:val="40D36822"/>
    <w:rsid w:val="410A282F"/>
    <w:rsid w:val="41826907"/>
    <w:rsid w:val="41876A9A"/>
    <w:rsid w:val="42CD5EB6"/>
    <w:rsid w:val="43B57349"/>
    <w:rsid w:val="447267CF"/>
    <w:rsid w:val="44D27870"/>
    <w:rsid w:val="45287A02"/>
    <w:rsid w:val="47065829"/>
    <w:rsid w:val="485C5346"/>
    <w:rsid w:val="48A04061"/>
    <w:rsid w:val="4ABF25B2"/>
    <w:rsid w:val="4BF3648E"/>
    <w:rsid w:val="4C4F671B"/>
    <w:rsid w:val="4C9124AD"/>
    <w:rsid w:val="4CFA1AD3"/>
    <w:rsid w:val="4D6F0CD7"/>
    <w:rsid w:val="4E04490D"/>
    <w:rsid w:val="4E2B47CD"/>
    <w:rsid w:val="4EE83B5D"/>
    <w:rsid w:val="4EFA63B4"/>
    <w:rsid w:val="4FE75B19"/>
    <w:rsid w:val="50F3395B"/>
    <w:rsid w:val="518F5577"/>
    <w:rsid w:val="52684B1B"/>
    <w:rsid w:val="54265D9C"/>
    <w:rsid w:val="54F20968"/>
    <w:rsid w:val="5527354A"/>
    <w:rsid w:val="55CC0AEE"/>
    <w:rsid w:val="55D05DD8"/>
    <w:rsid w:val="563C1B5E"/>
    <w:rsid w:val="5648259F"/>
    <w:rsid w:val="5676480C"/>
    <w:rsid w:val="58117AA8"/>
    <w:rsid w:val="5852797F"/>
    <w:rsid w:val="58D95326"/>
    <w:rsid w:val="5C235838"/>
    <w:rsid w:val="5C523FF8"/>
    <w:rsid w:val="5C80234E"/>
    <w:rsid w:val="5CD01DC5"/>
    <w:rsid w:val="5EF402B6"/>
    <w:rsid w:val="5F9D5EDC"/>
    <w:rsid w:val="5FA347AB"/>
    <w:rsid w:val="5FD3378B"/>
    <w:rsid w:val="603D3DE2"/>
    <w:rsid w:val="61194FDB"/>
    <w:rsid w:val="61E90119"/>
    <w:rsid w:val="62730105"/>
    <w:rsid w:val="629C37F7"/>
    <w:rsid w:val="62DA341C"/>
    <w:rsid w:val="63235BEA"/>
    <w:rsid w:val="64BF60D6"/>
    <w:rsid w:val="64D305FA"/>
    <w:rsid w:val="66572974"/>
    <w:rsid w:val="666130AB"/>
    <w:rsid w:val="66A10559"/>
    <w:rsid w:val="67DB0531"/>
    <w:rsid w:val="69D7551A"/>
    <w:rsid w:val="6ACF3DC7"/>
    <w:rsid w:val="6B4B704D"/>
    <w:rsid w:val="6C14665D"/>
    <w:rsid w:val="6C7A1884"/>
    <w:rsid w:val="6D9D64E4"/>
    <w:rsid w:val="6E4C50F9"/>
    <w:rsid w:val="6F374018"/>
    <w:rsid w:val="6FE2091C"/>
    <w:rsid w:val="71167A14"/>
    <w:rsid w:val="7198256C"/>
    <w:rsid w:val="7358547F"/>
    <w:rsid w:val="73C20EC5"/>
    <w:rsid w:val="75675300"/>
    <w:rsid w:val="7593095E"/>
    <w:rsid w:val="76721D32"/>
    <w:rsid w:val="76D214FF"/>
    <w:rsid w:val="77E927D1"/>
    <w:rsid w:val="78017D75"/>
    <w:rsid w:val="79A1389B"/>
    <w:rsid w:val="7A301431"/>
    <w:rsid w:val="7B8962DA"/>
    <w:rsid w:val="7BBA1E67"/>
    <w:rsid w:val="7C610378"/>
    <w:rsid w:val="7C6524D1"/>
    <w:rsid w:val="7CDB5CE7"/>
    <w:rsid w:val="7DA60233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link w:val="20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  <w:lang w:eastAsia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Indent"/>
    <w:basedOn w:val="1"/>
    <w:next w:val="1"/>
    <w:semiHidden/>
    <w:unhideWhenUsed/>
    <w:qFormat/>
    <w:uiPriority w:val="99"/>
    <w:pPr>
      <w:ind w:firstLine="42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link w:val="22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</w:pPr>
    <w:rPr>
      <w:rFonts w:cs="Times New Roman"/>
      <w:lang w:eastAsia="zh-CN"/>
    </w:r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</w:pPr>
    <w:rPr>
      <w:rFonts w:cs="Times New Roman"/>
      <w:lang w:eastAsia="zh-CN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next w:val="1"/>
    <w:qFormat/>
    <w:uiPriority w:val="99"/>
    <w:pPr>
      <w:widowControl/>
      <w:adjustRightInd w:val="0"/>
      <w:snapToGrid w:val="0"/>
      <w:ind w:firstLine="420" w:firstLineChars="100"/>
      <w:jc w:val="left"/>
    </w:pPr>
    <w:rPr>
      <w:sz w:val="2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paragraph" w:customStyle="1" w:styleId="18">
    <w:name w:val="默认段落字体 Para Char"/>
    <w:basedOn w:val="19"/>
    <w:next w:val="1"/>
    <w:qFormat/>
    <w:uiPriority w:val="0"/>
    <w:pPr>
      <w:spacing w:line="360" w:lineRule="auto"/>
      <w:ind w:firstLine="720" w:firstLineChars="200"/>
      <w:jc w:val="left"/>
    </w:pPr>
    <w:rPr>
      <w:rFonts w:eastAsia="仿宋"/>
      <w:kern w:val="10"/>
      <w:sz w:val="24"/>
      <w:szCs w:val="28"/>
    </w:rPr>
  </w:style>
  <w:style w:type="paragraph" w:customStyle="1" w:styleId="19">
    <w:name w:val="正文_1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标题 2 字符"/>
    <w:basedOn w:val="16"/>
    <w:link w:val="5"/>
    <w:qFormat/>
    <w:uiPriority w:val="1"/>
    <w:rPr>
      <w:rFonts w:ascii="Microsoft YaHei UI" w:hAnsi="Microsoft YaHei UI" w:eastAsia="Microsoft YaHei UI"/>
      <w:spacing w:val="2"/>
      <w:kern w:val="0"/>
      <w:sz w:val="32"/>
      <w:szCs w:val="32"/>
    </w:rPr>
  </w:style>
  <w:style w:type="table" w:customStyle="1" w:styleId="21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字符"/>
    <w:basedOn w:val="16"/>
    <w:link w:val="7"/>
    <w:qFormat/>
    <w:uiPriority w:val="1"/>
    <w:rPr>
      <w:rFonts w:ascii="Microsoft YaHei UI" w:hAnsi="Microsoft YaHei UI" w:eastAsia="Microsoft YaHei UI"/>
      <w:kern w:val="0"/>
      <w:szCs w:val="21"/>
      <w:lang w:eastAsia="en-US"/>
    </w:rPr>
  </w:style>
  <w:style w:type="paragraph" w:customStyle="1" w:styleId="2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Table Paragraph"/>
    <w:basedOn w:val="1"/>
    <w:qFormat/>
    <w:uiPriority w:val="1"/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basedOn w:val="16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1"/>
    <w:basedOn w:val="1"/>
    <w:qFormat/>
    <w:uiPriority w:val="34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customStyle="1" w:styleId="29">
    <w:name w:val="设计正文2"/>
    <w:basedOn w:val="1"/>
    <w:qFormat/>
    <w:uiPriority w:val="0"/>
    <w:pPr>
      <w:snapToGrid w:val="0"/>
      <w:spacing w:before="160" w:line="320" w:lineRule="atLeast"/>
      <w:jc w:val="both"/>
    </w:pPr>
    <w:rPr>
      <w:rFonts w:ascii="Times New Roman" w:hAnsi="Times New Roman" w:eastAsia="宋体" w:cs="Times New Roman"/>
      <w:kern w:val="2"/>
      <w:sz w:val="24"/>
      <w:szCs w:val="20"/>
      <w:lang w:eastAsia="zh-CN"/>
    </w:rPr>
  </w:style>
  <w:style w:type="character" w:customStyle="1" w:styleId="30">
    <w:name w:val="页眉 字符"/>
    <w:basedOn w:val="16"/>
    <w:link w:val="10"/>
    <w:qFormat/>
    <w:uiPriority w:val="99"/>
    <w:rPr>
      <w:kern w:val="0"/>
      <w:sz w:val="18"/>
      <w:szCs w:val="18"/>
      <w:lang w:eastAsia="en-US"/>
    </w:rPr>
  </w:style>
  <w:style w:type="character" w:customStyle="1" w:styleId="31">
    <w:name w:val="页脚 字符"/>
    <w:basedOn w:val="16"/>
    <w:link w:val="2"/>
    <w:qFormat/>
    <w:uiPriority w:val="99"/>
    <w:rPr>
      <w:kern w:val="0"/>
      <w:sz w:val="18"/>
      <w:szCs w:val="18"/>
      <w:lang w:eastAsia="en-US"/>
    </w:rPr>
  </w:style>
  <w:style w:type="character" w:customStyle="1" w:styleId="32">
    <w:name w:val="批注框文本 字符"/>
    <w:basedOn w:val="16"/>
    <w:link w:val="9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33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4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左侧3字符"/>
    <w:basedOn w:val="37"/>
    <w:qFormat/>
    <w:uiPriority w:val="0"/>
    <w:pPr>
      <w:ind w:left="300" w:leftChars="300" w:firstLine="0" w:firstLineChars="0"/>
    </w:pPr>
  </w:style>
  <w:style w:type="paragraph" w:customStyle="1" w:styleId="37">
    <w:name w:val="首行缩进2字符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</Words>
  <Characters>1611</Characters>
  <Lines>13</Lines>
  <Paragraphs>3</Paragraphs>
  <TotalTime>17</TotalTime>
  <ScaleCrop>false</ScaleCrop>
  <LinksUpToDate>false</LinksUpToDate>
  <CharactersWithSpaces>1890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2025-01-14T00:31:00Z</dcterms:created>
  <dc:creator>王琴</dc:creator>
  <cp:lastModifiedBy>quzhr</cp:lastModifiedBy>
  <cp:lastPrinted>2025-12-10T00:56:00Z</cp:lastPrinted>
  <dcterms:modified xsi:type="dcterms:W3CDTF">2026-01-22T00:26:04Z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DEE598ECFA47419BBE4B908C350B986C</vt:lpwstr>
  </property>
  <property fmtid="{D5CDD505-2E9C-101B-9397-08002B2CF9AE}" pid="4" name="KSOTemplateDocerSaveRecord">
    <vt:lpwstr>eyJoZGlkIjoiMjI5MWY3MmU5MjI2ZTIzNzFkMWY5MjkyZWNlZmQ2YjgiLCJ1c2VySWQiOiI1MjE2MDgwMzEifQ==</vt:lpwstr>
  </property>
</Properties>
</file>