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right="-58"/>
        <w:jc w:val="right"/>
        <w:rPr>
          <w:rFonts w:hint="default" w:ascii="方正小标宋_GBK" w:eastAsia="方正小标宋_GBK"/>
          <w:color w:val="000000" w:themeColor="text1"/>
          <w:sz w:val="30"/>
          <w:szCs w:val="30"/>
          <w:highlight w:val="none"/>
          <w:lang w:val="en-US" w:eastAsia="zh-CN"/>
        </w:rPr>
      </w:pPr>
      <w:bookmarkStart w:id="26" w:name="_GoBack"/>
      <w:bookmarkEnd w:id="26"/>
      <w:r>
        <w:rPr>
          <w:rFonts w:hint="eastAsia" w:ascii="方正小标宋_GBK" w:eastAsia="方正小标宋_GBK"/>
          <w:color w:val="000000" w:themeColor="text1"/>
          <w:sz w:val="30"/>
          <w:szCs w:val="30"/>
          <w:highlight w:val="none"/>
          <w:lang w:eastAsia="zh-CN"/>
        </w:rPr>
        <w:t>采购编号</w:t>
      </w:r>
      <w:r>
        <w:rPr>
          <w:rFonts w:hint="eastAsia" w:ascii="方正小标宋_GBK" w:eastAsia="方正小标宋_GBK"/>
          <w:color w:val="000000" w:themeColor="text1"/>
          <w:sz w:val="30"/>
          <w:szCs w:val="30"/>
          <w:highlight w:val="none"/>
        </w:rPr>
        <w:t>：</w:t>
      </w:r>
      <w:r>
        <w:rPr>
          <w:rFonts w:hint="eastAsia" w:ascii="方正小标宋_GBK" w:eastAsia="方正小标宋_GBK"/>
          <w:color w:val="000000" w:themeColor="text1"/>
          <w:sz w:val="30"/>
          <w:szCs w:val="30"/>
          <w:highlight w:val="none"/>
          <w:lang w:val="en-US" w:eastAsia="zh-CN"/>
        </w:rPr>
        <w:t>23C804</w:t>
      </w:r>
    </w:p>
    <w:p>
      <w:pPr>
        <w:spacing w:line="360" w:lineRule="auto"/>
        <w:ind w:right="-58"/>
        <w:jc w:val="right"/>
        <w:rPr>
          <w:rFonts w:ascii="方正小标宋_GBK" w:eastAsia="方正小标宋_GBK"/>
          <w:color w:val="000000" w:themeColor="text1"/>
          <w:sz w:val="30"/>
          <w:szCs w:val="30"/>
          <w:highlight w:val="none"/>
        </w:rPr>
      </w:pPr>
    </w:p>
    <w:p>
      <w:pPr>
        <w:spacing w:line="360" w:lineRule="auto"/>
        <w:ind w:right="-58"/>
        <w:jc w:val="right"/>
        <w:rPr>
          <w:rFonts w:ascii="方正小标宋_GBK" w:eastAsia="方正小标宋_GBK"/>
          <w:color w:val="000000" w:themeColor="text1"/>
          <w:sz w:val="30"/>
          <w:szCs w:val="30"/>
          <w:highlight w:val="none"/>
        </w:rPr>
      </w:pPr>
    </w:p>
    <w:p>
      <w:pPr>
        <w:spacing w:line="360" w:lineRule="auto"/>
        <w:ind w:right="-58"/>
        <w:jc w:val="right"/>
        <w:rPr>
          <w:rFonts w:ascii="方正小标宋_GBK" w:eastAsia="方正小标宋_GBK"/>
          <w:color w:val="000000" w:themeColor="text1"/>
          <w:sz w:val="30"/>
          <w:szCs w:val="30"/>
          <w:highlight w:val="none"/>
        </w:rPr>
      </w:pPr>
    </w:p>
    <w:p>
      <w:pPr>
        <w:pStyle w:val="18"/>
        <w:ind w:firstLine="0"/>
        <w:rPr>
          <w:highlight w:val="none"/>
        </w:rPr>
      </w:pPr>
    </w:p>
    <w:p>
      <w:pPr>
        <w:snapToGrid w:val="0"/>
        <w:spacing w:line="800" w:lineRule="exact"/>
        <w:jc w:val="center"/>
        <w:rPr>
          <w:rFonts w:hint="eastAsia" w:ascii="方正小标宋_GBK" w:eastAsia="方正小标宋_GBK"/>
          <w:b/>
          <w:color w:val="000000" w:themeColor="text1"/>
          <w:sz w:val="44"/>
          <w:szCs w:val="44"/>
          <w:highlight w:val="none"/>
          <w:lang w:val="en-US" w:eastAsia="zh-CN"/>
        </w:rPr>
      </w:pPr>
      <w:r>
        <w:rPr>
          <w:rFonts w:hint="eastAsia" w:ascii="方正小标宋_GBK" w:eastAsia="方正小标宋_GBK"/>
          <w:b/>
          <w:color w:val="000000" w:themeColor="text1"/>
          <w:sz w:val="44"/>
          <w:szCs w:val="44"/>
          <w:highlight w:val="none"/>
          <w:lang w:val="en-US" w:eastAsia="zh-CN"/>
        </w:rPr>
        <w:t>国网吉林省电力有限公司白山供电公司2023年第四次服务（一事一授权）竞争性谈判授权采购</w:t>
      </w:r>
    </w:p>
    <w:p>
      <w:pPr>
        <w:pStyle w:val="18"/>
        <w:ind w:firstLine="3522" w:firstLineChars="800"/>
        <w:jc w:val="both"/>
        <w:rPr>
          <w:rFonts w:hint="eastAsia"/>
          <w:highlight w:val="none"/>
          <w:lang w:val="en-US" w:eastAsia="zh-CN"/>
        </w:rPr>
      </w:pPr>
      <w:r>
        <w:rPr>
          <w:rFonts w:hint="eastAsia" w:ascii="方正小标宋_GBK" w:eastAsia="方正小标宋_GBK"/>
          <w:b/>
          <w:color w:val="000000" w:themeColor="text1"/>
          <w:sz w:val="44"/>
          <w:szCs w:val="44"/>
          <w:highlight w:val="none"/>
          <w:lang w:val="en-US" w:eastAsia="zh-CN"/>
        </w:rPr>
        <w:t>采购公告</w:t>
      </w:r>
    </w:p>
    <w:p>
      <w:pPr>
        <w:snapToGrid w:val="0"/>
        <w:spacing w:line="700" w:lineRule="exact"/>
        <w:jc w:val="center"/>
        <w:rPr>
          <w:rFonts w:ascii="方正小标宋_GBK" w:eastAsia="方正小标宋_GBK"/>
          <w:b/>
          <w:color w:val="000000" w:themeColor="text1"/>
          <w:sz w:val="44"/>
          <w:szCs w:val="44"/>
          <w:highlight w:val="none"/>
        </w:rPr>
      </w:pPr>
    </w:p>
    <w:p>
      <w:pPr>
        <w:snapToGrid w:val="0"/>
        <w:spacing w:line="700" w:lineRule="exact"/>
        <w:jc w:val="center"/>
        <w:rPr>
          <w:rFonts w:ascii="方正小标宋_GBK" w:eastAsia="方正小标宋_GBK"/>
          <w:b/>
          <w:color w:val="000000" w:themeColor="text1"/>
          <w:sz w:val="44"/>
          <w:szCs w:val="44"/>
          <w:highlight w:val="none"/>
        </w:rPr>
      </w:pPr>
      <w:r>
        <w:rPr>
          <w:rFonts w:hint="eastAsia" w:ascii="方正小标宋_GBK" w:eastAsia="方正小标宋_GBK"/>
          <w:b/>
          <w:color w:val="000000" w:themeColor="text1"/>
          <w:sz w:val="44"/>
          <w:szCs w:val="44"/>
          <w:highlight w:val="none"/>
        </w:rPr>
        <w:tab/>
      </w:r>
    </w:p>
    <w:p>
      <w:pPr>
        <w:snapToGrid w:val="0"/>
        <w:spacing w:line="360" w:lineRule="auto"/>
        <w:ind w:left="1642"/>
        <w:rPr>
          <w:rFonts w:ascii="方正小标宋_GBK" w:eastAsia="方正小标宋_GBK"/>
          <w:b/>
          <w:color w:val="000000" w:themeColor="text1"/>
          <w:sz w:val="32"/>
          <w:szCs w:val="32"/>
          <w:highlight w:val="none"/>
        </w:rPr>
      </w:pPr>
    </w:p>
    <w:p>
      <w:pPr>
        <w:snapToGrid w:val="0"/>
        <w:spacing w:line="360" w:lineRule="auto"/>
        <w:ind w:left="1642"/>
        <w:rPr>
          <w:rFonts w:ascii="方正小标宋_GBK" w:eastAsia="方正小标宋_GBK"/>
          <w:b/>
          <w:color w:val="000000" w:themeColor="text1"/>
          <w:sz w:val="32"/>
          <w:szCs w:val="32"/>
          <w:highlight w:val="none"/>
        </w:rPr>
      </w:pPr>
    </w:p>
    <w:p>
      <w:pPr>
        <w:snapToGrid w:val="0"/>
        <w:spacing w:line="360" w:lineRule="auto"/>
        <w:ind w:left="924"/>
        <w:rPr>
          <w:rFonts w:ascii="方正小标宋_GBK" w:eastAsia="方正小标宋_GBK"/>
          <w:b/>
          <w:color w:val="000000" w:themeColor="text1"/>
          <w:sz w:val="18"/>
          <w:szCs w:val="32"/>
          <w:highlight w:val="none"/>
        </w:rPr>
      </w:pPr>
    </w:p>
    <w:p>
      <w:pPr>
        <w:adjustRightInd w:val="0"/>
        <w:snapToGrid w:val="0"/>
        <w:spacing w:line="360" w:lineRule="auto"/>
        <w:jc w:val="center"/>
        <w:rPr>
          <w:rFonts w:hint="eastAsia" w:ascii="黑体" w:hAnsi="Tahoma" w:eastAsia="黑体" w:cs="Times New Roman"/>
          <w:color w:val="000000" w:themeColor="text1"/>
          <w:kern w:val="2"/>
          <w:sz w:val="30"/>
          <w:szCs w:val="32"/>
          <w:highlight w:val="none"/>
          <w:lang w:val="en-US" w:eastAsia="zh-CN" w:bidi="ar-SA"/>
        </w:rPr>
      </w:pPr>
      <w:r>
        <w:rPr>
          <w:rFonts w:hint="eastAsia" w:ascii="黑体" w:hAnsi="Tahoma" w:eastAsia="黑体" w:cs="Times New Roman"/>
          <w:color w:val="000000" w:themeColor="text1"/>
          <w:kern w:val="2"/>
          <w:sz w:val="30"/>
          <w:szCs w:val="32"/>
          <w:highlight w:val="none"/>
          <w:lang w:val="en-US" w:eastAsia="zh-CN" w:bidi="ar-SA"/>
        </w:rPr>
        <w:t>国网吉林省电力有限公司白山供电公司</w:t>
      </w:r>
    </w:p>
    <w:p>
      <w:pPr>
        <w:adjustRightInd w:val="0"/>
        <w:snapToGrid w:val="0"/>
        <w:spacing w:line="360" w:lineRule="auto"/>
        <w:jc w:val="center"/>
        <w:rPr>
          <w:rFonts w:ascii="黑体" w:eastAsia="黑体"/>
          <w:color w:val="000000" w:themeColor="text1"/>
          <w:sz w:val="30"/>
          <w:szCs w:val="32"/>
          <w:highlight w:val="none"/>
        </w:rPr>
      </w:pPr>
      <w:r>
        <w:rPr>
          <w:rFonts w:hint="eastAsia" w:ascii="黑体" w:eastAsia="黑体"/>
          <w:color w:val="000000" w:themeColor="text1"/>
          <w:sz w:val="30"/>
          <w:szCs w:val="32"/>
          <w:highlight w:val="none"/>
          <w:lang w:eastAsia="zh-CN"/>
        </w:rPr>
        <w:t>吉林省吉能电力工程咨询有限公司</w:t>
      </w:r>
    </w:p>
    <w:p>
      <w:pPr>
        <w:jc w:val="center"/>
        <w:rPr>
          <w:color w:val="000000" w:themeColor="text1"/>
          <w:highlight w:val="none"/>
        </w:rPr>
      </w:pPr>
      <w:r>
        <w:rPr>
          <w:rFonts w:hint="eastAsia" w:ascii="黑体" w:eastAsia="黑体"/>
          <w:color w:val="000000" w:themeColor="text1"/>
          <w:sz w:val="30"/>
          <w:szCs w:val="32"/>
          <w:highlight w:val="none"/>
        </w:rPr>
        <w:t>二〇二三年</w:t>
      </w:r>
    </w:p>
    <w:p>
      <w:pPr>
        <w:widowControl/>
        <w:ind w:firstLine="640"/>
        <w:rPr>
          <w:rFonts w:eastAsia="黑体"/>
          <w:color w:val="000000" w:themeColor="text1"/>
          <w:sz w:val="32"/>
          <w:highlight w:val="none"/>
        </w:rPr>
      </w:pPr>
    </w:p>
    <w:p>
      <w:pPr>
        <w:adjustRightInd w:val="0"/>
        <w:snapToGrid w:val="0"/>
        <w:ind w:firstLine="562"/>
        <w:jc w:val="center"/>
        <w:outlineLvl w:val="0"/>
        <w:rPr>
          <w:rFonts w:ascii="黑体" w:eastAsia="黑体"/>
          <w:b/>
          <w:color w:val="000000" w:themeColor="text1"/>
          <w:sz w:val="28"/>
          <w:szCs w:val="28"/>
          <w:highlight w:val="none"/>
        </w:rPr>
        <w:sectPr>
          <w:headerReference r:id="rId4" w:type="first"/>
          <w:footerReference r:id="rId6" w:type="first"/>
          <w:headerReference r:id="rId3" w:type="default"/>
          <w:footerReference r:id="rId5" w:type="default"/>
          <w:pgSz w:w="11905" w:h="16838"/>
          <w:pgMar w:top="1134" w:right="1803" w:bottom="1134" w:left="1803" w:header="850" w:footer="992" w:gutter="0"/>
          <w:pgNumType w:start="0"/>
          <w:cols w:space="0" w:num="1"/>
          <w:docGrid w:type="lines" w:linePitch="317" w:charSpace="0"/>
        </w:sectPr>
      </w:pPr>
    </w:p>
    <w:p>
      <w:pPr>
        <w:adjustRightInd w:val="0"/>
        <w:snapToGrid w:val="0"/>
        <w:jc w:val="center"/>
        <w:outlineLvl w:val="0"/>
        <w:rPr>
          <w:rFonts w:ascii="黑体" w:hAnsi="黑体" w:eastAsia="黑体" w:cstheme="minorEastAsia"/>
          <w:b/>
          <w:color w:val="000000" w:themeColor="text1"/>
          <w:sz w:val="28"/>
          <w:szCs w:val="21"/>
          <w:highlight w:val="none"/>
        </w:rPr>
      </w:pPr>
      <w:r>
        <w:rPr>
          <w:rFonts w:hint="eastAsia" w:ascii="黑体" w:hAnsi="黑体" w:eastAsia="黑体" w:cstheme="minorEastAsia"/>
          <w:b/>
          <w:color w:val="000000" w:themeColor="text1"/>
          <w:sz w:val="28"/>
          <w:szCs w:val="21"/>
          <w:highlight w:val="none"/>
        </w:rPr>
        <w:t>第一章  采购公告</w:t>
      </w:r>
    </w:p>
    <w:p>
      <w:pPr>
        <w:adjustRightInd w:val="0"/>
        <w:snapToGrid w:val="0"/>
        <w:rPr>
          <w:rFonts w:asciiTheme="minorEastAsia" w:hAnsiTheme="minorEastAsia" w:eastAsiaTheme="minorEastAsia" w:cstheme="minorEastAsia"/>
          <w:color w:val="000000" w:themeColor="text1"/>
          <w:szCs w:val="21"/>
          <w:highlight w:val="none"/>
        </w:rPr>
      </w:pPr>
    </w:p>
    <w:p>
      <w:pPr>
        <w:adjustRightInd w:val="0"/>
        <w:snapToGrid w:val="0"/>
        <w:jc w:val="center"/>
        <w:rPr>
          <w:rFonts w:hint="eastAsia" w:ascii="黑体" w:eastAsia="黑体"/>
          <w:color w:val="FF0000"/>
          <w:sz w:val="28"/>
          <w:szCs w:val="28"/>
          <w:highlight w:val="none"/>
          <w:lang w:eastAsia="zh-CN"/>
        </w:rPr>
      </w:pPr>
      <w:bookmarkStart w:id="0" w:name="_Toc11594"/>
      <w:r>
        <w:rPr>
          <w:rFonts w:hint="eastAsia" w:ascii="黑体" w:eastAsia="黑体"/>
          <w:color w:val="000000"/>
          <w:sz w:val="28"/>
          <w:szCs w:val="28"/>
          <w:highlight w:val="none"/>
          <w:lang w:eastAsia="zh-CN"/>
        </w:rPr>
        <w:t>国网吉林省电力有限公司白山供电公司2023年第四次服务（一事一授权）竞争性谈判授权采购</w:t>
      </w:r>
    </w:p>
    <w:bookmarkEnd w:id="0"/>
    <w:p>
      <w:pPr>
        <w:adjustRightInd w:val="0"/>
        <w:snapToGrid w:val="0"/>
        <w:jc w:val="center"/>
        <w:rPr>
          <w:rFonts w:ascii="黑体" w:hAnsi="黑体" w:eastAsia="黑体" w:cstheme="minorEastAsia"/>
          <w:color w:val="000000" w:themeColor="text1"/>
          <w:sz w:val="28"/>
          <w:szCs w:val="21"/>
          <w:highlight w:val="none"/>
        </w:rPr>
      </w:pPr>
      <w:bookmarkStart w:id="1" w:name="_Toc160"/>
      <w:r>
        <w:rPr>
          <w:rFonts w:hint="eastAsia" w:ascii="黑体" w:hAnsi="黑体" w:eastAsia="黑体" w:cstheme="minorEastAsia"/>
          <w:color w:val="000000" w:themeColor="text1"/>
          <w:sz w:val="28"/>
          <w:szCs w:val="21"/>
          <w:highlight w:val="none"/>
        </w:rPr>
        <w:t>采购公告</w:t>
      </w:r>
      <w:bookmarkEnd w:id="1"/>
    </w:p>
    <w:p>
      <w:pPr>
        <w:adjustRightInd w:val="0"/>
        <w:snapToGrid w:val="0"/>
        <w:jc w:val="center"/>
        <w:rPr>
          <w:rFonts w:hint="eastAsia" w:ascii="黑体" w:hAnsi="黑体" w:eastAsia="黑体" w:cstheme="minorEastAsia"/>
          <w:b/>
          <w:color w:val="000000" w:themeColor="text1"/>
          <w:szCs w:val="21"/>
          <w:highlight w:val="none"/>
          <w:lang w:eastAsia="zh-CN"/>
        </w:rPr>
      </w:pPr>
      <w:r>
        <w:rPr>
          <w:rFonts w:hint="eastAsia" w:ascii="黑体" w:hAnsi="黑体" w:eastAsia="黑体" w:cstheme="minorEastAsia"/>
          <w:color w:val="000000" w:themeColor="text1"/>
          <w:sz w:val="24"/>
          <w:szCs w:val="21"/>
          <w:highlight w:val="none"/>
        </w:rPr>
        <w:t>采购编号：</w:t>
      </w:r>
      <w:r>
        <w:rPr>
          <w:rFonts w:hint="eastAsia" w:ascii="Arial" w:hAnsi="Arial" w:eastAsia="黑体" w:cs="Arial"/>
          <w:color w:val="000000"/>
          <w:sz w:val="28"/>
          <w:szCs w:val="28"/>
          <w:highlight w:val="none"/>
          <w:lang w:eastAsia="zh-CN"/>
        </w:rPr>
        <w:t>23C804</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bookmarkStart w:id="2" w:name="_Toc62566117"/>
      <w:bookmarkStart w:id="3" w:name="_Toc11488"/>
      <w:bookmarkStart w:id="4" w:name="_Toc7788"/>
      <w:r>
        <w:rPr>
          <w:rFonts w:hint="eastAsia" w:ascii="黑体" w:eastAsia="黑体" w:hAnsiTheme="majorHAnsi" w:cstheme="majorBidi"/>
          <w:b/>
          <w:color w:val="000000" w:themeColor="text1"/>
          <w:kern w:val="0"/>
          <w:sz w:val="24"/>
          <w:highlight w:val="none"/>
          <w:lang w:bidi="en-US"/>
        </w:rPr>
        <w:t>1.采购条件</w:t>
      </w:r>
      <w:bookmarkEnd w:id="2"/>
      <w:bookmarkEnd w:id="3"/>
      <w:bookmarkEnd w:id="4"/>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项目建设单位为</w:t>
      </w:r>
      <w:r>
        <w:rPr>
          <w:rFonts w:hint="eastAsia" w:ascii="宋体" w:hAnsi="宋体"/>
          <w:color w:val="000000" w:themeColor="text1"/>
          <w:highlight w:val="none"/>
          <w:lang w:eastAsia="zh-CN"/>
        </w:rPr>
        <w:t>国网吉林省电力有限公司白山供电公司</w:t>
      </w:r>
      <w:r>
        <w:rPr>
          <w:rFonts w:hint="eastAsia" w:ascii="宋体" w:hAnsi="宋体"/>
          <w:color w:val="000000" w:themeColor="text1"/>
          <w:highlight w:val="none"/>
        </w:rPr>
        <w:t>（以下简称“项目单位”），项目资金来自</w:t>
      </w:r>
      <w:r>
        <w:rPr>
          <w:rFonts w:hint="eastAsia" w:ascii="宋体" w:hAnsi="宋体"/>
          <w:color w:val="000000" w:themeColor="text1"/>
          <w:highlight w:val="none"/>
        </w:rPr>
        <w:t>项目资金来自</w:t>
      </w:r>
      <w:r>
        <w:rPr>
          <w:rFonts w:hint="eastAsia" w:ascii="宋体" w:hAnsi="宋体"/>
          <w:color w:val="000000" w:themeColor="text1"/>
          <w:highlight w:val="none"/>
          <w:lang w:eastAsia="zh-CN"/>
        </w:rPr>
        <w:t>详见项目需求一览表</w:t>
      </w:r>
      <w:r>
        <w:rPr>
          <w:rFonts w:hint="eastAsia" w:ascii="宋体" w:hAnsi="宋体"/>
          <w:color w:val="000000" w:themeColor="text1"/>
          <w:highlight w:val="none"/>
        </w:rPr>
        <w:t>，</w:t>
      </w:r>
      <w:r>
        <w:rPr>
          <w:rFonts w:hint="eastAsia" w:ascii="宋体" w:hAnsi="宋体"/>
          <w:color w:val="000000" w:themeColor="text1"/>
          <w:highlight w:val="none"/>
          <w:lang w:val="en-US" w:eastAsia="zh-CN"/>
        </w:rPr>
        <w:t>资金来源已落实，采购人为</w:t>
      </w:r>
      <w:r>
        <w:rPr>
          <w:rFonts w:hint="eastAsia" w:ascii="宋体" w:hAnsi="宋体" w:cs="Times New Roman"/>
          <w:color w:val="000000" w:themeColor="text1"/>
          <w:highlight w:val="none"/>
          <w:lang w:eastAsia="zh-CN"/>
        </w:rPr>
        <w:t>国网吉林省电力有限公司白山供电公司</w:t>
      </w:r>
      <w:r>
        <w:rPr>
          <w:rFonts w:hint="eastAsia" w:ascii="宋体" w:hAnsi="宋体"/>
          <w:color w:val="000000" w:themeColor="text1"/>
          <w:highlight w:val="none"/>
        </w:rPr>
        <w:t>，并委托</w:t>
      </w:r>
      <w:r>
        <w:rPr>
          <w:rFonts w:hint="eastAsia" w:ascii="宋体" w:hAnsi="宋体"/>
          <w:color w:val="000000" w:themeColor="text1"/>
          <w:highlight w:val="none"/>
          <w:lang w:eastAsia="zh-CN"/>
        </w:rPr>
        <w:t>吉林省吉能电力工程咨询有限公司</w:t>
      </w:r>
      <w:r>
        <w:rPr>
          <w:rFonts w:hint="eastAsia" w:ascii="宋体" w:hAnsi="宋体"/>
          <w:color w:val="000000" w:themeColor="text1"/>
          <w:highlight w:val="none"/>
        </w:rPr>
        <w:t>为采购代理机构</w:t>
      </w:r>
      <w:r>
        <w:rPr>
          <w:rFonts w:hint="eastAsia" w:ascii="宋体" w:hAnsi="宋体"/>
          <w:color w:val="000000" w:themeColor="text1"/>
          <w:highlight w:val="none"/>
        </w:rPr>
        <w:t>。项目已具备采购条件，现对该项目进行公开竞争性谈判采购。</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本项目积极响应《中共中央国务院关于开展质量提升行动的指导意见》，倡导潜在应答人用先进标准引领服务质量提升，有效治理质量突出问题，推动形成优质优价的采购机制。</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bookmarkStart w:id="5" w:name="_Toc31701"/>
      <w:bookmarkStart w:id="6" w:name="_Toc62566118"/>
      <w:bookmarkStart w:id="7" w:name="_Toc15047"/>
      <w:r>
        <w:rPr>
          <w:rFonts w:hint="eastAsia" w:ascii="黑体" w:eastAsia="黑体" w:hAnsiTheme="majorHAnsi" w:cstheme="majorBidi"/>
          <w:b/>
          <w:color w:val="000000" w:themeColor="text1"/>
          <w:kern w:val="0"/>
          <w:sz w:val="24"/>
          <w:highlight w:val="none"/>
          <w:lang w:bidi="en-US"/>
        </w:rPr>
        <w:t>2.</w:t>
      </w:r>
      <w:bookmarkEnd w:id="5"/>
      <w:bookmarkEnd w:id="6"/>
      <w:bookmarkEnd w:id="7"/>
      <w:r>
        <w:rPr>
          <w:rFonts w:hint="eastAsia" w:ascii="黑体" w:eastAsia="黑体"/>
          <w:b/>
          <w:color w:val="000000" w:themeColor="text1"/>
          <w:sz w:val="24"/>
          <w:highlight w:val="none"/>
        </w:rPr>
        <w:t>项目概况与采购范围</w:t>
      </w:r>
    </w:p>
    <w:p>
      <w:pPr>
        <w:adjustRightInd w:val="0"/>
        <w:snapToGrid w:val="0"/>
        <w:spacing w:line="400" w:lineRule="exact"/>
        <w:ind w:firstLine="420" w:firstLineChars="200"/>
        <w:rPr>
          <w:rFonts w:ascii="宋体" w:hAnsi="宋体"/>
          <w:color w:val="000000" w:themeColor="text1"/>
          <w:highlight w:val="none"/>
        </w:rPr>
      </w:pPr>
      <w:bookmarkStart w:id="8" w:name="_Toc2249"/>
      <w:bookmarkStart w:id="9" w:name="_Toc62566119"/>
      <w:bookmarkStart w:id="10" w:name="_Toc24269"/>
      <w:r>
        <w:rPr>
          <w:rFonts w:hint="eastAsia" w:ascii="宋体" w:hAnsi="宋体" w:cs="宋体"/>
          <w:color w:val="000000" w:themeColor="text1"/>
          <w:szCs w:val="21"/>
          <w:highlight w:val="none"/>
        </w:rPr>
        <w:t>详见采购公告附件</w:t>
      </w:r>
      <w:r>
        <w:rPr>
          <w:rFonts w:hint="eastAsia" w:ascii="宋体" w:hAnsi="宋体"/>
          <w:color w:val="000000" w:themeColor="text1"/>
          <w:highlight w:val="none"/>
        </w:rPr>
        <w:t>。</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r>
        <w:rPr>
          <w:rFonts w:hint="eastAsia" w:ascii="黑体" w:eastAsia="黑体" w:hAnsiTheme="majorHAnsi" w:cstheme="majorBidi"/>
          <w:b/>
          <w:color w:val="000000" w:themeColor="text1"/>
          <w:kern w:val="0"/>
          <w:sz w:val="24"/>
          <w:highlight w:val="none"/>
          <w:lang w:bidi="en-US"/>
        </w:rPr>
        <w:t>3.应答人资格要求</w:t>
      </w:r>
      <w:bookmarkEnd w:id="8"/>
      <w:bookmarkEnd w:id="9"/>
      <w:bookmarkEnd w:id="10"/>
    </w:p>
    <w:p>
      <w:pPr>
        <w:adjustRightInd w:val="0"/>
        <w:snapToGrid w:val="0"/>
        <w:spacing w:line="400" w:lineRule="exact"/>
        <w:ind w:firstLine="422" w:firstLineChars="200"/>
        <w:rPr>
          <w:rFonts w:ascii="宋体" w:hAnsi="宋体"/>
          <w:b/>
          <w:color w:val="000000" w:themeColor="text1"/>
          <w:highlight w:val="none"/>
        </w:rPr>
      </w:pPr>
      <w:r>
        <w:rPr>
          <w:rFonts w:ascii="宋体" w:hAnsi="宋体"/>
          <w:b/>
          <w:color w:val="000000" w:themeColor="text1"/>
          <w:highlight w:val="none"/>
        </w:rPr>
        <w:t>3.1</w:t>
      </w:r>
      <w:r>
        <w:rPr>
          <w:rFonts w:hint="eastAsia" w:ascii="宋体" w:hAnsi="宋体"/>
          <w:b/>
          <w:color w:val="000000" w:themeColor="text1"/>
          <w:highlight w:val="none"/>
        </w:rPr>
        <w:t xml:space="preserve"> 应答人须满足如下通用资格要求：</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（1）本次采购要求应答人须为中华人民共和国境内依法注册的法人或非法人组织，须具备承担所应答项目的资格条件；并在人员、设备、资金等方面具有保障如期完成采购项目的能力。</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（2）法定代表人或单位负责人为同一人或者存在控股、管理关系的不同单位，不得参加同一标包应答或者未划分标包的同一采购项目应答。</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（3）</w:t>
      </w:r>
      <w:r>
        <w:rPr>
          <w:rFonts w:hint="eastAsia" w:ascii="宋体" w:hAnsi="宋体" w:cs="宋体"/>
          <w:color w:val="000000" w:themeColor="text1"/>
          <w:szCs w:val="21"/>
          <w:highlight w:val="none"/>
        </w:rPr>
        <w:t>取得国家法律、法规、部门规章及规范标准规定的有效许可证。取得采购文件要求的国家强制认证证书</w:t>
      </w:r>
      <w:r>
        <w:rPr>
          <w:rFonts w:hint="eastAsia" w:ascii="宋体" w:hAnsi="宋体"/>
          <w:color w:val="000000" w:themeColor="text1"/>
          <w:highlight w:val="none"/>
        </w:rPr>
        <w:t>。</w:t>
      </w:r>
    </w:p>
    <w:p>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（4）应有良好的财务状况和商业信用。</w:t>
      </w:r>
    </w:p>
    <w:p>
      <w:pPr>
        <w:adjustRightInd w:val="0"/>
        <w:snapToGrid w:val="0"/>
        <w:spacing w:line="400" w:lineRule="exact"/>
        <w:ind w:firstLine="420" w:firstLineChars="200"/>
        <w:rPr>
          <w:highlight w:val="none"/>
        </w:rPr>
      </w:pPr>
      <w:r>
        <w:rPr>
          <w:rFonts w:hint="eastAsia" w:ascii="宋体" w:hAnsi="宋体"/>
          <w:color w:val="000000" w:themeColor="text1"/>
          <w:highlight w:val="none"/>
        </w:rPr>
        <w:t>（5）根据《国家电网有限公司供应商不良行为处理管理细则》的规定，应答人存在导致其被暂停成交资格或取消成交资格的不良行为且在处理有效期内的，</w:t>
      </w:r>
      <w:r>
        <w:rPr>
          <w:rFonts w:hint="eastAsia"/>
          <w:highlight w:val="none"/>
        </w:rPr>
        <w:t>应答人在首次应答截止之日至成交结果发布之前，任一日在不良行为处理期内的，均适用不良行为处理结果。或应答人存在触发《国家电网有限公司供应商不良行为处理管理细则》第三十三条重大问题“熔断机制”情形的，其应答将被否决。</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6）根据最高人民法院、国家发展改革委、国家铁路局等九部门联合印发的《关于在招标投标活动中对失信被执行人实施联合惩戒的通知》（法〔2016〕285号），应答人不得被人民法院列为失信被执行人。应答人不得存在违法失信行为，不得被列入失信被执行人，不得被“信用中国”网站（www.creditchina.gov.cn）列入严重失信主体名单。</w:t>
      </w:r>
    </w:p>
    <w:p>
      <w:pPr>
        <w:tabs>
          <w:tab w:val="left" w:pos="1134"/>
        </w:tabs>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（7）应答人不得被市场监督管理机关在国家企业信用信息公示系统中列入严重违法失信企业名单或列入经营异常名录信息。</w:t>
      </w:r>
    </w:p>
    <w:p>
      <w:pPr>
        <w:adjustRightInd w:val="0"/>
        <w:snapToGrid w:val="0"/>
        <w:spacing w:line="400" w:lineRule="exact"/>
        <w:ind w:firstLine="420" w:firstLineChars="200"/>
        <w:rPr>
          <w:rFonts w:ascii="宋体" w:hAnsi="宋体"/>
          <w:b/>
          <w:color w:val="000000" w:themeColor="text1"/>
          <w:highlight w:val="none"/>
        </w:rPr>
      </w:pPr>
      <w:r>
        <w:rPr>
          <w:rFonts w:hint="eastAsia" w:ascii="宋体" w:hAnsi="宋体"/>
          <w:bCs/>
          <w:color w:val="000000" w:themeColor="text1"/>
          <w:highlight w:val="none"/>
        </w:rPr>
        <w:t>（8）其他。</w:t>
      </w:r>
    </w:p>
    <w:p>
      <w:pPr>
        <w:adjustRightInd w:val="0"/>
        <w:snapToGrid w:val="0"/>
        <w:spacing w:line="400" w:lineRule="exact"/>
        <w:ind w:firstLine="422" w:firstLineChars="200"/>
        <w:rPr>
          <w:rFonts w:ascii="宋体" w:hAnsi="宋体"/>
          <w:b/>
          <w:color w:val="000000" w:themeColor="text1"/>
          <w:highlight w:val="none"/>
        </w:rPr>
      </w:pPr>
      <w:r>
        <w:rPr>
          <w:rFonts w:ascii="宋体" w:hAnsi="宋体"/>
          <w:b/>
          <w:color w:val="000000" w:themeColor="text1"/>
          <w:highlight w:val="none"/>
        </w:rPr>
        <w:t xml:space="preserve">3.2 </w:t>
      </w:r>
      <w:r>
        <w:rPr>
          <w:rFonts w:hint="eastAsia" w:ascii="宋体" w:hAnsi="宋体"/>
          <w:b/>
          <w:color w:val="000000" w:themeColor="text1"/>
          <w:highlight w:val="none"/>
        </w:rPr>
        <w:t>应答人须满足如下专用资格要求：</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详见采购公告附件。</w:t>
      </w:r>
    </w:p>
    <w:p>
      <w:pPr>
        <w:widowControl/>
        <w:adjustRightInd w:val="0"/>
        <w:snapToGrid w:val="0"/>
        <w:spacing w:line="400" w:lineRule="exact"/>
        <w:ind w:firstLine="422" w:firstLineChars="200"/>
        <w:outlineLvl w:val="2"/>
        <w:rPr>
          <w:b/>
          <w:color w:val="000000" w:themeColor="text1"/>
          <w:highlight w:val="none"/>
        </w:rPr>
      </w:pPr>
      <w:r>
        <w:rPr>
          <w:rFonts w:ascii="宋体" w:hAnsi="宋体"/>
          <w:b/>
          <w:color w:val="000000" w:themeColor="text1"/>
          <w:highlight w:val="none"/>
        </w:rPr>
        <w:t>3.</w:t>
      </w:r>
      <w:r>
        <w:rPr>
          <w:rFonts w:hint="eastAsia" w:ascii="宋体" w:hAnsi="宋体"/>
          <w:b/>
          <w:color w:val="000000" w:themeColor="text1"/>
          <w:highlight w:val="none"/>
        </w:rPr>
        <w:t xml:space="preserve">3 </w:t>
      </w:r>
      <w:r>
        <w:rPr>
          <w:rFonts w:hint="eastAsia"/>
          <w:b/>
          <w:color w:val="000000" w:themeColor="text1"/>
          <w:highlight w:val="none"/>
        </w:rPr>
        <w:t>除专用资格要求中明确接受联合体应答的项目外，不接受联合体应答。</w:t>
      </w:r>
    </w:p>
    <w:p>
      <w:pPr>
        <w:adjustRightInd w:val="0"/>
        <w:snapToGrid w:val="0"/>
        <w:spacing w:line="400" w:lineRule="exact"/>
        <w:ind w:firstLine="422" w:firstLineChars="200"/>
        <w:outlineLvl w:val="2"/>
        <w:rPr>
          <w:rFonts w:ascii="宋体" w:hAnsi="宋体"/>
          <w:b/>
          <w:color w:val="000000" w:themeColor="text1"/>
          <w:highlight w:val="none"/>
        </w:rPr>
      </w:pPr>
      <w:r>
        <w:rPr>
          <w:rFonts w:ascii="宋体" w:hAnsi="宋体"/>
          <w:b/>
          <w:color w:val="000000" w:themeColor="text1"/>
          <w:highlight w:val="none"/>
        </w:rPr>
        <w:t>3.</w:t>
      </w:r>
      <w:r>
        <w:rPr>
          <w:rFonts w:hint="eastAsia" w:ascii="宋体" w:hAnsi="宋体"/>
          <w:b/>
          <w:color w:val="000000" w:themeColor="text1"/>
          <w:highlight w:val="none"/>
        </w:rPr>
        <w:t>4 如接受联合体应答的，应答人还应遵守以下规定：</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（1）联合体各方均应满足3.1款和3.2款的规定。</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（2</w:t>
      </w:r>
      <w:r>
        <w:rPr>
          <w:rFonts w:ascii="宋体" w:hAnsi="宋体"/>
          <w:color w:val="000000" w:themeColor="text1"/>
          <w:highlight w:val="none"/>
        </w:rPr>
        <w:t>）联合体各方应按照采购文件提供的格式签订联合体协议书，明确联合体牵头人和各方的权利义务</w:t>
      </w:r>
      <w:r>
        <w:rPr>
          <w:rFonts w:hint="eastAsia" w:ascii="宋体" w:hAnsi="宋体"/>
          <w:color w:val="000000" w:themeColor="text1"/>
          <w:highlight w:val="none"/>
        </w:rPr>
        <w:t>。</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（3）联合体牵头人代表联合体各方负责获取本项目的采购文件及应答工作。</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（4）由同一专业的单位组成的联合体，按照资质等级较低的单位确定资质等级；不同专业分工由不同单位分别承担的，按照各自的专业资质确定联合体的资质。</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（5）联合体各方不得再以自己名义单独或参加其他联合体在同一标包中应答。</w:t>
      </w:r>
    </w:p>
    <w:p>
      <w:pPr>
        <w:adjustRightInd w:val="0"/>
        <w:snapToGrid w:val="0"/>
        <w:spacing w:line="400" w:lineRule="exact"/>
        <w:ind w:firstLine="422" w:firstLineChars="200"/>
        <w:rPr>
          <w:color w:val="000000" w:themeColor="text1"/>
          <w:highlight w:val="none"/>
        </w:rPr>
      </w:pPr>
      <w:r>
        <w:rPr>
          <w:rFonts w:ascii="宋体" w:hAnsi="宋体"/>
          <w:b/>
          <w:color w:val="000000" w:themeColor="text1"/>
          <w:highlight w:val="none"/>
        </w:rPr>
        <w:t>3.5</w:t>
      </w:r>
      <w:r>
        <w:rPr>
          <w:rFonts w:hint="eastAsia"/>
          <w:color w:val="000000" w:themeColor="text1"/>
          <w:highlight w:val="none"/>
        </w:rPr>
        <w:t>除专用资格要求中明确接受代理商应答的项目外，</w:t>
      </w:r>
      <w:r>
        <w:rPr>
          <w:rFonts w:hint="eastAsia"/>
          <w:highlight w:val="none"/>
        </w:rPr>
        <w:t>不接受代理</w:t>
      </w:r>
      <w:r>
        <w:rPr>
          <w:rFonts w:hint="eastAsia"/>
          <w:color w:val="000000" w:themeColor="text1"/>
          <w:highlight w:val="none"/>
        </w:rPr>
        <w:t>商应答。</w:t>
      </w:r>
    </w:p>
    <w:p>
      <w:pPr>
        <w:adjustRightInd w:val="0"/>
        <w:snapToGrid w:val="0"/>
        <w:spacing w:line="400" w:lineRule="exact"/>
        <w:ind w:firstLine="422" w:firstLineChars="200"/>
        <w:rPr>
          <w:color w:val="000000" w:themeColor="text1"/>
          <w:highlight w:val="none"/>
        </w:rPr>
      </w:pPr>
      <w:r>
        <w:rPr>
          <w:rFonts w:ascii="宋体" w:hAnsi="宋体"/>
          <w:b/>
          <w:color w:val="000000" w:themeColor="text1"/>
          <w:highlight w:val="none"/>
        </w:rPr>
        <w:t>3.6</w:t>
      </w:r>
      <w:r>
        <w:rPr>
          <w:rFonts w:hint="eastAsia"/>
          <w:color w:val="000000" w:themeColor="text1"/>
          <w:highlight w:val="none"/>
        </w:rPr>
        <w:t>本次采购</w:t>
      </w:r>
      <w:r>
        <w:rPr>
          <w:rFonts w:hint="eastAsia" w:ascii="宋体" w:hAnsi="宋体"/>
          <w:color w:val="000000" w:themeColor="text1"/>
          <w:szCs w:val="21"/>
          <w:highlight w:val="none"/>
        </w:rPr>
        <w:t>不接受</w:t>
      </w:r>
      <w:r>
        <w:rPr>
          <w:rFonts w:hint="eastAsia"/>
          <w:color w:val="000000" w:themeColor="text1"/>
          <w:highlight w:val="none"/>
        </w:rPr>
        <w:t>代理应答。</w:t>
      </w:r>
    </w:p>
    <w:p>
      <w:pPr>
        <w:adjustRightInd w:val="0"/>
        <w:snapToGrid w:val="0"/>
        <w:spacing w:line="400" w:lineRule="exact"/>
        <w:ind w:firstLine="420" w:firstLineChars="199"/>
        <w:rPr>
          <w:color w:val="000000" w:themeColor="text1"/>
          <w:highlight w:val="none"/>
        </w:rPr>
      </w:pPr>
      <w:r>
        <w:rPr>
          <w:rFonts w:ascii="宋体" w:hAnsi="宋体"/>
          <w:b/>
          <w:color w:val="000000" w:themeColor="text1"/>
          <w:highlight w:val="none"/>
        </w:rPr>
        <w:t>3.7</w:t>
      </w:r>
      <w:r>
        <w:rPr>
          <w:rFonts w:hint="eastAsia"/>
          <w:color w:val="000000" w:themeColor="text1"/>
          <w:highlight w:val="none"/>
        </w:rPr>
        <w:t>各应答人均可就本次采购的部分或全部标包应答。</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bookmarkStart w:id="11" w:name="_Toc3136"/>
      <w:bookmarkStart w:id="12" w:name="_Toc26765"/>
      <w:bookmarkStart w:id="13" w:name="_Toc62566120"/>
      <w:r>
        <w:rPr>
          <w:rFonts w:hint="eastAsia" w:ascii="黑体" w:eastAsia="黑体" w:hAnsiTheme="majorHAnsi" w:cstheme="majorBidi"/>
          <w:b/>
          <w:color w:val="000000" w:themeColor="text1"/>
          <w:kern w:val="0"/>
          <w:sz w:val="24"/>
          <w:highlight w:val="none"/>
          <w:lang w:bidi="en-US"/>
        </w:rPr>
        <w:t>4.采购文件的获取</w:t>
      </w:r>
      <w:bookmarkEnd w:id="11"/>
      <w:bookmarkEnd w:id="12"/>
      <w:bookmarkEnd w:id="13"/>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4.1 采购文件（电子文件）免费获取。</w:t>
      </w:r>
    </w:p>
    <w:p>
      <w:pPr>
        <w:wordWrap w:val="0"/>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4.2</w:t>
      </w:r>
      <w:r>
        <w:rPr>
          <w:rFonts w:hint="eastAsia" w:ascii="宋体" w:hAnsi="宋体" w:cs="宋体"/>
          <w:color w:val="000000" w:themeColor="text1"/>
          <w:szCs w:val="21"/>
          <w:highlight w:val="none"/>
        </w:rPr>
        <w:t>凡有意参加应答者，请于</w:t>
      </w:r>
      <w:r>
        <w:rPr>
          <w:rFonts w:hint="eastAsia" w:ascii="宋体" w:hAnsi="宋体"/>
          <w:color w:val="000000"/>
          <w:szCs w:val="21"/>
          <w:highlight w:val="none"/>
          <w:lang w:eastAsia="zh-CN"/>
        </w:rPr>
        <w:t>2023年9月28日-2023年10月1日16:30</w:t>
      </w:r>
      <w:r>
        <w:rPr>
          <w:rFonts w:ascii="宋体" w:hAnsi="宋体"/>
          <w:color w:val="000000" w:themeColor="text1"/>
          <w:highlight w:val="none"/>
        </w:rPr>
        <w:t>（北京时间，下同），</w:t>
      </w:r>
      <w:r>
        <w:rPr>
          <w:rFonts w:hint="eastAsia" w:ascii="宋体" w:hAnsi="宋体"/>
          <w:color w:val="000000" w:themeColor="text1"/>
          <w:highlight w:val="none"/>
        </w:rPr>
        <w:t>登录采购人招投标交易平台信息系统（</w:t>
      </w:r>
      <w:r>
        <w:rPr>
          <w:rFonts w:hint="eastAsia" w:ascii="宋体" w:hAnsi="宋体"/>
          <w:b/>
          <w:color w:val="000000" w:themeColor="text1"/>
          <w:highlight w:val="none"/>
        </w:rPr>
        <w:t>国家电网有限公司电子商务平台</w:t>
      </w:r>
      <w:r>
        <w:rPr>
          <w:rFonts w:ascii="宋体" w:hAnsi="宋体"/>
          <w:b/>
          <w:color w:val="000000" w:themeColor="text1"/>
          <w:highlight w:val="none"/>
        </w:rPr>
        <w:t>https://ecp.sgcc.com.cn</w:t>
      </w:r>
      <w:r>
        <w:rPr>
          <w:rFonts w:hint="eastAsia" w:ascii="宋体" w:hAnsi="宋体"/>
          <w:b/>
          <w:color w:val="000000" w:themeColor="text1"/>
          <w:highlight w:val="none"/>
        </w:rPr>
        <w:t>，以下简称电子商务平台</w:t>
      </w:r>
      <w:r>
        <w:rPr>
          <w:rFonts w:hint="eastAsia" w:ascii="宋体" w:hAnsi="宋体"/>
          <w:color w:val="000000" w:themeColor="text1"/>
          <w:highlight w:val="none"/>
        </w:rPr>
        <w:t>）获取采购文件，并按《电子招标投标办法》等国家法律法规要求，到第三方认证机构办理CA证书电子钥匙。应答人应妥善保管采购人招投标交易平台信息系统账号和密码，以及CA数字证书和密码，因上述账号、数字证书或密码保管不当造成的损失，由应答人自行承担。</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应答人应在采购人招投标交易平台信息系统注册并办理</w:t>
      </w:r>
      <w:r>
        <w:rPr>
          <w:rFonts w:ascii="宋体" w:hAnsi="宋体"/>
          <w:color w:val="000000" w:themeColor="text1"/>
          <w:highlight w:val="none"/>
        </w:rPr>
        <w:t>CA</w:t>
      </w:r>
      <w:r>
        <w:rPr>
          <w:rFonts w:hint="eastAsia" w:ascii="宋体" w:hAnsi="宋体"/>
          <w:color w:val="000000" w:themeColor="text1"/>
          <w:highlight w:val="none"/>
        </w:rPr>
        <w:t>证书电子钥匙方可获取采购文件，电子钥匙的办理流程请登录采购人招投标交易平台信息系统首页“新手指引”→“电子钥匙办理须知”下载所有文件仔细阅读。电子钥匙的办理需要一定的时间，请潜在应答人高度重视。由于没有及时办理电子钥匙导致获取采购文件失败，由应答人自行承担相关责任。支持电话为：4009915500。</w:t>
      </w:r>
    </w:p>
    <w:p>
      <w:pPr>
        <w:adjustRightInd w:val="0"/>
        <w:snapToGrid w:val="0"/>
        <w:spacing w:line="400" w:lineRule="exact"/>
        <w:ind w:firstLine="420" w:firstLineChars="200"/>
        <w:rPr>
          <w:rFonts w:ascii="宋体" w:hAnsi="宋体"/>
          <w:color w:val="000000" w:themeColor="text1"/>
          <w:highlight w:val="none"/>
        </w:rPr>
      </w:pPr>
      <w:r>
        <w:rPr>
          <w:rFonts w:ascii="宋体" w:hAnsi="宋体"/>
          <w:color w:val="000000" w:themeColor="text1"/>
          <w:highlight w:val="none"/>
        </w:rPr>
        <w:t>4.</w:t>
      </w:r>
      <w:r>
        <w:rPr>
          <w:rFonts w:hint="eastAsia" w:ascii="宋体" w:hAnsi="宋体"/>
          <w:color w:val="000000" w:themeColor="text1"/>
          <w:highlight w:val="none"/>
        </w:rPr>
        <w:t>3未按上述时间和方式获取采购文件的，将无法进行后续的应答及报价。</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4.4应答人需利用投标工具进行电子应答文件编制。投标工具下载方式：请各应答人在采购人招投标交易平台信息系统首页“下载专区→供应商投标工具”下载并安装。操作手册及注意事项见首页“操作说明→ECP2.0招标采购流程供应商操作手册”或“演示视频→投标工具操作指导视频”。投标工具操作问题联系采购人招投标交易平台信息系统运维支持电话：</w:t>
      </w:r>
      <w:r>
        <w:rPr>
          <w:rFonts w:ascii="宋体" w:hAnsi="宋体"/>
          <w:color w:val="000000" w:themeColor="text1"/>
          <w:highlight w:val="none"/>
        </w:rPr>
        <w:t>010-63411000</w:t>
      </w:r>
      <w:r>
        <w:rPr>
          <w:rFonts w:hint="eastAsia" w:ascii="宋体" w:hAnsi="宋体"/>
          <w:color w:val="000000" w:themeColor="text1"/>
          <w:highlight w:val="none"/>
        </w:rPr>
        <w:t>。使用投标工具电脑配置要求：内存大于8GB，64位操作系统。</w:t>
      </w:r>
    </w:p>
    <w:p>
      <w:pPr>
        <w:adjustRightInd w:val="0"/>
        <w:snapToGrid w:val="0"/>
        <w:spacing w:line="400" w:lineRule="exact"/>
        <w:ind w:firstLine="420" w:firstLineChars="200"/>
        <w:outlineLvl w:val="2"/>
        <w:rPr>
          <w:rFonts w:hint="default" w:ascii="宋体" w:hAnsi="宋体" w:eastAsia="宋体"/>
          <w:color w:val="000000" w:themeColor="text1"/>
          <w:highlight w:val="none"/>
          <w:lang w:val="en-US" w:eastAsia="zh-CN"/>
        </w:rPr>
      </w:pPr>
      <w:r>
        <w:rPr>
          <w:rFonts w:ascii="宋体" w:hAnsi="宋体"/>
          <w:color w:val="000000" w:themeColor="text1"/>
          <w:highlight w:val="none"/>
        </w:rPr>
        <w:t>4.</w:t>
      </w:r>
      <w:r>
        <w:rPr>
          <w:rFonts w:hint="eastAsia" w:ascii="宋体" w:hAnsi="宋体"/>
          <w:color w:val="000000" w:themeColor="text1"/>
          <w:highlight w:val="none"/>
        </w:rPr>
        <w:t>5</w:t>
      </w:r>
      <w:r>
        <w:rPr>
          <w:rFonts w:ascii="宋体" w:hAnsi="宋体"/>
          <w:color w:val="000000" w:themeColor="text1"/>
          <w:highlight w:val="none"/>
        </w:rPr>
        <w:t xml:space="preserve"> </w:t>
      </w:r>
      <w:r>
        <w:rPr>
          <w:rFonts w:hint="eastAsia" w:ascii="宋体" w:hAnsi="宋体"/>
          <w:color w:val="000000" w:themeColor="text1"/>
          <w:highlight w:val="none"/>
        </w:rPr>
        <w:t>注意事项</w:t>
      </w:r>
      <w:r>
        <w:rPr>
          <w:rFonts w:ascii="宋体" w:hAnsi="宋体"/>
          <w:color w:val="000000" w:themeColor="text1"/>
          <w:highlight w:val="none"/>
        </w:rPr>
        <w:t>:</w:t>
      </w:r>
      <w:r>
        <w:rPr>
          <w:rFonts w:hint="eastAsia" w:ascii="宋体" w:hAnsi="宋体"/>
          <w:color w:val="000000" w:themeColor="text1"/>
          <w:highlight w:val="none"/>
          <w:lang w:eastAsia="zh-CN"/>
        </w:rPr>
        <w:t>本次采购小型基建工程勘察设计项目包</w:t>
      </w:r>
      <w:r>
        <w:rPr>
          <w:rFonts w:hint="eastAsia" w:ascii="宋体" w:hAnsi="宋体"/>
          <w:color w:val="000000" w:themeColor="text1"/>
          <w:highlight w:val="none"/>
          <w:lang w:val="en-US" w:eastAsia="zh-CN"/>
        </w:rPr>
        <w:t>1、包2为框架协议采购，框架项目详见采购公告附件“项目需求一览表”。</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bookmarkStart w:id="14" w:name="_Toc62566121"/>
      <w:bookmarkStart w:id="15" w:name="_Toc6421"/>
      <w:bookmarkStart w:id="16" w:name="_Toc26882"/>
      <w:r>
        <w:rPr>
          <w:rFonts w:hint="eastAsia" w:ascii="黑体" w:eastAsia="黑体" w:hAnsiTheme="majorHAnsi" w:cstheme="majorBidi"/>
          <w:b/>
          <w:color w:val="000000" w:themeColor="text1"/>
          <w:kern w:val="0"/>
          <w:sz w:val="24"/>
          <w:highlight w:val="none"/>
          <w:lang w:bidi="en-US"/>
        </w:rPr>
        <w:t>5.首次应答文件的提交</w:t>
      </w:r>
      <w:bookmarkEnd w:id="14"/>
      <w:bookmarkEnd w:id="15"/>
      <w:bookmarkEnd w:id="16"/>
    </w:p>
    <w:p>
      <w:pPr>
        <w:adjustRightInd w:val="0"/>
        <w:snapToGrid w:val="0"/>
        <w:spacing w:line="400" w:lineRule="exact"/>
        <w:ind w:firstLine="420" w:firstLineChars="200"/>
        <w:outlineLvl w:val="2"/>
        <w:rPr>
          <w:rFonts w:ascii="宋体" w:hAnsi="宋体"/>
          <w:color w:val="FF0000"/>
          <w:highlight w:val="none"/>
        </w:rPr>
      </w:pPr>
      <w:r>
        <w:rPr>
          <w:rFonts w:hint="eastAsia" w:ascii="宋体" w:hAnsi="宋体"/>
          <w:highlight w:val="none"/>
        </w:rPr>
        <w:t>5.1首次应答文件提交的截止时间（首次应答截止时间，下同）：</w:t>
      </w:r>
      <w:r>
        <w:rPr>
          <w:rFonts w:hint="eastAsia" w:ascii="宋体" w:hAnsi="宋体"/>
          <w:color w:val="000000"/>
          <w:highlight w:val="none"/>
          <w:lang w:eastAsia="zh-CN"/>
        </w:rPr>
        <w:t>2023年10月9日9:00</w:t>
      </w:r>
      <w:r>
        <w:rPr>
          <w:rFonts w:hint="eastAsia" w:ascii="宋体" w:hAnsi="宋体"/>
          <w:color w:val="auto"/>
          <w:highlight w:val="none"/>
        </w:rPr>
        <w:t>。</w:t>
      </w:r>
    </w:p>
    <w:p>
      <w:pPr>
        <w:pStyle w:val="4"/>
        <w:spacing w:line="400" w:lineRule="exact"/>
        <w:rPr>
          <w:rFonts w:ascii="Calibri" w:hAnsi="Calibri"/>
          <w:bCs/>
          <w:color w:val="000000"/>
          <w:szCs w:val="22"/>
          <w:highlight w:val="none"/>
        </w:rPr>
      </w:pPr>
      <w:r>
        <w:rPr>
          <w:rFonts w:hint="eastAsia" w:ascii="Calibri" w:hAnsi="Calibri"/>
          <w:b/>
          <w:color w:val="000000"/>
          <w:szCs w:val="22"/>
          <w:highlight w:val="none"/>
        </w:rPr>
        <w:t>应答文件提交时间：</w:t>
      </w:r>
      <w:r>
        <w:rPr>
          <w:rFonts w:hint="eastAsia" w:ascii="Calibri" w:hAnsi="Calibri"/>
          <w:bCs/>
          <w:color w:val="000000"/>
          <w:szCs w:val="22"/>
          <w:highlight w:val="none"/>
        </w:rPr>
        <w:t>所有应答文件应当在首次应答截止时间递交（提交）采购人。</w:t>
      </w:r>
    </w:p>
    <w:p>
      <w:pPr>
        <w:adjustRightInd w:val="0"/>
        <w:snapToGrid w:val="0"/>
        <w:spacing w:line="400" w:lineRule="exact"/>
        <w:ind w:firstLine="422" w:firstLineChars="200"/>
        <w:rPr>
          <w:highlight w:val="none"/>
        </w:rPr>
      </w:pPr>
      <w:r>
        <w:rPr>
          <w:rFonts w:hint="eastAsia"/>
          <w:b/>
          <w:color w:val="000000"/>
          <w:highlight w:val="none"/>
        </w:rPr>
        <w:t>应答文件提交地点：</w:t>
      </w:r>
      <w:r>
        <w:rPr>
          <w:rFonts w:hint="eastAsia"/>
          <w:bCs/>
          <w:color w:val="000000"/>
          <w:highlight w:val="none"/>
        </w:rPr>
        <w:t>电子应答文件提交采购人招投标交易平台信息系统。</w:t>
      </w:r>
    </w:p>
    <w:p>
      <w:pPr>
        <w:adjustRightInd w:val="0"/>
        <w:snapToGrid w:val="0"/>
        <w:spacing w:line="400" w:lineRule="exact"/>
        <w:ind w:firstLine="422" w:firstLineChars="200"/>
        <w:rPr>
          <w:rFonts w:ascii="宋体" w:hAnsi="宋体" w:cs="宋体"/>
          <w:highlight w:val="none"/>
        </w:rPr>
      </w:pPr>
      <w:r>
        <w:rPr>
          <w:rFonts w:hint="eastAsia" w:ascii="宋体" w:hAnsi="宋体" w:cs="宋体"/>
          <w:b/>
          <w:highlight w:val="none"/>
        </w:rPr>
        <w:t>电子应答文件递交方式详见第五章应答文件格式。如要求全部文件上传电子商务平台，应答人仅可通过电子商务平台提交全部应答文件；对于受电子商务平台容量限制，要求通过网盘递交的文件，应答人需应用投标工具U+商务技术大文件功能加密提交网盘文件，在应答截止时间前完成上传提交。</w:t>
      </w:r>
    </w:p>
    <w:p>
      <w:pPr>
        <w:adjustRightInd w:val="0"/>
        <w:snapToGrid w:val="0"/>
        <w:spacing w:line="400" w:lineRule="exact"/>
        <w:ind w:firstLine="420" w:firstLineChars="200"/>
        <w:outlineLvl w:val="2"/>
        <w:rPr>
          <w:rFonts w:ascii="宋体" w:hAnsi="宋体"/>
          <w:highlight w:val="none"/>
        </w:rPr>
      </w:pPr>
      <w:r>
        <w:rPr>
          <w:rFonts w:hint="eastAsia" w:ascii="宋体" w:hAnsi="宋体" w:cs="宋体"/>
          <w:highlight w:val="none"/>
        </w:rPr>
        <w:t>5.2首次应答截止时间之前未成功提交至采购人招投标</w:t>
      </w:r>
      <w:r>
        <w:rPr>
          <w:rFonts w:hint="eastAsia" w:ascii="宋体" w:hAnsi="宋体"/>
          <w:highlight w:val="none"/>
        </w:rPr>
        <w:t>交易平台信息系统的电子应答文件，采购人不予受理。不接受未按规定加密的应答文件及应答文件的修改文件。</w:t>
      </w:r>
      <w:r>
        <w:rPr>
          <w:rFonts w:hint="eastAsia" w:ascii="宋体" w:hAnsi="宋体"/>
          <w:highlight w:val="none"/>
        </w:rPr>
        <w:t>不接受邮寄、现场提交等电子提交方式以外的其他方式提交应答文件及应答文件的修改文件。</w:t>
      </w:r>
    </w:p>
    <w:p>
      <w:pPr>
        <w:adjustRightInd w:val="0"/>
        <w:snapToGrid w:val="0"/>
        <w:spacing w:line="400" w:lineRule="exact"/>
        <w:ind w:firstLine="420" w:firstLineChars="200"/>
        <w:outlineLvl w:val="2"/>
        <w:rPr>
          <w:rFonts w:ascii="宋体" w:hAnsi="宋体" w:cs="宋体"/>
          <w:highlight w:val="none"/>
        </w:rPr>
      </w:pPr>
      <w:r>
        <w:rPr>
          <w:rFonts w:ascii="宋体" w:hAnsi="宋体" w:cs="宋体"/>
          <w:highlight w:val="none"/>
        </w:rPr>
        <w:t>5.3 未按采购公告规定的时间和方式获取并下载采购文件的应答，采购人将不予受理。</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bookmarkStart w:id="17" w:name="_Toc62566122"/>
      <w:bookmarkStart w:id="18" w:name="_Toc20595"/>
      <w:bookmarkStart w:id="19" w:name="_Toc10970"/>
      <w:r>
        <w:rPr>
          <w:rFonts w:hint="eastAsia" w:ascii="黑体" w:eastAsia="黑体" w:hAnsiTheme="majorHAnsi" w:cstheme="majorBidi"/>
          <w:b/>
          <w:color w:val="000000" w:themeColor="text1"/>
          <w:kern w:val="0"/>
          <w:sz w:val="24"/>
          <w:highlight w:val="none"/>
          <w:lang w:bidi="en-US"/>
        </w:rPr>
        <w:t>6.发布公告的媒介</w:t>
      </w:r>
      <w:bookmarkEnd w:id="17"/>
      <w:bookmarkEnd w:id="18"/>
      <w:bookmarkEnd w:id="19"/>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本次采购公告在采购人招投标交易平台信息系统（</w:t>
      </w:r>
      <w:r>
        <w:rPr>
          <w:rFonts w:ascii="宋体" w:hAnsi="宋体"/>
          <w:color w:val="000000" w:themeColor="text1"/>
          <w:highlight w:val="none"/>
        </w:rPr>
        <w:t>https://ecp.sgcc.com.cn</w:t>
      </w:r>
      <w:r>
        <w:rPr>
          <w:rFonts w:hint="eastAsia" w:ascii="宋体" w:hAnsi="宋体"/>
          <w:color w:val="000000" w:themeColor="text1"/>
          <w:highlight w:val="none"/>
        </w:rPr>
        <w:t>）上发布。</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bookmarkStart w:id="20" w:name="_Toc62566123"/>
      <w:bookmarkStart w:id="21" w:name="_Toc1702"/>
      <w:bookmarkStart w:id="22" w:name="_Toc26152"/>
      <w:r>
        <w:rPr>
          <w:rFonts w:hint="eastAsia" w:ascii="黑体" w:eastAsia="黑体" w:hAnsiTheme="majorHAnsi" w:cstheme="majorBidi"/>
          <w:b/>
          <w:color w:val="000000" w:themeColor="text1"/>
          <w:kern w:val="0"/>
          <w:sz w:val="24"/>
          <w:highlight w:val="none"/>
          <w:lang w:bidi="en-US"/>
        </w:rPr>
        <w:t>7.采购文件获取联系方式</w:t>
      </w:r>
      <w:bookmarkEnd w:id="20"/>
      <w:bookmarkEnd w:id="21"/>
      <w:bookmarkEnd w:id="22"/>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采购人：</w:t>
      </w:r>
      <w:r>
        <w:rPr>
          <w:rFonts w:hint="eastAsia" w:ascii="宋体" w:hAnsi="宋体" w:cs="Times New Roman"/>
          <w:color w:val="000000" w:themeColor="text1"/>
          <w:highlight w:val="none"/>
          <w:lang w:val="en-US" w:eastAsia="zh-CN"/>
        </w:rPr>
        <w:t>国网吉林省电力有限公司白山供电公司</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地址：</w:t>
      </w:r>
      <w:r>
        <w:rPr>
          <w:rFonts w:hint="eastAsia" w:ascii="宋体" w:hAnsi="宋体" w:cs="Times New Roman"/>
          <w:color w:val="000000" w:themeColor="text1"/>
          <w:highlight w:val="none"/>
          <w:lang w:val="zh-CN" w:eastAsia="zh-CN"/>
        </w:rPr>
        <w:t>白山市长白山大街3318号</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邮编：</w:t>
      </w:r>
      <w:r>
        <w:rPr>
          <w:rFonts w:hint="eastAsia" w:ascii="宋体" w:hAnsi="宋体"/>
          <w:color w:val="000000" w:themeColor="text1"/>
          <w:highlight w:val="none"/>
          <w:lang w:val="en-US" w:eastAsia="zh-CN"/>
        </w:rPr>
        <w:t xml:space="preserve">133000      </w:t>
      </w:r>
      <w:r>
        <w:rPr>
          <w:rFonts w:hint="eastAsia" w:ascii="宋体" w:hAnsi="宋体" w:cs="Times New Roman"/>
          <w:color w:val="000000" w:themeColor="text1"/>
          <w:highlight w:val="none"/>
          <w:lang w:val="en-US" w:eastAsia="zh-CN"/>
        </w:rPr>
        <w:t>联系人：蒋老师</w:t>
      </w:r>
      <w:r>
        <w:rPr>
          <w:rFonts w:hint="eastAsia" w:ascii="宋体" w:hAnsi="宋体" w:cs="Times New Roman"/>
          <w:color w:val="000000" w:themeColor="text1"/>
          <w:highlight w:val="none"/>
          <w:lang w:val="zh-CN" w:eastAsia="zh-CN"/>
        </w:rPr>
        <w:t>0439-3592420</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采购代理机构：</w:t>
      </w:r>
      <w:r>
        <w:rPr>
          <w:rFonts w:hint="eastAsia" w:ascii="宋体" w:hAnsi="宋体" w:cs="Times New Roman"/>
          <w:color w:val="000000" w:themeColor="text1"/>
          <w:highlight w:val="none"/>
          <w:lang w:val="en-US" w:eastAsia="zh-CN"/>
        </w:rPr>
        <w:t>吉林省吉能电力工程咨询有限公司</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地址：</w:t>
      </w:r>
      <w:r>
        <w:rPr>
          <w:rFonts w:hint="eastAsia" w:ascii="宋体" w:hAnsi="宋体"/>
          <w:color w:val="auto"/>
          <w:szCs w:val="22"/>
          <w:highlight w:val="none"/>
          <w:lang w:eastAsia="zh-CN"/>
        </w:rPr>
        <w:t>吉林省</w:t>
      </w:r>
      <w:r>
        <w:rPr>
          <w:rFonts w:hint="eastAsia" w:ascii="宋体" w:hAnsi="宋体" w:cs="Times New Roman"/>
          <w:color w:val="000000" w:themeColor="text1"/>
          <w:highlight w:val="none"/>
          <w:lang w:val="en-US" w:eastAsia="zh-CN"/>
        </w:rPr>
        <w:t>长春市朝阳区明德路117号</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邮编：</w:t>
      </w:r>
      <w:r>
        <w:rPr>
          <w:rFonts w:hint="eastAsia" w:ascii="宋体" w:hAnsi="宋体"/>
          <w:highlight w:val="none"/>
          <w:lang w:val="en-US" w:eastAsia="zh-CN"/>
        </w:rPr>
        <w:t>130000</w:t>
      </w:r>
    </w:p>
    <w:p>
      <w:pPr>
        <w:tabs>
          <w:tab w:val="left" w:pos="1134"/>
        </w:tabs>
        <w:adjustRightInd w:val="0"/>
        <w:snapToGrid w:val="0"/>
        <w:spacing w:line="400" w:lineRule="exact"/>
        <w:ind w:firstLine="420" w:firstLineChars="200"/>
        <w:rPr>
          <w:color w:val="FF0000"/>
          <w:highlight w:val="none"/>
        </w:rPr>
      </w:pPr>
      <w:r>
        <w:rPr>
          <w:rFonts w:hint="eastAsia" w:ascii="宋体"/>
          <w:szCs w:val="21"/>
          <w:highlight w:val="none"/>
        </w:rPr>
        <w:t>联系人</w:t>
      </w:r>
      <w:r>
        <w:rPr>
          <w:rFonts w:hint="eastAsia"/>
          <w:highlight w:val="none"/>
        </w:rPr>
        <w:t>电话：</w:t>
      </w:r>
      <w:r>
        <w:rPr>
          <w:rFonts w:hint="eastAsia"/>
          <w:highlight w:val="none"/>
          <w:lang w:eastAsia="zh-CN"/>
        </w:rPr>
        <w:t>肖</w:t>
      </w:r>
      <w:r>
        <w:rPr>
          <w:rFonts w:hint="eastAsia" w:ascii="宋体" w:hAnsi="宋体" w:cs="Times New Roman"/>
          <w:color w:val="000000" w:themeColor="text1"/>
          <w:highlight w:val="none"/>
          <w:lang w:val="en-US" w:eastAsia="zh-CN"/>
        </w:rPr>
        <w:t xml:space="preserve">老师 0431-85795072  </w:t>
      </w:r>
    </w:p>
    <w:p>
      <w:pPr>
        <w:tabs>
          <w:tab w:val="left" w:pos="1134"/>
        </w:tabs>
        <w:adjustRightInd w:val="0"/>
        <w:snapToGrid w:val="0"/>
        <w:spacing w:line="400" w:lineRule="exact"/>
        <w:ind w:firstLine="420" w:firstLineChars="200"/>
        <w:rPr>
          <w:color w:val="FF0000"/>
          <w:highlight w:val="none"/>
        </w:rPr>
      </w:pPr>
      <w:r>
        <w:rPr>
          <w:rFonts w:hint="eastAsia"/>
          <w:highlight w:val="none"/>
        </w:rPr>
        <w:t>电子邮件：</w:t>
      </w:r>
      <w:r>
        <w:rPr>
          <w:rFonts w:hint="eastAsia"/>
          <w:highlight w:val="none"/>
          <w:lang w:val="zh-CN" w:eastAsia="zh-CN"/>
        </w:rPr>
        <w:t>jnzb1</w:t>
      </w:r>
      <w:r>
        <w:rPr>
          <w:rFonts w:hint="eastAsia"/>
          <w:highlight w:val="none"/>
          <w:lang w:val="en-US" w:eastAsia="zh-CN"/>
        </w:rPr>
        <w:t>@qq.com</w:t>
      </w:r>
    </w:p>
    <w:p>
      <w:pPr>
        <w:adjustRightInd w:val="0"/>
        <w:snapToGrid w:val="0"/>
        <w:spacing w:line="400" w:lineRule="exact"/>
        <w:ind w:firstLine="422" w:firstLineChars="200"/>
        <w:rPr>
          <w:rFonts w:ascii="宋体" w:hAnsi="宋体"/>
          <w:color w:val="000000" w:themeColor="text1"/>
          <w:highlight w:val="none"/>
        </w:rPr>
      </w:pPr>
      <w:r>
        <w:rPr>
          <w:rFonts w:hint="eastAsia" w:ascii="宋体" w:hAnsi="宋体"/>
          <w:b/>
          <w:color w:val="000000" w:themeColor="text1"/>
          <w:highlight w:val="none"/>
        </w:rPr>
        <w:t>采购人招投标交易平台信息系统（电子商务平台）网址：</w:t>
      </w:r>
      <w:r>
        <w:rPr>
          <w:rFonts w:ascii="宋体" w:hAnsi="宋体"/>
          <w:color w:val="000000" w:themeColor="text1"/>
          <w:highlight w:val="none"/>
        </w:rPr>
        <w:t>https://ecp.sgcc.com.cn</w:t>
      </w:r>
      <w:r>
        <w:rPr>
          <w:rFonts w:ascii="宋体" w:hAnsi="宋体"/>
          <w:b/>
          <w:color w:val="000000" w:themeColor="text1"/>
          <w:highlight w:val="none"/>
        </w:rPr>
        <w:t>（</w:t>
      </w:r>
      <w:r>
        <w:rPr>
          <w:rFonts w:hint="eastAsia" w:ascii="宋体" w:hAnsi="宋体"/>
          <w:b/>
          <w:color w:val="000000" w:themeColor="text1"/>
          <w:highlight w:val="none"/>
        </w:rPr>
        <w:t>新手指引中提供的浏览器）</w:t>
      </w:r>
      <w:r>
        <w:rPr>
          <w:rFonts w:hint="eastAsia" w:ascii="宋体" w:hAnsi="宋体"/>
          <w:color w:val="000000" w:themeColor="text1"/>
          <w:highlight w:val="none"/>
        </w:rPr>
        <w:t>。</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bookmarkStart w:id="23" w:name="_Toc28046"/>
      <w:bookmarkStart w:id="24" w:name="_Toc62566124"/>
      <w:bookmarkStart w:id="25" w:name="_Toc21046"/>
      <w:r>
        <w:rPr>
          <w:rFonts w:hint="eastAsia" w:ascii="黑体" w:eastAsia="黑体" w:hAnsiTheme="majorHAnsi" w:cstheme="majorBidi"/>
          <w:b/>
          <w:color w:val="000000" w:themeColor="text1"/>
          <w:kern w:val="0"/>
          <w:sz w:val="24"/>
          <w:highlight w:val="none"/>
          <w:lang w:bidi="en-US"/>
        </w:rPr>
        <w:t>8.合规声明</w:t>
      </w:r>
      <w:bookmarkEnd w:id="23"/>
      <w:bookmarkEnd w:id="24"/>
      <w:bookmarkEnd w:id="25"/>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本采购文件（包括商务部分和技术部分）符合国家现行法律法规规定，若国家颁布新的法律法规或对现有法律法规进行修订，以新施行的法律法规规定为准。</w:t>
      </w:r>
    </w:p>
    <w:p>
      <w:pPr>
        <w:widowControl/>
        <w:adjustRightInd w:val="0"/>
        <w:snapToGrid w:val="0"/>
        <w:spacing w:before="317" w:beforeLines="100" w:after="158" w:afterLines="50" w:line="400" w:lineRule="exact"/>
        <w:jc w:val="left"/>
        <w:outlineLvl w:val="1"/>
        <w:rPr>
          <w:rFonts w:ascii="黑体" w:eastAsia="黑体" w:hAnsiTheme="majorHAnsi" w:cstheme="majorBidi"/>
          <w:b/>
          <w:color w:val="000000" w:themeColor="text1"/>
          <w:kern w:val="0"/>
          <w:sz w:val="24"/>
          <w:highlight w:val="none"/>
          <w:lang w:bidi="en-US"/>
        </w:rPr>
      </w:pPr>
      <w:r>
        <w:rPr>
          <w:rFonts w:hint="eastAsia" w:ascii="黑体" w:eastAsia="黑体" w:hAnsiTheme="majorHAnsi" w:cstheme="majorBidi"/>
          <w:b/>
          <w:color w:val="000000" w:themeColor="text1"/>
          <w:kern w:val="0"/>
          <w:sz w:val="24"/>
          <w:highlight w:val="none"/>
          <w:lang w:bidi="en-US"/>
        </w:rPr>
        <w:t>9.权利声明</w:t>
      </w:r>
    </w:p>
    <w:p>
      <w:pPr>
        <w:adjustRightInd w:val="0"/>
        <w:snapToGrid w:val="0"/>
        <w:spacing w:line="400" w:lineRule="exact"/>
        <w:ind w:firstLine="420" w:firstLineChars="200"/>
        <w:rPr>
          <w:rFonts w:ascii="宋体" w:hAnsi="宋体"/>
          <w:color w:val="000000" w:themeColor="text1"/>
          <w:highlight w:val="none"/>
        </w:rPr>
      </w:pPr>
      <w:r>
        <w:rPr>
          <w:rFonts w:hint="eastAsia" w:ascii="宋体" w:hAnsi="宋体"/>
          <w:color w:val="000000" w:themeColor="text1"/>
          <w:highlight w:val="none"/>
        </w:rPr>
        <w:t>禁止对本采购文件或公示信息进行任何形式的转载（包括但不限于部分或全文转载、修改后转载）或任何未经书面授权的使用。任何单位或个人不得对采购公告或公示信息等内容进行不全面、不准确、不客观地分析或使用，任何单位或个人违法或违反本条规定转载、使用本采购文件或公示信息的，采购人将依法追究法律责任。</w:t>
      </w:r>
    </w:p>
    <w:p>
      <w:pPr>
        <w:jc w:val="right"/>
        <w:rPr>
          <w:color w:val="000000" w:themeColor="text1"/>
          <w:highlight w:val="none"/>
        </w:rPr>
      </w:pPr>
      <w:r>
        <w:rPr>
          <w:rFonts w:hint="eastAsia" w:ascii="黑体" w:hAnsi="宋体" w:eastAsia="黑体"/>
          <w:color w:val="000000"/>
          <w:sz w:val="28"/>
          <w:szCs w:val="28"/>
          <w:highlight w:val="none"/>
          <w:lang w:eastAsia="zh-CN"/>
        </w:rPr>
        <w:t>2023年9月27日</w:t>
      </w:r>
      <w:r>
        <w:rPr>
          <w:color w:val="000000" w:themeColor="text1"/>
          <w:highlight w:val="none"/>
        </w:rPr>
        <w:br w:type="page"/>
      </w:r>
    </w:p>
    <w:p>
      <w:pPr>
        <w:widowControl/>
        <w:jc w:val="left"/>
        <w:rPr>
          <w:rFonts w:ascii="宋体" w:hAnsi="宋体"/>
          <w:b/>
          <w:color w:val="FF0000"/>
          <w:highlight w:val="none"/>
        </w:rPr>
        <w:sectPr>
          <w:headerReference r:id="rId9" w:type="first"/>
          <w:footerReference r:id="rId12" w:type="first"/>
          <w:headerReference r:id="rId7" w:type="default"/>
          <w:footerReference r:id="rId10" w:type="default"/>
          <w:headerReference r:id="rId8" w:type="even"/>
          <w:footerReference r:id="rId11" w:type="even"/>
          <w:pgSz w:w="11905" w:h="16838"/>
          <w:pgMar w:top="1134" w:right="1803" w:bottom="1134" w:left="1803" w:header="850" w:footer="992" w:gutter="0"/>
          <w:pgNumType w:start="0"/>
          <w:cols w:space="0" w:num="1"/>
          <w:docGrid w:type="lines" w:linePitch="317" w:charSpace="0"/>
        </w:sectPr>
      </w:pPr>
    </w:p>
    <w:p>
      <w:pPr>
        <w:pStyle w:val="5"/>
        <w:spacing w:after="0"/>
        <w:jc w:val="left"/>
        <w:outlineLvl w:val="1"/>
        <w:rPr>
          <w:rFonts w:ascii="黑体" w:hAnsi="黑体" w:eastAsia="黑体" w:cs="黑体"/>
          <w:b/>
          <w:bCs/>
          <w:color w:val="000000" w:themeColor="text1"/>
          <w:sz w:val="24"/>
          <w:highlight w:val="none"/>
        </w:rPr>
      </w:pPr>
      <w:r>
        <w:rPr>
          <w:rFonts w:hint="eastAsia" w:ascii="黑体" w:hAnsi="黑体" w:eastAsia="黑体" w:cs="黑体"/>
          <w:b/>
          <w:bCs/>
          <w:sz w:val="24"/>
          <w:highlight w:val="none"/>
        </w:rPr>
        <w:t>采购公告附件</w:t>
      </w:r>
    </w:p>
    <w:p>
      <w:pPr>
        <w:widowControl w:val="0"/>
        <w:adjustRightInd w:val="0"/>
        <w:snapToGrid w:val="0"/>
        <w:spacing w:after="0" w:line="240" w:lineRule="auto"/>
        <w:jc w:val="both"/>
        <w:rPr>
          <w:rFonts w:hint="eastAsia" w:ascii="黑体" w:hAnsi="黑体" w:eastAsia="黑体" w:cs="黑体"/>
          <w:b/>
          <w:bCs/>
          <w:color w:val="auto"/>
          <w:kern w:val="2"/>
          <w:sz w:val="22"/>
          <w:szCs w:val="22"/>
          <w:highlight w:val="none"/>
          <w:lang w:val="en-US" w:eastAsia="zh-CN" w:bidi="ar-SA"/>
        </w:rPr>
      </w:pPr>
    </w:p>
    <w:p>
      <w:pPr>
        <w:widowControl w:val="0"/>
        <w:adjustRightInd w:val="0"/>
        <w:snapToGrid w:val="0"/>
        <w:spacing w:after="0" w:line="240" w:lineRule="auto"/>
        <w:jc w:val="both"/>
        <w:rPr>
          <w:rFonts w:hint="eastAsia" w:ascii="宋体" w:hAnsi="宋体" w:cs="宋体"/>
          <w:sz w:val="24"/>
          <w:szCs w:val="24"/>
          <w:highlight w:val="none"/>
          <w:lang w:eastAsia="zh-CN"/>
        </w:rPr>
      </w:pPr>
      <w:r>
        <w:rPr>
          <w:rFonts w:hint="eastAsia" w:ascii="黑体" w:hAnsi="黑体" w:eastAsia="黑体" w:cs="黑体"/>
          <w:b/>
          <w:bCs/>
          <w:color w:val="auto"/>
          <w:kern w:val="2"/>
          <w:sz w:val="22"/>
          <w:szCs w:val="22"/>
          <w:highlight w:val="none"/>
          <w:lang w:val="en-US" w:eastAsia="zh-CN" w:bidi="ar-SA"/>
        </w:rPr>
        <w:t>项目需求一览表：</w:t>
      </w:r>
      <w:r>
        <w:rPr>
          <w:rFonts w:hint="eastAsia" w:ascii="黑体" w:hAnsi="黑体" w:eastAsia="黑体" w:cs="黑体"/>
          <w:b/>
          <w:bCs/>
          <w:color w:val="auto"/>
          <w:kern w:val="2"/>
          <w:sz w:val="22"/>
          <w:szCs w:val="22"/>
          <w:highlight w:val="none"/>
          <w:lang w:val="en-US" w:eastAsia="zh-CN" w:bidi="ar-SA"/>
        </w:rPr>
        <w:object>
          <v:shape id="_x0000_i1025" o:spt="75" type="#_x0000_t75" style="height:66pt;width:72.75pt;" o:ole="t" filled="f" o:preferrelative="t" stroked="f" coordsize="21600,21600">
            <v:path/>
            <v:fill on="f" focussize="0,0"/>
            <v:stroke on="f"/>
            <v:imagedata r:id="rId17" o:title=""/>
            <o:lock v:ext="edit" aspectratio="t"/>
            <w10:wrap type="none"/>
            <w10:anchorlock/>
          </v:shape>
          <o:OLEObject Type="Embed" ProgID="Excel.Sheet.12" ShapeID="_x0000_i1025" DrawAspect="Icon" ObjectID="_1468075725" r:id="rId16">
            <o:LockedField>false</o:LockedField>
          </o:OLEObject>
        </w:object>
      </w:r>
      <w:r>
        <w:rPr>
          <w:rFonts w:hint="eastAsia" w:ascii="黑体" w:hAnsi="黑体" w:eastAsia="黑体" w:cs="黑体"/>
          <w:b/>
          <w:bCs/>
          <w:color w:val="auto"/>
          <w:kern w:val="2"/>
          <w:sz w:val="22"/>
          <w:szCs w:val="22"/>
          <w:highlight w:val="none"/>
          <w:lang w:val="en-US" w:eastAsia="zh-CN" w:bidi="ar-SA"/>
        </w:rPr>
        <w:t xml:space="preserve">   供应商信息表：</w:t>
      </w:r>
      <w:r>
        <w:rPr>
          <w:rFonts w:hint="eastAsia" w:ascii="黑体" w:hAnsi="黑体" w:eastAsia="黑体" w:cs="黑体"/>
          <w:b/>
          <w:bCs/>
          <w:color w:val="auto"/>
          <w:kern w:val="2"/>
          <w:sz w:val="22"/>
          <w:szCs w:val="22"/>
          <w:highlight w:val="none"/>
          <w:lang w:val="en-US" w:eastAsia="zh-CN" w:bidi="ar-SA"/>
        </w:rPr>
        <w:object>
          <v:shape id="_x0000_i1026" o:spt="75" type="#_x0000_t75" style="height:66pt;width:72.75pt;" o:ole="t" filled="f" o:preferrelative="t" stroked="f" coordsize="21600,21600">
            <v:path/>
            <v:fill on="f" focussize="0,0"/>
            <v:stroke on="f"/>
            <v:imagedata r:id="rId19" o:title=""/>
            <o:lock v:ext="edit" aspectratio="t"/>
            <w10:wrap type="none"/>
            <w10:anchorlock/>
          </v:shape>
          <o:OLEObject Type="Embed" ProgID="Excel.Sheet.12" ShapeID="_x0000_i1026" DrawAspect="Icon" ObjectID="_1468075726" r:id="rId18">
            <o:LockedField>false</o:LockedField>
          </o:OLEObject>
        </w:object>
      </w:r>
    </w:p>
    <w:p>
      <w:pPr>
        <w:jc w:val="left"/>
        <w:rPr>
          <w:rFonts w:hint="eastAsia" w:ascii="宋体" w:hAnsi="宋体" w:eastAsia="宋体" w:cs="宋体"/>
          <w:sz w:val="24"/>
          <w:szCs w:val="24"/>
          <w:highlight w:val="none"/>
          <w:lang w:val="en-US" w:eastAsia="zh-CN"/>
        </w:rPr>
      </w:pPr>
      <w:r>
        <w:rPr>
          <w:rFonts w:hint="eastAsia" w:ascii="宋体" w:hAnsi="宋体" w:cs="宋体"/>
          <w:sz w:val="24"/>
          <w:szCs w:val="24"/>
          <w:highlight w:val="none"/>
          <w:lang w:eastAsia="zh-CN"/>
        </w:rPr>
        <w:t>打开方式</w:t>
      </w:r>
      <w:r>
        <w:rPr>
          <w:rFonts w:hint="eastAsia" w:ascii="宋体" w:hAnsi="宋体" w:eastAsia="宋体" w:cs="宋体"/>
          <w:sz w:val="24"/>
          <w:szCs w:val="24"/>
          <w:highlight w:val="none"/>
        </w:rPr>
        <w:t>：①</w:t>
      </w:r>
      <w:r>
        <w:rPr>
          <w:rFonts w:hint="eastAsia" w:ascii="宋体" w:hAnsi="宋体" w:cs="宋体"/>
          <w:sz w:val="24"/>
          <w:szCs w:val="24"/>
          <w:highlight w:val="none"/>
          <w:lang w:eastAsia="zh-CN"/>
        </w:rPr>
        <w:t>选中项目需求一览表，将此表复制；</w:t>
      </w:r>
    </w:p>
    <w:p>
      <w:pPr>
        <w:ind w:left="1206" w:leftChars="0" w:firstLine="0" w:firstLineChars="0"/>
        <w:jc w:val="left"/>
        <w:rPr>
          <w:rFonts w:hint="eastAsia" w:ascii="宋体" w:hAnsi="宋体" w:cs="宋体"/>
          <w:sz w:val="24"/>
          <w:szCs w:val="24"/>
          <w:highlight w:val="none"/>
          <w:lang w:val="en-US" w:eastAsia="zh-CN"/>
        </w:rPr>
      </w:pPr>
      <w:r>
        <w:rPr>
          <w:rFonts w:hint="eastAsia" w:ascii="宋体" w:hAnsi="宋体" w:eastAsia="宋体" w:cs="宋体"/>
          <w:sz w:val="24"/>
          <w:szCs w:val="24"/>
          <w:highlight w:val="none"/>
        </w:rPr>
        <w:t>②</w:t>
      </w:r>
      <w:r>
        <w:rPr>
          <w:rFonts w:hint="eastAsia" w:ascii="宋体" w:hAnsi="宋体" w:cs="宋体"/>
          <w:sz w:val="24"/>
          <w:szCs w:val="24"/>
          <w:highlight w:val="none"/>
          <w:lang w:eastAsia="zh-CN"/>
        </w:rPr>
        <w:t>粘贴至新建文档（或</w:t>
      </w:r>
      <w:r>
        <w:rPr>
          <w:rFonts w:hint="eastAsia" w:ascii="宋体" w:hAnsi="宋体" w:cs="宋体"/>
          <w:sz w:val="24"/>
          <w:szCs w:val="24"/>
          <w:highlight w:val="none"/>
          <w:lang w:val="en-US" w:eastAsia="zh-CN"/>
        </w:rPr>
        <w:t>EXCEL均可</w:t>
      </w:r>
      <w:r>
        <w:rPr>
          <w:rFonts w:hint="eastAsia" w:ascii="宋体" w:hAnsi="宋体" w:cs="宋体"/>
          <w:sz w:val="24"/>
          <w:szCs w:val="24"/>
          <w:highlight w:val="none"/>
          <w:lang w:eastAsia="zh-CN"/>
        </w:rPr>
        <w:t>）并双击打开</w:t>
      </w:r>
      <w:r>
        <w:rPr>
          <w:rFonts w:hint="eastAsia" w:ascii="宋体" w:hAnsi="宋体" w:eastAsia="宋体" w:cs="宋体"/>
          <w:sz w:val="24"/>
          <w:szCs w:val="24"/>
          <w:highlight w:val="none"/>
        </w:rPr>
        <w:t xml:space="preserve">。 </w:t>
      </w:r>
    </w:p>
    <w:p>
      <w:pPr>
        <w:jc w:val="center"/>
        <w:rPr>
          <w:rFonts w:hint="eastAsia" w:ascii="宋体" w:hAnsi="宋体" w:eastAsia="宋体" w:cs="宋体"/>
          <w:b/>
          <w:bCs/>
          <w:color w:val="000000"/>
          <w:sz w:val="24"/>
          <w:szCs w:val="24"/>
          <w:highlight w:val="none"/>
          <w:lang w:eastAsia="zh-CN"/>
        </w:rPr>
      </w:pPr>
      <w:r>
        <w:rPr>
          <w:rFonts w:hint="eastAsia" w:ascii="宋体" w:hAnsi="宋体" w:eastAsia="宋体" w:cs="宋体"/>
          <w:b/>
          <w:bCs/>
          <w:color w:val="000000"/>
          <w:sz w:val="24"/>
          <w:szCs w:val="24"/>
          <w:highlight w:val="none"/>
          <w:lang w:eastAsia="zh-CN"/>
        </w:rPr>
        <w:drawing>
          <wp:inline distT="0" distB="0" distL="114300" distR="114300">
            <wp:extent cx="3270885" cy="2445385"/>
            <wp:effectExtent l="0" t="0" r="5715" b="12065"/>
            <wp:docPr id="1" name="图片 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未标题-1"/>
                    <pic:cNvPicPr>
                      <a:picLocks noChangeAspect="1"/>
                    </pic:cNvPicPr>
                  </pic:nvPicPr>
                  <pic:blipFill>
                    <a:blip r:embed="rId20"/>
                    <a:stretch>
                      <a:fillRect/>
                    </a:stretch>
                  </pic:blipFill>
                  <pic:spPr>
                    <a:xfrm>
                      <a:off x="0" y="0"/>
                      <a:ext cx="3270885" cy="2445385"/>
                    </a:xfrm>
                    <a:prstGeom prst="rect">
                      <a:avLst/>
                    </a:prstGeom>
                  </pic:spPr>
                </pic:pic>
              </a:graphicData>
            </a:graphic>
          </wp:inline>
        </w:drawing>
      </w:r>
    </w:p>
    <w:p>
      <w:pPr>
        <w:jc w:val="left"/>
        <w:rPr>
          <w:rFonts w:hint="eastAsia" w:ascii="宋体" w:hAnsi="宋体" w:cs="宋体"/>
          <w:sz w:val="24"/>
          <w:szCs w:val="24"/>
          <w:highlight w:val="none"/>
          <w:lang w:val="en-US" w:eastAsia="zh-CN"/>
        </w:rPr>
      </w:pPr>
      <w:r>
        <w:rPr>
          <w:rFonts w:hint="eastAsia" w:ascii="宋体" w:hAnsi="宋体" w:cs="宋体"/>
          <w:sz w:val="24"/>
          <w:szCs w:val="24"/>
          <w:highlight w:val="none"/>
          <w:lang w:val="zh-CN" w:eastAsia="zh-CN"/>
        </w:rPr>
        <w:t>请获取采购文件的应答人规范填写《供应商信息表》（需在线上报名时同时递交，必填否则</w:t>
      </w:r>
      <w:r>
        <w:rPr>
          <w:rFonts w:hint="eastAsia" w:ascii="宋体" w:hAnsi="宋体" w:cs="宋体"/>
          <w:b/>
          <w:bCs/>
          <w:color w:val="FF0000"/>
          <w:sz w:val="24"/>
          <w:szCs w:val="24"/>
          <w:highlight w:val="none"/>
          <w:lang w:val="zh-CN" w:eastAsia="zh-CN"/>
        </w:rPr>
        <w:t>严重影响保证金退回时间</w:t>
      </w:r>
      <w:r>
        <w:rPr>
          <w:rFonts w:hint="eastAsia" w:ascii="宋体" w:hAnsi="宋体" w:cs="宋体"/>
          <w:sz w:val="24"/>
          <w:szCs w:val="24"/>
          <w:highlight w:val="none"/>
          <w:lang w:val="zh-CN" w:eastAsia="zh-CN"/>
        </w:rPr>
        <w:t>！</w:t>
      </w:r>
      <w:r>
        <w:rPr>
          <w:rFonts w:hint="eastAsia" w:ascii="宋体" w:hAnsi="宋体" w:cs="宋体"/>
          <w:sz w:val="24"/>
          <w:szCs w:val="24"/>
          <w:highlight w:val="none"/>
          <w:lang w:val="en-US" w:eastAsia="zh-CN"/>
        </w:rPr>
        <w:t>表格文件请以“应答人名称+供应商信息表”命名</w:t>
      </w:r>
      <w:r>
        <w:rPr>
          <w:rFonts w:hint="eastAsia" w:ascii="宋体" w:hAnsi="宋体" w:cs="宋体"/>
          <w:sz w:val="24"/>
          <w:szCs w:val="24"/>
          <w:highlight w:val="none"/>
          <w:lang w:val="zh-CN" w:eastAsia="zh-CN"/>
        </w:rPr>
        <w:t>）发送邮件至</w:t>
      </w:r>
      <w:r>
        <w:rPr>
          <w:rFonts w:hint="eastAsia"/>
          <w:highlight w:val="none"/>
          <w:lang w:val="zh-CN" w:eastAsia="zh-CN"/>
        </w:rPr>
        <w:t>jnzb1</w:t>
      </w:r>
      <w:r>
        <w:rPr>
          <w:rFonts w:hint="eastAsia"/>
          <w:highlight w:val="none"/>
          <w:lang w:val="en-US" w:eastAsia="zh-CN"/>
        </w:rPr>
        <w:t>@qq.com</w:t>
      </w:r>
      <w:r>
        <w:rPr>
          <w:rFonts w:hint="eastAsia" w:ascii="宋体" w:hAnsi="宋体" w:cs="宋体"/>
          <w:sz w:val="24"/>
          <w:szCs w:val="24"/>
          <w:highlight w:val="none"/>
          <w:lang w:val="en-US" w:eastAsia="zh-CN"/>
        </w:rPr>
        <w:t>(如若显示发送失败则为邮箱受到收发限制,请另发送至</w:t>
      </w:r>
      <w:r>
        <w:rPr>
          <w:rFonts w:hint="eastAsia"/>
          <w:highlight w:val="none"/>
          <w:lang w:val="zh-CN" w:eastAsia="zh-CN"/>
        </w:rPr>
        <w:t>jnzb1</w:t>
      </w:r>
      <w:r>
        <w:rPr>
          <w:rFonts w:hint="eastAsia"/>
          <w:highlight w:val="none"/>
          <w:lang w:val="en-US" w:eastAsia="zh-CN"/>
        </w:rPr>
        <w:t>@qq.com</w:t>
      </w:r>
      <w:r>
        <w:rPr>
          <w:rFonts w:hint="eastAsia" w:ascii="宋体" w:hAnsi="宋体" w:cs="宋体"/>
          <w:sz w:val="24"/>
          <w:szCs w:val="24"/>
          <w:highlight w:val="none"/>
          <w:lang w:val="en-US" w:eastAsia="zh-CN"/>
        </w:rPr>
        <w:t>),</w:t>
      </w:r>
      <w:r>
        <w:rPr>
          <w:rFonts w:hint="eastAsia" w:ascii="宋体" w:hAnsi="宋体" w:cs="宋体"/>
          <w:b/>
          <w:bCs/>
          <w:color w:val="FF0000"/>
          <w:sz w:val="24"/>
          <w:szCs w:val="24"/>
          <w:highlight w:val="none"/>
          <w:lang w:val="en-US" w:eastAsia="zh-CN"/>
        </w:rPr>
        <w:t>如参与过我单位往期招标采购项目且无信息变更，则无需递交</w:t>
      </w:r>
      <w:r>
        <w:rPr>
          <w:rFonts w:hint="eastAsia" w:ascii="宋体" w:hAnsi="宋体" w:cs="宋体"/>
          <w:sz w:val="24"/>
          <w:szCs w:val="24"/>
          <w:highlight w:val="none"/>
          <w:lang w:val="en-US" w:eastAsia="zh-CN"/>
        </w:rPr>
        <w:t>。</w:t>
      </w:r>
    </w:p>
    <w:p>
      <w:pPr>
        <w:jc w:val="left"/>
        <w:rPr>
          <w:rFonts w:hint="default" w:ascii="宋体" w:hAnsi="宋体" w:eastAsia="宋体" w:cs="宋体"/>
          <w:sz w:val="24"/>
          <w:szCs w:val="24"/>
          <w:highlight w:val="none"/>
          <w:lang w:val="en-US" w:eastAsia="zh-CN"/>
        </w:rPr>
      </w:pPr>
      <w:r>
        <w:rPr>
          <w:rFonts w:hint="eastAsia" w:ascii="宋体" w:hAnsi="宋体" w:cs="宋体"/>
          <w:sz w:val="24"/>
          <w:szCs w:val="24"/>
          <w:highlight w:val="none"/>
          <w:lang w:val="en-US" w:eastAsia="zh-CN"/>
        </w:rPr>
        <w:t>打开方式：同上</w:t>
      </w:r>
    </w:p>
    <w:p>
      <w:pPr>
        <w:jc w:val="left"/>
        <w:rPr>
          <w:rFonts w:hint="eastAsia" w:ascii="宋体" w:hAnsi="宋体" w:cs="宋体"/>
          <w:sz w:val="24"/>
          <w:szCs w:val="24"/>
          <w:highlight w:val="none"/>
          <w:lang w:val="zh-CN" w:eastAsia="zh-CN"/>
        </w:rPr>
      </w:pPr>
      <w:r>
        <w:rPr>
          <w:rFonts w:hint="eastAsia" w:ascii="宋体" w:hAnsi="宋体" w:cs="宋体"/>
          <w:sz w:val="24"/>
          <w:szCs w:val="24"/>
          <w:highlight w:val="none"/>
          <w:lang w:val="zh-CN" w:eastAsia="zh-CN"/>
        </w:rPr>
        <w:t>※如弃标不投也必须提交此表，并附《弃标函》（弃标函格式自拟，要求写清原本所投项目、分标名称、分包编号，以及弃标原因。需盖公章及法人签字）</w:t>
      </w:r>
    </w:p>
    <w:p>
      <w:pPr>
        <w:pStyle w:val="6"/>
        <w:rPr>
          <w:highlight w:val="none"/>
        </w:rPr>
        <w:sectPr>
          <w:pgSz w:w="16781" w:h="11849" w:orient="landscape"/>
          <w:pgMar w:top="1134" w:right="1803" w:bottom="1134" w:left="1803" w:header="850" w:footer="992" w:gutter="0"/>
          <w:pgNumType w:start="0"/>
          <w:cols w:space="0" w:num="1"/>
          <w:docGrid w:type="lines" w:linePitch="317" w:charSpace="0"/>
        </w:sectPr>
      </w:pPr>
      <w:r>
        <w:rPr>
          <w:rFonts w:hint="eastAsia" w:ascii="宋体" w:hAnsi="宋体" w:cs="宋体"/>
          <w:b/>
          <w:bCs/>
          <w:color w:val="FF0000"/>
          <w:sz w:val="24"/>
          <w:szCs w:val="24"/>
          <w:highlight w:val="none"/>
          <w:lang w:val="en-US" w:eastAsia="zh-CN"/>
        </w:rPr>
        <w:t>特别注意：每月28-31日为招标公司封账日，请绝不要在这几天汇保证金与代理服务费，请于次月1日后向招标公司汇款！</w:t>
      </w:r>
    </w:p>
    <w:p>
      <w:pPr>
        <w:rPr>
          <w:highlight w:val="none"/>
        </w:rPr>
      </w:pPr>
    </w:p>
    <w:sectPr>
      <w:headerReference r:id="rId13" w:type="default"/>
      <w:footerReference r:id="rId14" w:type="default"/>
      <w:pgSz w:w="11905" w:h="16838"/>
      <w:pgMar w:top="1134" w:right="1803" w:bottom="1134" w:left="1803" w:header="850" w:footer="992" w:gutter="0"/>
      <w:cols w:space="0" w:num="1"/>
      <w:docGrid w:type="lines" w:linePitch="31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等线">
    <w:altName w:val="微软雅黑"/>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方正小标宋_GBK">
    <w:altName w:val="微软雅黑"/>
    <w:panose1 w:val="00000000000000000000"/>
    <w:charset w:val="86"/>
    <w:family w:val="script"/>
    <w:pitch w:val="default"/>
    <w:sig w:usb0="00000000" w:usb1="0000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Microsoft JhengHei">
    <w:panose1 w:val="020B0604030504040204"/>
    <w:charset w:val="88"/>
    <w:family w:val="swiss"/>
    <w:pitch w:val="default"/>
    <w:sig w:usb0="00000087" w:usb1="28AF4000" w:usb2="00000016" w:usb3="00000000" w:csb0="00100009"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ind w:firstLine="240"/>
      <w:rPr>
        <w:sz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ind w:firstLine="240"/>
      <w:rPr>
        <w:sz w:val="1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left="420" w:hanging="420"/>
      <w:jc w:val="center"/>
    </w:pPr>
    <w:r>
      <w:fldChar w:fldCharType="begin"/>
    </w:r>
    <w:r>
      <w:instrText xml:space="preserve"> PAGE   \* MERGEFORMAT </w:instrText>
    </w:r>
    <w:r>
      <w:fldChar w:fldCharType="separate"/>
    </w:r>
    <w:r>
      <w:rPr>
        <w:lang w:val="zh-CN"/>
      </w:rPr>
      <w:t>34</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1"/>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1"/>
      </w:pBdr>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dit="comments" w:enforcement="1" w:cryptProviderType="rsaFull" w:cryptAlgorithmClass="hash" w:cryptAlgorithmType="typeAny" w:cryptAlgorithmSid="4" w:cryptSpinCount="0" w:hash="NQGhhvsGN6pRjCJxgdfsGPBzJ5Y=" w:salt="BVUHJN/bw9NVV94QTXlUAw=="/>
  <w:defaultTabStop w:val="420"/>
  <w:drawingGridHorizontalSpacing w:val="210"/>
  <w:drawingGridVerticalSpacing w:val="158"/>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6437FF2E00008B7B" w:val=" "/>
    <w:docVar w:name="643B967F00005CAE" w:val=" "/>
    <w:docVar w:name="643B9A2000008996" w:val=" "/>
    <w:docVar w:name="643B9AA300008B51" w:val=" "/>
    <w:docVar w:name="643BA6C40000EBAD" w:val=" "/>
    <w:docVar w:name="645B671D0000FE40" w:val=" "/>
    <w:docVar w:name="645B745400009C1E" w:val=" "/>
    <w:docVar w:name="645B849900002ABF" w:val=" "/>
    <w:docVar w:name="645BB40800009D08" w:val=" "/>
    <w:docVar w:name="64618BA60000DEA7" w:val=" "/>
    <w:docVar w:name="6464457B0000AD9D" w:val=" "/>
    <w:docVar w:name="6470227F000087F2" w:val=" "/>
    <w:docVar w:name="6470296D000097EC" w:val=" "/>
    <w:docVar w:name="6479930600005424" w:val=" "/>
    <w:docVar w:name="6482A2B900008194" w:val=" "/>
    <w:docVar w:name="64902B460000DEF6" w:val=" "/>
    <w:docVar w:name="6499005400000079" w:val=" "/>
    <w:docVar w:name="64AFCA310000A29F" w:val=" "/>
    <w:docVar w:name="64BF7A0C00004699" w:val=" "/>
    <w:docVar w:name="64C09A1A00002970" w:val=" "/>
    <w:docVar w:name="64C0BF6B0000F00A" w:val=" "/>
    <w:docVar w:name="64C0D14C0000C59B" w:val=" "/>
    <w:docVar w:name="64C0D1AA0000343E" w:val=" "/>
    <w:docVar w:name="64C0DDF70000402B" w:val=" "/>
    <w:docVar w:name="64E7F6A900006F07" w:val=" "/>
    <w:docVar w:name="64E7FB8100005AAD" w:val=" "/>
    <w:docVar w:name="64E8094E000042AC" w:val=" "/>
    <w:docVar w:name="64F577D10000DC31" w:val=" "/>
    <w:docVar w:name="65137AF600004105" w:val=" "/>
    <w:docVar w:name="65137D9400007CBD" w:val=" "/>
    <w:docVar w:name="65137D9F0000A7F1" w:val=" "/>
    <w:docVar w:name="6513940600002AA9" w:val=" "/>
    <w:docVar w:name="65139B4E00009A7C" w:val=" "/>
    <w:docVar w:name="65139CC000004136" w:val=" "/>
    <w:docVar w:name="65139CCF00007965" w:val=" "/>
    <w:docVar w:name="6513AD500000F2BB" w:val=" "/>
    <w:docVar w:name="6513B59500003F64" w:val=" "/>
    <w:docVar w:name="6513D5540000411B" w:val=" "/>
    <w:docVar w:name="6513D9990000EDFD" w:val=" "/>
    <w:docVar w:name="6513DD5B00009C27" w:val=" "/>
    <w:docVar w:name="6513DE1800007ED7" w:val=" "/>
    <w:docVar w:name="6513DE8500002B4B" w:val=" "/>
    <w:docVar w:name="6513DEC300001C5D" w:val=" "/>
    <w:docVar w:name="6513E2D70000C4F6" w:val=" "/>
    <w:docVar w:name="commondata" w:val="eyJoZGlkIjoiYmQ3NjQxYmZmN2ZkODIxYWNiNTEzMzQyMTZmNzQ1MmMifQ=="/>
  </w:docVars>
  <w:rsids>
    <w:rsidRoot w:val="00172A27"/>
    <w:rsid w:val="000137FF"/>
    <w:rsid w:val="000363AE"/>
    <w:rsid w:val="000665FB"/>
    <w:rsid w:val="00076ABC"/>
    <w:rsid w:val="00080CB5"/>
    <w:rsid w:val="00082D59"/>
    <w:rsid w:val="000848B3"/>
    <w:rsid w:val="000A1C57"/>
    <w:rsid w:val="000A35B4"/>
    <w:rsid w:val="000B3ABE"/>
    <w:rsid w:val="000E0BBE"/>
    <w:rsid w:val="001004D6"/>
    <w:rsid w:val="00110C62"/>
    <w:rsid w:val="00121989"/>
    <w:rsid w:val="0013486C"/>
    <w:rsid w:val="00157F99"/>
    <w:rsid w:val="00167B55"/>
    <w:rsid w:val="001766F8"/>
    <w:rsid w:val="00180B2D"/>
    <w:rsid w:val="00181F65"/>
    <w:rsid w:val="001A341D"/>
    <w:rsid w:val="001B06C5"/>
    <w:rsid w:val="001B0EF9"/>
    <w:rsid w:val="001C1292"/>
    <w:rsid w:val="001C142A"/>
    <w:rsid w:val="001D2259"/>
    <w:rsid w:val="001E1096"/>
    <w:rsid w:val="00207876"/>
    <w:rsid w:val="00212C88"/>
    <w:rsid w:val="00236A50"/>
    <w:rsid w:val="00240B3B"/>
    <w:rsid w:val="00244EB2"/>
    <w:rsid w:val="0024636B"/>
    <w:rsid w:val="00260F8C"/>
    <w:rsid w:val="002C333A"/>
    <w:rsid w:val="002E136C"/>
    <w:rsid w:val="002E2475"/>
    <w:rsid w:val="002E2F4A"/>
    <w:rsid w:val="00302BF3"/>
    <w:rsid w:val="003107B2"/>
    <w:rsid w:val="0031100A"/>
    <w:rsid w:val="00312CDF"/>
    <w:rsid w:val="0033343E"/>
    <w:rsid w:val="003B3A6A"/>
    <w:rsid w:val="003B4E9E"/>
    <w:rsid w:val="003B638D"/>
    <w:rsid w:val="003C580C"/>
    <w:rsid w:val="003D2DE3"/>
    <w:rsid w:val="003D6846"/>
    <w:rsid w:val="003E663E"/>
    <w:rsid w:val="003F5379"/>
    <w:rsid w:val="00412DEA"/>
    <w:rsid w:val="0042216B"/>
    <w:rsid w:val="00440B09"/>
    <w:rsid w:val="00445801"/>
    <w:rsid w:val="004476D0"/>
    <w:rsid w:val="004562B6"/>
    <w:rsid w:val="00484F51"/>
    <w:rsid w:val="004B24F7"/>
    <w:rsid w:val="004B43C7"/>
    <w:rsid w:val="004D4975"/>
    <w:rsid w:val="004E5D26"/>
    <w:rsid w:val="004F7CEB"/>
    <w:rsid w:val="00501FB6"/>
    <w:rsid w:val="00502310"/>
    <w:rsid w:val="00503DCF"/>
    <w:rsid w:val="0051499C"/>
    <w:rsid w:val="00517C80"/>
    <w:rsid w:val="00520519"/>
    <w:rsid w:val="00523089"/>
    <w:rsid w:val="005236A9"/>
    <w:rsid w:val="0055268B"/>
    <w:rsid w:val="00562BD2"/>
    <w:rsid w:val="005703C4"/>
    <w:rsid w:val="00575C64"/>
    <w:rsid w:val="00586C75"/>
    <w:rsid w:val="0059194D"/>
    <w:rsid w:val="005930F4"/>
    <w:rsid w:val="005A3B7D"/>
    <w:rsid w:val="005A5FA8"/>
    <w:rsid w:val="005A66F7"/>
    <w:rsid w:val="005B2FA7"/>
    <w:rsid w:val="005B69A1"/>
    <w:rsid w:val="005C6FA8"/>
    <w:rsid w:val="005D6EFC"/>
    <w:rsid w:val="005D780F"/>
    <w:rsid w:val="005E0300"/>
    <w:rsid w:val="005F44DC"/>
    <w:rsid w:val="005F51F5"/>
    <w:rsid w:val="0060606F"/>
    <w:rsid w:val="00613AB8"/>
    <w:rsid w:val="00613BEF"/>
    <w:rsid w:val="00620AAB"/>
    <w:rsid w:val="00622F79"/>
    <w:rsid w:val="00623F9F"/>
    <w:rsid w:val="00643ECA"/>
    <w:rsid w:val="00650746"/>
    <w:rsid w:val="00654F96"/>
    <w:rsid w:val="0068532C"/>
    <w:rsid w:val="0068581E"/>
    <w:rsid w:val="006C6D26"/>
    <w:rsid w:val="006D3B29"/>
    <w:rsid w:val="006F40AD"/>
    <w:rsid w:val="00702A2B"/>
    <w:rsid w:val="00705B5D"/>
    <w:rsid w:val="007078B8"/>
    <w:rsid w:val="00715266"/>
    <w:rsid w:val="00720086"/>
    <w:rsid w:val="00727C61"/>
    <w:rsid w:val="0074103D"/>
    <w:rsid w:val="00747BB6"/>
    <w:rsid w:val="007510DC"/>
    <w:rsid w:val="00752ED9"/>
    <w:rsid w:val="00770315"/>
    <w:rsid w:val="007706E6"/>
    <w:rsid w:val="007A0559"/>
    <w:rsid w:val="007A2AA9"/>
    <w:rsid w:val="007C6049"/>
    <w:rsid w:val="007D2042"/>
    <w:rsid w:val="007E4D1C"/>
    <w:rsid w:val="007E670A"/>
    <w:rsid w:val="007E74D5"/>
    <w:rsid w:val="00801DAE"/>
    <w:rsid w:val="0080668C"/>
    <w:rsid w:val="00817965"/>
    <w:rsid w:val="00846F8A"/>
    <w:rsid w:val="008601CC"/>
    <w:rsid w:val="008628CD"/>
    <w:rsid w:val="008647A6"/>
    <w:rsid w:val="008827D3"/>
    <w:rsid w:val="00890353"/>
    <w:rsid w:val="008A3552"/>
    <w:rsid w:val="008A401A"/>
    <w:rsid w:val="008C06F5"/>
    <w:rsid w:val="008F2151"/>
    <w:rsid w:val="008F5720"/>
    <w:rsid w:val="00912B54"/>
    <w:rsid w:val="00922032"/>
    <w:rsid w:val="00922ABF"/>
    <w:rsid w:val="00933760"/>
    <w:rsid w:val="009425A7"/>
    <w:rsid w:val="00943A28"/>
    <w:rsid w:val="009441BD"/>
    <w:rsid w:val="0095599B"/>
    <w:rsid w:val="009576C8"/>
    <w:rsid w:val="00975402"/>
    <w:rsid w:val="00977632"/>
    <w:rsid w:val="00995504"/>
    <w:rsid w:val="00996049"/>
    <w:rsid w:val="009A4511"/>
    <w:rsid w:val="009A7760"/>
    <w:rsid w:val="009E2C4F"/>
    <w:rsid w:val="009E52B5"/>
    <w:rsid w:val="009E7BD7"/>
    <w:rsid w:val="009F1AD3"/>
    <w:rsid w:val="00A14480"/>
    <w:rsid w:val="00A15E6F"/>
    <w:rsid w:val="00A22ECF"/>
    <w:rsid w:val="00A34B6E"/>
    <w:rsid w:val="00A90345"/>
    <w:rsid w:val="00AA15C7"/>
    <w:rsid w:val="00AA36AB"/>
    <w:rsid w:val="00AB3293"/>
    <w:rsid w:val="00AC3B45"/>
    <w:rsid w:val="00AD36A1"/>
    <w:rsid w:val="00AE7A91"/>
    <w:rsid w:val="00AF5D77"/>
    <w:rsid w:val="00B003B5"/>
    <w:rsid w:val="00B0784A"/>
    <w:rsid w:val="00B12ECF"/>
    <w:rsid w:val="00B46449"/>
    <w:rsid w:val="00B67627"/>
    <w:rsid w:val="00B7120B"/>
    <w:rsid w:val="00B9738E"/>
    <w:rsid w:val="00BB0882"/>
    <w:rsid w:val="00BB686C"/>
    <w:rsid w:val="00BC1A82"/>
    <w:rsid w:val="00BC363C"/>
    <w:rsid w:val="00BC717B"/>
    <w:rsid w:val="00BC7C3E"/>
    <w:rsid w:val="00BF3B8B"/>
    <w:rsid w:val="00C2720D"/>
    <w:rsid w:val="00C4054C"/>
    <w:rsid w:val="00C46723"/>
    <w:rsid w:val="00C60D36"/>
    <w:rsid w:val="00C61973"/>
    <w:rsid w:val="00C66FA9"/>
    <w:rsid w:val="00C67F05"/>
    <w:rsid w:val="00C71FC9"/>
    <w:rsid w:val="00C723DC"/>
    <w:rsid w:val="00C74279"/>
    <w:rsid w:val="00C77FA3"/>
    <w:rsid w:val="00C81329"/>
    <w:rsid w:val="00C85D18"/>
    <w:rsid w:val="00CA79EB"/>
    <w:rsid w:val="00CB5FE0"/>
    <w:rsid w:val="00CB7039"/>
    <w:rsid w:val="00CC158B"/>
    <w:rsid w:val="00CC42FB"/>
    <w:rsid w:val="00CD155E"/>
    <w:rsid w:val="00CD5769"/>
    <w:rsid w:val="00CD694F"/>
    <w:rsid w:val="00CF279B"/>
    <w:rsid w:val="00D127FE"/>
    <w:rsid w:val="00D14668"/>
    <w:rsid w:val="00D16EAB"/>
    <w:rsid w:val="00D43D9D"/>
    <w:rsid w:val="00D45F9C"/>
    <w:rsid w:val="00D57923"/>
    <w:rsid w:val="00D64D2C"/>
    <w:rsid w:val="00D65946"/>
    <w:rsid w:val="00DA6E92"/>
    <w:rsid w:val="00DE0EB2"/>
    <w:rsid w:val="00E033B5"/>
    <w:rsid w:val="00E14248"/>
    <w:rsid w:val="00E231D5"/>
    <w:rsid w:val="00E23F12"/>
    <w:rsid w:val="00E650E6"/>
    <w:rsid w:val="00E97498"/>
    <w:rsid w:val="00EA4F8F"/>
    <w:rsid w:val="00EA54F2"/>
    <w:rsid w:val="00EB56BA"/>
    <w:rsid w:val="00EC2363"/>
    <w:rsid w:val="00EC5FA5"/>
    <w:rsid w:val="00EC6178"/>
    <w:rsid w:val="00ED279A"/>
    <w:rsid w:val="00F03CD3"/>
    <w:rsid w:val="00F07B91"/>
    <w:rsid w:val="00F103FD"/>
    <w:rsid w:val="00F1590A"/>
    <w:rsid w:val="00F634A6"/>
    <w:rsid w:val="00F641C3"/>
    <w:rsid w:val="00F70247"/>
    <w:rsid w:val="00FB35BB"/>
    <w:rsid w:val="00FD79F0"/>
    <w:rsid w:val="017602BC"/>
    <w:rsid w:val="038437F9"/>
    <w:rsid w:val="041D3196"/>
    <w:rsid w:val="04605F88"/>
    <w:rsid w:val="05A9526D"/>
    <w:rsid w:val="05F93807"/>
    <w:rsid w:val="07272AE5"/>
    <w:rsid w:val="07413E12"/>
    <w:rsid w:val="078D5F61"/>
    <w:rsid w:val="07A77B99"/>
    <w:rsid w:val="07AE7272"/>
    <w:rsid w:val="0802484F"/>
    <w:rsid w:val="082C06C1"/>
    <w:rsid w:val="0A0F566D"/>
    <w:rsid w:val="0A313B86"/>
    <w:rsid w:val="0A562259"/>
    <w:rsid w:val="0AA549E4"/>
    <w:rsid w:val="0AAB1D7F"/>
    <w:rsid w:val="0AAB4E48"/>
    <w:rsid w:val="0BAF5851"/>
    <w:rsid w:val="0C0D3591"/>
    <w:rsid w:val="0C441C8F"/>
    <w:rsid w:val="0EA937D7"/>
    <w:rsid w:val="0EB64A70"/>
    <w:rsid w:val="0FFF7FA3"/>
    <w:rsid w:val="10587F1A"/>
    <w:rsid w:val="10B14A1D"/>
    <w:rsid w:val="125B12DC"/>
    <w:rsid w:val="131A056F"/>
    <w:rsid w:val="13BD35A1"/>
    <w:rsid w:val="13E85B5F"/>
    <w:rsid w:val="13F30CA5"/>
    <w:rsid w:val="14934125"/>
    <w:rsid w:val="14FD010E"/>
    <w:rsid w:val="15B8258D"/>
    <w:rsid w:val="160848B1"/>
    <w:rsid w:val="167A4407"/>
    <w:rsid w:val="16820260"/>
    <w:rsid w:val="177F2438"/>
    <w:rsid w:val="17A035B6"/>
    <w:rsid w:val="186827A9"/>
    <w:rsid w:val="1A2873C3"/>
    <w:rsid w:val="1B5265C3"/>
    <w:rsid w:val="1C286F72"/>
    <w:rsid w:val="1C7828AE"/>
    <w:rsid w:val="1C8438B1"/>
    <w:rsid w:val="1CE82C6B"/>
    <w:rsid w:val="1E850998"/>
    <w:rsid w:val="1F2C72EB"/>
    <w:rsid w:val="1F6B41EE"/>
    <w:rsid w:val="1FCB0FF9"/>
    <w:rsid w:val="20DF24DD"/>
    <w:rsid w:val="21063048"/>
    <w:rsid w:val="21A04833"/>
    <w:rsid w:val="21E952B7"/>
    <w:rsid w:val="225C00AA"/>
    <w:rsid w:val="226A7F15"/>
    <w:rsid w:val="22CA7DA3"/>
    <w:rsid w:val="23032904"/>
    <w:rsid w:val="25586686"/>
    <w:rsid w:val="262C11E9"/>
    <w:rsid w:val="27401049"/>
    <w:rsid w:val="27670E60"/>
    <w:rsid w:val="278F41F3"/>
    <w:rsid w:val="27941E28"/>
    <w:rsid w:val="280313C7"/>
    <w:rsid w:val="28DA1C7D"/>
    <w:rsid w:val="28FF58C6"/>
    <w:rsid w:val="291F6D53"/>
    <w:rsid w:val="29E02400"/>
    <w:rsid w:val="2A435366"/>
    <w:rsid w:val="2A561771"/>
    <w:rsid w:val="2A762DE7"/>
    <w:rsid w:val="2B425219"/>
    <w:rsid w:val="2B737EB9"/>
    <w:rsid w:val="2C0E752C"/>
    <w:rsid w:val="2C501493"/>
    <w:rsid w:val="2CFB568E"/>
    <w:rsid w:val="2D27737E"/>
    <w:rsid w:val="2E7349FB"/>
    <w:rsid w:val="2EFC482A"/>
    <w:rsid w:val="31505A88"/>
    <w:rsid w:val="31E700F7"/>
    <w:rsid w:val="322561C1"/>
    <w:rsid w:val="32EE3933"/>
    <w:rsid w:val="34172FDF"/>
    <w:rsid w:val="34700F9E"/>
    <w:rsid w:val="356E15DB"/>
    <w:rsid w:val="364C375F"/>
    <w:rsid w:val="375D6BAE"/>
    <w:rsid w:val="37723F3E"/>
    <w:rsid w:val="38854415"/>
    <w:rsid w:val="38FA4231"/>
    <w:rsid w:val="390E7BDC"/>
    <w:rsid w:val="39EC3FBA"/>
    <w:rsid w:val="3AEB093E"/>
    <w:rsid w:val="3B333508"/>
    <w:rsid w:val="3BA16724"/>
    <w:rsid w:val="3C214A1A"/>
    <w:rsid w:val="3CE23BB4"/>
    <w:rsid w:val="3D0E78A8"/>
    <w:rsid w:val="3D18244D"/>
    <w:rsid w:val="3D362F24"/>
    <w:rsid w:val="3D452085"/>
    <w:rsid w:val="3D723A1D"/>
    <w:rsid w:val="3D8B153F"/>
    <w:rsid w:val="3E50493D"/>
    <w:rsid w:val="3EB21A82"/>
    <w:rsid w:val="3EC91EB7"/>
    <w:rsid w:val="3EDD62C8"/>
    <w:rsid w:val="3F196A45"/>
    <w:rsid w:val="3F6E6DA6"/>
    <w:rsid w:val="3F87525B"/>
    <w:rsid w:val="3FFF6DD6"/>
    <w:rsid w:val="405B0693"/>
    <w:rsid w:val="40D22E45"/>
    <w:rsid w:val="40F759DD"/>
    <w:rsid w:val="421B4F4D"/>
    <w:rsid w:val="42895329"/>
    <w:rsid w:val="43A30384"/>
    <w:rsid w:val="43D204FF"/>
    <w:rsid w:val="442760E7"/>
    <w:rsid w:val="45017E8C"/>
    <w:rsid w:val="463170CC"/>
    <w:rsid w:val="474263E8"/>
    <w:rsid w:val="479C419C"/>
    <w:rsid w:val="479E6FA7"/>
    <w:rsid w:val="480F37E2"/>
    <w:rsid w:val="496E7B11"/>
    <w:rsid w:val="49A42B17"/>
    <w:rsid w:val="49B9340A"/>
    <w:rsid w:val="4A4C350E"/>
    <w:rsid w:val="4BB609DB"/>
    <w:rsid w:val="4C314FEC"/>
    <w:rsid w:val="4C8A3D4D"/>
    <w:rsid w:val="4D3574F2"/>
    <w:rsid w:val="4E256F1F"/>
    <w:rsid w:val="4E2A4CBC"/>
    <w:rsid w:val="4EEE404A"/>
    <w:rsid w:val="4FCA6B30"/>
    <w:rsid w:val="5014472D"/>
    <w:rsid w:val="5024333E"/>
    <w:rsid w:val="50821FBD"/>
    <w:rsid w:val="50F6750C"/>
    <w:rsid w:val="51F31C4A"/>
    <w:rsid w:val="52347DA0"/>
    <w:rsid w:val="528360EB"/>
    <w:rsid w:val="52FA206A"/>
    <w:rsid w:val="53262420"/>
    <w:rsid w:val="535B6814"/>
    <w:rsid w:val="5424523C"/>
    <w:rsid w:val="542F509E"/>
    <w:rsid w:val="54594566"/>
    <w:rsid w:val="5698283B"/>
    <w:rsid w:val="56B95BD9"/>
    <w:rsid w:val="570D4774"/>
    <w:rsid w:val="57151E4D"/>
    <w:rsid w:val="57CF07FD"/>
    <w:rsid w:val="58233A5B"/>
    <w:rsid w:val="58456C34"/>
    <w:rsid w:val="58910EA7"/>
    <w:rsid w:val="58B70264"/>
    <w:rsid w:val="59434BA0"/>
    <w:rsid w:val="59AA149C"/>
    <w:rsid w:val="5A7A64C1"/>
    <w:rsid w:val="5A7B1B7F"/>
    <w:rsid w:val="5B3F0A6D"/>
    <w:rsid w:val="5B980823"/>
    <w:rsid w:val="5BF75135"/>
    <w:rsid w:val="5BFC05F0"/>
    <w:rsid w:val="5C0C11DE"/>
    <w:rsid w:val="5C775006"/>
    <w:rsid w:val="5CA526B2"/>
    <w:rsid w:val="5CFF063E"/>
    <w:rsid w:val="5E147B91"/>
    <w:rsid w:val="5E510324"/>
    <w:rsid w:val="5E547215"/>
    <w:rsid w:val="5ECF2767"/>
    <w:rsid w:val="5F7D704B"/>
    <w:rsid w:val="5FF22D7D"/>
    <w:rsid w:val="5FFF0676"/>
    <w:rsid w:val="6006575F"/>
    <w:rsid w:val="60BF5442"/>
    <w:rsid w:val="61091ECF"/>
    <w:rsid w:val="61C37037"/>
    <w:rsid w:val="61CB2D3D"/>
    <w:rsid w:val="62B07A1B"/>
    <w:rsid w:val="62CC6676"/>
    <w:rsid w:val="63080E2D"/>
    <w:rsid w:val="63C21E7C"/>
    <w:rsid w:val="64497787"/>
    <w:rsid w:val="649F7F01"/>
    <w:rsid w:val="65945CAF"/>
    <w:rsid w:val="65A4219A"/>
    <w:rsid w:val="65CB3DED"/>
    <w:rsid w:val="67177D0F"/>
    <w:rsid w:val="67ED360F"/>
    <w:rsid w:val="688E34FE"/>
    <w:rsid w:val="68A245A1"/>
    <w:rsid w:val="68EE619C"/>
    <w:rsid w:val="69467895"/>
    <w:rsid w:val="6C643557"/>
    <w:rsid w:val="6D562D2A"/>
    <w:rsid w:val="6D7A24A5"/>
    <w:rsid w:val="6DC71C23"/>
    <w:rsid w:val="6DE1395B"/>
    <w:rsid w:val="6EC67AA6"/>
    <w:rsid w:val="6F656E85"/>
    <w:rsid w:val="70296D3C"/>
    <w:rsid w:val="704F5AE0"/>
    <w:rsid w:val="708E4A4F"/>
    <w:rsid w:val="7103256C"/>
    <w:rsid w:val="71175DED"/>
    <w:rsid w:val="71177378"/>
    <w:rsid w:val="71F955D2"/>
    <w:rsid w:val="723749FD"/>
    <w:rsid w:val="73224E43"/>
    <w:rsid w:val="732B5C10"/>
    <w:rsid w:val="734337EB"/>
    <w:rsid w:val="74147535"/>
    <w:rsid w:val="74DB64E7"/>
    <w:rsid w:val="74DC34F6"/>
    <w:rsid w:val="74F34CF8"/>
    <w:rsid w:val="75AF5C54"/>
    <w:rsid w:val="76091CC0"/>
    <w:rsid w:val="76460719"/>
    <w:rsid w:val="770329B2"/>
    <w:rsid w:val="78236CAC"/>
    <w:rsid w:val="78DD3C5B"/>
    <w:rsid w:val="792F2C7D"/>
    <w:rsid w:val="79BC3C2F"/>
    <w:rsid w:val="7AD002B0"/>
    <w:rsid w:val="7B5A56CB"/>
    <w:rsid w:val="7BD875B1"/>
    <w:rsid w:val="7C43145B"/>
    <w:rsid w:val="7C60166C"/>
    <w:rsid w:val="7C6E1C07"/>
    <w:rsid w:val="7CF8715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qFormat="1" w:unhideWhenUsed="0" w:uiPriority="0" w:semiHidden="0"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5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4"/>
    <w:qFormat/>
    <w:uiPriority w:val="0"/>
    <w:pPr>
      <w:keepNext/>
      <w:keepLines/>
      <w:spacing w:before="260" w:after="260" w:line="416" w:lineRule="auto"/>
      <w:outlineLvl w:val="1"/>
    </w:pPr>
    <w:rPr>
      <w:rFonts w:ascii="Arial" w:hAnsi="Arial"/>
      <w:b/>
      <w:bCs/>
      <w:szCs w:val="32"/>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4">
    <w:name w:val="Normal Indent"/>
    <w:basedOn w:val="1"/>
    <w:next w:val="5"/>
    <w:qFormat/>
    <w:uiPriority w:val="0"/>
    <w:pPr>
      <w:ind w:firstLine="420"/>
    </w:pPr>
    <w:rPr>
      <w:rFonts w:ascii="Times New Roman" w:hAnsi="Times New Roman"/>
      <w:szCs w:val="24"/>
    </w:rPr>
  </w:style>
  <w:style w:type="paragraph" w:styleId="5">
    <w:name w:val="Body Text"/>
    <w:basedOn w:val="1"/>
    <w:next w:val="1"/>
    <w:link w:val="28"/>
    <w:qFormat/>
    <w:uiPriority w:val="0"/>
    <w:pPr>
      <w:spacing w:after="120"/>
    </w:pPr>
    <w:rPr>
      <w:rFonts w:ascii="Times New Roman" w:hAnsi="Times New Roman"/>
      <w:szCs w:val="24"/>
    </w:rPr>
  </w:style>
  <w:style w:type="paragraph" w:styleId="6">
    <w:name w:val="Document Map"/>
    <w:basedOn w:val="1"/>
    <w:link w:val="27"/>
    <w:qFormat/>
    <w:uiPriority w:val="0"/>
    <w:rPr>
      <w:rFonts w:ascii="Tahoma" w:hAnsi="Tahoma"/>
      <w:sz w:val="16"/>
      <w:szCs w:val="16"/>
    </w:rPr>
  </w:style>
  <w:style w:type="paragraph" w:styleId="7">
    <w:name w:val="Body Text Indent"/>
    <w:basedOn w:val="1"/>
    <w:link w:val="25"/>
    <w:unhideWhenUsed/>
    <w:qFormat/>
    <w:uiPriority w:val="0"/>
    <w:pPr>
      <w:spacing w:after="120"/>
      <w:ind w:left="420" w:leftChars="200"/>
    </w:pPr>
  </w:style>
  <w:style w:type="paragraph" w:styleId="8">
    <w:name w:val="toc 3"/>
    <w:basedOn w:val="1"/>
    <w:next w:val="1"/>
    <w:semiHidden/>
    <w:unhideWhenUsed/>
    <w:qFormat/>
    <w:uiPriority w:val="39"/>
    <w:pPr>
      <w:widowControl/>
      <w:spacing w:after="100" w:line="276" w:lineRule="auto"/>
      <w:ind w:left="440"/>
      <w:jc w:val="left"/>
    </w:pPr>
    <w:rPr>
      <w:rFonts w:asciiTheme="minorHAnsi" w:hAnsiTheme="minorHAnsi" w:eastAsiaTheme="minorEastAsia" w:cstheme="minorBidi"/>
      <w:kern w:val="0"/>
      <w:sz w:val="22"/>
    </w:rPr>
  </w:style>
  <w:style w:type="paragraph" w:styleId="9">
    <w:name w:val="Plain Text"/>
    <w:basedOn w:val="1"/>
    <w:link w:val="29"/>
    <w:qFormat/>
    <w:uiPriority w:val="0"/>
    <w:rPr>
      <w:rFonts w:ascii="宋体" w:hAnsi="Courier New" w:cs="Courier New"/>
      <w:szCs w:val="21"/>
    </w:rPr>
  </w:style>
  <w:style w:type="paragraph" w:styleId="10">
    <w:name w:val="Balloon Text"/>
    <w:basedOn w:val="1"/>
    <w:link w:val="30"/>
    <w:qFormat/>
    <w:uiPriority w:val="0"/>
    <w:rPr>
      <w:sz w:val="18"/>
      <w:szCs w:val="18"/>
    </w:rPr>
  </w:style>
  <w:style w:type="paragraph" w:styleId="11">
    <w:name w:val="footer"/>
    <w:basedOn w:val="1"/>
    <w:link w:val="31"/>
    <w:unhideWhenUsed/>
    <w:qFormat/>
    <w:uiPriority w:val="99"/>
    <w:pPr>
      <w:tabs>
        <w:tab w:val="center" w:pos="4153"/>
        <w:tab w:val="right" w:pos="8306"/>
      </w:tabs>
      <w:snapToGrid w:val="0"/>
      <w:jc w:val="left"/>
    </w:pPr>
    <w:rPr>
      <w:sz w:val="18"/>
      <w:szCs w:val="18"/>
    </w:rPr>
  </w:style>
  <w:style w:type="paragraph" w:styleId="12">
    <w:name w:val="header"/>
    <w:basedOn w:val="1"/>
    <w:link w:val="32"/>
    <w:unhideWhenUsed/>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semiHidden/>
    <w:unhideWhenUsed/>
    <w:qFormat/>
    <w:uiPriority w:val="39"/>
    <w:pPr>
      <w:widowControl/>
      <w:spacing w:after="100" w:line="276" w:lineRule="auto"/>
      <w:jc w:val="left"/>
    </w:pPr>
    <w:rPr>
      <w:rFonts w:asciiTheme="minorHAnsi" w:hAnsiTheme="minorHAnsi" w:eastAsiaTheme="minorEastAsia" w:cstheme="minorBidi"/>
      <w:kern w:val="0"/>
      <w:sz w:val="22"/>
    </w:rPr>
  </w:style>
  <w:style w:type="paragraph" w:styleId="14">
    <w:name w:val="List"/>
    <w:basedOn w:val="1"/>
    <w:qFormat/>
    <w:uiPriority w:val="0"/>
    <w:pPr>
      <w:ind w:left="200" w:hanging="200" w:hangingChars="200"/>
      <w:contextualSpacing/>
    </w:pPr>
  </w:style>
  <w:style w:type="paragraph" w:styleId="15">
    <w:name w:val="toc 2"/>
    <w:basedOn w:val="1"/>
    <w:next w:val="1"/>
    <w:semiHidden/>
    <w:unhideWhenUsed/>
    <w:qFormat/>
    <w:uiPriority w:val="39"/>
    <w:pPr>
      <w:widowControl/>
      <w:spacing w:after="100" w:line="276" w:lineRule="auto"/>
      <w:ind w:left="220"/>
      <w:jc w:val="left"/>
    </w:pPr>
    <w:rPr>
      <w:rFonts w:asciiTheme="minorHAnsi" w:hAnsiTheme="minorHAnsi" w:eastAsiaTheme="minorEastAsia" w:cstheme="minorBidi"/>
      <w:kern w:val="0"/>
      <w:sz w:val="22"/>
    </w:rPr>
  </w:style>
  <w:style w:type="paragraph" w:styleId="16">
    <w:name w:val="Message Header"/>
    <w:basedOn w:val="1"/>
    <w:next w:val="5"/>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szCs w:val="24"/>
    </w:rPr>
  </w:style>
  <w:style w:type="paragraph" w:styleId="17">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18">
    <w:name w:val="Body Text First Indent 2"/>
    <w:basedOn w:val="7"/>
    <w:next w:val="19"/>
    <w:link w:val="26"/>
    <w:qFormat/>
    <w:uiPriority w:val="0"/>
    <w:pPr>
      <w:ind w:left="0" w:leftChars="0" w:firstLine="420"/>
    </w:pPr>
    <w:rPr>
      <w:rFonts w:ascii="Times New Roman" w:hAnsi="Times New Roman"/>
      <w:szCs w:val="24"/>
    </w:rPr>
  </w:style>
  <w:style w:type="paragraph" w:customStyle="1" w:styleId="19">
    <w:name w:val="表格文字"/>
    <w:basedOn w:val="14"/>
    <w:next w:val="1"/>
    <w:qFormat/>
    <w:uiPriority w:val="0"/>
    <w:pPr>
      <w:ind w:firstLine="0" w:firstLineChars="0"/>
      <w:jc w:val="center"/>
    </w:pPr>
    <w:rPr>
      <w:szCs w:val="20"/>
    </w:rPr>
  </w:style>
  <w:style w:type="table" w:styleId="21">
    <w:name w:val="Table Grid"/>
    <w:basedOn w:val="20"/>
    <w:qFormat/>
    <w:uiPriority w:val="39"/>
    <w:pPr>
      <w:widowControl w:val="0"/>
      <w:jc w:val="both"/>
    </w:pPr>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Hyperlink"/>
    <w:qFormat/>
    <w:uiPriority w:val="99"/>
    <w:rPr>
      <w:color w:val="0000FF"/>
      <w:u w:val="single"/>
    </w:rPr>
  </w:style>
  <w:style w:type="character" w:customStyle="1" w:styleId="24">
    <w:name w:val="标题 2 字符"/>
    <w:basedOn w:val="22"/>
    <w:link w:val="3"/>
    <w:qFormat/>
    <w:uiPriority w:val="0"/>
    <w:rPr>
      <w:rFonts w:ascii="Arial" w:hAnsi="Arial" w:eastAsia="宋体" w:cs="Times New Roman"/>
      <w:b/>
      <w:bCs/>
      <w:szCs w:val="32"/>
    </w:rPr>
  </w:style>
  <w:style w:type="character" w:customStyle="1" w:styleId="25">
    <w:name w:val="正文文本缩进 字符"/>
    <w:basedOn w:val="22"/>
    <w:link w:val="7"/>
    <w:qFormat/>
    <w:uiPriority w:val="0"/>
    <w:rPr>
      <w:rFonts w:ascii="Calibri" w:hAnsi="Calibri" w:eastAsia="宋体" w:cs="Times New Roman"/>
    </w:rPr>
  </w:style>
  <w:style w:type="character" w:customStyle="1" w:styleId="26">
    <w:name w:val="正文文本首行缩进 2 字符"/>
    <w:basedOn w:val="25"/>
    <w:link w:val="18"/>
    <w:qFormat/>
    <w:uiPriority w:val="0"/>
    <w:rPr>
      <w:rFonts w:ascii="Times New Roman" w:hAnsi="Times New Roman" w:eastAsia="宋体" w:cs="Times New Roman"/>
      <w:szCs w:val="24"/>
    </w:rPr>
  </w:style>
  <w:style w:type="character" w:customStyle="1" w:styleId="27">
    <w:name w:val="文档结构图 字符"/>
    <w:basedOn w:val="22"/>
    <w:link w:val="6"/>
    <w:qFormat/>
    <w:uiPriority w:val="0"/>
    <w:rPr>
      <w:rFonts w:ascii="Tahoma" w:hAnsi="Tahoma" w:eastAsia="宋体" w:cs="Times New Roman"/>
      <w:sz w:val="16"/>
      <w:szCs w:val="16"/>
    </w:rPr>
  </w:style>
  <w:style w:type="character" w:customStyle="1" w:styleId="28">
    <w:name w:val="正文文本 字符"/>
    <w:basedOn w:val="22"/>
    <w:link w:val="5"/>
    <w:qFormat/>
    <w:uiPriority w:val="0"/>
    <w:rPr>
      <w:rFonts w:ascii="Times New Roman" w:hAnsi="Times New Roman" w:eastAsia="宋体" w:cs="Times New Roman"/>
      <w:szCs w:val="24"/>
    </w:rPr>
  </w:style>
  <w:style w:type="character" w:customStyle="1" w:styleId="29">
    <w:name w:val="纯文本 字符"/>
    <w:basedOn w:val="22"/>
    <w:link w:val="9"/>
    <w:qFormat/>
    <w:uiPriority w:val="0"/>
    <w:rPr>
      <w:rFonts w:ascii="宋体" w:hAnsi="Courier New" w:eastAsia="宋体" w:cs="Courier New"/>
      <w:szCs w:val="21"/>
    </w:rPr>
  </w:style>
  <w:style w:type="character" w:customStyle="1" w:styleId="30">
    <w:name w:val="批注框文本 字符"/>
    <w:basedOn w:val="22"/>
    <w:link w:val="10"/>
    <w:qFormat/>
    <w:uiPriority w:val="0"/>
    <w:rPr>
      <w:rFonts w:ascii="Calibri" w:hAnsi="Calibri" w:eastAsia="宋体" w:cs="Times New Roman"/>
      <w:sz w:val="18"/>
      <w:szCs w:val="18"/>
    </w:rPr>
  </w:style>
  <w:style w:type="character" w:customStyle="1" w:styleId="31">
    <w:name w:val="页脚 字符"/>
    <w:basedOn w:val="22"/>
    <w:link w:val="11"/>
    <w:qFormat/>
    <w:uiPriority w:val="99"/>
    <w:rPr>
      <w:rFonts w:ascii="Calibri" w:hAnsi="Calibri" w:eastAsia="宋体" w:cs="Times New Roman"/>
      <w:sz w:val="18"/>
      <w:szCs w:val="18"/>
    </w:rPr>
  </w:style>
  <w:style w:type="character" w:customStyle="1" w:styleId="32">
    <w:name w:val="页眉 字符"/>
    <w:basedOn w:val="22"/>
    <w:link w:val="12"/>
    <w:qFormat/>
    <w:uiPriority w:val="0"/>
    <w:rPr>
      <w:rFonts w:ascii="Calibri" w:hAnsi="Calibri" w:eastAsia="宋体" w:cs="Times New Roman"/>
      <w:sz w:val="18"/>
      <w:szCs w:val="18"/>
    </w:rPr>
  </w:style>
  <w:style w:type="paragraph" w:customStyle="1" w:styleId="33">
    <w:name w:val="Table Paragraph"/>
    <w:basedOn w:val="1"/>
    <w:qFormat/>
    <w:uiPriority w:val="1"/>
    <w:pPr>
      <w:autoSpaceDE w:val="0"/>
      <w:autoSpaceDN w:val="0"/>
      <w:jc w:val="left"/>
    </w:pPr>
    <w:rPr>
      <w:rFonts w:ascii="宋体" w:hAnsi="宋体" w:cs="宋体"/>
      <w:kern w:val="0"/>
      <w:sz w:val="22"/>
      <w:lang w:val="zh-CN" w:bidi="zh-CN"/>
    </w:rPr>
  </w:style>
  <w:style w:type="paragraph" w:customStyle="1" w:styleId="34">
    <w:name w:val="正文3"/>
    <w:qFormat/>
    <w:uiPriority w:val="0"/>
    <w:pPr>
      <w:jc w:val="both"/>
    </w:pPr>
    <w:rPr>
      <w:rFonts w:ascii="Times New Roman" w:hAnsi="Times New Roman" w:eastAsia="宋体" w:cs="Times New Roman"/>
      <w:kern w:val="2"/>
      <w:sz w:val="21"/>
      <w:szCs w:val="21"/>
      <w:lang w:val="en-US" w:eastAsia="zh-CN" w:bidi="ar-SA"/>
    </w:rPr>
  </w:style>
  <w:style w:type="paragraph" w:customStyle="1" w:styleId="35">
    <w:name w:val="列出段落1"/>
    <w:basedOn w:val="1"/>
    <w:qFormat/>
    <w:uiPriority w:val="0"/>
    <w:pPr>
      <w:ind w:firstLine="420" w:firstLineChars="200"/>
    </w:pPr>
    <w:rPr>
      <w:szCs w:val="20"/>
    </w:rPr>
  </w:style>
  <w:style w:type="paragraph" w:customStyle="1" w:styleId="36">
    <w:name w:val="列表段落1"/>
    <w:basedOn w:val="1"/>
    <w:qFormat/>
    <w:uiPriority w:val="99"/>
    <w:pPr>
      <w:ind w:firstLine="420" w:firstLineChars="200"/>
    </w:pPr>
  </w:style>
  <w:style w:type="paragraph" w:customStyle="1" w:styleId="37">
    <w:name w:val="样式1"/>
    <w:basedOn w:val="1"/>
    <w:qFormat/>
    <w:uiPriority w:val="0"/>
    <w:rPr>
      <w:rFonts w:ascii="Times New Roman" w:hAnsi="Times New Roman"/>
      <w:sz w:val="28"/>
      <w:szCs w:val="24"/>
    </w:rPr>
  </w:style>
  <w:style w:type="paragraph" w:customStyle="1" w:styleId="38">
    <w:name w:val="bgg"/>
    <w:basedOn w:val="39"/>
    <w:qFormat/>
    <w:uiPriority w:val="0"/>
    <w:pPr>
      <w:snapToGrid w:val="0"/>
      <w:ind w:left="52" w:leftChars="25" w:right="52" w:rightChars="25"/>
      <w:jc w:val="center"/>
    </w:pPr>
    <w:rPr>
      <w:rFonts w:ascii="Times New Roman" w:hAnsi="Times New Roman"/>
      <w:b w:val="0"/>
      <w:color w:val="auto"/>
      <w:sz w:val="18"/>
      <w:szCs w:val="18"/>
    </w:rPr>
  </w:style>
  <w:style w:type="paragraph" w:customStyle="1" w:styleId="39">
    <w:name w:val="默认段落字体 Para Char Char Char Char"/>
    <w:basedOn w:val="1"/>
    <w:qFormat/>
    <w:uiPriority w:val="0"/>
    <w:rPr>
      <w:rFonts w:ascii="宋体" w:hAnsi="宋体"/>
      <w:b/>
      <w:color w:val="000000"/>
      <w:sz w:val="24"/>
      <w:szCs w:val="24"/>
    </w:rPr>
  </w:style>
  <w:style w:type="paragraph" w:customStyle="1" w:styleId="40">
    <w:name w:val="p0"/>
    <w:basedOn w:val="1"/>
    <w:qFormat/>
    <w:uiPriority w:val="0"/>
    <w:pPr>
      <w:widowControl/>
    </w:pPr>
    <w:rPr>
      <w:rFonts w:ascii="Times New Roman" w:hAnsi="Times New Roman"/>
      <w:kern w:val="0"/>
      <w:szCs w:val="21"/>
    </w:rPr>
  </w:style>
  <w:style w:type="paragraph" w:styleId="41">
    <w:name w:val="List Paragraph"/>
    <w:basedOn w:val="1"/>
    <w:unhideWhenUsed/>
    <w:qFormat/>
    <w:uiPriority w:val="99"/>
    <w:pPr>
      <w:ind w:firstLine="420" w:firstLineChars="200"/>
    </w:pPr>
  </w:style>
  <w:style w:type="paragraph" w:customStyle="1" w:styleId="42">
    <w:name w:val="纯文本2"/>
    <w:basedOn w:val="1"/>
    <w:qFormat/>
    <w:uiPriority w:val="0"/>
    <w:pPr>
      <w:adjustRightInd w:val="0"/>
      <w:textAlignment w:val="baseline"/>
    </w:pPr>
    <w:rPr>
      <w:rFonts w:ascii="宋体" w:hAnsi="Courier New"/>
      <w:kern w:val="0"/>
      <w:sz w:val="20"/>
      <w:szCs w:val="20"/>
    </w:rPr>
  </w:style>
  <w:style w:type="paragraph" w:customStyle="1" w:styleId="43">
    <w:name w:val="修订1"/>
    <w:hidden/>
    <w:semiHidden/>
    <w:qFormat/>
    <w:uiPriority w:val="99"/>
    <w:rPr>
      <w:rFonts w:ascii="Calibri" w:hAnsi="Calibri" w:eastAsia="宋体" w:cs="Times New Roman"/>
      <w:kern w:val="2"/>
      <w:sz w:val="21"/>
      <w:szCs w:val="22"/>
      <w:lang w:val="en-US" w:eastAsia="zh-CN" w:bidi="ar-SA"/>
    </w:rPr>
  </w:style>
  <w:style w:type="paragraph" w:customStyle="1" w:styleId="44">
    <w:name w:val="列出段落7"/>
    <w:basedOn w:val="1"/>
    <w:qFormat/>
    <w:uiPriority w:val="0"/>
    <w:pPr>
      <w:ind w:left="400" w:firstLine="420"/>
    </w:pPr>
  </w:style>
  <w:style w:type="paragraph" w:customStyle="1" w:styleId="45">
    <w:name w:val="msolistparagraph"/>
    <w:basedOn w:val="1"/>
    <w:qFormat/>
    <w:uiPriority w:val="0"/>
    <w:pPr>
      <w:ind w:firstLine="420" w:firstLineChars="200"/>
    </w:pPr>
    <w:rPr>
      <w:rFonts w:ascii="Times New Roman" w:hAnsi="Times New Roman"/>
      <w:szCs w:val="24"/>
    </w:rPr>
  </w:style>
  <w:style w:type="character" w:customStyle="1" w:styleId="46">
    <w:name w:val="标题 1.1 Char1"/>
    <w:qFormat/>
    <w:uiPriority w:val="0"/>
    <w:rPr>
      <w:rFonts w:ascii="Arial" w:hAnsi="Arial" w:eastAsia="黑体"/>
      <w:b/>
      <w:bCs/>
      <w:kern w:val="2"/>
      <w:sz w:val="32"/>
      <w:szCs w:val="32"/>
    </w:rPr>
  </w:style>
  <w:style w:type="paragraph" w:customStyle="1" w:styleId="47">
    <w:name w:val="样式8"/>
    <w:basedOn w:val="48"/>
    <w:qFormat/>
    <w:uiPriority w:val="1"/>
  </w:style>
  <w:style w:type="paragraph" w:customStyle="1" w:styleId="48">
    <w:name w:val="一级标题"/>
    <w:basedOn w:val="1"/>
    <w:qFormat/>
    <w:uiPriority w:val="0"/>
    <w:pPr>
      <w:adjustRightInd w:val="0"/>
      <w:snapToGrid w:val="0"/>
      <w:jc w:val="center"/>
      <w:outlineLvl w:val="0"/>
    </w:pPr>
    <w:rPr>
      <w:rFonts w:ascii="黑体" w:eastAsia="黑体"/>
      <w:b/>
      <w:sz w:val="28"/>
      <w:szCs w:val="28"/>
    </w:rPr>
  </w:style>
  <w:style w:type="paragraph" w:customStyle="1" w:styleId="49">
    <w:name w:val="正文文本2"/>
    <w:basedOn w:val="1"/>
    <w:qFormat/>
    <w:uiPriority w:val="0"/>
    <w:pPr>
      <w:autoSpaceDE w:val="0"/>
      <w:autoSpaceDN w:val="0"/>
      <w:jc w:val="left"/>
    </w:pPr>
    <w:rPr>
      <w:rFonts w:ascii="宋体" w:hAnsi="宋体"/>
      <w:kern w:val="0"/>
      <w:sz w:val="20"/>
      <w:szCs w:val="21"/>
      <w:lang w:val="zh-CN"/>
    </w:rPr>
  </w:style>
  <w:style w:type="character" w:customStyle="1" w:styleId="50">
    <w:name w:val="标题 1 字符"/>
    <w:basedOn w:val="22"/>
    <w:link w:val="2"/>
    <w:qFormat/>
    <w:uiPriority w:val="9"/>
    <w:rPr>
      <w:rFonts w:cs="Times New Roman"/>
      <w:b/>
      <w:bCs/>
      <w:kern w:val="44"/>
      <w:sz w:val="44"/>
      <w:szCs w:val="44"/>
    </w:rPr>
  </w:style>
  <w:style w:type="paragraph" w:customStyle="1" w:styleId="51">
    <w:name w:val="TOC 标题1"/>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2F5496" w:themeColor="accent1" w:themeShade="BF"/>
      <w:kern w:val="0"/>
      <w:sz w:val="28"/>
      <w:szCs w:val="28"/>
    </w:rPr>
  </w:style>
  <w:style w:type="paragraph" w:customStyle="1" w:styleId="52">
    <w:name w:val="修订2"/>
    <w:hidden/>
    <w:semiHidden/>
    <w:qFormat/>
    <w:uiPriority w:val="99"/>
    <w:rPr>
      <w:rFonts w:ascii="Calibri" w:hAnsi="Calibri" w:eastAsia="宋体" w:cs="Times New Roman"/>
      <w:kern w:val="2"/>
      <w:sz w:val="21"/>
      <w:szCs w:val="22"/>
      <w:lang w:val="en-US" w:eastAsia="zh-CN" w:bidi="ar-SA"/>
    </w:rPr>
  </w:style>
  <w:style w:type="paragraph" w:customStyle="1" w:styleId="53">
    <w:name w:val="修订3"/>
    <w:hidden/>
    <w:semiHidden/>
    <w:qFormat/>
    <w:uiPriority w:val="99"/>
    <w:rPr>
      <w:rFonts w:ascii="Calibri" w:hAnsi="Calibri" w:eastAsia="宋体" w:cs="Times New Roman"/>
      <w:kern w:val="2"/>
      <w:sz w:val="21"/>
      <w:szCs w:val="22"/>
      <w:lang w:val="en-US" w:eastAsia="zh-CN" w:bidi="ar-SA"/>
    </w:rPr>
  </w:style>
  <w:style w:type="table" w:customStyle="1" w:styleId="54">
    <w:name w:val="网格型1"/>
    <w:basedOn w:val="20"/>
    <w:qFormat/>
    <w:uiPriority w:val="39"/>
    <w:pPr>
      <w:widowControl w:val="0"/>
      <w:jc w:val="both"/>
    </w:pPr>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3.jpeg"/><Relationship Id="rId2" Type="http://schemas.openxmlformats.org/officeDocument/2006/relationships/settings" Target="settings.xml"/><Relationship Id="rId19" Type="http://schemas.openxmlformats.org/officeDocument/2006/relationships/image" Target="media/image2.emf"/><Relationship Id="rId18" Type="http://schemas.openxmlformats.org/officeDocument/2006/relationships/oleObject" Target="embeddings/oleObject2.bin"/><Relationship Id="rId17" Type="http://schemas.openxmlformats.org/officeDocument/2006/relationships/image" Target="media/image1.emf"/><Relationship Id="rId16" Type="http://schemas.openxmlformats.org/officeDocument/2006/relationships/oleObject" Target="embeddings/oleObject1.bin"/><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000E74-073C-4250-BFC0-066CDE2A0408}">
  <ds:schemaRefs/>
</ds:datastoreItem>
</file>

<file path=docProps/app.xml><?xml version="1.0" encoding="utf-8"?>
<Properties xmlns="http://schemas.openxmlformats.org/officeDocument/2006/extended-properties" xmlns:vt="http://schemas.openxmlformats.org/officeDocument/2006/docPropsVTypes">
  <Template>Normal</Template>
  <Company>神州网信技术有限公司</Company>
  <Pages>8</Pages>
  <Words>3154</Words>
  <Characters>3443</Characters>
  <Lines>224</Lines>
  <Paragraphs>63</Paragraphs>
  <TotalTime>1</TotalTime>
  <ScaleCrop>false</ScaleCrop>
  <LinksUpToDate>false</LinksUpToDate>
  <CharactersWithSpaces>3508</CharactersWithSpaces>
  <Application>WPS Office_11.1.0.10228_F1E327BC-269C-435d-A152-05C5408002CA</Application>
  <DocSecurity>13</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2023-07-25T08:19:00Z</dcterms:created>
  <dc:creator>liu shaoping</dc:creator>
  <cp:keywords>BD@@2023@@白山 23C804.docx</cp:keywords>
  <cp:lastModifiedBy>Administrator</cp:lastModifiedBy>
  <dcterms:modified xsi:type="dcterms:W3CDTF">2023-09-27T08:16:33Z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y fmtid="{D5CDD505-2E9C-101B-9397-08002B2CF9AE}" pid="3" name="ICV">
    <vt:lpwstr>9EE8A827D4A349A290B5A35B1E5E660B_13</vt:lpwstr>
  </property>
  <property fmtid="{D5CDD505-2E9C-101B-9397-08002B2CF9AE}" pid="4" name="GWFBBS_NAME" linkTarget="0">
    <vt:lpwstr>ZBWJFBBS</vt:lpwstr>
  </property>
</Properties>
</file>