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537E0">
      <w:pPr>
        <w:pStyle w:val="4"/>
        <w:spacing w:before="0" w:after="240" w:line="380" w:lineRule="atLeast"/>
        <w:jc w:val="center"/>
        <w:rPr>
          <w:rFonts w:hint="eastAsia" w:ascii="宋体" w:hAnsi="宋体" w:eastAsia="宋体" w:cs="宋体"/>
          <w:b w:val="0"/>
          <w:color w:val="auto"/>
          <w:sz w:val="36"/>
          <w:szCs w:val="36"/>
          <w:highlight w:val="none"/>
        </w:rPr>
      </w:pPr>
      <w:bookmarkStart w:id="0" w:name="_Toc508984333"/>
      <w:bookmarkStart w:id="1" w:name="_Toc508984134"/>
      <w:bookmarkStart w:id="2" w:name="_Toc503235805"/>
      <w:bookmarkStart w:id="3" w:name="_Toc234832942"/>
      <w:r>
        <w:rPr>
          <w:rFonts w:hint="eastAsia" w:ascii="宋体" w:hAnsi="宋体" w:eastAsia="宋体" w:cs="宋体"/>
          <w:b w:val="0"/>
          <w:color w:val="auto"/>
          <w:sz w:val="36"/>
          <w:szCs w:val="36"/>
          <w:highlight w:val="none"/>
        </w:rPr>
        <w:t>第三章  评标办法（综合评估法）</w:t>
      </w:r>
      <w:bookmarkEnd w:id="0"/>
      <w:bookmarkEnd w:id="1"/>
      <w:bookmarkEnd w:id="2"/>
      <w:bookmarkEnd w:id="3"/>
    </w:p>
    <w:p w14:paraId="53B1B355">
      <w:pPr>
        <w:pStyle w:val="5"/>
        <w:spacing w:before="0" w:after="0" w:line="360" w:lineRule="auto"/>
        <w:jc w:val="left"/>
        <w:rPr>
          <w:rFonts w:hint="eastAsia" w:eastAsia="宋体" w:cs="宋体"/>
          <w:b/>
          <w:bCs w:val="0"/>
          <w:i w:val="0"/>
          <w:iCs w:val="0"/>
          <w:color w:val="auto"/>
          <w:sz w:val="28"/>
          <w:szCs w:val="28"/>
          <w:highlight w:val="none"/>
        </w:rPr>
      </w:pPr>
      <w:bookmarkStart w:id="4" w:name="_Toc234832943"/>
      <w:bookmarkStart w:id="5" w:name="_Toc503235806"/>
      <w:bookmarkStart w:id="6" w:name="_Toc508984334"/>
      <w:bookmarkStart w:id="7" w:name="_Toc508984135"/>
      <w:r>
        <w:rPr>
          <w:rFonts w:hint="eastAsia" w:eastAsia="宋体" w:cs="宋体"/>
          <w:b/>
          <w:bCs w:val="0"/>
          <w:i w:val="0"/>
          <w:iCs w:val="0"/>
          <w:color w:val="auto"/>
          <w:sz w:val="28"/>
          <w:szCs w:val="28"/>
          <w:highlight w:val="none"/>
        </w:rPr>
        <w:t>评标办法前附表</w:t>
      </w:r>
      <w:bookmarkEnd w:id="4"/>
      <w:bookmarkEnd w:id="5"/>
      <w:bookmarkEnd w:id="6"/>
      <w:bookmarkEnd w:id="7"/>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35FDD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noWrap w:val="0"/>
            <w:vAlign w:val="center"/>
          </w:tcPr>
          <w:p w14:paraId="32D0BBD0">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2CC369D">
            <w:pPr>
              <w:keepNext w:val="0"/>
              <w:keepLines w:val="0"/>
              <w:pageBreakBefore w:val="0"/>
              <w:kinsoku/>
              <w:wordWrap/>
              <w:overflowPunct/>
              <w:topLinePunct w:val="0"/>
              <w:bidi w:val="0"/>
              <w:spacing w:line="400" w:lineRule="exact"/>
              <w:jc w:val="center"/>
              <w:rPr>
                <w:rFonts w:hint="eastAsia" w:ascii="宋体" w:hAnsi="宋体" w:eastAsia="宋体" w:cs="宋体"/>
                <w:b/>
                <w:color w:val="auto"/>
                <w:spacing w:val="4"/>
                <w:szCs w:val="21"/>
                <w:highlight w:val="none"/>
              </w:rPr>
            </w:pPr>
            <w:r>
              <w:rPr>
                <w:rFonts w:hint="eastAsia" w:ascii="宋体" w:hAnsi="宋体" w:eastAsia="宋体" w:cs="宋体"/>
                <w:b/>
                <w:color w:val="auto"/>
                <w:spacing w:val="4"/>
                <w:szCs w:val="21"/>
                <w:highlight w:val="none"/>
              </w:rPr>
              <w:t>评审因素与评审标准</w:t>
            </w:r>
          </w:p>
        </w:tc>
      </w:tr>
      <w:tr w14:paraId="5CE9C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11E44528">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80" w:type="dxa"/>
            <w:tcBorders>
              <w:top w:val="single" w:color="auto" w:sz="4" w:space="0"/>
              <w:bottom w:val="single" w:color="auto" w:sz="4" w:space="0"/>
              <w:right w:val="single" w:color="auto" w:sz="4" w:space="0"/>
            </w:tcBorders>
            <w:noWrap w:val="0"/>
            <w:vAlign w:val="center"/>
          </w:tcPr>
          <w:p w14:paraId="6954F1CE">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6622" w:type="dxa"/>
            <w:tcBorders>
              <w:top w:val="single" w:color="auto" w:sz="4" w:space="0"/>
              <w:left w:val="single" w:color="auto" w:sz="4" w:space="0"/>
              <w:right w:val="single" w:color="auto" w:sz="4" w:space="0"/>
            </w:tcBorders>
            <w:noWrap w:val="0"/>
            <w:vAlign w:val="center"/>
          </w:tcPr>
          <w:p w14:paraId="18E275F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综合评分相等时，评标委员会依次按照以下优先顺序推荐中标候选人或确定中标人：</w:t>
            </w:r>
          </w:p>
          <w:p w14:paraId="4507645E">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（1）评标价低的投标人优先；</w:t>
            </w:r>
          </w:p>
          <w:p w14:paraId="1A36317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（2）商务和技术得分较高的投标人优先；</w:t>
            </w:r>
          </w:p>
          <w:p w14:paraId="552CEE98">
            <w:pPr>
              <w:keepNext w:val="0"/>
              <w:keepLines w:val="0"/>
              <w:pageBreakBefore w:val="0"/>
              <w:kinsoku/>
              <w:wordWrap/>
              <w:overflowPunct/>
              <w:topLinePunct w:val="0"/>
              <w:bidi w:val="0"/>
              <w:adjustRightInd w:val="0"/>
              <w:spacing w:line="400" w:lineRule="exact"/>
              <w:ind w:firstLine="420" w:firstLineChars="200"/>
              <w:rPr>
                <w:rFonts w:hint="eastAsia" w:ascii="宋体" w:hAnsi="宋体" w:eastAsia="宋体" w:cs="宋体"/>
                <w:b/>
                <w:bCs/>
                <w:color w:val="auto"/>
                <w:sz w:val="28"/>
                <w:szCs w:val="21"/>
                <w:highlight w:val="none"/>
              </w:rPr>
            </w:pPr>
            <w:r>
              <w:rPr>
                <w:rFonts w:hint="eastAsia" w:ascii="宋体" w:hAnsi="宋体" w:eastAsia="宋体" w:cs="宋体"/>
                <w:color w:val="auto"/>
                <w:szCs w:val="21"/>
                <w:highlight w:val="none"/>
              </w:rPr>
              <w:t>（3）评标委员会视投标人情况综合比较，投票确定其名次。</w:t>
            </w:r>
          </w:p>
        </w:tc>
      </w:tr>
      <w:tr w14:paraId="29C4D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989" w:type="dxa"/>
            <w:tcBorders>
              <w:top w:val="single" w:color="auto" w:sz="4" w:space="0"/>
              <w:bottom w:val="single" w:color="auto" w:sz="4" w:space="0"/>
              <w:right w:val="single" w:color="auto" w:sz="4" w:space="0"/>
            </w:tcBorders>
            <w:noWrap w:val="0"/>
            <w:vAlign w:val="center"/>
          </w:tcPr>
          <w:p w14:paraId="15F11411">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p w14:paraId="0BC7A1EA">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280" w:type="dxa"/>
            <w:tcBorders>
              <w:top w:val="single" w:color="auto" w:sz="4" w:space="0"/>
              <w:bottom w:val="single" w:color="auto" w:sz="4" w:space="0"/>
              <w:right w:val="single" w:color="auto" w:sz="4" w:space="0"/>
            </w:tcBorders>
            <w:noWrap w:val="0"/>
            <w:vAlign w:val="center"/>
          </w:tcPr>
          <w:p w14:paraId="32F8F59F">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形式评审与响应性评审标准</w:t>
            </w:r>
          </w:p>
        </w:tc>
        <w:tc>
          <w:tcPr>
            <w:tcW w:w="6622" w:type="dxa"/>
            <w:tcBorders>
              <w:top w:val="single" w:color="auto" w:sz="4" w:space="0"/>
              <w:left w:val="single" w:color="auto" w:sz="4" w:space="0"/>
              <w:right w:val="single" w:color="auto" w:sz="4" w:space="0"/>
            </w:tcBorders>
            <w:noWrap w:val="0"/>
            <w:vAlign w:val="center"/>
          </w:tcPr>
          <w:p w14:paraId="6C030F13">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第一个信封（商务及技术文件）评审标准：</w:t>
            </w:r>
          </w:p>
          <w:p w14:paraId="77A6B73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w:t>
            </w:r>
          </w:p>
          <w:p w14:paraId="126248D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a.投标函按招标文件规定填报了项目名称、服务期限、质量要求；</w:t>
            </w:r>
          </w:p>
          <w:p w14:paraId="60524184">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b.投标文件组成齐全完整，内容均按规定填写。</w:t>
            </w:r>
          </w:p>
          <w:p w14:paraId="4AB099F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（2）投标文件上法定代表人或其委托代理人的签字、投标人的单位章盖章齐全，符合招标文件规定。</w:t>
            </w:r>
          </w:p>
          <w:p w14:paraId="0231FEF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（3）投标人按照招标文件的规定提供了投标保证金：</w:t>
            </w:r>
          </w:p>
          <w:p w14:paraId="679811A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a.投标保证金金额符合招标文件规定的金额，且投标保证金有效期不少于投标有效期；</w:t>
            </w:r>
          </w:p>
          <w:p w14:paraId="5F1DA25E">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b.若投标保证金采用现金或支票形式提交，投标人应在投标人须知前附表3.4.1款规定的时间，将投标保证金由投标人的基本账户转入招标人指定账户；</w:t>
            </w:r>
          </w:p>
          <w:p w14:paraId="0A7F531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c.若投标保证金采用银行保函或投标人须知前附表 3.4.1 项规定的其他形式提交，均应满足招标文件要求。</w:t>
            </w:r>
          </w:p>
          <w:p w14:paraId="2BC0D1C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（4）投标人法定代表人授权委托代理人签署投标文件的，须提交授权委托书，且授权人和被授权人均在授权委托书上签名，未使用印章、签名章或其他电子制版签名代替。</w:t>
            </w:r>
          </w:p>
          <w:p w14:paraId="139B4BA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（5）投标人法定代表人亲自签署投标文件的，提供了法定代表人身份证明，且法定代表人在法定代表人身份证明上签名，未使用印章、签名章或其他电子制版签名代替。</w:t>
            </w:r>
          </w:p>
          <w:p w14:paraId="74C2E73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以联合体形式投标。</w:t>
            </w:r>
          </w:p>
          <w:p w14:paraId="1180F3B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）同一投标人未提交两个以上不同的投标文件，但招标文件要求提交备选投标的除外。</w:t>
            </w:r>
          </w:p>
          <w:p w14:paraId="50B3D3F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）投标文件中未出现有关投标报价的内容。</w:t>
            </w:r>
          </w:p>
          <w:p w14:paraId="6A03569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）投标文件载明的招标项目完成期限未超过招标文件规定的时限。</w:t>
            </w:r>
          </w:p>
          <w:p w14:paraId="3F207B1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）投标文件对招标文件的实质性要求和条件作出响应。</w:t>
            </w:r>
          </w:p>
          <w:p w14:paraId="10694D1E">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）权利义务符合招标文件规定：</w:t>
            </w:r>
          </w:p>
          <w:p w14:paraId="3027A25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a.投标人应接受招标文件规定的风险划分原则，未提出新的风险划分办法；</w:t>
            </w:r>
          </w:p>
          <w:p w14:paraId="0F313A8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b.投标人未增加发包人的责任范围，或减少投标人义务；</w:t>
            </w:r>
          </w:p>
          <w:p w14:paraId="572D86A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c.投标人未提出不同的支付办法；</w:t>
            </w:r>
          </w:p>
          <w:p w14:paraId="4D64D89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d.投标人对合同纠纷、事故处理办法未提出异议；</w:t>
            </w:r>
          </w:p>
          <w:p w14:paraId="22B21FB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e.投标人在投标活动中无欺诈行为；</w:t>
            </w:r>
          </w:p>
          <w:p w14:paraId="3A33C72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f.投标人未对合同条款有重要保留。</w:t>
            </w:r>
          </w:p>
          <w:p w14:paraId="170A3F2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）投标文件正、副本份数符合招标文件第二章“投标人须知”第3.7.4项规定。</w:t>
            </w:r>
          </w:p>
          <w:p w14:paraId="4CEE64D4">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第二个信封（报价文件）评审标准：</w:t>
            </w:r>
          </w:p>
          <w:p w14:paraId="7F93CE80">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（1）投标文件按照招标文件规定的格式、内容填写，字迹清晰可辨，内容齐全完整：</w:t>
            </w:r>
          </w:p>
          <w:p w14:paraId="21A041C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a.投标函按招标文件规定填报了项目名称、投标总报价（包括大写金额和小写金额）；</w:t>
            </w:r>
          </w:p>
          <w:p w14:paraId="61D6067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.投标文件组成齐全完整，内容均按规定填写。</w:t>
            </w:r>
          </w:p>
          <w:p w14:paraId="5AB8496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（2）投标文件上法定代表人或其委托代理人的签字、投标人的单位章盖章齐全，符合招标文件规定。</w:t>
            </w:r>
          </w:p>
          <w:p w14:paraId="668CA4A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（3）投标报价未超过招标文件设定的最高投标限价（如有）。</w:t>
            </w:r>
          </w:p>
          <w:p w14:paraId="1F8C45F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（4）投标报价的大写金额能够确定具体数值。</w:t>
            </w:r>
          </w:p>
          <w:p w14:paraId="7900D25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（5）同一投标人未提交两个以上不同的投标报价，但招标文件要求提交备选投标的除外。</w:t>
            </w:r>
          </w:p>
          <w:p w14:paraId="59F6B6D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（6）投标文件正、副本份数符合招标文件第二章“投标人须知”第3.7.4项规定。</w:t>
            </w:r>
          </w:p>
        </w:tc>
      </w:tr>
      <w:tr w14:paraId="0F2E0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0A91A536">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280" w:type="dxa"/>
            <w:tcBorders>
              <w:top w:val="single" w:color="auto" w:sz="4" w:space="0"/>
              <w:right w:val="single" w:color="auto" w:sz="4" w:space="0"/>
            </w:tcBorders>
            <w:noWrap w:val="0"/>
            <w:vAlign w:val="center"/>
          </w:tcPr>
          <w:p w14:paraId="36A40BD1">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6622" w:type="dxa"/>
            <w:tcBorders>
              <w:top w:val="single" w:color="auto" w:sz="4" w:space="0"/>
              <w:left w:val="single" w:color="auto" w:sz="4" w:space="0"/>
              <w:right w:val="single" w:color="auto" w:sz="4" w:space="0"/>
            </w:tcBorders>
            <w:noWrap w:val="0"/>
            <w:vAlign w:val="center"/>
          </w:tcPr>
          <w:p w14:paraId="72C05E3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（1）投标人具备有效的营业执照（或事业单位法人证书）</w:t>
            </w:r>
            <w:r>
              <w:rPr>
                <w:rFonts w:hint="eastAsia" w:ascii="宋体" w:hAnsi="宋体" w:eastAsia="宋体" w:cs="宋体"/>
                <w:color w:val="auto"/>
                <w:highlight w:val="none"/>
              </w:rPr>
              <w:t>、</w:t>
            </w:r>
            <w:r>
              <w:rPr>
                <w:rFonts w:hint="eastAsia" w:ascii="宋体" w:hAnsi="宋体" w:eastAsia="宋体" w:cs="宋体"/>
                <w:color w:val="auto"/>
                <w:szCs w:val="21"/>
                <w:highlight w:val="none"/>
              </w:rPr>
              <w:t>基本账户开户许可证（如企业所在地已取消企业银行账户许可而无法提供开户许可证的，则需附上开户银行盖章的“基本存款账户信息”或“人民银行账户管理系统查询的基本账户信息截图”）。</w:t>
            </w:r>
          </w:p>
          <w:p w14:paraId="62F010D3">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（2）投标人的资质等级符合招标文件规定。</w:t>
            </w:r>
          </w:p>
          <w:p w14:paraId="03DCB43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（3）投标人的类似项目业绩符合招标文件规定。</w:t>
            </w:r>
          </w:p>
          <w:p w14:paraId="33C620E5">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（4）投标人的信誉符合招标文件规定。</w:t>
            </w:r>
          </w:p>
          <w:p w14:paraId="4906624B">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（5）投标人的项目负责人资格符合招标文件规定。</w:t>
            </w:r>
          </w:p>
          <w:p w14:paraId="64B8A82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（6）投标人的其他要求符合招标文件规定。</w:t>
            </w:r>
          </w:p>
          <w:p w14:paraId="1465D403">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（7）投标人不存在第二章“投标人须知”第1.4.3项或第1.4.4项规定的任何一种情形。</w:t>
            </w:r>
          </w:p>
        </w:tc>
      </w:tr>
    </w:tbl>
    <w:p w14:paraId="3B7030A8">
      <w:pPr>
        <w:keepNext w:val="0"/>
        <w:keepLines w:val="0"/>
        <w:pageBreakBefore w:val="0"/>
        <w:kinsoku/>
        <w:wordWrap/>
        <w:overflowPunct/>
        <w:topLinePunct w:val="0"/>
        <w:bidi w:val="0"/>
        <w:spacing w:line="400" w:lineRule="exact"/>
        <w:jc w:val="both"/>
        <w:rPr>
          <w:rFonts w:hint="eastAsia" w:ascii="宋体" w:hAnsi="宋体" w:eastAsia="宋体" w:cs="宋体"/>
          <w:color w:val="auto"/>
          <w:highlight w:val="none"/>
        </w:rPr>
      </w:pPr>
    </w:p>
    <w:p w14:paraId="5F2BD742">
      <w:pPr>
        <w:keepNext w:val="0"/>
        <w:keepLines w:val="0"/>
        <w:pageBreakBefore w:val="0"/>
        <w:kinsoku/>
        <w:wordWrap/>
        <w:overflowPunct/>
        <w:topLinePunct w:val="0"/>
        <w:bidi w:val="0"/>
        <w:spacing w:line="400" w:lineRule="exact"/>
        <w:rPr>
          <w:rFonts w:hint="eastAsia" w:ascii="宋体" w:hAnsi="宋体" w:eastAsia="宋体" w:cs="宋体"/>
          <w:color w:val="auto"/>
          <w:highlight w:val="none"/>
        </w:rPr>
      </w:pPr>
    </w:p>
    <w:p w14:paraId="371DBE18">
      <w:pPr>
        <w:keepNext w:val="0"/>
        <w:keepLines w:val="0"/>
        <w:pageBreakBefore w:val="0"/>
        <w:widowControl/>
        <w:kinsoku/>
        <w:wordWrap/>
        <w:overflowPunct/>
        <w:topLinePunct w:val="0"/>
        <w:bidi w:val="0"/>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spacing w:val="4"/>
          <w:szCs w:val="21"/>
          <w:highlight w:val="none"/>
        </w:rPr>
        <w:t>续上表</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09ED9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677A02D7">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280" w:type="dxa"/>
            <w:tcBorders>
              <w:top w:val="single" w:color="auto" w:sz="4" w:space="0"/>
              <w:right w:val="single" w:color="auto" w:sz="4" w:space="0"/>
            </w:tcBorders>
            <w:noWrap w:val="0"/>
            <w:vAlign w:val="center"/>
          </w:tcPr>
          <w:p w14:paraId="3D4DF085">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622" w:type="dxa"/>
            <w:tcBorders>
              <w:top w:val="single" w:color="auto" w:sz="4" w:space="0"/>
              <w:left w:val="single" w:color="auto" w:sz="4" w:space="0"/>
              <w:right w:val="single" w:color="auto" w:sz="4" w:space="0"/>
            </w:tcBorders>
            <w:noWrap w:val="0"/>
            <w:vAlign w:val="center"/>
          </w:tcPr>
          <w:p w14:paraId="5E2D07AF">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2223A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2" w:hRule="atLeast"/>
        </w:trPr>
        <w:tc>
          <w:tcPr>
            <w:tcW w:w="989" w:type="dxa"/>
            <w:tcBorders>
              <w:top w:val="single" w:color="auto" w:sz="4" w:space="0"/>
              <w:right w:val="single" w:color="auto" w:sz="4" w:space="0"/>
            </w:tcBorders>
            <w:noWrap w:val="0"/>
            <w:vAlign w:val="center"/>
          </w:tcPr>
          <w:p w14:paraId="325F2525">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280" w:type="dxa"/>
            <w:tcBorders>
              <w:top w:val="single" w:color="auto" w:sz="4" w:space="0"/>
              <w:right w:val="single" w:color="auto" w:sz="4" w:space="0"/>
            </w:tcBorders>
            <w:noWrap w:val="0"/>
            <w:vAlign w:val="center"/>
          </w:tcPr>
          <w:p w14:paraId="03DA52D4">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8241142">
            <w:pPr>
              <w:keepNext w:val="0"/>
              <w:keepLines w:val="0"/>
              <w:pageBreakBefore w:val="0"/>
              <w:kinsoku/>
              <w:wordWrap/>
              <w:overflowPunct/>
              <w:topLinePunct w:val="0"/>
              <w:bidi w:val="0"/>
              <w:spacing w:line="40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6622" w:type="dxa"/>
            <w:tcBorders>
              <w:top w:val="single" w:color="auto" w:sz="4" w:space="0"/>
              <w:left w:val="single" w:color="auto" w:sz="4" w:space="0"/>
              <w:right w:val="single" w:color="auto" w:sz="4" w:space="0"/>
            </w:tcBorders>
            <w:noWrap w:val="0"/>
            <w:vAlign w:val="center"/>
          </w:tcPr>
          <w:p w14:paraId="59D8088D">
            <w:pPr>
              <w:keepNext w:val="0"/>
              <w:keepLines w:val="0"/>
              <w:pageBreakBefore w:val="0"/>
              <w:widowControl w:val="0"/>
              <w:kinsoku/>
              <w:wordWrap/>
              <w:overflowPunct/>
              <w:topLinePunct w:val="0"/>
              <w:bidi w:val="0"/>
              <w:adjustRightInd/>
              <w:snapToGrid/>
              <w:spacing w:line="380" w:lineRule="exact"/>
              <w:ind w:firstLine="422" w:firstLineChars="200"/>
              <w:textAlignment w:val="auto"/>
              <w:rPr>
                <w:rFonts w:hint="eastAsia" w:ascii="宋体" w:hAnsi="宋体" w:eastAsia="宋体" w:cs="宋体"/>
                <w:b/>
                <w:bCs/>
                <w:color w:val="auto"/>
                <w:sz w:val="28"/>
                <w:szCs w:val="21"/>
                <w:highlight w:val="none"/>
              </w:rPr>
            </w:pPr>
            <w:r>
              <w:rPr>
                <w:rFonts w:hint="eastAsia" w:ascii="宋体" w:hAnsi="宋体" w:eastAsia="宋体" w:cs="宋体"/>
                <w:b/>
                <w:color w:val="auto"/>
                <w:szCs w:val="21"/>
                <w:highlight w:val="none"/>
              </w:rPr>
              <w:t>第一个信封（商务及技术文件）评分分值构成：</w:t>
            </w:r>
          </w:p>
          <w:p w14:paraId="252565A3">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技术建议书：</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0 </w:t>
            </w:r>
            <w:r>
              <w:rPr>
                <w:rFonts w:hint="eastAsia" w:ascii="宋体" w:hAnsi="宋体" w:eastAsia="宋体" w:cs="宋体"/>
                <w:color w:val="auto"/>
                <w:szCs w:val="21"/>
                <w:highlight w:val="none"/>
              </w:rPr>
              <w:t xml:space="preserve">分        </w:t>
            </w:r>
          </w:p>
          <w:p w14:paraId="526E4344">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主要人员：</w:t>
            </w:r>
            <w:r>
              <w:rPr>
                <w:rFonts w:hint="eastAsia" w:ascii="宋体" w:hAnsi="宋体" w:eastAsia="宋体" w:cs="宋体"/>
                <w:color w:val="auto"/>
                <w:szCs w:val="21"/>
                <w:highlight w:val="none"/>
                <w:u w:val="single"/>
              </w:rPr>
              <w:t xml:space="preserve"> 20 </w:t>
            </w:r>
            <w:r>
              <w:rPr>
                <w:rFonts w:hint="eastAsia" w:ascii="宋体" w:hAnsi="宋体" w:eastAsia="宋体" w:cs="宋体"/>
                <w:color w:val="auto"/>
                <w:szCs w:val="21"/>
                <w:highlight w:val="none"/>
              </w:rPr>
              <w:t xml:space="preserve">分                </w:t>
            </w:r>
          </w:p>
          <w:p w14:paraId="712477E2">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 w:val="18"/>
                <w:szCs w:val="21"/>
                <w:highlight w:val="none"/>
              </w:rPr>
            </w:pP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2</w:t>
            </w:r>
            <w:r>
              <w:rPr>
                <w:rFonts w:hint="eastAsia" w:ascii="宋体" w:hAnsi="宋体" w:eastAsia="宋体" w:cs="宋体"/>
                <w:color w:val="auto"/>
                <w:szCs w:val="21"/>
                <w:highlight w:val="none"/>
                <w:u w:val="single"/>
              </w:rPr>
              <w:t xml:space="preserve">5 </w:t>
            </w:r>
            <w:r>
              <w:rPr>
                <w:rFonts w:hint="eastAsia" w:ascii="宋体" w:hAnsi="宋体" w:eastAsia="宋体" w:cs="宋体"/>
                <w:color w:val="auto"/>
                <w:szCs w:val="21"/>
                <w:highlight w:val="none"/>
              </w:rPr>
              <w:t xml:space="preserve">分           </w:t>
            </w:r>
          </w:p>
          <w:p w14:paraId="6670BEFD">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 w:val="18"/>
                <w:szCs w:val="21"/>
                <w:highlight w:val="none"/>
              </w:rPr>
            </w:pPr>
            <w:r>
              <w:rPr>
                <w:rFonts w:hint="eastAsia" w:ascii="宋体" w:hAnsi="宋体" w:eastAsia="宋体" w:cs="宋体"/>
                <w:color w:val="auto"/>
                <w:szCs w:val="21"/>
                <w:highlight w:val="none"/>
              </w:rPr>
              <w:t>履约信誉：</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 xml:space="preserve">分         </w:t>
            </w:r>
          </w:p>
          <w:p w14:paraId="22A1E660">
            <w:pPr>
              <w:keepNext w:val="0"/>
              <w:keepLines w:val="0"/>
              <w:pageBreakBefore w:val="0"/>
              <w:widowControl w:val="0"/>
              <w:kinsoku/>
              <w:wordWrap/>
              <w:overflowPunct/>
              <w:topLinePunct w:val="0"/>
              <w:bidi w:val="0"/>
              <w:adjustRightInd/>
              <w:snapToGri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第二个信封（报价文件）评分分值构成：</w:t>
            </w:r>
          </w:p>
          <w:p w14:paraId="7650FDE8">
            <w:pPr>
              <w:keepNext w:val="0"/>
              <w:keepLines w:val="0"/>
              <w:pageBreakBefore w:val="0"/>
              <w:widowControl w:val="0"/>
              <w:kinsoku/>
              <w:wordWrap/>
              <w:overflowPunct/>
              <w:topLinePunct w:val="0"/>
              <w:bidi w:val="0"/>
              <w:adjustRightInd/>
              <w:snapToGrid/>
              <w:spacing w:line="380" w:lineRule="exact"/>
              <w:ind w:right="4563" w:rightChars="2173" w:firstLine="420"/>
              <w:jc w:val="distribute"/>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分</w:t>
            </w:r>
          </w:p>
        </w:tc>
      </w:tr>
      <w:tr w14:paraId="62191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1" w:hRule="atLeast"/>
        </w:trPr>
        <w:tc>
          <w:tcPr>
            <w:tcW w:w="989" w:type="dxa"/>
            <w:tcBorders>
              <w:top w:val="single" w:color="auto" w:sz="4" w:space="0"/>
              <w:right w:val="single" w:color="auto" w:sz="4" w:space="0"/>
            </w:tcBorders>
            <w:noWrap w:val="0"/>
            <w:vAlign w:val="center"/>
          </w:tcPr>
          <w:p w14:paraId="272B3596">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280" w:type="dxa"/>
            <w:tcBorders>
              <w:top w:val="single" w:color="auto" w:sz="4" w:space="0"/>
              <w:right w:val="single" w:color="auto" w:sz="4" w:space="0"/>
            </w:tcBorders>
            <w:noWrap w:val="0"/>
            <w:vAlign w:val="center"/>
          </w:tcPr>
          <w:p w14:paraId="59F10C4A">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6622" w:type="dxa"/>
            <w:tcBorders>
              <w:top w:val="single" w:color="auto" w:sz="4" w:space="0"/>
              <w:left w:val="single" w:color="auto" w:sz="4" w:space="0"/>
              <w:right w:val="single" w:color="auto" w:sz="4" w:space="0"/>
            </w:tcBorders>
            <w:noWrap w:val="0"/>
            <w:vAlign w:val="center"/>
          </w:tcPr>
          <w:p w14:paraId="15227F2E">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评标基准价的计算：</w:t>
            </w:r>
          </w:p>
          <w:p w14:paraId="3BFED2F5">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在开标现场，招标人将当场计算并宣布评标基准价。</w:t>
            </w:r>
          </w:p>
          <w:p w14:paraId="2297E1B2">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（1）评标价的确定：</w:t>
            </w:r>
          </w:p>
          <w:p w14:paraId="34BB0DF7">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评标价＝投标函文字报价</w:t>
            </w:r>
          </w:p>
          <w:p w14:paraId="2D4290F6">
            <w:pPr>
              <w:keepNext w:val="0"/>
              <w:keepLines w:val="0"/>
              <w:pageBreakBefore w:val="0"/>
              <w:widowControl w:val="0"/>
              <w:kinsoku/>
              <w:wordWrap/>
              <w:overflowPunct/>
              <w:topLinePunct w:val="0"/>
              <w:bidi w:val="0"/>
              <w:adjustRightInd/>
              <w:snapToGrid/>
              <w:spacing w:line="38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（2）最高评标限价的确定：</w:t>
            </w:r>
          </w:p>
          <w:p w14:paraId="6610170F">
            <w:pPr>
              <w:pStyle w:val="13"/>
              <w:keepNext w:val="0"/>
              <w:keepLines w:val="0"/>
              <w:pageBreakBefore w:val="0"/>
              <w:widowControl w:val="0"/>
              <w:numPr>
                <w:ilvl w:val="0"/>
                <w:numId w:val="0"/>
              </w:numPr>
              <w:kinsoku/>
              <w:wordWrap/>
              <w:overflowPunct/>
              <w:topLinePunct w:val="0"/>
              <w:autoSpaceDE w:val="0"/>
              <w:autoSpaceDN w:val="0"/>
              <w:bidi w:val="0"/>
              <w:adjustRightInd/>
              <w:snapToGrid/>
              <w:spacing w:beforeLines="0" w:afterLines="0" w:line="380" w:lineRule="exact"/>
              <w:ind w:leftChars="0" w:firstLine="0"/>
              <w:jc w:val="left"/>
              <w:textAlignment w:val="auto"/>
              <w:rPr>
                <w:rFonts w:hint="eastAsia" w:ascii="宋体" w:hAnsi="宋体" w:eastAsia="宋体" w:cs="宋体"/>
                <w:b/>
                <w:bCs/>
                <w:color w:val="auto"/>
                <w:szCs w:val="21"/>
                <w:highlight w:val="none"/>
              </w:rPr>
            </w:pPr>
            <w:bookmarkStart w:id="8" w:name="_Toc441148680"/>
            <w:bookmarkStart w:id="9" w:name="_Toc429404080"/>
            <w:r>
              <w:rPr>
                <w:rFonts w:hint="eastAsia" w:ascii="宋体" w:hAnsi="宋体" w:eastAsia="宋体" w:cs="宋体"/>
                <w:b/>
                <w:bCs/>
                <w:color w:val="auto"/>
                <w:szCs w:val="21"/>
                <w:highlight w:val="none"/>
                <w:lang w:val="en-US" w:eastAsia="zh-CN"/>
              </w:rPr>
              <w:t>①</w:t>
            </w:r>
            <w:r>
              <w:rPr>
                <w:rFonts w:hint="eastAsia" w:ascii="宋体" w:hAnsi="宋体" w:eastAsia="宋体" w:cs="宋体"/>
                <w:b/>
                <w:bCs/>
                <w:color w:val="auto"/>
                <w:szCs w:val="21"/>
                <w:highlight w:val="none"/>
              </w:rPr>
              <w:t>最高投标限价</w:t>
            </w:r>
            <w:bookmarkEnd w:id="8"/>
            <w:bookmarkEnd w:id="9"/>
            <w:r>
              <w:rPr>
                <w:rFonts w:hint="eastAsia" w:ascii="宋体" w:hAnsi="宋体" w:eastAsia="宋体" w:cs="宋体"/>
                <w:b/>
                <w:bCs/>
                <w:color w:val="auto"/>
                <w:szCs w:val="21"/>
                <w:highlight w:val="none"/>
              </w:rPr>
              <w:t>下浮率的确定</w:t>
            </w:r>
          </w:p>
          <w:p w14:paraId="792E1622">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bookmarkStart w:id="10" w:name="_Toc441148682"/>
            <w:bookmarkStart w:id="11" w:name="_Toc429404082"/>
            <w:r>
              <w:rPr>
                <w:rFonts w:hint="eastAsia" w:ascii="宋体" w:hAnsi="宋体" w:eastAsia="宋体" w:cs="宋体"/>
                <w:color w:val="auto"/>
                <w:szCs w:val="21"/>
                <w:highlight w:val="none"/>
              </w:rPr>
              <w:t>下浮率在开标前在开标现场采取摇珠方式确定。摇珠操作办法如下：以0.1%为一档次增序确定摇珠号码，不少于31个球，一次性摇出3个球（摇出的珠不放回），摇出3个球对应的下浮率的算术平均值即为本标段招标的下浮率（注：摇出3个下浮率的算术平均值四舍五入取整到0.001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下浮率有效范围</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3%（含界值）</w:t>
            </w:r>
            <w:r>
              <w:rPr>
                <w:rFonts w:hint="eastAsia" w:ascii="宋体" w:hAnsi="宋体" w:eastAsia="宋体" w:cs="宋体"/>
                <w:color w:val="auto"/>
                <w:szCs w:val="21"/>
                <w:highlight w:val="none"/>
              </w:rPr>
              <w:t>）</w:t>
            </w:r>
            <w:bookmarkEnd w:id="10"/>
            <w:bookmarkEnd w:id="11"/>
            <w:r>
              <w:rPr>
                <w:rFonts w:hint="eastAsia" w:ascii="宋体" w:hAnsi="宋体" w:eastAsia="宋体" w:cs="宋体"/>
                <w:color w:val="auto"/>
                <w:szCs w:val="21"/>
                <w:highlight w:val="none"/>
              </w:rPr>
              <w:t>。</w:t>
            </w:r>
          </w:p>
          <w:p w14:paraId="52EEDC94">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jc w:val="left"/>
              <w:textAlignment w:val="auto"/>
              <w:rPr>
                <w:rFonts w:hint="eastAsia" w:ascii="宋体" w:hAnsi="宋体" w:eastAsia="宋体" w:cs="宋体"/>
                <w:b/>
                <w:bCs/>
                <w:color w:val="auto"/>
                <w:szCs w:val="21"/>
                <w:highlight w:val="none"/>
              </w:rPr>
            </w:pPr>
            <w:bookmarkStart w:id="12" w:name="_Toc429404086"/>
            <w:bookmarkStart w:id="13" w:name="_Toc441148687"/>
            <w:r>
              <w:rPr>
                <w:rFonts w:hint="eastAsia" w:ascii="宋体" w:hAnsi="宋体" w:eastAsia="宋体" w:cs="宋体"/>
                <w:b/>
                <w:bCs/>
                <w:color w:val="auto"/>
                <w:szCs w:val="21"/>
                <w:highlight w:val="none"/>
                <w:lang w:val="en-US" w:eastAsia="zh-CN"/>
              </w:rPr>
              <w:t>②</w:t>
            </w:r>
            <w:r>
              <w:rPr>
                <w:rFonts w:hint="eastAsia" w:ascii="宋体" w:hAnsi="宋体" w:eastAsia="宋体" w:cs="宋体"/>
                <w:b/>
                <w:bCs/>
                <w:color w:val="auto"/>
                <w:szCs w:val="21"/>
                <w:highlight w:val="none"/>
              </w:rPr>
              <w:t>最高评标限价=</w:t>
            </w:r>
            <w:bookmarkEnd w:id="12"/>
            <w:bookmarkEnd w:id="13"/>
            <w:r>
              <w:rPr>
                <w:rFonts w:hint="eastAsia" w:ascii="宋体" w:hAnsi="宋体" w:eastAsia="宋体" w:cs="宋体"/>
                <w:b/>
                <w:bCs/>
                <w:color w:val="auto"/>
                <w:szCs w:val="21"/>
                <w:highlight w:val="none"/>
              </w:rPr>
              <w:t>最高投标限价×（1-下浮率）</w:t>
            </w:r>
          </w:p>
          <w:p w14:paraId="1AB286E7">
            <w:pPr>
              <w:pStyle w:val="13"/>
              <w:keepNext w:val="0"/>
              <w:keepLines w:val="0"/>
              <w:pageBreakBefore w:val="0"/>
              <w:widowControl w:val="0"/>
              <w:kinsoku/>
              <w:wordWrap/>
              <w:overflowPunct/>
              <w:topLinePunct w:val="0"/>
              <w:autoSpaceDE w:val="0"/>
              <w:autoSpaceDN w:val="0"/>
              <w:bidi w:val="0"/>
              <w:adjustRightInd/>
              <w:snapToGrid/>
              <w:spacing w:line="380" w:lineRule="exact"/>
              <w:ind w:left="36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有效评标价范围：不大于最高评标限价的评标价为有效评标价。若大于最高评标限价的</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评标价，其评标价得分为0分。</w:t>
            </w:r>
          </w:p>
          <w:p w14:paraId="28E13FBF">
            <w:pPr>
              <w:keepNext w:val="0"/>
              <w:keepLines w:val="0"/>
              <w:pageBreakBefore w:val="0"/>
              <w:widowControl w:val="0"/>
              <w:kinsoku/>
              <w:wordWrap/>
              <w:overflowPunct/>
              <w:topLinePunct w:val="0"/>
              <w:bidi w:val="0"/>
              <w:adjustRightInd/>
              <w:snapToGrid/>
              <w:spacing w:line="38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（3）评标基准价的确定：</w:t>
            </w:r>
          </w:p>
          <w:p w14:paraId="234B1E9E">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将</w:t>
            </w:r>
            <w:r>
              <w:rPr>
                <w:rFonts w:hint="eastAsia" w:ascii="宋体" w:hAnsi="宋体" w:eastAsia="宋体" w:cs="宋体"/>
                <w:color w:val="auto"/>
                <w:szCs w:val="21"/>
                <w:highlight w:val="none"/>
              </w:rPr>
              <w:t>最高评标限价</w:t>
            </w:r>
            <w:r>
              <w:rPr>
                <w:rFonts w:hint="eastAsia" w:ascii="宋体" w:hAnsi="宋体" w:eastAsia="宋体" w:cs="宋体"/>
                <w:color w:val="auto"/>
                <w:kern w:val="0"/>
                <w:szCs w:val="21"/>
                <w:highlight w:val="none"/>
              </w:rPr>
              <w:t>下浮</w:t>
            </w:r>
            <w:r>
              <w:rPr>
                <w:rFonts w:hint="eastAsia" w:ascii="宋体" w:hAnsi="宋体" w:eastAsia="宋体" w:cs="宋体"/>
                <w:color w:val="auto"/>
                <w:kern w:val="0"/>
                <w:szCs w:val="21"/>
                <w:highlight w:val="none"/>
                <w:u w:val="single"/>
              </w:rPr>
              <w:t xml:space="preserve"> 2 </w:t>
            </w:r>
            <w:r>
              <w:rPr>
                <w:rFonts w:hint="eastAsia" w:ascii="宋体" w:hAnsi="宋体" w:eastAsia="宋体" w:cs="宋体"/>
                <w:color w:val="auto"/>
                <w:kern w:val="0"/>
                <w:szCs w:val="21"/>
                <w:highlight w:val="none"/>
              </w:rPr>
              <w:t>%，作为评标基准价。</w:t>
            </w:r>
          </w:p>
          <w:p w14:paraId="063608E8">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2B243EC6">
            <w:pPr>
              <w:keepNext w:val="0"/>
              <w:keepLines w:val="0"/>
              <w:pageBreakBefore w:val="0"/>
              <w:widowControl w:val="0"/>
              <w:kinsoku/>
              <w:wordWrap/>
              <w:overflowPunct/>
              <w:topLinePunct w:val="0"/>
              <w:bidi w:val="0"/>
              <w:adjustRightInd/>
              <w:snapToGrid/>
              <w:spacing w:line="38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注：最高评标限价、评标基准价均四舍五入至个位整数。</w:t>
            </w:r>
          </w:p>
        </w:tc>
      </w:tr>
      <w:tr w14:paraId="684E8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0CB8D3DD">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280" w:type="dxa"/>
            <w:tcBorders>
              <w:top w:val="single" w:color="auto" w:sz="4" w:space="0"/>
              <w:right w:val="single" w:color="auto" w:sz="4" w:space="0"/>
            </w:tcBorders>
            <w:noWrap w:val="0"/>
            <w:vAlign w:val="center"/>
          </w:tcPr>
          <w:p w14:paraId="51B35DA9">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评标价的偏差率计算公式</w:t>
            </w:r>
          </w:p>
        </w:tc>
        <w:tc>
          <w:tcPr>
            <w:tcW w:w="6622" w:type="dxa"/>
            <w:tcBorders>
              <w:top w:val="single" w:color="auto" w:sz="4" w:space="0"/>
              <w:left w:val="single" w:color="auto" w:sz="4" w:space="0"/>
              <w:right w:val="single" w:color="auto" w:sz="4" w:space="0"/>
            </w:tcBorders>
            <w:noWrap w:val="0"/>
            <w:vAlign w:val="center"/>
          </w:tcPr>
          <w:p w14:paraId="6D2426D6">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偏差率=100% ×（投标人评标价－评标基准价）/评标基准价</w:t>
            </w:r>
          </w:p>
        </w:tc>
      </w:tr>
    </w:tbl>
    <w:p w14:paraId="0D2044EB">
      <w:pPr>
        <w:keepNext w:val="0"/>
        <w:keepLines w:val="0"/>
        <w:pageBreakBefore w:val="0"/>
        <w:widowControl/>
        <w:kinsoku/>
        <w:wordWrap/>
        <w:overflowPunct/>
        <w:topLinePunct w:val="0"/>
        <w:bidi w:val="0"/>
        <w:spacing w:line="400" w:lineRule="exact"/>
        <w:jc w:val="right"/>
        <w:rPr>
          <w:rFonts w:hint="eastAsia" w:ascii="宋体" w:hAnsi="宋体" w:eastAsia="宋体" w:cs="宋体"/>
          <w:color w:val="auto"/>
          <w:highlight w:val="none"/>
        </w:rPr>
      </w:pPr>
      <w:r>
        <w:rPr>
          <w:rFonts w:hint="eastAsia" w:ascii="宋体" w:hAnsi="宋体" w:eastAsia="宋体" w:cs="宋体"/>
          <w:color w:val="auto"/>
          <w:spacing w:val="4"/>
          <w:szCs w:val="21"/>
          <w:highlight w:val="none"/>
        </w:rPr>
        <w:br w:type="page"/>
      </w:r>
      <w:r>
        <w:rPr>
          <w:rFonts w:hint="eastAsia" w:ascii="宋体" w:hAnsi="宋体" w:eastAsia="宋体" w:cs="宋体"/>
          <w:color w:val="auto"/>
          <w:spacing w:val="4"/>
          <w:szCs w:val="21"/>
          <w:highlight w:val="none"/>
        </w:rPr>
        <w:t>续上表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45"/>
        <w:gridCol w:w="1114"/>
        <w:gridCol w:w="709"/>
        <w:gridCol w:w="1276"/>
        <w:gridCol w:w="846"/>
        <w:gridCol w:w="3548"/>
      </w:tblGrid>
      <w:tr w14:paraId="31B9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91" w:type="dxa"/>
            <w:gridSpan w:val="6"/>
            <w:tcBorders>
              <w:top w:val="single" w:color="auto" w:sz="4" w:space="0"/>
            </w:tcBorders>
            <w:noWrap w:val="0"/>
            <w:vAlign w:val="top"/>
          </w:tcPr>
          <w:p w14:paraId="7E2A27C5">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评分因素与权重分值</w:t>
            </w:r>
          </w:p>
        </w:tc>
        <w:tc>
          <w:tcPr>
            <w:tcW w:w="3548" w:type="dxa"/>
            <w:vMerge w:val="restart"/>
            <w:tcBorders>
              <w:top w:val="single" w:color="auto" w:sz="4" w:space="0"/>
            </w:tcBorders>
            <w:noWrap w:val="0"/>
            <w:vAlign w:val="center"/>
          </w:tcPr>
          <w:p w14:paraId="65237B1F">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028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01" w:type="dxa"/>
            <w:noWrap w:val="0"/>
            <w:vAlign w:val="center"/>
          </w:tcPr>
          <w:p w14:paraId="7BE93E49">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59" w:type="dxa"/>
            <w:gridSpan w:val="2"/>
            <w:noWrap w:val="0"/>
            <w:vAlign w:val="center"/>
          </w:tcPr>
          <w:p w14:paraId="7D8BF256">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709" w:type="dxa"/>
            <w:noWrap w:val="0"/>
            <w:vAlign w:val="center"/>
          </w:tcPr>
          <w:p w14:paraId="6513F48E">
            <w:pPr>
              <w:keepNext w:val="0"/>
              <w:keepLines w:val="0"/>
              <w:pageBreakBefore w:val="0"/>
              <w:kinsoku/>
              <w:wordWrap/>
              <w:overflowPunct/>
              <w:topLinePunct w:val="0"/>
              <w:bidi w:val="0"/>
              <w:spacing w:line="400" w:lineRule="exact"/>
              <w:ind w:left="-105" w:leftChars="-50" w:right="-105" w:right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评分因素权重分值</w:t>
            </w:r>
          </w:p>
        </w:tc>
        <w:tc>
          <w:tcPr>
            <w:tcW w:w="1276" w:type="dxa"/>
            <w:noWrap w:val="0"/>
            <w:vAlign w:val="center"/>
          </w:tcPr>
          <w:p w14:paraId="2A691701">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各评分因素细分项</w:t>
            </w:r>
          </w:p>
        </w:tc>
        <w:tc>
          <w:tcPr>
            <w:tcW w:w="846" w:type="dxa"/>
            <w:noWrap w:val="0"/>
            <w:vAlign w:val="center"/>
          </w:tcPr>
          <w:p w14:paraId="63B824DA">
            <w:pPr>
              <w:keepNext w:val="0"/>
              <w:keepLines w:val="0"/>
              <w:pageBreakBefore w:val="0"/>
              <w:kinsoku/>
              <w:wordWrap/>
              <w:overflowPunct/>
              <w:topLinePunct w:val="0"/>
              <w:bidi w:val="0"/>
              <w:spacing w:line="400" w:lineRule="exact"/>
              <w:ind w:right="105"/>
              <w:jc w:val="righ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c>
          <w:tcPr>
            <w:tcW w:w="3548" w:type="dxa"/>
            <w:vMerge w:val="continue"/>
            <w:noWrap w:val="0"/>
            <w:vAlign w:val="top"/>
          </w:tcPr>
          <w:p w14:paraId="2E10B19D">
            <w:pPr>
              <w:keepNext w:val="0"/>
              <w:keepLines w:val="0"/>
              <w:pageBreakBefore w:val="0"/>
              <w:kinsoku/>
              <w:wordWrap/>
              <w:overflowPunct/>
              <w:topLinePunct w:val="0"/>
              <w:bidi w:val="0"/>
              <w:spacing w:line="400" w:lineRule="exact"/>
              <w:jc w:val="center"/>
              <w:rPr>
                <w:rFonts w:hint="eastAsia" w:ascii="宋体" w:hAnsi="宋体" w:eastAsia="宋体" w:cs="宋体"/>
                <w:b/>
                <w:color w:val="auto"/>
                <w:szCs w:val="21"/>
                <w:highlight w:val="none"/>
              </w:rPr>
            </w:pPr>
          </w:p>
        </w:tc>
      </w:tr>
      <w:tr w14:paraId="77EC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14:paraId="67EE61F7">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1559" w:type="dxa"/>
            <w:gridSpan w:val="2"/>
            <w:vMerge w:val="restart"/>
            <w:noWrap w:val="0"/>
            <w:vAlign w:val="center"/>
          </w:tcPr>
          <w:p w14:paraId="43014C4C">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技术建议书</w:t>
            </w:r>
          </w:p>
        </w:tc>
        <w:tc>
          <w:tcPr>
            <w:tcW w:w="709" w:type="dxa"/>
            <w:vMerge w:val="restart"/>
            <w:noWrap w:val="0"/>
            <w:vAlign w:val="center"/>
          </w:tcPr>
          <w:p w14:paraId="7CC705F7">
            <w:pPr>
              <w:keepNext w:val="0"/>
              <w:keepLines w:val="0"/>
              <w:pageBreakBefore w:val="0"/>
              <w:kinsoku/>
              <w:wordWrap/>
              <w:overflowPunct/>
              <w:topLinePunct w:val="0"/>
              <w:bidi w:val="0"/>
              <w:spacing w:line="400" w:lineRule="exact"/>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分</w:t>
            </w:r>
          </w:p>
        </w:tc>
        <w:tc>
          <w:tcPr>
            <w:tcW w:w="1276" w:type="dxa"/>
            <w:noWrap w:val="0"/>
            <w:vAlign w:val="center"/>
          </w:tcPr>
          <w:p w14:paraId="270158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对招标项目</w:t>
            </w:r>
            <w:r>
              <w:rPr>
                <w:rFonts w:hint="eastAsia" w:ascii="宋体" w:hAnsi="宋体" w:eastAsia="宋体" w:cs="宋体"/>
                <w:snapToGrid w:val="0"/>
                <w:color w:val="auto"/>
                <w:szCs w:val="21"/>
                <w:highlight w:val="none"/>
                <w:lang w:val="en-US" w:eastAsia="zh-CN"/>
              </w:rPr>
              <w:t>造价</w:t>
            </w:r>
            <w:r>
              <w:rPr>
                <w:rFonts w:hint="eastAsia" w:ascii="宋体" w:hAnsi="宋体" w:eastAsia="宋体" w:cs="宋体"/>
                <w:snapToGrid w:val="0"/>
                <w:color w:val="auto"/>
                <w:szCs w:val="21"/>
                <w:highlight w:val="none"/>
              </w:rPr>
              <w:t>咨询的理解和总体工作思路</w:t>
            </w:r>
          </w:p>
        </w:tc>
        <w:tc>
          <w:tcPr>
            <w:tcW w:w="846" w:type="dxa"/>
            <w:noWrap w:val="0"/>
            <w:vAlign w:val="center"/>
          </w:tcPr>
          <w:p w14:paraId="131811FF">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rPr>
              <w:t>分</w:t>
            </w:r>
          </w:p>
        </w:tc>
        <w:tc>
          <w:tcPr>
            <w:tcW w:w="3548" w:type="dxa"/>
            <w:noWrap w:val="0"/>
            <w:vAlign w:val="center"/>
          </w:tcPr>
          <w:p w14:paraId="107D92F8">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Style w:val="14"/>
                <w:rFonts w:hint="eastAsia" w:ascii="宋体" w:hAnsi="宋体" w:eastAsia="宋体" w:cs="宋体"/>
                <w:color w:val="auto"/>
                <w:sz w:val="21"/>
                <w:szCs w:val="21"/>
                <w:highlight w:val="none"/>
              </w:rPr>
              <w:t>①</w:t>
            </w:r>
            <w:r>
              <w:rPr>
                <w:rFonts w:hint="eastAsia" w:ascii="宋体" w:hAnsi="宋体" w:eastAsia="宋体" w:cs="宋体"/>
                <w:color w:val="auto"/>
                <w:szCs w:val="21"/>
                <w:highlight w:val="none"/>
              </w:rPr>
              <w:t>内容与深度完全符合造价咨询任务要求，对项目造价咨询的理解和把握准确，总体咨询构想清晰，得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 分；</w:t>
            </w:r>
          </w:p>
          <w:p w14:paraId="2C9A9BCD">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Style w:val="14"/>
                <w:rFonts w:hint="eastAsia" w:ascii="宋体" w:hAnsi="宋体" w:eastAsia="宋体" w:cs="宋体"/>
                <w:color w:val="auto"/>
                <w:sz w:val="21"/>
                <w:szCs w:val="21"/>
                <w:highlight w:val="none"/>
              </w:rPr>
              <w:t>②</w:t>
            </w:r>
            <w:r>
              <w:rPr>
                <w:rFonts w:hint="eastAsia" w:ascii="宋体" w:hAnsi="宋体" w:eastAsia="宋体" w:cs="宋体"/>
                <w:color w:val="auto"/>
                <w:szCs w:val="21"/>
                <w:highlight w:val="none"/>
              </w:rPr>
              <w:t>内容与深度基本</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 xml:space="preserve">造价咨询任务要求，对项目造价咨询的理解和把握较准确，总体咨询构想较清晰，得 </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分；</w:t>
            </w:r>
          </w:p>
          <w:p w14:paraId="7D8DD23B">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Style w:val="14"/>
                <w:rFonts w:hint="eastAsia" w:ascii="宋体" w:hAnsi="宋体" w:eastAsia="宋体" w:cs="宋体"/>
                <w:color w:val="auto"/>
                <w:sz w:val="21"/>
                <w:szCs w:val="21"/>
                <w:highlight w:val="none"/>
              </w:rPr>
              <w:t>③</w:t>
            </w:r>
            <w:r>
              <w:rPr>
                <w:rFonts w:hint="eastAsia" w:ascii="宋体" w:hAnsi="宋体" w:eastAsia="宋体" w:cs="宋体"/>
                <w:color w:val="auto"/>
                <w:szCs w:val="21"/>
                <w:highlight w:val="none"/>
              </w:rPr>
              <w:t>起评分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分。</w:t>
            </w:r>
          </w:p>
        </w:tc>
      </w:tr>
      <w:tr w14:paraId="6DAB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14:paraId="61F4F445">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1559" w:type="dxa"/>
            <w:gridSpan w:val="2"/>
            <w:vMerge w:val="continue"/>
            <w:noWrap w:val="0"/>
            <w:vAlign w:val="center"/>
          </w:tcPr>
          <w:p w14:paraId="0E396159">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709" w:type="dxa"/>
            <w:vMerge w:val="continue"/>
            <w:noWrap w:val="0"/>
            <w:vAlign w:val="center"/>
          </w:tcPr>
          <w:p w14:paraId="0AA4F5E1">
            <w:pPr>
              <w:keepNext w:val="0"/>
              <w:keepLines w:val="0"/>
              <w:pageBreakBefore w:val="0"/>
              <w:kinsoku/>
              <w:wordWrap/>
              <w:overflowPunct/>
              <w:topLinePunct w:val="0"/>
              <w:bidi w:val="0"/>
              <w:spacing w:line="400" w:lineRule="exact"/>
              <w:jc w:val="right"/>
              <w:rPr>
                <w:rFonts w:hint="eastAsia" w:ascii="宋体" w:hAnsi="宋体" w:eastAsia="宋体" w:cs="宋体"/>
                <w:color w:val="auto"/>
                <w:szCs w:val="21"/>
                <w:highlight w:val="none"/>
                <w:u w:val="single"/>
              </w:rPr>
            </w:pPr>
          </w:p>
        </w:tc>
        <w:tc>
          <w:tcPr>
            <w:tcW w:w="1276" w:type="dxa"/>
            <w:noWrap w:val="0"/>
            <w:vAlign w:val="center"/>
          </w:tcPr>
          <w:p w14:paraId="0E2D9B11">
            <w:pPr>
              <w:pStyle w:val="15"/>
              <w:keepNext w:val="0"/>
              <w:keepLines w:val="0"/>
              <w:pageBreakBefore w:val="0"/>
              <w:widowControl w:val="0"/>
              <w:kinsoku/>
              <w:wordWrap/>
              <w:overflowPunct/>
              <w:topLinePunct w:val="0"/>
              <w:autoSpaceDE/>
              <w:autoSpaceDN/>
              <w:bidi w:val="0"/>
              <w:adjustRightInd/>
              <w:snapToGrid/>
              <w:spacing w:before="208" w:line="360" w:lineRule="auto"/>
              <w:jc w:val="center"/>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对本项目造价咨询工作的资源优势，以及保证措施</w:t>
            </w:r>
          </w:p>
        </w:tc>
        <w:tc>
          <w:tcPr>
            <w:tcW w:w="846" w:type="dxa"/>
            <w:noWrap w:val="0"/>
            <w:vAlign w:val="top"/>
          </w:tcPr>
          <w:p w14:paraId="12B9C5F6">
            <w:pPr>
              <w:spacing w:line="255" w:lineRule="auto"/>
              <w:rPr>
                <w:rFonts w:ascii="Arial"/>
                <w:color w:val="auto"/>
                <w:sz w:val="21"/>
                <w:highlight w:val="none"/>
              </w:rPr>
            </w:pPr>
          </w:p>
          <w:p w14:paraId="1C3668CA">
            <w:pPr>
              <w:spacing w:line="255" w:lineRule="auto"/>
              <w:rPr>
                <w:rFonts w:ascii="Arial"/>
                <w:color w:val="auto"/>
                <w:sz w:val="21"/>
                <w:highlight w:val="none"/>
              </w:rPr>
            </w:pPr>
          </w:p>
          <w:p w14:paraId="568549A9">
            <w:pPr>
              <w:spacing w:line="256" w:lineRule="auto"/>
              <w:rPr>
                <w:rFonts w:ascii="Arial"/>
                <w:color w:val="auto"/>
                <w:sz w:val="21"/>
                <w:highlight w:val="none"/>
              </w:rPr>
            </w:pPr>
          </w:p>
          <w:p w14:paraId="04C9FE88">
            <w:pPr>
              <w:spacing w:line="256" w:lineRule="auto"/>
              <w:rPr>
                <w:rFonts w:ascii="Arial"/>
                <w:color w:val="auto"/>
                <w:sz w:val="21"/>
                <w:highlight w:val="none"/>
              </w:rPr>
            </w:pPr>
          </w:p>
          <w:p w14:paraId="3D071350">
            <w:pPr>
              <w:pStyle w:val="15"/>
              <w:spacing w:before="65" w:line="228" w:lineRule="auto"/>
              <w:ind w:left="130" w:leftChars="0"/>
              <w:rPr>
                <w:rFonts w:hint="eastAsia" w:ascii="宋体" w:hAnsi="宋体" w:eastAsia="宋体" w:cs="宋体"/>
                <w:color w:val="auto"/>
                <w:szCs w:val="21"/>
                <w:highlight w:val="none"/>
              </w:rPr>
            </w:pPr>
            <w:r>
              <w:rPr>
                <w:rFonts w:hint="eastAsia"/>
                <w:color w:val="auto"/>
                <w:spacing w:val="-6"/>
                <w:sz w:val="20"/>
                <w:szCs w:val="20"/>
                <w:highlight w:val="none"/>
                <w:lang w:val="en-US" w:eastAsia="zh-CN"/>
              </w:rPr>
              <w:t>6</w:t>
            </w:r>
            <w:r>
              <w:rPr>
                <w:color w:val="auto"/>
                <w:spacing w:val="-42"/>
                <w:sz w:val="20"/>
                <w:szCs w:val="20"/>
                <w:highlight w:val="none"/>
              </w:rPr>
              <w:t xml:space="preserve"> </w:t>
            </w:r>
            <w:r>
              <w:rPr>
                <w:color w:val="auto"/>
                <w:spacing w:val="-6"/>
                <w:sz w:val="20"/>
                <w:szCs w:val="20"/>
                <w:highlight w:val="none"/>
              </w:rPr>
              <w:t>分</w:t>
            </w:r>
          </w:p>
        </w:tc>
        <w:tc>
          <w:tcPr>
            <w:tcW w:w="3548" w:type="dxa"/>
            <w:noWrap w:val="0"/>
            <w:vAlign w:val="top"/>
          </w:tcPr>
          <w:p w14:paraId="2CCA1E5C">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 xml:space="preserve">投标人能充分理解本项目的特点，并能提出切实可行的针对性方案，保证措施可行，得 </w:t>
            </w:r>
            <w:r>
              <w:rPr>
                <w:rFonts w:hint="eastAsia" w:ascii="宋体" w:hAnsi="宋体" w:eastAsia="宋体" w:cs="宋体"/>
                <w:color w:val="auto"/>
                <w:szCs w:val="21"/>
                <w:highlight w:val="none"/>
                <w:lang w:val="en-US" w:eastAsia="zh-CN"/>
              </w:rPr>
              <w:t>4.8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分</w:t>
            </w:r>
          </w:p>
          <w:p w14:paraId="77D281C8">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 xml:space="preserve">投标人能充分理解本项目的特点，并能提出基本可行的针对性方案，保证措施基本可行，得 </w:t>
            </w:r>
            <w:r>
              <w:rPr>
                <w:rFonts w:hint="eastAsia" w:ascii="宋体" w:hAnsi="宋体" w:eastAsia="宋体" w:cs="宋体"/>
                <w:color w:val="auto"/>
                <w:szCs w:val="21"/>
                <w:highlight w:val="none"/>
                <w:lang w:val="en-US" w:eastAsia="zh-CN"/>
              </w:rPr>
              <w:t>3.6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4.8</w:t>
            </w:r>
            <w:r>
              <w:rPr>
                <w:rFonts w:hint="eastAsia" w:ascii="宋体" w:hAnsi="宋体" w:eastAsia="宋体" w:cs="宋体"/>
                <w:color w:val="auto"/>
                <w:szCs w:val="21"/>
                <w:highlight w:val="none"/>
              </w:rPr>
              <w:t>分；</w:t>
            </w:r>
          </w:p>
          <w:p w14:paraId="555A5C64">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起评分</w:t>
            </w:r>
            <w:r>
              <w:rPr>
                <w:rFonts w:hint="eastAsia" w:ascii="宋体" w:hAnsi="宋体" w:eastAsia="宋体" w:cs="宋体"/>
                <w:color w:val="auto"/>
                <w:szCs w:val="21"/>
                <w:highlight w:val="none"/>
                <w:lang w:val="en-US" w:eastAsia="zh-CN"/>
              </w:rPr>
              <w:t>3.6</w:t>
            </w:r>
            <w:r>
              <w:rPr>
                <w:rFonts w:hint="eastAsia" w:ascii="宋体" w:hAnsi="宋体" w:eastAsia="宋体" w:cs="宋体"/>
                <w:color w:val="auto"/>
                <w:szCs w:val="21"/>
                <w:highlight w:val="none"/>
              </w:rPr>
              <w:t>分。</w:t>
            </w:r>
          </w:p>
        </w:tc>
      </w:tr>
      <w:tr w14:paraId="0A54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14:paraId="14B2B353">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1559" w:type="dxa"/>
            <w:gridSpan w:val="2"/>
            <w:vMerge w:val="continue"/>
            <w:noWrap w:val="0"/>
            <w:vAlign w:val="center"/>
          </w:tcPr>
          <w:p w14:paraId="287104D2">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709" w:type="dxa"/>
            <w:vMerge w:val="continue"/>
            <w:noWrap w:val="0"/>
            <w:vAlign w:val="center"/>
          </w:tcPr>
          <w:p w14:paraId="219A23A0">
            <w:pPr>
              <w:keepNext w:val="0"/>
              <w:keepLines w:val="0"/>
              <w:pageBreakBefore w:val="0"/>
              <w:kinsoku/>
              <w:wordWrap/>
              <w:overflowPunct/>
              <w:topLinePunct w:val="0"/>
              <w:bidi w:val="0"/>
              <w:spacing w:line="400" w:lineRule="exact"/>
              <w:jc w:val="right"/>
              <w:rPr>
                <w:rFonts w:hint="eastAsia" w:ascii="宋体" w:hAnsi="宋体" w:eastAsia="宋体" w:cs="宋体"/>
                <w:color w:val="auto"/>
                <w:szCs w:val="21"/>
                <w:highlight w:val="none"/>
                <w:u w:val="single"/>
              </w:rPr>
            </w:pPr>
          </w:p>
        </w:tc>
        <w:tc>
          <w:tcPr>
            <w:tcW w:w="1276" w:type="dxa"/>
            <w:noWrap w:val="0"/>
            <w:vAlign w:val="center"/>
          </w:tcPr>
          <w:p w14:paraId="5F4AB018">
            <w:pPr>
              <w:pStyle w:val="15"/>
              <w:keepNext w:val="0"/>
              <w:keepLines w:val="0"/>
              <w:pageBreakBefore w:val="0"/>
              <w:widowControl w:val="0"/>
              <w:kinsoku/>
              <w:wordWrap/>
              <w:overflowPunct/>
              <w:topLinePunct w:val="0"/>
              <w:autoSpaceDE/>
              <w:autoSpaceDN/>
              <w:bidi w:val="0"/>
              <w:adjustRightInd/>
              <w:snapToGrid/>
              <w:spacing w:before="209" w:line="360" w:lineRule="auto"/>
              <w:jc w:val="center"/>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对本项目的建设性意见与建议</w:t>
            </w:r>
          </w:p>
        </w:tc>
        <w:tc>
          <w:tcPr>
            <w:tcW w:w="846" w:type="dxa"/>
            <w:noWrap w:val="0"/>
            <w:vAlign w:val="top"/>
          </w:tcPr>
          <w:p w14:paraId="064357BA">
            <w:pPr>
              <w:spacing w:line="335" w:lineRule="auto"/>
              <w:rPr>
                <w:rFonts w:ascii="Arial"/>
                <w:color w:val="auto"/>
                <w:sz w:val="21"/>
                <w:highlight w:val="none"/>
              </w:rPr>
            </w:pPr>
          </w:p>
          <w:p w14:paraId="6B0DEA06">
            <w:pPr>
              <w:spacing w:line="336" w:lineRule="auto"/>
              <w:rPr>
                <w:rFonts w:ascii="Arial"/>
                <w:color w:val="auto"/>
                <w:sz w:val="21"/>
                <w:highlight w:val="none"/>
              </w:rPr>
            </w:pPr>
          </w:p>
          <w:p w14:paraId="2B737C91">
            <w:pPr>
              <w:pStyle w:val="15"/>
              <w:spacing w:before="65" w:line="228" w:lineRule="auto"/>
              <w:ind w:left="130" w:leftChars="0"/>
              <w:rPr>
                <w:rFonts w:hint="eastAsia" w:ascii="宋体" w:hAnsi="宋体" w:eastAsia="宋体" w:cs="宋体"/>
                <w:color w:val="auto"/>
                <w:szCs w:val="21"/>
                <w:highlight w:val="none"/>
              </w:rPr>
            </w:pPr>
            <w:r>
              <w:rPr>
                <w:rFonts w:hint="eastAsia"/>
                <w:color w:val="auto"/>
                <w:spacing w:val="-6"/>
                <w:sz w:val="20"/>
                <w:szCs w:val="20"/>
                <w:highlight w:val="none"/>
                <w:lang w:val="en-US" w:eastAsia="zh-CN"/>
              </w:rPr>
              <w:t>4</w:t>
            </w:r>
            <w:r>
              <w:rPr>
                <w:color w:val="auto"/>
                <w:spacing w:val="-42"/>
                <w:sz w:val="20"/>
                <w:szCs w:val="20"/>
                <w:highlight w:val="none"/>
              </w:rPr>
              <w:t xml:space="preserve"> </w:t>
            </w:r>
            <w:r>
              <w:rPr>
                <w:color w:val="auto"/>
                <w:spacing w:val="-6"/>
                <w:sz w:val="20"/>
                <w:szCs w:val="20"/>
                <w:highlight w:val="none"/>
              </w:rPr>
              <w:t>分</w:t>
            </w:r>
          </w:p>
        </w:tc>
        <w:tc>
          <w:tcPr>
            <w:tcW w:w="3548" w:type="dxa"/>
            <w:noWrap w:val="0"/>
            <w:vAlign w:val="top"/>
          </w:tcPr>
          <w:p w14:paraId="0B28C754">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 xml:space="preserve">建设性意见和建议合理，措施可行，得 </w:t>
            </w: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分；</w:t>
            </w:r>
          </w:p>
          <w:p w14:paraId="3C004D18">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建设性意见和建议较合理，措施基本可行，得</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分；</w:t>
            </w:r>
          </w:p>
          <w:p w14:paraId="1B335370">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起评分</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分。</w:t>
            </w:r>
          </w:p>
        </w:tc>
      </w:tr>
      <w:tr w14:paraId="1A7E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E3CE945">
            <w:pPr>
              <w:keepNext w:val="0"/>
              <w:keepLines w:val="0"/>
              <w:pageBreakBefore w:val="0"/>
              <w:kinsoku/>
              <w:wordWrap/>
              <w:overflowPunct/>
              <w:topLinePunct w:val="0"/>
              <w:bidi w:val="0"/>
              <w:spacing w:line="400" w:lineRule="exact"/>
              <w:ind w:left="-92" w:leftChars="-44" w:right="-88" w:righ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1559" w:type="dxa"/>
            <w:gridSpan w:val="2"/>
            <w:noWrap w:val="0"/>
            <w:vAlign w:val="center"/>
          </w:tcPr>
          <w:p w14:paraId="0EF646EC">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主要人员</w:t>
            </w:r>
          </w:p>
        </w:tc>
        <w:tc>
          <w:tcPr>
            <w:tcW w:w="709" w:type="dxa"/>
            <w:noWrap w:val="0"/>
            <w:vAlign w:val="center"/>
          </w:tcPr>
          <w:p w14:paraId="123EF516">
            <w:pPr>
              <w:keepNext w:val="0"/>
              <w:keepLines w:val="0"/>
              <w:pageBreakBefore w:val="0"/>
              <w:kinsoku/>
              <w:wordWrap/>
              <w:overflowPunct/>
              <w:topLinePunct w:val="0"/>
              <w:bidi w:val="0"/>
              <w:spacing w:line="4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rPr>
              <w:t>分</w:t>
            </w:r>
          </w:p>
        </w:tc>
        <w:tc>
          <w:tcPr>
            <w:tcW w:w="1276" w:type="dxa"/>
            <w:noWrap w:val="0"/>
            <w:vAlign w:val="center"/>
          </w:tcPr>
          <w:p w14:paraId="1979BD02">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项目负责人任职资格与业绩</w:t>
            </w:r>
          </w:p>
        </w:tc>
        <w:tc>
          <w:tcPr>
            <w:tcW w:w="846" w:type="dxa"/>
            <w:noWrap w:val="0"/>
            <w:vAlign w:val="center"/>
          </w:tcPr>
          <w:p w14:paraId="0C279FDB">
            <w:pPr>
              <w:keepNext w:val="0"/>
              <w:keepLines w:val="0"/>
              <w:pageBreakBefore w:val="0"/>
              <w:kinsoku/>
              <w:wordWrap/>
              <w:overflowPunct/>
              <w:topLinePunct w:val="0"/>
              <w:bidi w:val="0"/>
              <w:spacing w:line="4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20</w:t>
            </w:r>
            <w:r>
              <w:rPr>
                <w:rFonts w:hint="eastAsia" w:ascii="宋体" w:hAnsi="宋体" w:eastAsia="宋体" w:cs="宋体"/>
                <w:color w:val="auto"/>
                <w:szCs w:val="21"/>
                <w:highlight w:val="none"/>
              </w:rPr>
              <w:t>分</w:t>
            </w:r>
          </w:p>
        </w:tc>
        <w:tc>
          <w:tcPr>
            <w:tcW w:w="3548" w:type="dxa"/>
            <w:noWrap w:val="0"/>
            <w:vAlign w:val="center"/>
          </w:tcPr>
          <w:p w14:paraId="78801937">
            <w:pPr>
              <w:keepNext w:val="0"/>
              <w:keepLines w:val="0"/>
              <w:pageBreakBefore w:val="0"/>
              <w:kinsoku/>
              <w:wordWrap/>
              <w:overflowPunct/>
              <w:topLinePunct w:val="0"/>
              <w:autoSpaceDE w:val="0"/>
              <w:autoSpaceDN w:val="0"/>
              <w:bidi w:val="0"/>
              <w:spacing w:line="400" w:lineRule="exact"/>
              <w:jc w:val="left"/>
              <w:textAlignment w:val="baseline"/>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满足资格审查条件（项目负责人最低要求）得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分；在此基础上，项目负责人每增加1个合同段</w:t>
            </w:r>
            <w:r>
              <w:rPr>
                <w:rFonts w:hint="eastAsia" w:ascii="Times New Roman" w:hAnsi="Times New Roman" w:eastAsia="宋体" w:cs="宋体"/>
                <w:color w:val="auto"/>
                <w:sz w:val="21"/>
                <w:szCs w:val="21"/>
                <w:highlight w:val="none"/>
                <w:lang w:val="en-US" w:eastAsia="zh-CN"/>
              </w:rPr>
              <w:t>总投资大于50亿元（含）</w:t>
            </w:r>
            <w:r>
              <w:rPr>
                <w:rFonts w:hint="eastAsia" w:ascii="宋体" w:hAnsi="宋体" w:eastAsia="宋体" w:cs="宋体"/>
                <w:color w:val="auto"/>
                <w:szCs w:val="21"/>
                <w:highlight w:val="none"/>
              </w:rPr>
              <w:t>类似工程造价咨询工作的项目负责人岗位工作经验加</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分，最多加</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4A33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955448C">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1559" w:type="dxa"/>
            <w:gridSpan w:val="2"/>
            <w:noWrap w:val="0"/>
            <w:vAlign w:val="center"/>
          </w:tcPr>
          <w:p w14:paraId="63D0DDBC">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w:t>
            </w:r>
          </w:p>
        </w:tc>
        <w:tc>
          <w:tcPr>
            <w:tcW w:w="709" w:type="dxa"/>
            <w:noWrap w:val="0"/>
            <w:vAlign w:val="center"/>
          </w:tcPr>
          <w:p w14:paraId="42A84A2E">
            <w:pPr>
              <w:keepNext w:val="0"/>
              <w:keepLines w:val="0"/>
              <w:pageBreakBefore w:val="0"/>
              <w:kinsoku/>
              <w:wordWrap/>
              <w:overflowPunct/>
              <w:topLinePunct w:val="0"/>
              <w:bidi w:val="0"/>
              <w:spacing w:line="4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分</w:t>
            </w:r>
          </w:p>
        </w:tc>
        <w:tc>
          <w:tcPr>
            <w:tcW w:w="5670" w:type="dxa"/>
            <w:gridSpan w:val="3"/>
            <w:noWrap w:val="0"/>
            <w:vAlign w:val="top"/>
          </w:tcPr>
          <w:p w14:paraId="47EA1C6C">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评标价得分计算公式示例：</w:t>
            </w:r>
          </w:p>
          <w:p w14:paraId="0BFF44EB">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（1）如果投标人的评标价&gt;评标基准价，则评标价得分＝F－偏差率×100× 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w:t>
            </w:r>
          </w:p>
          <w:p w14:paraId="3E4F2DC0">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（2）如果投标人的评标价≤评标基准价，则评标价得分＝F＋偏差率× 100× 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w:t>
            </w:r>
          </w:p>
          <w:p w14:paraId="59281C11">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其中：F是评标价所占的权重分值，E</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是评标价每高于评标基准价一个百分点的扣分值，E</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是评标价每低于评标基准价一个百分点的扣分值；</w:t>
            </w:r>
          </w:p>
          <w:p w14:paraId="132146CC">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注：F＝</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，E1取0.</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，E2取0.</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w:t>
            </w:r>
          </w:p>
          <w:p w14:paraId="2E03A5E0">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评标价得分四舍五入至小数点后四位。</w:t>
            </w:r>
          </w:p>
        </w:tc>
      </w:tr>
      <w:tr w14:paraId="3E79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Merge w:val="restart"/>
            <w:noWrap w:val="0"/>
            <w:vAlign w:val="center"/>
          </w:tcPr>
          <w:p w14:paraId="0949E2E3">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2.2.4（4）</w:t>
            </w:r>
          </w:p>
        </w:tc>
        <w:tc>
          <w:tcPr>
            <w:tcW w:w="445" w:type="dxa"/>
            <w:vMerge w:val="restart"/>
            <w:noWrap w:val="0"/>
            <w:vAlign w:val="center"/>
          </w:tcPr>
          <w:p w14:paraId="5B84EEAD">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w:t>
            </w:r>
          </w:p>
        </w:tc>
        <w:tc>
          <w:tcPr>
            <w:tcW w:w="1114" w:type="dxa"/>
            <w:noWrap w:val="0"/>
            <w:vAlign w:val="center"/>
          </w:tcPr>
          <w:p w14:paraId="504B0886">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p>
          <w:p w14:paraId="1CA23D52">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709" w:type="dxa"/>
            <w:noWrap w:val="0"/>
            <w:vAlign w:val="center"/>
          </w:tcPr>
          <w:p w14:paraId="33DA2FBE">
            <w:pPr>
              <w:keepNext w:val="0"/>
              <w:keepLines w:val="0"/>
              <w:pageBreakBefore w:val="0"/>
              <w:kinsoku/>
              <w:wordWrap/>
              <w:overflowPunct/>
              <w:topLinePunct w:val="0"/>
              <w:bidi w:val="0"/>
              <w:spacing w:line="4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分</w:t>
            </w:r>
          </w:p>
        </w:tc>
        <w:tc>
          <w:tcPr>
            <w:tcW w:w="5670" w:type="dxa"/>
            <w:gridSpan w:val="3"/>
            <w:noWrap w:val="0"/>
            <w:vAlign w:val="center"/>
          </w:tcPr>
          <w:p w14:paraId="1C9FD7DA">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ED6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1101" w:type="dxa"/>
            <w:vMerge w:val="continue"/>
            <w:noWrap w:val="0"/>
            <w:vAlign w:val="center"/>
          </w:tcPr>
          <w:p w14:paraId="1B78AB84">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445" w:type="dxa"/>
            <w:vMerge w:val="continue"/>
            <w:noWrap w:val="0"/>
            <w:vAlign w:val="center"/>
          </w:tcPr>
          <w:p w14:paraId="3699D474">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1114" w:type="dxa"/>
            <w:noWrap w:val="0"/>
            <w:vAlign w:val="center"/>
          </w:tcPr>
          <w:p w14:paraId="7EA4F721">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709" w:type="dxa"/>
            <w:noWrap w:val="0"/>
            <w:vAlign w:val="center"/>
          </w:tcPr>
          <w:p w14:paraId="449EF5BE">
            <w:pPr>
              <w:keepNext w:val="0"/>
              <w:keepLines w:val="0"/>
              <w:pageBreakBefore w:val="0"/>
              <w:kinsoku/>
              <w:wordWrap/>
              <w:overflowPunct/>
              <w:topLinePunct w:val="0"/>
              <w:bidi w:val="0"/>
              <w:spacing w:line="400" w:lineRule="exact"/>
              <w:ind w:right="10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rPr>
              <w:t>2</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分</w:t>
            </w:r>
          </w:p>
        </w:tc>
        <w:tc>
          <w:tcPr>
            <w:tcW w:w="5670" w:type="dxa"/>
            <w:gridSpan w:val="3"/>
            <w:noWrap w:val="0"/>
            <w:vAlign w:val="center"/>
          </w:tcPr>
          <w:p w14:paraId="61CFD317">
            <w:pPr>
              <w:keepNext w:val="0"/>
              <w:keepLines w:val="0"/>
              <w:pageBreakBefore w:val="0"/>
              <w:kinsoku/>
              <w:wordWrap/>
              <w:overflowPunct/>
              <w:topLinePunct/>
              <w:bidi w:val="0"/>
              <w:adjustRightInd w:val="0"/>
              <w:spacing w:line="360" w:lineRule="auto"/>
              <w:ind w:firstLine="420" w:firstLineChars="200"/>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满足资格审查条件（业绩最低要求）得基本分</w:t>
            </w:r>
            <w:r>
              <w:rPr>
                <w:rFonts w:hint="eastAsia" w:ascii="宋体" w:hAnsi="宋体" w:eastAsia="宋体" w:cs="宋体"/>
                <w:color w:val="auto"/>
                <w:kern w:val="0"/>
                <w:szCs w:val="21"/>
                <w:highlight w:val="none"/>
                <w:u w:val="single"/>
                <w:lang w:val="en-US" w:eastAsia="zh-CN"/>
              </w:rPr>
              <w:t>15</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val="en-US" w:eastAsia="zh-CN"/>
              </w:rPr>
              <w:t>在此</w:t>
            </w:r>
            <w:r>
              <w:rPr>
                <w:rFonts w:hint="eastAsia" w:ascii="宋体" w:hAnsi="宋体" w:eastAsia="宋体" w:cs="宋体"/>
                <w:color w:val="auto"/>
                <w:kern w:val="0"/>
                <w:szCs w:val="21"/>
                <w:highlight w:val="none"/>
              </w:rPr>
              <w:t>基础上</w:t>
            </w:r>
            <w:r>
              <w:rPr>
                <w:rFonts w:hint="eastAsia" w:ascii="宋体" w:hAnsi="宋体" w:eastAsia="宋体" w:cs="宋体"/>
                <w:color w:val="auto"/>
                <w:kern w:val="0"/>
                <w:szCs w:val="21"/>
                <w:highlight w:val="none"/>
                <w:lang w:eastAsia="zh-CN"/>
              </w:rPr>
              <w:t>：</w:t>
            </w:r>
          </w:p>
          <w:p w14:paraId="2E8B7C1F">
            <w:pPr>
              <w:keepNext w:val="0"/>
              <w:keepLines w:val="0"/>
              <w:pageBreakBefore w:val="0"/>
              <w:kinsoku/>
              <w:wordWrap/>
              <w:overflowPunct/>
              <w:topLinePunct/>
              <w:bidi w:val="0"/>
              <w:adjustRightIn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①近五年</w:t>
            </w:r>
            <w:r>
              <w:rPr>
                <w:rFonts w:hint="eastAsia" w:ascii="宋体" w:hAnsi="宋体" w:eastAsia="宋体" w:cs="宋体"/>
                <w:color w:val="auto"/>
                <w:kern w:val="0"/>
                <w:szCs w:val="21"/>
                <w:highlight w:val="none"/>
                <w:lang w:val="en-US" w:eastAsia="zh-CN"/>
              </w:rPr>
              <w:t>内</w:t>
            </w:r>
            <w:r>
              <w:rPr>
                <w:rFonts w:hint="eastAsia" w:ascii="宋体" w:hAnsi="宋体" w:eastAsia="宋体" w:cs="宋体"/>
                <w:color w:val="auto"/>
                <w:kern w:val="0"/>
                <w:szCs w:val="21"/>
                <w:highlight w:val="none"/>
              </w:rPr>
              <w:t>每增加承担</w:t>
            </w:r>
            <w:r>
              <w:rPr>
                <w:rFonts w:hint="eastAsia" w:ascii="宋体" w:hAnsi="宋体" w:eastAsia="宋体" w:cs="宋体"/>
                <w:color w:val="auto"/>
                <w:kern w:val="0"/>
                <w:szCs w:val="21"/>
                <w:highlight w:val="none"/>
                <w:lang w:val="en-US" w:eastAsia="zh-CN"/>
              </w:rPr>
              <w:t>过</w:t>
            </w:r>
            <w:r>
              <w:rPr>
                <w:rFonts w:hint="eastAsia" w:ascii="宋体" w:hAnsi="宋体" w:eastAsia="宋体" w:cs="宋体"/>
                <w:color w:val="auto"/>
                <w:kern w:val="0"/>
                <w:szCs w:val="21"/>
                <w:highlight w:val="none"/>
              </w:rPr>
              <w:t>1项总投资大于50亿元（含）类似工程的</w:t>
            </w:r>
            <w:r>
              <w:rPr>
                <w:rFonts w:hint="eastAsia" w:ascii="宋体" w:hAnsi="宋体" w:eastAsia="宋体" w:cs="宋体"/>
                <w:color w:val="auto"/>
                <w:kern w:val="0"/>
                <w:szCs w:val="21"/>
                <w:highlight w:val="none"/>
                <w:lang w:val="en-US" w:eastAsia="zh-CN"/>
              </w:rPr>
              <w:t>造价咨询</w:t>
            </w:r>
            <w:r>
              <w:rPr>
                <w:rFonts w:hint="eastAsia" w:ascii="宋体" w:hAnsi="宋体" w:eastAsia="宋体" w:cs="宋体"/>
                <w:color w:val="auto"/>
                <w:kern w:val="0"/>
                <w:szCs w:val="21"/>
                <w:highlight w:val="none"/>
              </w:rPr>
              <w:t>业绩的，加</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分，最多加</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p w14:paraId="10781B91">
            <w:pPr>
              <w:keepNext w:val="0"/>
              <w:keepLines w:val="0"/>
              <w:pageBreakBefore w:val="0"/>
              <w:kinsoku/>
              <w:wordWrap/>
              <w:overflowPunct/>
              <w:topLinePunct/>
              <w:bidi w:val="0"/>
              <w:adjustRightIn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②近五年</w:t>
            </w:r>
            <w:r>
              <w:rPr>
                <w:rFonts w:hint="eastAsia" w:ascii="宋体" w:hAnsi="宋体" w:eastAsia="宋体" w:cs="宋体"/>
                <w:color w:val="auto"/>
                <w:kern w:val="0"/>
                <w:szCs w:val="21"/>
                <w:highlight w:val="none"/>
                <w:lang w:val="en-US" w:eastAsia="zh-CN"/>
              </w:rPr>
              <w:t>内承担过的</w:t>
            </w:r>
            <w:r>
              <w:rPr>
                <w:rFonts w:hint="eastAsia" w:ascii="宋体" w:hAnsi="宋体" w:eastAsia="宋体" w:cs="宋体"/>
                <w:color w:val="auto"/>
                <w:kern w:val="0"/>
                <w:szCs w:val="21"/>
                <w:highlight w:val="none"/>
              </w:rPr>
              <w:t>类似工程造价咨询业绩被省级交通造价主管部门评价为“好”的，每项加</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分，最多加</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p w14:paraId="060D446D">
            <w:pPr>
              <w:keepNext w:val="0"/>
              <w:keepLines w:val="0"/>
              <w:pageBreakBefore w:val="0"/>
              <w:kinsoku/>
              <w:wordWrap/>
              <w:overflowPunct/>
              <w:topLinePunct/>
              <w:bidi w:val="0"/>
              <w:adjustRightInd w:val="0"/>
              <w:spacing w:line="360" w:lineRule="auto"/>
              <w:ind w:firstLine="420" w:firstLineChars="200"/>
              <w:jc w:val="left"/>
              <w:textAlignment w:val="baseline"/>
              <w:rPr>
                <w:rFonts w:hint="eastAsia" w:eastAsia="宋体"/>
                <w:color w:val="auto"/>
                <w:highlight w:val="none"/>
                <w:lang w:eastAsia="zh-CN"/>
              </w:rPr>
            </w:pPr>
            <w:r>
              <w:rPr>
                <w:rFonts w:hint="eastAsia" w:ascii="宋体" w:hAnsi="宋体" w:eastAsia="宋体" w:cs="宋体"/>
                <w:color w:val="auto"/>
                <w:kern w:val="0"/>
                <w:szCs w:val="21"/>
                <w:highlight w:val="none"/>
              </w:rPr>
              <w:t>注：</w:t>
            </w:r>
            <w:r>
              <w:rPr>
                <w:rFonts w:hint="eastAsia" w:ascii="宋体" w:hAnsi="宋体" w:eastAsia="宋体" w:cs="宋体"/>
                <w:b/>
                <w:bCs/>
                <w:color w:val="auto"/>
                <w:kern w:val="0"/>
                <w:szCs w:val="21"/>
                <w:highlight w:val="none"/>
                <w:lang w:val="en-US" w:eastAsia="zh-CN"/>
              </w:rPr>
              <w:t>1、具体要求详见附录2资格审查条件（业绩最低要求）注解；</w:t>
            </w:r>
            <w:r>
              <w:rPr>
                <w:rFonts w:hint="eastAsia" w:ascii="宋体" w:hAnsi="宋体" w:eastAsia="宋体" w:cs="宋体"/>
                <w:color w:val="auto"/>
                <w:kern w:val="0"/>
                <w:szCs w:val="21"/>
                <w:highlight w:val="none"/>
                <w:lang w:val="en-US" w:eastAsia="zh-CN"/>
              </w:rPr>
              <w:t>2、上述②须提供合同协议书和</w:t>
            </w:r>
            <w:r>
              <w:rPr>
                <w:rFonts w:hint="eastAsia" w:ascii="宋体" w:hAnsi="宋体" w:eastAsia="宋体" w:cs="宋体"/>
                <w:color w:val="auto"/>
                <w:kern w:val="0"/>
                <w:szCs w:val="21"/>
                <w:highlight w:val="none"/>
              </w:rPr>
              <w:t>省级交通造价主管部门</w:t>
            </w:r>
            <w:r>
              <w:rPr>
                <w:rFonts w:hint="eastAsia" w:ascii="宋体" w:hAnsi="宋体" w:eastAsia="宋体" w:cs="宋体"/>
                <w:color w:val="auto"/>
                <w:kern w:val="0"/>
                <w:szCs w:val="21"/>
                <w:highlight w:val="none"/>
                <w:lang w:val="en-US" w:eastAsia="zh-CN"/>
              </w:rPr>
              <w:t>的批复或评价文件复印件，计算时间以</w:t>
            </w:r>
            <w:r>
              <w:rPr>
                <w:rFonts w:hint="eastAsia" w:ascii="宋体" w:hAnsi="宋体" w:eastAsia="宋体" w:cs="宋体"/>
                <w:color w:val="auto"/>
                <w:kern w:val="0"/>
                <w:szCs w:val="21"/>
                <w:highlight w:val="none"/>
              </w:rPr>
              <w:t>省级交通造价主管部门</w:t>
            </w:r>
            <w:r>
              <w:rPr>
                <w:rFonts w:hint="eastAsia" w:ascii="宋体" w:hAnsi="宋体" w:eastAsia="宋体" w:cs="宋体"/>
                <w:color w:val="auto"/>
                <w:kern w:val="0"/>
                <w:szCs w:val="21"/>
                <w:highlight w:val="none"/>
                <w:lang w:val="en-US" w:eastAsia="zh-CN"/>
              </w:rPr>
              <w:t>批复或评价的时间为准。</w:t>
            </w:r>
          </w:p>
        </w:tc>
      </w:tr>
      <w:tr w14:paraId="5ADD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1101" w:type="dxa"/>
            <w:vMerge w:val="continue"/>
            <w:noWrap w:val="0"/>
            <w:vAlign w:val="center"/>
          </w:tcPr>
          <w:p w14:paraId="055AA4D3">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445" w:type="dxa"/>
            <w:vMerge w:val="continue"/>
            <w:noWrap w:val="0"/>
            <w:vAlign w:val="center"/>
          </w:tcPr>
          <w:p w14:paraId="750952A9">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p>
        </w:tc>
        <w:tc>
          <w:tcPr>
            <w:tcW w:w="1114" w:type="dxa"/>
            <w:noWrap w:val="0"/>
            <w:vAlign w:val="center"/>
          </w:tcPr>
          <w:p w14:paraId="67E3C5D0">
            <w:pPr>
              <w:keepNext w:val="0"/>
              <w:keepLines w:val="0"/>
              <w:pageBreakBefore w:val="0"/>
              <w:kinsoku/>
              <w:wordWrap/>
              <w:overflowPunct/>
              <w:topLinePunct w:val="0"/>
              <w:bidi w:val="0"/>
              <w:spacing w:line="40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履约信誉</w:t>
            </w:r>
          </w:p>
        </w:tc>
        <w:tc>
          <w:tcPr>
            <w:tcW w:w="709" w:type="dxa"/>
            <w:noWrap w:val="0"/>
            <w:vAlign w:val="center"/>
          </w:tcPr>
          <w:p w14:paraId="7EBB43FB">
            <w:pPr>
              <w:keepNext w:val="0"/>
              <w:keepLines w:val="0"/>
              <w:pageBreakBefore w:val="0"/>
              <w:kinsoku/>
              <w:wordWrap/>
              <w:overflowPunct/>
              <w:topLinePunct w:val="0"/>
              <w:bidi w:val="0"/>
              <w:spacing w:line="400" w:lineRule="exact"/>
              <w:ind w:right="10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分</w:t>
            </w:r>
          </w:p>
        </w:tc>
        <w:tc>
          <w:tcPr>
            <w:tcW w:w="1276" w:type="dxa"/>
            <w:noWrap w:val="0"/>
            <w:vAlign w:val="center"/>
          </w:tcPr>
          <w:p w14:paraId="65764848">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履约信誉</w:t>
            </w:r>
          </w:p>
        </w:tc>
        <w:tc>
          <w:tcPr>
            <w:tcW w:w="846" w:type="dxa"/>
            <w:noWrap w:val="0"/>
            <w:vAlign w:val="center"/>
          </w:tcPr>
          <w:p w14:paraId="13FE0689">
            <w:pPr>
              <w:keepNext w:val="0"/>
              <w:keepLines w:val="0"/>
              <w:pageBreakBefore w:val="0"/>
              <w:kinsoku/>
              <w:wordWrap/>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分</w:t>
            </w:r>
          </w:p>
        </w:tc>
        <w:tc>
          <w:tcPr>
            <w:tcW w:w="3548" w:type="dxa"/>
            <w:noWrap w:val="0"/>
            <w:vAlign w:val="top"/>
          </w:tcPr>
          <w:p w14:paraId="275FE49B">
            <w:pPr>
              <w:keepNext w:val="0"/>
              <w:keepLines w:val="0"/>
              <w:pageBreakBefore w:val="0"/>
              <w:kinsoku/>
              <w:wordWrap/>
              <w:overflowPunct/>
              <w:topLinePunct w:val="0"/>
              <w:autoSpaceDE w:val="0"/>
              <w:autoSpaceDN w:val="0"/>
              <w:bidi w:val="0"/>
              <w:spacing w:line="400" w:lineRule="exact"/>
              <w:jc w:val="left"/>
              <w:rPr>
                <w:rFonts w:hint="eastAsia" w:ascii="宋体" w:hAnsi="宋体" w:eastAsia="宋体" w:cs="宋体"/>
                <w:color w:val="auto"/>
                <w:kern w:val="0"/>
                <w:szCs w:val="21"/>
                <w:highlight w:val="none"/>
              </w:rPr>
            </w:pPr>
            <w:r>
              <w:rPr>
                <w:rFonts w:hint="eastAsia" w:ascii="宋体" w:hAnsi="宋体"/>
                <w:color w:val="auto"/>
                <w:szCs w:val="21"/>
                <w:highlight w:val="none"/>
              </w:rPr>
              <w:t>若没出现</w:t>
            </w:r>
            <w:r>
              <w:rPr>
                <w:rFonts w:hint="eastAsia" w:ascii="宋体" w:hAnsi="宋体" w:eastAsia="宋体" w:cs="宋体"/>
                <w:color w:val="auto"/>
                <w:kern w:val="0"/>
                <w:szCs w:val="21"/>
                <w:highlight w:val="none"/>
              </w:rPr>
              <w:t>下列情形得满分</w:t>
            </w:r>
            <w:r>
              <w:rPr>
                <w:rFonts w:hint="eastAsia" w:ascii="宋体" w:hAnsi="宋体" w:eastAsia="宋体" w:cs="宋体"/>
                <w:color w:val="auto"/>
                <w:kern w:val="0"/>
                <w:szCs w:val="21"/>
                <w:highlight w:val="none"/>
                <w:u w:val="single"/>
              </w:rPr>
              <w:t>5</w:t>
            </w:r>
            <w:r>
              <w:rPr>
                <w:rFonts w:hint="eastAsia" w:ascii="宋体" w:hAnsi="宋体" w:eastAsia="宋体" w:cs="宋体"/>
                <w:color w:val="auto"/>
                <w:kern w:val="0"/>
                <w:szCs w:val="21"/>
                <w:highlight w:val="none"/>
              </w:rPr>
              <w:t>分；</w:t>
            </w:r>
          </w:p>
          <w:p w14:paraId="0BA26885">
            <w:pPr>
              <w:keepNext w:val="0"/>
              <w:keepLines w:val="0"/>
              <w:pageBreakBefore w:val="0"/>
              <w:kinsoku/>
              <w:wordWrap/>
              <w:overflowPunct/>
              <w:topLinePunct w:val="0"/>
              <w:autoSpaceDE w:val="0"/>
              <w:autoSpaceDN w:val="0"/>
              <w:bidi w:val="0"/>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投标文件递交截止日前1年内，因公路工程</w:t>
            </w:r>
            <w:r>
              <w:rPr>
                <w:rFonts w:hint="eastAsia" w:ascii="宋体" w:hAnsi="宋体" w:eastAsia="宋体" w:cs="宋体"/>
                <w:color w:val="auto"/>
                <w:szCs w:val="21"/>
                <w:highlight w:val="none"/>
                <w:lang w:val="en-US" w:eastAsia="zh-CN"/>
              </w:rPr>
              <w:t>造价</w:t>
            </w:r>
            <w:r>
              <w:rPr>
                <w:rFonts w:hint="eastAsia" w:ascii="宋体" w:hAnsi="宋体" w:eastAsia="宋体" w:cs="宋体"/>
                <w:color w:val="auto"/>
                <w:szCs w:val="21"/>
                <w:highlight w:val="none"/>
              </w:rPr>
              <w:t>咨询、履约或招标投标问题等原因被：</w:t>
            </w:r>
          </w:p>
          <w:p w14:paraId="314974B3">
            <w:pPr>
              <w:keepNext w:val="0"/>
              <w:keepLines w:val="0"/>
              <w:pageBreakBefore w:val="0"/>
              <w:kinsoku/>
              <w:wordWrap/>
              <w:overflowPunct/>
              <w:topLinePunct w:val="0"/>
              <w:bidi w:val="0"/>
              <w:spacing w:line="400" w:lineRule="exact"/>
              <w:ind w:firstLine="8" w:firstLineChars="4"/>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（1）交通运输部</w:t>
            </w:r>
            <w:r>
              <w:rPr>
                <w:rFonts w:hint="eastAsia" w:ascii="宋体" w:hAnsi="宋体" w:eastAsia="宋体" w:cs="宋体"/>
                <w:color w:val="auto"/>
                <w:szCs w:val="21"/>
                <w:highlight w:val="none"/>
                <w:lang w:val="en-US" w:eastAsia="zh-CN"/>
              </w:rPr>
              <w:t>行政处罚</w:t>
            </w:r>
            <w:r>
              <w:rPr>
                <w:rFonts w:hint="eastAsia" w:ascii="宋体" w:hAnsi="宋体" w:eastAsia="宋体" w:cs="宋体"/>
                <w:color w:val="auto"/>
                <w:szCs w:val="21"/>
                <w:highlight w:val="none"/>
              </w:rPr>
              <w:t>的，扣5分/次；</w:t>
            </w:r>
          </w:p>
          <w:p w14:paraId="2A4DD499">
            <w:pPr>
              <w:keepNext w:val="0"/>
              <w:keepLines w:val="0"/>
              <w:pageBreakBefore w:val="0"/>
              <w:kinsoku/>
              <w:wordWrap/>
              <w:overflowPunct/>
              <w:topLinePunct w:val="0"/>
              <w:bidi w:val="0"/>
              <w:spacing w:line="400" w:lineRule="exact"/>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（2）广东省交通运输厅</w:t>
            </w:r>
            <w:r>
              <w:rPr>
                <w:rFonts w:hint="eastAsia" w:ascii="宋体" w:hAnsi="宋体" w:eastAsia="宋体" w:cs="宋体"/>
                <w:color w:val="auto"/>
                <w:szCs w:val="21"/>
                <w:highlight w:val="none"/>
                <w:lang w:val="en-US" w:eastAsia="zh-CN"/>
              </w:rPr>
              <w:t>行政处罚</w:t>
            </w:r>
            <w:r>
              <w:rPr>
                <w:rFonts w:hint="eastAsia" w:ascii="宋体" w:hAnsi="宋体" w:eastAsia="宋体" w:cs="宋体"/>
                <w:color w:val="auto"/>
                <w:kern w:val="0"/>
                <w:szCs w:val="21"/>
                <w:highlight w:val="none"/>
              </w:rPr>
              <w:t>的，扣4分</w:t>
            </w:r>
            <w:r>
              <w:rPr>
                <w:rFonts w:hint="eastAsia" w:ascii="宋体" w:hAnsi="宋体" w:eastAsia="宋体" w:cs="宋体"/>
                <w:color w:val="auto"/>
                <w:szCs w:val="21"/>
                <w:highlight w:val="none"/>
              </w:rPr>
              <w:t>/次</w:t>
            </w:r>
            <w:r>
              <w:rPr>
                <w:rFonts w:hint="eastAsia" w:ascii="宋体" w:hAnsi="宋体" w:eastAsia="宋体" w:cs="宋体"/>
                <w:color w:val="auto"/>
                <w:kern w:val="0"/>
                <w:szCs w:val="21"/>
                <w:highlight w:val="none"/>
              </w:rPr>
              <w:t>；</w:t>
            </w:r>
          </w:p>
          <w:p w14:paraId="02E68850">
            <w:pPr>
              <w:pStyle w:val="16"/>
              <w:keepNext w:val="0"/>
              <w:keepLines w:val="0"/>
              <w:pageBreakBefore w:val="0"/>
              <w:kinsoku/>
              <w:wordWrap/>
              <w:overflowPunct/>
              <w:topLinePunct w:val="0"/>
              <w:bidi w:val="0"/>
              <w:spacing w:line="400" w:lineRule="exact"/>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）广东省交通运输厅正式约谈的，扣0.1分/次。</w:t>
            </w:r>
          </w:p>
          <w:p w14:paraId="5D3B6A38">
            <w:pPr>
              <w:keepNext w:val="0"/>
              <w:keepLines w:val="0"/>
              <w:pageBreakBefore w:val="0"/>
              <w:kinsoku/>
              <w:wordWrap/>
              <w:overflowPunct/>
              <w:topLinePunct w:val="0"/>
              <w:bidi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同一事项同时被多个部门行政处罚或正式约谈只按最高的扣分计算1次。如果扣完本项分值，可以从总分中扣。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tc>
      </w:tr>
    </w:tbl>
    <w:p w14:paraId="168F5282">
      <w:pPr>
        <w:pStyle w:val="5"/>
        <w:spacing w:before="0" w:after="0" w:line="360" w:lineRule="auto"/>
        <w:jc w:val="left"/>
        <w:rPr>
          <w:rFonts w:hint="eastAsia" w:eastAsia="宋体" w:cs="宋体"/>
          <w:b/>
          <w:bCs w:val="0"/>
          <w:i w:val="0"/>
          <w:iCs w:val="0"/>
          <w:color w:val="auto"/>
          <w:sz w:val="28"/>
          <w:szCs w:val="28"/>
          <w:highlight w:val="none"/>
        </w:rPr>
      </w:pPr>
      <w:bookmarkStart w:id="14" w:name="_Toc503235807"/>
      <w:bookmarkStart w:id="15" w:name="_Toc234832944"/>
      <w:r>
        <w:rPr>
          <w:rFonts w:hint="eastAsia" w:eastAsia="宋体" w:cs="宋体"/>
          <w:color w:val="auto"/>
          <w:sz w:val="27"/>
          <w:szCs w:val="27"/>
          <w:highlight w:val="none"/>
        </w:rPr>
        <w:br w:type="page"/>
      </w:r>
      <w:r>
        <w:rPr>
          <w:rFonts w:hint="eastAsia" w:eastAsia="宋体" w:cs="宋体"/>
          <w:b/>
          <w:bCs w:val="0"/>
          <w:i w:val="0"/>
          <w:iCs w:val="0"/>
          <w:color w:val="auto"/>
          <w:sz w:val="28"/>
          <w:szCs w:val="28"/>
          <w:highlight w:val="none"/>
        </w:rPr>
        <w:t>1. 评标方法</w:t>
      </w:r>
      <w:bookmarkEnd w:id="14"/>
    </w:p>
    <w:p w14:paraId="7DBDB5E2">
      <w:pPr>
        <w:spacing w:line="360" w:lineRule="auto"/>
        <w:ind w:firstLine="480" w:firstLineChars="200"/>
        <w:rPr>
          <w:rFonts w:hint="eastAsia" w:ascii="宋体" w:hAnsi="宋体" w:eastAsia="宋体" w:cs="宋体"/>
          <w:color w:val="auto"/>
          <w:sz w:val="24"/>
          <w:highlight w:val="none"/>
        </w:rPr>
      </w:pPr>
      <w:bookmarkStart w:id="16" w:name="_Toc508984335"/>
      <w:bookmarkStart w:id="17" w:name="_Toc508984136"/>
      <w:bookmarkStart w:id="18" w:name="_Toc503235808"/>
      <w:r>
        <w:rPr>
          <w:rFonts w:hint="eastAsia" w:ascii="宋体" w:hAnsi="宋体" w:eastAsia="宋体" w:cs="宋体"/>
          <w:color w:val="auto"/>
          <w:sz w:val="24"/>
          <w:highlight w:val="none"/>
        </w:rPr>
        <w:t>1.1评标方法</w:t>
      </w:r>
    </w:p>
    <w:p w14:paraId="46E1E8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14:paraId="7071EC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1.2评标组织</w:t>
      </w:r>
    </w:p>
    <w:p w14:paraId="263130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1.2.1协助工作组</w:t>
      </w:r>
    </w:p>
    <w:p w14:paraId="61D4E0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招标人可在评标工作开始前成立协助工作组，选派熟悉招标工作、政治素质高的人员组成，协助评标委员会工作。协助工作组人员的具体数量由招标人视评标工作量确定。</w:t>
      </w:r>
    </w:p>
    <w:p w14:paraId="59B0F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招标人可以协助评标委员会开展下列工作并提供相关信息：</w:t>
      </w:r>
    </w:p>
    <w:p w14:paraId="35AFE0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（1）根据招标文件，编制评标使用的相应表格；</w:t>
      </w:r>
    </w:p>
    <w:p w14:paraId="3B763D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（2）对投标报价进行算术性校核；</w:t>
      </w:r>
    </w:p>
    <w:p w14:paraId="5C9167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（3）以评标标准和方法为依据，列出投标文件相对于招标文件的所有偏差，并进行归类汇总；</w:t>
      </w:r>
    </w:p>
    <w:p w14:paraId="25788B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招标人不得对投标文件作出任何评价，不得故意遗漏或者片面摘录，不得在评标委员会对所有偏差定性之前透露存有偏差的投标人名称。</w:t>
      </w:r>
    </w:p>
    <w:p w14:paraId="1CE65D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1.2.2评标委员会</w:t>
      </w:r>
    </w:p>
    <w:p w14:paraId="54211B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评标委员会的组建按投标人须知第6.1.1项执行。评标委员会的主要工作内容包括：</w:t>
      </w:r>
    </w:p>
    <w:p w14:paraId="2828D7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（1）评标委员会开始评标工作之前，首先听取招标人、协助工作组关于工程情况和辅助工作的说明，并认真研读招标文件，获取评标所需的重要信息和数据；</w:t>
      </w:r>
    </w:p>
    <w:p w14:paraId="729DCB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（2）对协助工作组提供的评标工作用表和评标内容进行核查。</w:t>
      </w:r>
    </w:p>
    <w:p w14:paraId="045225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（3）按照评标程序进行各项评审工作。</w:t>
      </w:r>
    </w:p>
    <w:p w14:paraId="6332431E">
      <w:pPr>
        <w:spacing w:line="360" w:lineRule="auto"/>
        <w:rPr>
          <w:rFonts w:hint="eastAsia" w:eastAsia="宋体" w:cs="宋体"/>
          <w:b/>
          <w:bCs/>
          <w:i w:val="0"/>
          <w:iCs w:val="0"/>
          <w:color w:val="auto"/>
          <w:sz w:val="28"/>
          <w:szCs w:val="28"/>
          <w:highlight w:val="none"/>
        </w:rPr>
      </w:pPr>
      <w:r>
        <w:rPr>
          <w:rFonts w:hint="eastAsia" w:eastAsia="宋体" w:cs="宋体"/>
          <w:b/>
          <w:bCs/>
          <w:i w:val="0"/>
          <w:iCs w:val="0"/>
          <w:color w:val="auto"/>
          <w:sz w:val="28"/>
          <w:szCs w:val="28"/>
          <w:highlight w:val="none"/>
        </w:rPr>
        <w:t>2. 评审标准</w:t>
      </w:r>
      <w:bookmarkEnd w:id="16"/>
      <w:bookmarkEnd w:id="17"/>
      <w:bookmarkEnd w:id="18"/>
    </w:p>
    <w:p w14:paraId="713719B2">
      <w:pPr>
        <w:pStyle w:val="7"/>
        <w:spacing w:before="0" w:after="0"/>
        <w:jc w:val="left"/>
        <w:rPr>
          <w:rFonts w:hint="eastAsia" w:ascii="宋体" w:hAnsi="宋体" w:eastAsia="宋体" w:cs="宋体"/>
          <w:b w:val="0"/>
          <w:color w:val="auto"/>
          <w:sz w:val="24"/>
          <w:szCs w:val="24"/>
          <w:highlight w:val="none"/>
        </w:rPr>
      </w:pPr>
      <w:bookmarkStart w:id="19" w:name="_Toc503235809"/>
      <w:bookmarkStart w:id="20" w:name="_Toc508984137"/>
      <w:bookmarkStart w:id="21" w:name="_Toc508984336"/>
      <w:r>
        <w:rPr>
          <w:rFonts w:hint="eastAsia" w:ascii="宋体" w:hAnsi="宋体" w:eastAsia="宋体" w:cs="宋体"/>
          <w:b w:val="0"/>
          <w:color w:val="auto"/>
          <w:sz w:val="24"/>
          <w:szCs w:val="24"/>
          <w:highlight w:val="none"/>
        </w:rPr>
        <w:t>2.1 初步评审标准</w:t>
      </w:r>
      <w:bookmarkEnd w:id="19"/>
      <w:bookmarkEnd w:id="20"/>
      <w:bookmarkEnd w:id="21"/>
    </w:p>
    <w:p w14:paraId="19756A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形式评审标准：见评标办法前附表。</w:t>
      </w:r>
    </w:p>
    <w:p w14:paraId="427653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资格评审标准：见评标办法前附表。</w:t>
      </w:r>
    </w:p>
    <w:p w14:paraId="56B983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响应性评审标准：见评标办法前附表。</w:t>
      </w:r>
    </w:p>
    <w:p w14:paraId="21F0C0AD">
      <w:pPr>
        <w:pStyle w:val="7"/>
        <w:spacing w:before="0" w:after="0"/>
        <w:jc w:val="left"/>
        <w:rPr>
          <w:rFonts w:hint="eastAsia" w:ascii="宋体" w:hAnsi="宋体" w:eastAsia="宋体" w:cs="宋体"/>
          <w:b w:val="0"/>
          <w:color w:val="auto"/>
          <w:sz w:val="24"/>
          <w:szCs w:val="24"/>
          <w:highlight w:val="none"/>
        </w:rPr>
      </w:pPr>
      <w:bookmarkStart w:id="22" w:name="_Toc508984138"/>
      <w:bookmarkStart w:id="23" w:name="_Toc503235810"/>
      <w:bookmarkStart w:id="24" w:name="_Toc508984337"/>
      <w:r>
        <w:rPr>
          <w:rFonts w:hint="eastAsia" w:ascii="宋体" w:hAnsi="宋体" w:eastAsia="宋体" w:cs="宋体"/>
          <w:b w:val="0"/>
          <w:color w:val="auto"/>
          <w:sz w:val="24"/>
          <w:szCs w:val="24"/>
          <w:highlight w:val="none"/>
        </w:rPr>
        <w:t>2.2 分值构成与评分标准</w:t>
      </w:r>
      <w:bookmarkEnd w:id="22"/>
      <w:bookmarkEnd w:id="23"/>
      <w:bookmarkEnd w:id="24"/>
    </w:p>
    <w:p w14:paraId="37EEA0EA">
      <w:pPr>
        <w:tabs>
          <w:tab w:val="left" w:pos="36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 分值构成</w:t>
      </w:r>
    </w:p>
    <w:p w14:paraId="14E6CC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（1）技术建议书：见评标办法前附表；</w:t>
      </w:r>
    </w:p>
    <w:p w14:paraId="69C938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（2）主要人员：见评标办法前附表；</w:t>
      </w:r>
    </w:p>
    <w:p w14:paraId="333B4D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（3）评标价：见评标办法前附表；</w:t>
      </w:r>
    </w:p>
    <w:p w14:paraId="00ED83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（4）其他评分因素：见评标办法前附表。</w:t>
      </w:r>
    </w:p>
    <w:p w14:paraId="7B39D1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 评标基准价计算</w:t>
      </w:r>
    </w:p>
    <w:p w14:paraId="705274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评标基准价计算方法：见评标办法前附表。</w:t>
      </w:r>
    </w:p>
    <w:p w14:paraId="604C94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 评标价的偏差率计算</w:t>
      </w:r>
    </w:p>
    <w:p w14:paraId="3ACD5F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评标价的偏差率计算公式：见评标办法前附表。</w:t>
      </w:r>
    </w:p>
    <w:p w14:paraId="4FDED1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 评分标准</w:t>
      </w:r>
    </w:p>
    <w:p w14:paraId="50780F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（1）技术建议书评分标准：见评标办法前附表；</w:t>
      </w:r>
    </w:p>
    <w:p w14:paraId="439A28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（2）主要人员评分标准：见评标办法前附表；</w:t>
      </w:r>
    </w:p>
    <w:p w14:paraId="37B84B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（3）评标价评分标准：见评标办法前附表；</w:t>
      </w:r>
    </w:p>
    <w:p w14:paraId="14691A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（4）其他因素评分标准：见评标办法前附表。</w:t>
      </w:r>
    </w:p>
    <w:p w14:paraId="16405405">
      <w:pPr>
        <w:pStyle w:val="5"/>
        <w:spacing w:before="0" w:after="0" w:line="360" w:lineRule="auto"/>
        <w:jc w:val="left"/>
        <w:rPr>
          <w:rFonts w:hint="eastAsia" w:eastAsia="宋体" w:cs="宋体"/>
          <w:b/>
          <w:bCs w:val="0"/>
          <w:i w:val="0"/>
          <w:iCs w:val="0"/>
          <w:color w:val="auto"/>
          <w:sz w:val="28"/>
          <w:szCs w:val="28"/>
          <w:highlight w:val="none"/>
        </w:rPr>
      </w:pPr>
      <w:bookmarkStart w:id="25" w:name="_Toc508984139"/>
      <w:bookmarkStart w:id="26" w:name="_Toc503235811"/>
      <w:bookmarkStart w:id="27" w:name="_Toc508984338"/>
      <w:r>
        <w:rPr>
          <w:rFonts w:hint="eastAsia" w:eastAsia="宋体" w:cs="宋体"/>
          <w:b/>
          <w:bCs w:val="0"/>
          <w:i w:val="0"/>
          <w:iCs w:val="0"/>
          <w:color w:val="auto"/>
          <w:sz w:val="28"/>
          <w:szCs w:val="28"/>
          <w:highlight w:val="none"/>
        </w:rPr>
        <w:t>3. 评标程序</w:t>
      </w:r>
      <w:bookmarkEnd w:id="25"/>
      <w:bookmarkEnd w:id="26"/>
      <w:bookmarkEnd w:id="27"/>
    </w:p>
    <w:p w14:paraId="26B21575">
      <w:pPr>
        <w:pStyle w:val="7"/>
        <w:spacing w:before="0" w:after="0"/>
        <w:jc w:val="left"/>
        <w:rPr>
          <w:rFonts w:hint="eastAsia" w:ascii="宋体" w:hAnsi="宋体" w:eastAsia="宋体" w:cs="宋体"/>
          <w:b w:val="0"/>
          <w:color w:val="auto"/>
          <w:sz w:val="24"/>
          <w:szCs w:val="24"/>
          <w:highlight w:val="none"/>
        </w:rPr>
      </w:pPr>
      <w:bookmarkStart w:id="28" w:name="_Toc508984140"/>
      <w:bookmarkStart w:id="29" w:name="_Toc508984339"/>
      <w:bookmarkStart w:id="30" w:name="_Toc503235812"/>
      <w:r>
        <w:rPr>
          <w:rFonts w:hint="eastAsia" w:ascii="宋体" w:hAnsi="宋体" w:eastAsia="宋体" w:cs="宋体"/>
          <w:b w:val="0"/>
          <w:color w:val="auto"/>
          <w:sz w:val="24"/>
          <w:szCs w:val="24"/>
          <w:highlight w:val="none"/>
        </w:rPr>
        <w:t>3.1 第一个信封初步评审</w:t>
      </w:r>
      <w:bookmarkEnd w:id="28"/>
      <w:bookmarkEnd w:id="29"/>
      <w:bookmarkEnd w:id="30"/>
    </w:p>
    <w:p w14:paraId="47CF30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14:paraId="077472E4">
      <w:pPr>
        <w:pStyle w:val="7"/>
        <w:spacing w:before="0" w:after="0"/>
        <w:jc w:val="left"/>
        <w:rPr>
          <w:rFonts w:hint="eastAsia" w:ascii="宋体" w:hAnsi="宋体" w:eastAsia="宋体" w:cs="宋体"/>
          <w:b w:val="0"/>
          <w:color w:val="auto"/>
          <w:sz w:val="24"/>
          <w:szCs w:val="24"/>
          <w:highlight w:val="none"/>
        </w:rPr>
      </w:pPr>
      <w:bookmarkStart w:id="31" w:name="_Toc508984141"/>
      <w:bookmarkStart w:id="32" w:name="_Toc508984340"/>
      <w:bookmarkStart w:id="33" w:name="_Toc503235813"/>
      <w:r>
        <w:rPr>
          <w:rFonts w:hint="eastAsia" w:ascii="宋体" w:hAnsi="宋体" w:eastAsia="宋体" w:cs="宋体"/>
          <w:b w:val="0"/>
          <w:color w:val="auto"/>
          <w:sz w:val="24"/>
          <w:szCs w:val="24"/>
          <w:highlight w:val="none"/>
        </w:rPr>
        <w:t>3.2 第一个信封详细评审</w:t>
      </w:r>
      <w:bookmarkEnd w:id="31"/>
      <w:bookmarkEnd w:id="32"/>
      <w:bookmarkEnd w:id="33"/>
    </w:p>
    <w:p w14:paraId="4757D0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 评标委员会按本章第2.2款规定的量化因素和分值进行打分，并计算出各投标人的商务和技术得分。</w:t>
      </w:r>
    </w:p>
    <w:p w14:paraId="247B7F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（1）按本章第2.2.4项（1）目规定的评审因素和分值对技术建议书部分计算出得分A；</w:t>
      </w:r>
    </w:p>
    <w:p w14:paraId="612250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（2）按本章第2.2.4项（2）目规定的评审因素和分值对主要人员部分计算出得分B；</w:t>
      </w:r>
    </w:p>
    <w:p w14:paraId="5579B8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（3）按本章第2.2.4项（4）目规定的评审因素和分值对其他部分计算出得分D。</w:t>
      </w:r>
    </w:p>
    <w:p w14:paraId="5D984044">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bookmarkStart w:id="34" w:name="_Toc503235814"/>
      <w:bookmarkStart w:id="35" w:name="_Toc508984341"/>
      <w:bookmarkStart w:id="36" w:name="_Toc508984142"/>
      <w:r>
        <w:rPr>
          <w:rFonts w:hint="eastAsia" w:ascii="宋体" w:hAnsi="宋体" w:eastAsia="宋体" w:cs="宋体"/>
          <w:b w:val="0"/>
          <w:color w:val="auto"/>
          <w:kern w:val="2"/>
          <w:sz w:val="24"/>
          <w:szCs w:val="24"/>
          <w:highlight w:val="none"/>
          <w:lang w:val="en-US" w:eastAsia="zh-CN" w:bidi="ar-SA"/>
        </w:rPr>
        <w:t>3.2.2投标人的商务得分分值计算保留小数点后两位，小数点后第三位“四舍五入”。投标人的技术得分分值计算保留小数点后三位，第四位“四舍五入”。</w:t>
      </w:r>
    </w:p>
    <w:p w14:paraId="270790A0">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3.2.2投标人的商务和技术得分=A+B+D。</w:t>
      </w:r>
    </w:p>
    <w:p w14:paraId="47D701F2">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评分因素（评标价、履约信誉评分项除外）及其各评审因素细分项的得分一般不得低于其权重分值的60%，评分低于上述权重分值百分比的，评标委员会成员应当在评标报告中作出说明。</w:t>
      </w:r>
    </w:p>
    <w:p w14:paraId="4A3AC731">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计算投标人技术得分时:</w:t>
      </w:r>
    </w:p>
    <w:p w14:paraId="364DC8E8">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评标委员会采用5人时：</w:t>
      </w:r>
    </w:p>
    <w:p w14:paraId="38F0BA77">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对各评委的投标人评分总分算术平均值为投标人的最终技术得分，平均值计算保留小数点后三位，小数点后第四位“四舍五入”。</w:t>
      </w:r>
    </w:p>
    <w:p w14:paraId="30BE1F4E">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评标委员会采用7人时：</w:t>
      </w:r>
    </w:p>
    <w:p w14:paraId="534C8218">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对各评分因素细分项中取消一个最高、一个最低分后计算算术平均值的和为投标人的最终技术得分，平均值计算保留小数点后三位，小数点后第四位“四舍五入”。</w:t>
      </w:r>
    </w:p>
    <w:p w14:paraId="3D9AD79E">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评标委员会采用9人时：</w:t>
      </w:r>
    </w:p>
    <w:p w14:paraId="67616AA0">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25E7F1DD">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取消其中1名评委所有评分的办法（依次按照以下流程）：（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14:paraId="0A858633">
      <w:pPr>
        <w:pStyle w:val="7"/>
        <w:spacing w:before="0" w:after="0"/>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示例：同一评委对5名投标人技术评分总分分别为：34分（最高分）、33分、30分、30分（次低分）、29分（最低分），则其最大差值为5、次最大差值为34-30=4。</w:t>
      </w:r>
    </w:p>
    <w:p w14:paraId="2206F203">
      <w:pPr>
        <w:pStyle w:val="7"/>
        <w:spacing w:before="0" w:after="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3</w:t>
      </w:r>
      <w:r>
        <w:rPr>
          <w:rFonts w:hint="eastAsia" w:ascii="宋体" w:hAnsi="宋体" w:eastAsia="宋体" w:cs="宋体"/>
          <w:b w:val="0"/>
          <w:color w:val="auto"/>
          <w:sz w:val="24"/>
          <w:szCs w:val="24"/>
          <w:highlight w:val="none"/>
        </w:rPr>
        <w:t>.3 第二个信封开标</w:t>
      </w:r>
      <w:bookmarkEnd w:id="34"/>
      <w:bookmarkEnd w:id="35"/>
      <w:bookmarkEnd w:id="36"/>
    </w:p>
    <w:p w14:paraId="04ADE5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7A05AFD9">
      <w:pPr>
        <w:pStyle w:val="7"/>
        <w:spacing w:before="0" w:after="0"/>
        <w:jc w:val="left"/>
        <w:rPr>
          <w:rFonts w:hint="eastAsia" w:ascii="宋体" w:hAnsi="宋体" w:eastAsia="宋体" w:cs="宋体"/>
          <w:b w:val="0"/>
          <w:color w:val="auto"/>
          <w:sz w:val="24"/>
          <w:szCs w:val="24"/>
          <w:highlight w:val="none"/>
        </w:rPr>
      </w:pPr>
      <w:bookmarkStart w:id="37" w:name="_Toc503235815"/>
      <w:bookmarkStart w:id="38" w:name="_Toc508984143"/>
      <w:bookmarkStart w:id="39" w:name="_Toc508984342"/>
      <w:r>
        <w:rPr>
          <w:rFonts w:hint="eastAsia" w:ascii="宋体" w:hAnsi="宋体" w:eastAsia="宋体" w:cs="宋体"/>
          <w:b w:val="0"/>
          <w:color w:val="auto"/>
          <w:sz w:val="24"/>
          <w:szCs w:val="24"/>
          <w:highlight w:val="none"/>
        </w:rPr>
        <w:t>3.4 第二个信封初步评审</w:t>
      </w:r>
      <w:bookmarkEnd w:id="37"/>
      <w:bookmarkEnd w:id="38"/>
      <w:bookmarkEnd w:id="39"/>
    </w:p>
    <w:p w14:paraId="400D92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 评标委员会依据本章第2.1.1项、第2.1.3项规定的评审标准对投标文件第二个信封（报价文件）进行初步评审。有一项不符合评审标准的，评标委员会应否决其投标。</w:t>
      </w:r>
    </w:p>
    <w:p w14:paraId="363235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 投标报价有算术错误的，评标委员会按以下原则对投标报价进行修正，修正的价格无需投标人在评标过程中书面确认，具有约束力。投标人不接受修正价格的，评标委员会应否决其投标。</w:t>
      </w:r>
    </w:p>
    <w:p w14:paraId="455B62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（1）投标文件中的大写金额与小写金额不一致的，以大写金额为准；</w:t>
      </w:r>
    </w:p>
    <w:p w14:paraId="6867A4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（2）合计报价费率与估算建安费相乘与投标总报价金额不一致的，以合计报价费率计算为准；如果合计报价费率有明显的小数点位置差错，应以标出的投标总报价金额为准，同时对合计报价费率予以修正；</w:t>
      </w:r>
    </w:p>
    <w:p w14:paraId="47C491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（3）报价费率累计与合计报价费率不一致的，以报价费率累计为准，修正合计报价费率。</w:t>
      </w:r>
    </w:p>
    <w:p w14:paraId="27661D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3.4.3 修正后的最终投标报价若超过最高投标限价（如有），评标委员会应否决其投标。</w:t>
      </w:r>
    </w:p>
    <w:p w14:paraId="64B29D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3.4.4 修正后的最终投标报价仅作为签订合同的一个依据，不参与评标价得分的计算。</w:t>
      </w:r>
    </w:p>
    <w:p w14:paraId="53B21EB3">
      <w:pPr>
        <w:pStyle w:val="7"/>
        <w:spacing w:before="0" w:after="0"/>
        <w:jc w:val="left"/>
        <w:rPr>
          <w:rFonts w:hint="eastAsia" w:ascii="宋体" w:hAnsi="宋体" w:eastAsia="宋体" w:cs="宋体"/>
          <w:b w:val="0"/>
          <w:color w:val="auto"/>
          <w:sz w:val="24"/>
          <w:szCs w:val="24"/>
          <w:highlight w:val="none"/>
        </w:rPr>
      </w:pPr>
      <w:bookmarkStart w:id="40" w:name="_Toc503235816"/>
      <w:bookmarkStart w:id="41" w:name="_Toc508984144"/>
      <w:bookmarkStart w:id="42" w:name="_Toc508984343"/>
      <w:r>
        <w:rPr>
          <w:rFonts w:hint="eastAsia" w:ascii="宋体" w:hAnsi="宋体" w:eastAsia="宋体" w:cs="宋体"/>
          <w:b w:val="0"/>
          <w:color w:val="auto"/>
          <w:sz w:val="24"/>
          <w:szCs w:val="24"/>
          <w:highlight w:val="none"/>
        </w:rPr>
        <w:t>3.5 第二个信封详细评审</w:t>
      </w:r>
      <w:bookmarkEnd w:id="40"/>
      <w:bookmarkEnd w:id="41"/>
      <w:bookmarkEnd w:id="42"/>
    </w:p>
    <w:p w14:paraId="629BDA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 评标委员会按本章第2.2.4项（3）目规定的评审因素和分值对评标价计算出得分C。评标价得分分值计算保留小数点后四位，小数点后第五位“四舍五入”。</w:t>
      </w:r>
    </w:p>
    <w:p w14:paraId="1DDB8C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 投标人综合得分=投标人的商务和技术得分+C。</w:t>
      </w:r>
    </w:p>
    <w:p w14:paraId="57A7BE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439B6F37">
      <w:pPr>
        <w:pStyle w:val="7"/>
        <w:spacing w:before="0" w:after="0"/>
        <w:jc w:val="left"/>
        <w:rPr>
          <w:rFonts w:hint="eastAsia" w:ascii="宋体" w:hAnsi="宋体" w:eastAsia="宋体" w:cs="宋体"/>
          <w:b w:val="0"/>
          <w:color w:val="auto"/>
          <w:sz w:val="24"/>
          <w:szCs w:val="24"/>
          <w:highlight w:val="none"/>
        </w:rPr>
      </w:pPr>
      <w:bookmarkStart w:id="43" w:name="_Toc503235817"/>
      <w:bookmarkStart w:id="44" w:name="_Toc508984145"/>
      <w:bookmarkStart w:id="45" w:name="_Toc508984344"/>
      <w:r>
        <w:rPr>
          <w:rFonts w:hint="eastAsia" w:ascii="宋体" w:hAnsi="宋体" w:eastAsia="宋体" w:cs="宋体"/>
          <w:b w:val="0"/>
          <w:color w:val="auto"/>
          <w:sz w:val="24"/>
          <w:szCs w:val="24"/>
          <w:highlight w:val="none"/>
        </w:rPr>
        <w:t>3.6 投标文件相关信息的核查</w:t>
      </w:r>
      <w:bookmarkEnd w:id="43"/>
      <w:bookmarkEnd w:id="44"/>
      <w:bookmarkEnd w:id="45"/>
    </w:p>
    <w:p w14:paraId="5984C1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 评标委员会应对在评标过程中发现的投标人与投标人之间、投标人与招标人之间存在的串通投标的情形进行评审和认定。投标人存在串通投标、弄虚作假、行贿等违法行为的，评标委员会应否决其投标。</w:t>
      </w:r>
    </w:p>
    <w:p w14:paraId="2388E5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（1）有下列情形之一的，属于投标人相互串通投标：</w:t>
      </w:r>
    </w:p>
    <w:p w14:paraId="47137C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a.投标人之间协商投标报价等投标文件的实质性内容；</w:t>
      </w:r>
    </w:p>
    <w:p w14:paraId="26EE71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b.投标人之间约定中标人；</w:t>
      </w:r>
    </w:p>
    <w:p w14:paraId="3D92CD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c.投标人之间约定部分投标人放弃投标或中标；</w:t>
      </w:r>
    </w:p>
    <w:p w14:paraId="6B2308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d.属于同一集团、协会、商会等组织成员的投标人按照该组织要求协同投标；</w:t>
      </w:r>
    </w:p>
    <w:p w14:paraId="11CECD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e.投标人之间为谋取中标或排斥特定投标人而采取的其他联合行动。</w:t>
      </w:r>
    </w:p>
    <w:p w14:paraId="0EC8C4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（2）有下列情形之一的，视为投标人相互串通投标：</w:t>
      </w:r>
    </w:p>
    <w:p w14:paraId="5257A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a.不同投标人的投标文件由同一单位或个人编制；</w:t>
      </w:r>
    </w:p>
    <w:p w14:paraId="448136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b.不同投标人委托同一单位或个人办理投标事宜；</w:t>
      </w:r>
    </w:p>
    <w:p w14:paraId="05E889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c.不同投标人的投标文件载明的项目管理成员为同一人；</w:t>
      </w:r>
    </w:p>
    <w:p w14:paraId="445AA1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d.不同投标人的投标文件异常一致或投标报价呈规律性差异；</w:t>
      </w:r>
    </w:p>
    <w:p w14:paraId="42F0DE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e.不同投标人的投标文件相互混装；</w:t>
      </w:r>
    </w:p>
    <w:p w14:paraId="4885F9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f.不同投标人的投标保证金从同一单位或个人的账户转出。</w:t>
      </w:r>
    </w:p>
    <w:p w14:paraId="688EF9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（3）有下列情形之一的，属于招标人与投标人串通投标：</w:t>
      </w:r>
    </w:p>
    <w:p w14:paraId="7BBB47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a.招标人在开标前开启投标文件并将有关信息泄露给其他投标人;</w:t>
      </w:r>
    </w:p>
    <w:p w14:paraId="2BC345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b.招标人直接或间接向投标人泄露标底、评标委员会成员等信息；</w:t>
      </w:r>
    </w:p>
    <w:p w14:paraId="41D72B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c.招标人明示或暗示投标人压低或抬高投标报价；</w:t>
      </w:r>
    </w:p>
    <w:p w14:paraId="727155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d.招标人授意投标人撤换、修改投标文件；</w:t>
      </w:r>
    </w:p>
    <w:p w14:paraId="7DEF7B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e.招标人明示或暗示投标人为特定投标人中标提供方便；</w:t>
      </w:r>
    </w:p>
    <w:p w14:paraId="4286D3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f.招标人与投标人为谋求特定投标人中标而采取的其他串通行为。</w:t>
      </w:r>
    </w:p>
    <w:p w14:paraId="40DF63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（4）投标人有下列情形之一的，属于弄虚作假的行为：</w:t>
      </w:r>
    </w:p>
    <w:p w14:paraId="58D418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a.使用通过受让或租借等方式获取的资格、资质证书投标；</w:t>
      </w:r>
    </w:p>
    <w:p w14:paraId="578739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b.使用伪造、变造的许可证件；</w:t>
      </w:r>
    </w:p>
    <w:p w14:paraId="5D1108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c.提供虚假的业绩；</w:t>
      </w:r>
    </w:p>
    <w:p w14:paraId="1DB0FC2A">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d.提供虚假的项目负责人或主要技术人员简历、劳动关系证明；</w:t>
      </w:r>
    </w:p>
    <w:p w14:paraId="4A57EA27">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e.提供虚假的信用状况；</w:t>
      </w:r>
    </w:p>
    <w:p w14:paraId="67994E2E">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f.其他弄虚作假的行为。</w:t>
      </w:r>
    </w:p>
    <w:p w14:paraId="01C2FF11">
      <w:pPr>
        <w:pStyle w:val="8"/>
        <w:spacing w:beforeLines="0" w:after="0" w:afterLines="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14:paraId="2AAD2CA5">
      <w:pPr>
        <w:pStyle w:val="7"/>
        <w:spacing w:before="0" w:beforeLines="0" w:after="0" w:afterLines="0"/>
        <w:jc w:val="left"/>
        <w:rPr>
          <w:rFonts w:hint="eastAsia" w:ascii="宋体" w:hAnsi="宋体" w:eastAsia="宋体" w:cs="宋体"/>
          <w:b w:val="0"/>
          <w:color w:val="auto"/>
          <w:sz w:val="24"/>
          <w:szCs w:val="24"/>
          <w:highlight w:val="none"/>
        </w:rPr>
      </w:pPr>
      <w:bookmarkStart w:id="46" w:name="_Toc508984345"/>
      <w:bookmarkStart w:id="47" w:name="_Toc508984146"/>
      <w:bookmarkStart w:id="48" w:name="_Toc503235818"/>
      <w:r>
        <w:rPr>
          <w:rFonts w:hint="eastAsia" w:ascii="宋体" w:hAnsi="宋体" w:eastAsia="宋体" w:cs="宋体"/>
          <w:b w:val="0"/>
          <w:color w:val="auto"/>
          <w:sz w:val="24"/>
          <w:szCs w:val="24"/>
          <w:highlight w:val="none"/>
        </w:rPr>
        <w:t>3.7 投标文件的澄清和说明</w:t>
      </w:r>
      <w:bookmarkEnd w:id="46"/>
      <w:bookmarkEnd w:id="47"/>
      <w:bookmarkEnd w:id="48"/>
    </w:p>
    <w:p w14:paraId="02608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04C8E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 澄清和说明不得超出投标文件的范围或改变投标文件的实质性内容（算术性错误的修正除外）。投标人的书面澄清、说明属于投标文件的组成部分。</w:t>
      </w:r>
    </w:p>
    <w:p w14:paraId="0E8E01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3.7.3 评标委员会不得暗示或诱导投标人作出澄清、说明，对投标人提交的澄清、说明有疑问的，可以要求投标人进一步澄清或说明，直至满足评标委员会的要求。</w:t>
      </w:r>
    </w:p>
    <w:p w14:paraId="6DFAE7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3.7.4 凡超出招标文件规定的或给发包人带来未曾要求的利益的变化、偏差或其他因素在评标时不予考虑。</w:t>
      </w:r>
    </w:p>
    <w:p w14:paraId="35D9A67A">
      <w:pPr>
        <w:pStyle w:val="7"/>
        <w:spacing w:before="0" w:after="0"/>
        <w:jc w:val="left"/>
        <w:rPr>
          <w:rFonts w:hint="eastAsia" w:ascii="宋体" w:hAnsi="宋体" w:eastAsia="宋体" w:cs="宋体"/>
          <w:b w:val="0"/>
          <w:color w:val="auto"/>
          <w:sz w:val="24"/>
          <w:szCs w:val="24"/>
          <w:highlight w:val="none"/>
        </w:rPr>
      </w:pPr>
      <w:bookmarkStart w:id="49" w:name="_Toc503235819"/>
      <w:bookmarkStart w:id="50" w:name="_Toc501257170"/>
      <w:bookmarkStart w:id="51" w:name="_Toc508984147"/>
      <w:bookmarkStart w:id="52" w:name="_Toc508984346"/>
      <w:r>
        <w:rPr>
          <w:rFonts w:hint="eastAsia" w:ascii="宋体" w:hAnsi="宋体" w:eastAsia="宋体" w:cs="宋体"/>
          <w:b w:val="0"/>
          <w:color w:val="auto"/>
          <w:sz w:val="24"/>
          <w:szCs w:val="24"/>
          <w:highlight w:val="none"/>
        </w:rPr>
        <w:t>3.8 不得否决投标的情形</w:t>
      </w:r>
      <w:bookmarkEnd w:id="49"/>
      <w:bookmarkEnd w:id="50"/>
      <w:bookmarkEnd w:id="51"/>
      <w:bookmarkEnd w:id="52"/>
    </w:p>
    <w:p w14:paraId="0108FA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投标文件存在第二章“投标人须知”第1.12.3项所列情形的，均视为细微偏差，评标委员会不得否决投标人的投标，应按照第二章“投标人须知”第1.12.4项规定的原则处理。</w:t>
      </w:r>
    </w:p>
    <w:p w14:paraId="084F1D0D">
      <w:pPr>
        <w:pStyle w:val="7"/>
        <w:spacing w:before="0" w:after="0"/>
        <w:jc w:val="left"/>
        <w:rPr>
          <w:rFonts w:hint="eastAsia" w:ascii="宋体" w:hAnsi="宋体" w:eastAsia="宋体" w:cs="宋体"/>
          <w:b w:val="0"/>
          <w:color w:val="auto"/>
          <w:sz w:val="24"/>
          <w:szCs w:val="24"/>
          <w:highlight w:val="none"/>
        </w:rPr>
      </w:pPr>
      <w:bookmarkStart w:id="53" w:name="_Toc508984347"/>
      <w:bookmarkStart w:id="54" w:name="_Toc508984148"/>
      <w:bookmarkStart w:id="55" w:name="_Toc503235820"/>
      <w:r>
        <w:rPr>
          <w:rFonts w:hint="eastAsia" w:ascii="宋体" w:hAnsi="宋体" w:eastAsia="宋体" w:cs="宋体"/>
          <w:b w:val="0"/>
          <w:color w:val="auto"/>
          <w:sz w:val="24"/>
          <w:szCs w:val="24"/>
          <w:highlight w:val="none"/>
        </w:rPr>
        <w:t>3.9 评标结果</w:t>
      </w:r>
      <w:bookmarkEnd w:id="53"/>
      <w:bookmarkEnd w:id="54"/>
      <w:bookmarkEnd w:id="55"/>
    </w:p>
    <w:p w14:paraId="4FE643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3.9.1 除第二章“投标人须知”前附表授权直接确定中标人外，评标委员会按照得分由高到低的顺序推荐中标候选人，并标明排序。</w:t>
      </w:r>
    </w:p>
    <w:p w14:paraId="17035F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3.9.2 评标委员会完成评标后，应向招标人提交书面评标报告。</w:t>
      </w:r>
      <w:bookmarkEnd w:id="15"/>
    </w:p>
    <w:p w14:paraId="3A85CD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3.9.3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1B6337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3.9.4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14:paraId="3028B9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3.9.5如果发生无法确定推荐中标候选人的其</w:t>
      </w:r>
      <w:r>
        <w:rPr>
          <w:rFonts w:hint="eastAsia" w:ascii="宋体" w:hAnsi="宋体" w:eastAsia="宋体" w:cs="宋体"/>
          <w:color w:val="auto"/>
          <w:sz w:val="24"/>
          <w:highlight w:val="none"/>
          <w:lang w:eastAsia="zh-CN"/>
        </w:rPr>
        <w:t>他</w:t>
      </w:r>
      <w:r>
        <w:rPr>
          <w:rFonts w:hint="eastAsia" w:ascii="宋体" w:hAnsi="宋体" w:eastAsia="宋体" w:cs="宋体"/>
          <w:color w:val="auto"/>
          <w:sz w:val="24"/>
          <w:highlight w:val="none"/>
        </w:rPr>
        <w:t>意外情况，评标委员会可建议招标人重新招标。</w:t>
      </w:r>
    </w:p>
    <w:p w14:paraId="57C8D7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3.9.6本招标文件规定的否决投标条款包含在以下条款：</w:t>
      </w:r>
    </w:p>
    <w:p w14:paraId="086140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（1）招标公告第3点 投标人资格要求；</w:t>
      </w:r>
    </w:p>
    <w:p w14:paraId="320CF8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（2）投标人须知1.4项、1.12项、3.4项、3.5项；</w:t>
      </w:r>
    </w:p>
    <w:p w14:paraId="53A67730">
      <w:pPr>
        <w:spacing w:line="360" w:lineRule="auto"/>
        <w:ind w:firstLine="480" w:firstLineChars="200"/>
      </w:pPr>
      <w:r>
        <w:rPr>
          <w:rFonts w:hint="eastAsia" w:ascii="宋体" w:hAnsi="宋体" w:eastAsia="宋体" w:cs="宋体"/>
          <w:color w:val="auto"/>
          <w:sz w:val="24"/>
          <w:highlight w:val="none"/>
        </w:rPr>
        <w:t>（3）本评标办法的否决条款</w:t>
      </w:r>
      <w:bookmarkStart w:id="56" w:name="_GoBack"/>
      <w:bookmarkEnd w:id="5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00"/>
    <w:family w:val="moder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A1953"/>
    <w:rsid w:val="4A3A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7">
    <w:name w:val="heading 3"/>
    <w:basedOn w:val="1"/>
    <w:next w:val="6"/>
    <w:qFormat/>
    <w:uiPriority w:val="0"/>
    <w:pPr>
      <w:keepNext/>
      <w:keepLines/>
      <w:widowControl/>
      <w:tabs>
        <w:tab w:val="left" w:pos="425"/>
        <w:tab w:val="left" w:pos="3229"/>
      </w:tabs>
      <w:spacing w:before="120" w:after="120" w:line="360" w:lineRule="auto"/>
      <w:jc w:val="center"/>
      <w:outlineLvl w:val="2"/>
    </w:pPr>
    <w:rPr>
      <w:b/>
      <w:kern w:val="0"/>
      <w:sz w:val="32"/>
      <w:szCs w:val="20"/>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s>
      <w:spacing w:line="240" w:lineRule="auto"/>
      <w:ind w:left="420" w:firstLine="420"/>
    </w:pPr>
    <w:rPr>
      <w:szCs w:val="24"/>
    </w:rPr>
  </w:style>
  <w:style w:type="paragraph" w:styleId="3">
    <w:name w:val="Body Text Indent"/>
    <w:basedOn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paragraph" w:customStyle="1" w:styleId="13">
    <w:name w:val="列出段落1"/>
    <w:basedOn w:val="1"/>
    <w:qFormat/>
    <w:uiPriority w:val="0"/>
    <w:pPr>
      <w:ind w:firstLine="420" w:firstLineChars="200"/>
    </w:pPr>
    <w:rPr>
      <w:rFonts w:ascii="Calibri" w:hAnsi="Calibri"/>
      <w:szCs w:val="22"/>
    </w:rPr>
  </w:style>
  <w:style w:type="character" w:customStyle="1" w:styleId="14">
    <w:name w:val="正文文本 (2) + 间距 0 pt3"/>
    <w:qFormat/>
    <w:uiPriority w:val="99"/>
    <w:rPr>
      <w:rFonts w:ascii="MingLiU" w:eastAsia="MingLiU" w:cs="MingLiU"/>
      <w:spacing w:val="0"/>
      <w:sz w:val="22"/>
      <w:szCs w:val="22"/>
      <w:u w:val="none"/>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paragraph" w:customStyle="1" w:styleId="16">
    <w:name w:val="正文缩进1"/>
    <w:basedOn w:val="17"/>
    <w:qFormat/>
    <w:uiPriority w:val="0"/>
    <w:pPr>
      <w:ind w:firstLine="624"/>
      <w:jc w:val="left"/>
    </w:pPr>
    <w:rPr>
      <w:rFonts w:hint="eastAsia" w:ascii="Times New Roman" w:hAnsi="Times New Roman" w:eastAsia="宋体" w:cs="Times New Roman"/>
    </w:rPr>
  </w:style>
  <w:style w:type="paragraph" w:customStyle="1" w:styleId="17">
    <w:name w:val="正文1"/>
    <w:basedOn w:val="1"/>
    <w:next w:val="16"/>
    <w:qFormat/>
    <w:uiPriority w:val="0"/>
    <w:pPr>
      <w:spacing w:line="400" w:lineRule="exact"/>
      <w:ind w:firstLine="480" w:firstLineChars="200"/>
    </w:pPr>
    <w:rPr>
      <w:rFonts w:ascii="Calibri" w:hAnsi="Calibri" w:eastAsia="宋体"/>
      <w:kern w:val="2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2026-03-02T02:05:00Z</dcterms:created>
  <dc:creator>zgl</dc:creator>
  <cp:lastModifiedBy>zgl</cp:lastModifiedBy>
  <dcterms:modified xsi:type="dcterms:W3CDTF">2026-03-02T02:06:13Z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EF224F1A49414F269C3FEC46CEDBE7E7_11</vt:lpwstr>
  </property>
  <property fmtid="{D5CDD505-2E9C-101B-9397-08002B2CF9AE}" pid="4" name="KSOTemplateDocerSaveRecord">
    <vt:lpwstr>eyJoZGlkIjoiOGQxYjRhNzI5ODE4YjEzNjRmMjJhYjNiZGVkY2NlZjgiLCJ1c2VySWQiOiIyMjcwMDI0MjgifQ==</vt:lpwstr>
  </property>
</Properties>
</file>