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6"/>
        <w:ind w:firstLine="590"/>
        <w:jc w:val="center"/>
      </w:pPr>
      <w:r>
        <w:rPr>
          <w:rFonts w:hint="eastAsia" w:ascii="宋体" w:hAnsi="宋体" w:cs="宋体"/>
          <w:b/>
          <w:spacing w:val="14"/>
          <w:kern w:val="24"/>
          <w:sz w:val="56"/>
          <w:szCs w:val="56"/>
          <w14:shadow w14:blurRad="50800" w14:dist="38100" w14:dir="2700000" w14:sx="100000" w14:sy="100000" w14:kx="0" w14:ky="0" w14:algn="tl">
            <w14:srgbClr w14:val="000000">
              <w14:alpha w14:val="60000"/>
            </w14:srgbClr>
          </w14:shadow>
        </w:rPr>
        <w:t>缙云县建筑固废物综合利用项目劳务外包采购</w:t>
      </w:r>
    </w:p>
    <w:p>
      <w:pPr>
        <w:pStyle w:val="20"/>
        <w:rPr>
          <w:rFonts w:ascii="宋体" w:hAnsi="宋体" w:eastAsia="宋体" w:cs="宋体"/>
        </w:rPr>
      </w:pPr>
    </w:p>
    <w:p>
      <w:pPr>
        <w:ind w:firstLine="173" w:firstLineChars="24"/>
        <w:jc w:val="center"/>
        <w:rPr>
          <w:rFonts w:ascii="宋体" w:hAnsi="宋体" w:cs="宋体"/>
          <w:b/>
          <w:sz w:val="80"/>
          <w14:shadow w14:blurRad="50800" w14:dist="38100" w14:dir="2700000" w14:sx="100000" w14:sy="100000" w14:kx="0" w14:ky="0" w14:algn="tl">
            <w14:srgbClr w14:val="000000">
              <w14:alpha w14:val="60000"/>
            </w14:srgbClr>
          </w14:shadow>
        </w:rPr>
      </w:pPr>
      <w:r>
        <w:rPr>
          <w:rFonts w:asciiTheme="majorBidi" w:hAnsiTheme="majorBidi" w:cstheme="majorBidi"/>
          <w:b/>
          <w:sz w:val="72"/>
          <w:szCs w:val="52"/>
        </w:rPr>
        <w:t>（国 企 采 购）</w:t>
      </w:r>
    </w:p>
    <w:p>
      <w:pPr>
        <w:pStyle w:val="44"/>
        <w:rPr>
          <w:rFonts w:ascii="宋体" w:hAnsi="宋体" w:cs="宋体"/>
          <w:sz w:val="80"/>
          <w14:shadow w14:blurRad="50800" w14:dist="38100" w14:dir="2700000" w14:sx="100000" w14:sy="100000" w14:kx="0" w14:ky="0" w14:algn="tl">
            <w14:srgbClr w14:val="000000">
              <w14:alpha w14:val="60000"/>
            </w14:srgbClr>
          </w14:shadow>
        </w:rPr>
      </w:pPr>
    </w:p>
    <w:p/>
    <w:p>
      <w:pPr>
        <w:ind w:firstLine="193" w:firstLineChars="24"/>
        <w:jc w:val="center"/>
        <w:rPr>
          <w:rFonts w:ascii="宋体" w:hAnsi="宋体" w:cs="宋体"/>
          <w:b/>
          <w:sz w:val="80"/>
          <w14:shadow w14:blurRad="50800" w14:dist="38100" w14:dir="2700000" w14:sx="100000" w14:sy="100000" w14:kx="0" w14:ky="0" w14:algn="tl">
            <w14:srgbClr w14:val="000000">
              <w14:alpha w14:val="60000"/>
            </w14:srgbClr>
          </w14:shadow>
        </w:rPr>
      </w:pPr>
      <w:r>
        <w:rPr>
          <w:rFonts w:hint="eastAsia" w:ascii="宋体" w:hAnsi="宋体" w:cs="宋体"/>
          <w:b/>
          <w:sz w:val="80"/>
          <w14:shadow w14:blurRad="50800" w14:dist="38100" w14:dir="2700000" w14:sx="100000" w14:sy="100000" w14:kx="0" w14:ky="0" w14:algn="tl">
            <w14:srgbClr w14:val="000000">
              <w14:alpha w14:val="60000"/>
            </w14:srgbClr>
          </w14:shadow>
        </w:rPr>
        <w:t>公开采购文件</w:t>
      </w:r>
    </w:p>
    <w:p>
      <w:pPr>
        <w:jc w:val="center"/>
        <w:rPr>
          <w:rFonts w:ascii="宋体" w:hAnsi="宋体" w:cs="宋体"/>
          <w:b/>
          <w:sz w:val="28"/>
        </w:rPr>
      </w:pPr>
      <w:r>
        <w:rPr>
          <w:rFonts w:hint="eastAsia" w:ascii="宋体" w:hAnsi="宋体" w:cs="宋体"/>
          <w:b/>
          <w:sz w:val="24"/>
          <w:szCs w:val="24"/>
        </w:rPr>
        <w:t>（线上电子招投标）</w:t>
      </w:r>
    </w:p>
    <w:p>
      <w:pPr>
        <w:jc w:val="center"/>
        <w:rPr>
          <w:rFonts w:ascii="宋体" w:hAnsi="宋体" w:cs="宋体"/>
          <w:b/>
          <w:sz w:val="28"/>
        </w:rPr>
      </w:pPr>
    </w:p>
    <w:p>
      <w:pPr>
        <w:jc w:val="center"/>
        <w:rPr>
          <w:rFonts w:ascii="宋体" w:hAnsi="宋体" w:cs="宋体"/>
          <w:b/>
          <w:sz w:val="28"/>
        </w:rPr>
      </w:pPr>
    </w:p>
    <w:p>
      <w:pPr>
        <w:jc w:val="center"/>
        <w:rPr>
          <w:rFonts w:ascii="宋体" w:hAnsi="宋体" w:cs="宋体"/>
          <w:b/>
          <w:sz w:val="28"/>
        </w:rPr>
      </w:pPr>
    </w:p>
    <w:p>
      <w:pPr>
        <w:jc w:val="center"/>
        <w:rPr>
          <w:rFonts w:ascii="宋体" w:hAnsi="宋体" w:cs="宋体"/>
          <w:b/>
          <w:sz w:val="28"/>
        </w:rPr>
      </w:pPr>
    </w:p>
    <w:p>
      <w:pPr>
        <w:rPr>
          <w:rFonts w:ascii="宋体" w:hAnsi="宋体" w:cs="宋体"/>
          <w:b/>
          <w:sz w:val="28"/>
        </w:rPr>
      </w:pPr>
    </w:p>
    <w:p>
      <w:pPr>
        <w:jc w:val="center"/>
        <w:rPr>
          <w:rFonts w:ascii="宋体" w:hAnsi="宋体" w:cs="宋体"/>
          <w:b/>
          <w:sz w:val="28"/>
        </w:rPr>
      </w:pPr>
    </w:p>
    <w:p>
      <w:pPr>
        <w:rPr>
          <w:rFonts w:ascii="宋体" w:hAnsi="宋体" w:cs="宋体"/>
          <w:b/>
          <w:sz w:val="28"/>
        </w:rPr>
      </w:pPr>
    </w:p>
    <w:p>
      <w:pPr>
        <w:jc w:val="center"/>
        <w:rPr>
          <w:rFonts w:ascii="宋体" w:hAnsi="宋体" w:cs="宋体"/>
          <w:b/>
          <w:sz w:val="28"/>
        </w:rPr>
      </w:pPr>
    </w:p>
    <w:p>
      <w:pPr>
        <w:jc w:val="center"/>
        <w:rPr>
          <w:rFonts w:ascii="宋体" w:hAnsi="宋体" w:cs="宋体"/>
          <w:b/>
          <w:sz w:val="28"/>
        </w:rPr>
      </w:pPr>
    </w:p>
    <w:p>
      <w:pPr>
        <w:ind w:firstLine="562" w:firstLineChars="200"/>
        <w:rPr>
          <w:rFonts w:ascii="宋体" w:hAnsi="宋体" w:cs="宋体"/>
          <w:b/>
          <w:sz w:val="28"/>
          <w:u w:val="single"/>
        </w:rPr>
      </w:pPr>
      <w:r>
        <w:rPr>
          <w:rFonts w:hint="eastAsia" w:ascii="宋体" w:hAnsi="宋体" w:cs="宋体"/>
          <w:b/>
          <w:sz w:val="28"/>
          <w:szCs w:val="28"/>
        </w:rPr>
        <w:t xml:space="preserve">采  购  编  号： </w:t>
      </w:r>
      <w:r>
        <w:rPr>
          <w:rFonts w:hint="eastAsia" w:ascii="宋体" w:hAnsi="宋体" w:cs="宋体"/>
          <w:b/>
          <w:sz w:val="28"/>
          <w:szCs w:val="28"/>
          <w:u w:val="single"/>
        </w:rPr>
        <w:t xml:space="preserve">         </w:t>
      </w:r>
      <w:r>
        <w:rPr>
          <w:rFonts w:hint="eastAsia" w:ascii="宋体" w:hAnsi="宋体" w:cs="宋体"/>
          <w:b/>
          <w:sz w:val="28"/>
          <w:u w:val="single"/>
        </w:rPr>
        <w:t xml:space="preserve">环宇采招2026-09号             </w:t>
      </w:r>
    </w:p>
    <w:p>
      <w:pPr>
        <w:spacing w:line="960" w:lineRule="exact"/>
        <w:ind w:firstLine="573" w:firstLineChars="204"/>
        <w:rPr>
          <w:rFonts w:ascii="宋体" w:hAnsi="宋体" w:cs="宋体"/>
          <w:b/>
          <w:sz w:val="28"/>
          <w:szCs w:val="28"/>
          <w:u w:val="single"/>
        </w:rPr>
      </w:pPr>
      <w:r>
        <w:rPr>
          <w:rFonts w:hint="eastAsia" w:ascii="宋体" w:hAnsi="宋体" w:cs="宋体"/>
          <w:b/>
          <w:sz w:val="28"/>
          <w:szCs w:val="28"/>
        </w:rPr>
        <w:t xml:space="preserve">采    购    人： </w:t>
      </w:r>
      <w:r>
        <w:rPr>
          <w:rFonts w:hint="eastAsia" w:ascii="宋体" w:hAnsi="宋体" w:cs="宋体"/>
          <w:b/>
          <w:sz w:val="28"/>
          <w:szCs w:val="28"/>
          <w:u w:val="single"/>
        </w:rPr>
        <w:t xml:space="preserve">      </w:t>
      </w:r>
      <w:r>
        <w:rPr>
          <w:rFonts w:hint="eastAsia" w:ascii="宋体" w:hAnsi="宋体" w:cs="宋体"/>
          <w:b/>
          <w:sz w:val="28"/>
          <w:u w:val="single"/>
        </w:rPr>
        <w:t>缙云县城投市政建设有限公司</w:t>
      </w:r>
      <w:r>
        <w:rPr>
          <w:rFonts w:hint="eastAsia" w:ascii="宋体" w:hAnsi="宋体" w:cs="宋体"/>
          <w:b/>
          <w:sz w:val="28"/>
          <w:szCs w:val="28"/>
          <w:u w:val="single"/>
        </w:rPr>
        <w:t xml:space="preserve">     </w:t>
      </w:r>
    </w:p>
    <w:p>
      <w:pPr>
        <w:spacing w:line="960" w:lineRule="exact"/>
        <w:ind w:firstLine="573" w:firstLineChars="204"/>
        <w:rPr>
          <w:rFonts w:ascii="宋体" w:hAnsi="宋体" w:cs="宋体"/>
          <w:sz w:val="28"/>
          <w:szCs w:val="28"/>
        </w:rPr>
      </w:pPr>
      <w:r>
        <w:rPr>
          <w:rFonts w:hint="eastAsia" w:ascii="宋体" w:hAnsi="宋体" w:cs="宋体"/>
          <w:b/>
          <w:sz w:val="28"/>
          <w:szCs w:val="28"/>
        </w:rPr>
        <w:t xml:space="preserve">招  标  代  理： </w:t>
      </w:r>
      <w:r>
        <w:rPr>
          <w:rFonts w:hint="eastAsia" w:ascii="宋体" w:hAnsi="宋体" w:cs="宋体"/>
          <w:b/>
          <w:sz w:val="28"/>
          <w:szCs w:val="28"/>
          <w:u w:val="single"/>
        </w:rPr>
        <w:t xml:space="preserve">      浙江环德轩宇项目管理咨询有限公司       </w:t>
      </w:r>
    </w:p>
    <w:p>
      <w:pPr>
        <w:spacing w:before="96" w:after="96" w:line="560" w:lineRule="exact"/>
        <w:jc w:val="center"/>
        <w:outlineLvl w:val="0"/>
        <w:rPr>
          <w:rFonts w:ascii="宋体" w:hAnsi="宋体" w:cs="宋体"/>
          <w:b/>
          <w:sz w:val="31"/>
        </w:rPr>
      </w:pPr>
      <w:bookmarkStart w:id="0" w:name="_Toc13708"/>
      <w:bookmarkStart w:id="1" w:name="_Toc5556"/>
      <w:bookmarkStart w:id="2" w:name="_Toc22150"/>
      <w:r>
        <w:rPr>
          <w:rFonts w:hint="eastAsia" w:ascii="宋体" w:hAnsi="宋体" w:cs="宋体"/>
          <w:b/>
          <w:sz w:val="31"/>
        </w:rPr>
        <w:t>二O二六年三月</w:t>
      </w:r>
      <w:bookmarkEnd w:id="0"/>
      <w:bookmarkEnd w:id="1"/>
      <w:bookmarkEnd w:id="2"/>
    </w:p>
    <w:p>
      <w:pPr>
        <w:pStyle w:val="44"/>
        <w:spacing w:after="240"/>
        <w:rPr>
          <w:rFonts w:ascii="宋体" w:hAnsi="宋体" w:cs="宋体"/>
        </w:rPr>
        <w:sectPr>
          <w:headerReference r:id="rId5" w:type="first"/>
          <w:footerReference r:id="rId8" w:type="first"/>
          <w:headerReference r:id="rId3" w:type="default"/>
          <w:footerReference r:id="rId6" w:type="default"/>
          <w:headerReference r:id="rId4" w:type="even"/>
          <w:footerReference r:id="rId7" w:type="even"/>
          <w:pgSz w:w="11905" w:h="16838"/>
          <w:pgMar w:top="1440" w:right="1083" w:bottom="1440" w:left="1083" w:header="850" w:footer="850" w:gutter="0"/>
          <w:cols w:space="720" w:num="1"/>
          <w:titlePg/>
          <w:docGrid w:linePitch="312" w:charSpace="0"/>
        </w:sectPr>
      </w:pPr>
    </w:p>
    <w:p>
      <w:pPr>
        <w:pStyle w:val="44"/>
        <w:spacing w:after="240"/>
        <w:rPr>
          <w:rFonts w:ascii="宋体" w:hAnsi="宋体" w:cs="宋体"/>
        </w:rPr>
      </w:pPr>
      <w:bookmarkStart w:id="3" w:name="_Toc531358958"/>
      <w:bookmarkStart w:id="4" w:name="_Toc530551803"/>
      <w:bookmarkStart w:id="5" w:name="_Toc34895519"/>
      <w:r>
        <w:rPr>
          <w:rFonts w:hint="eastAsia" w:ascii="宋体" w:hAnsi="宋体" w:cs="宋体"/>
        </w:rPr>
        <w:t>目  录</w:t>
      </w:r>
      <w:bookmarkEnd w:id="3"/>
      <w:bookmarkEnd w:id="4"/>
      <w:bookmarkEnd w:id="5"/>
      <w:bookmarkStart w:id="6" w:name="_Toc69635410"/>
    </w:p>
    <w:p>
      <w:pPr>
        <w:pStyle w:val="35"/>
        <w:spacing w:line="360" w:lineRule="auto"/>
        <w:rPr>
          <w:rFonts w:ascii="宋体" w:hAnsi="宋体" w:eastAsia="宋体" w:cs="宋体"/>
          <w:b w:val="0"/>
          <w:bCs w:val="0"/>
          <w:caps w:val="0"/>
          <w:sz w:val="21"/>
          <w:szCs w:val="22"/>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TOC \o "1-3" \h \z \u </w:instrText>
      </w:r>
      <w:r>
        <w:rPr>
          <w:rFonts w:hint="eastAsia" w:ascii="宋体" w:hAnsi="宋体" w:eastAsia="宋体" w:cs="宋体"/>
          <w:sz w:val="24"/>
          <w:szCs w:val="24"/>
        </w:rPr>
        <w:fldChar w:fldCharType="separate"/>
      </w:r>
      <w:r>
        <w:fldChar w:fldCharType="begin"/>
      </w:r>
      <w:r>
        <w:instrText xml:space="preserve"> HYPERLINK \l "_Toc34895519" </w:instrText>
      </w:r>
      <w:r>
        <w:fldChar w:fldCharType="separate"/>
      </w:r>
      <w:r>
        <w:rPr>
          <w:rStyle w:val="55"/>
          <w:rFonts w:hint="eastAsia" w:ascii="宋体" w:hAnsi="宋体" w:eastAsia="宋体" w:cs="宋体"/>
          <w:color w:val="auto"/>
        </w:rPr>
        <w:t>目  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_Toc34895519 \h </w:instrText>
      </w:r>
      <w:r>
        <w:rPr>
          <w:rFonts w:hint="eastAsia" w:ascii="宋体" w:hAnsi="宋体" w:eastAsia="宋体" w:cs="宋体"/>
        </w:rPr>
        <w:fldChar w:fldCharType="separate"/>
      </w:r>
      <w:r>
        <w:rPr>
          <w:rFonts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pPr>
        <w:pStyle w:val="35"/>
        <w:spacing w:line="360" w:lineRule="auto"/>
        <w:rPr>
          <w:rFonts w:ascii="宋体" w:hAnsi="宋体" w:eastAsia="宋体" w:cs="宋体"/>
          <w:b w:val="0"/>
          <w:bCs w:val="0"/>
          <w:caps w:val="0"/>
          <w:sz w:val="21"/>
          <w:szCs w:val="22"/>
        </w:rPr>
      </w:pPr>
      <w:r>
        <w:fldChar w:fldCharType="begin"/>
      </w:r>
      <w:r>
        <w:instrText xml:space="preserve"> HYPERLINK \l "_Toc34895520" </w:instrText>
      </w:r>
      <w:r>
        <w:fldChar w:fldCharType="separate"/>
      </w:r>
      <w:r>
        <w:rPr>
          <w:rStyle w:val="55"/>
          <w:rFonts w:hint="eastAsia" w:ascii="宋体" w:hAnsi="宋体" w:eastAsia="宋体" w:cs="宋体"/>
          <w:color w:val="auto"/>
        </w:rPr>
        <w:t>第一章  招标公告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_Toc34895520 \h </w:instrText>
      </w:r>
      <w:r>
        <w:rPr>
          <w:rFonts w:hint="eastAsia" w:ascii="宋体" w:hAnsi="宋体" w:eastAsia="宋体" w:cs="宋体"/>
        </w:rPr>
        <w:fldChar w:fldCharType="separate"/>
      </w:r>
      <w:r>
        <w:rPr>
          <w:rFonts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35"/>
        <w:spacing w:line="360" w:lineRule="auto"/>
        <w:rPr>
          <w:rFonts w:ascii="宋体" w:hAnsi="宋体" w:eastAsia="宋体" w:cs="宋体"/>
          <w:b w:val="0"/>
          <w:bCs w:val="0"/>
          <w:caps w:val="0"/>
          <w:sz w:val="21"/>
          <w:szCs w:val="22"/>
        </w:rPr>
      </w:pPr>
      <w:r>
        <w:fldChar w:fldCharType="begin"/>
      </w:r>
      <w:r>
        <w:instrText xml:space="preserve"> HYPERLINK \l "_Toc34895521" </w:instrText>
      </w:r>
      <w:r>
        <w:fldChar w:fldCharType="separate"/>
      </w:r>
      <w:r>
        <w:rPr>
          <w:rStyle w:val="55"/>
          <w:rFonts w:hint="eastAsia" w:ascii="宋体" w:hAnsi="宋体" w:eastAsia="宋体" w:cs="宋体"/>
          <w:color w:val="auto"/>
        </w:rPr>
        <w:t>第二章  招标需求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_Toc34895521 \h </w:instrText>
      </w:r>
      <w:r>
        <w:rPr>
          <w:rFonts w:hint="eastAsia" w:ascii="宋体" w:hAnsi="宋体" w:eastAsia="宋体" w:cs="宋体"/>
        </w:rPr>
        <w:fldChar w:fldCharType="separate"/>
      </w:r>
      <w:r>
        <w:rPr>
          <w:rFonts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pPr>
        <w:pStyle w:val="35"/>
        <w:spacing w:line="360" w:lineRule="auto"/>
        <w:rPr>
          <w:rFonts w:ascii="宋体" w:hAnsi="宋体" w:eastAsia="宋体" w:cs="宋体"/>
          <w:b w:val="0"/>
          <w:bCs w:val="0"/>
          <w:caps w:val="0"/>
          <w:sz w:val="21"/>
          <w:szCs w:val="22"/>
        </w:rPr>
      </w:pPr>
      <w:r>
        <w:fldChar w:fldCharType="begin"/>
      </w:r>
      <w:r>
        <w:instrText xml:space="preserve"> HYPERLINK \l "_Toc34895522" </w:instrText>
      </w:r>
      <w:r>
        <w:fldChar w:fldCharType="separate"/>
      </w:r>
      <w:r>
        <w:rPr>
          <w:rStyle w:val="55"/>
          <w:rFonts w:hint="eastAsia" w:ascii="宋体" w:hAnsi="宋体" w:eastAsia="宋体" w:cs="宋体"/>
          <w:color w:val="auto"/>
        </w:rPr>
        <w:t>第三章  供应商须知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_Toc34895522 \h </w:instrText>
      </w:r>
      <w:r>
        <w:rPr>
          <w:rFonts w:hint="eastAsia" w:ascii="宋体" w:hAnsi="宋体" w:eastAsia="宋体" w:cs="宋体"/>
        </w:rPr>
        <w:fldChar w:fldCharType="separate"/>
      </w:r>
      <w:r>
        <w:rPr>
          <w:rFonts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pPr>
        <w:pStyle w:val="40"/>
        <w:rPr>
          <w:rFonts w:ascii="宋体" w:hAnsi="宋体" w:eastAsia="宋体" w:cs="宋体"/>
          <w:sz w:val="21"/>
          <w:szCs w:val="22"/>
        </w:rPr>
      </w:pPr>
      <w:r>
        <w:fldChar w:fldCharType="begin"/>
      </w:r>
      <w:r>
        <w:instrText xml:space="preserve"> HYPERLINK \l "_Toc34895523" </w:instrText>
      </w:r>
      <w:r>
        <w:fldChar w:fldCharType="separate"/>
      </w:r>
      <w:r>
        <w:rPr>
          <w:rStyle w:val="55"/>
          <w:rFonts w:hint="eastAsia" w:ascii="宋体" w:hAnsi="宋体" w:eastAsia="宋体" w:cs="宋体"/>
          <w:color w:val="auto"/>
        </w:rPr>
        <w:t>供应商须知前附表（一）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_Toc34895523 \h </w:instrText>
      </w:r>
      <w:r>
        <w:rPr>
          <w:rFonts w:hint="eastAsia" w:ascii="宋体" w:hAnsi="宋体" w:eastAsia="宋体" w:cs="宋体"/>
        </w:rPr>
        <w:fldChar w:fldCharType="separate"/>
      </w:r>
      <w:r>
        <w:rPr>
          <w:rFonts w:ascii="宋体" w:hAnsi="宋体" w:eastAsia="宋体" w:cs="宋体"/>
        </w:rPr>
        <w:t>12</w:t>
      </w:r>
      <w:r>
        <w:rPr>
          <w:rFonts w:hint="eastAsia" w:ascii="宋体" w:hAnsi="宋体" w:eastAsia="宋体" w:cs="宋体"/>
        </w:rPr>
        <w:fldChar w:fldCharType="end"/>
      </w:r>
      <w:r>
        <w:rPr>
          <w:rFonts w:hint="eastAsia" w:ascii="宋体" w:hAnsi="宋体" w:eastAsia="宋体" w:cs="宋体"/>
        </w:rPr>
        <w:fldChar w:fldCharType="end"/>
      </w:r>
    </w:p>
    <w:p>
      <w:pPr>
        <w:pStyle w:val="40"/>
        <w:rPr>
          <w:rFonts w:ascii="宋体" w:hAnsi="宋体" w:eastAsia="宋体" w:cs="宋体"/>
          <w:sz w:val="21"/>
          <w:szCs w:val="22"/>
        </w:rPr>
      </w:pPr>
      <w:r>
        <w:fldChar w:fldCharType="begin"/>
      </w:r>
      <w:r>
        <w:instrText xml:space="preserve"> HYPERLINK \l "_Toc34895524" </w:instrText>
      </w:r>
      <w:r>
        <w:fldChar w:fldCharType="separate"/>
      </w:r>
      <w:r>
        <w:rPr>
          <w:rStyle w:val="55"/>
          <w:rFonts w:hint="eastAsia" w:ascii="宋体" w:hAnsi="宋体" w:eastAsia="宋体" w:cs="宋体"/>
          <w:color w:val="auto"/>
        </w:rPr>
        <w:t>供应商须知前附表（二）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_Toc34895524 \h </w:instrText>
      </w:r>
      <w:r>
        <w:rPr>
          <w:rFonts w:hint="eastAsia" w:ascii="宋体" w:hAnsi="宋体" w:eastAsia="宋体" w:cs="宋体"/>
        </w:rPr>
        <w:fldChar w:fldCharType="separate"/>
      </w:r>
      <w:r>
        <w:rPr>
          <w:rFonts w:ascii="宋体" w:hAnsi="宋体" w:eastAsia="宋体" w:cs="宋体"/>
        </w:rPr>
        <w:t>14</w:t>
      </w:r>
      <w:r>
        <w:rPr>
          <w:rFonts w:hint="eastAsia" w:ascii="宋体" w:hAnsi="宋体" w:eastAsia="宋体" w:cs="宋体"/>
        </w:rPr>
        <w:fldChar w:fldCharType="end"/>
      </w:r>
      <w:r>
        <w:rPr>
          <w:rFonts w:hint="eastAsia" w:ascii="宋体" w:hAnsi="宋体" w:eastAsia="宋体" w:cs="宋体"/>
        </w:rPr>
        <w:fldChar w:fldCharType="end"/>
      </w:r>
    </w:p>
    <w:p>
      <w:pPr>
        <w:pStyle w:val="40"/>
        <w:rPr>
          <w:rFonts w:ascii="宋体" w:hAnsi="宋体" w:eastAsia="宋体" w:cs="宋体"/>
          <w:sz w:val="21"/>
          <w:szCs w:val="22"/>
        </w:rPr>
      </w:pPr>
      <w:r>
        <w:fldChar w:fldCharType="begin"/>
      </w:r>
      <w:r>
        <w:instrText xml:space="preserve"> HYPERLINK \l "_Toc34895525" </w:instrText>
      </w:r>
      <w:r>
        <w:fldChar w:fldCharType="separate"/>
      </w:r>
      <w:r>
        <w:rPr>
          <w:rStyle w:val="55"/>
          <w:rFonts w:hint="eastAsia" w:ascii="宋体" w:hAnsi="宋体" w:eastAsia="宋体" w:cs="宋体"/>
          <w:color w:val="auto"/>
        </w:rPr>
        <w:t>一    总则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_Toc34895525 \h </w:instrText>
      </w:r>
      <w:r>
        <w:rPr>
          <w:rFonts w:hint="eastAsia" w:ascii="宋体" w:hAnsi="宋体" w:eastAsia="宋体" w:cs="宋体"/>
        </w:rPr>
        <w:fldChar w:fldCharType="separate"/>
      </w:r>
      <w:r>
        <w:rPr>
          <w:rFonts w:ascii="宋体" w:hAnsi="宋体" w:eastAsia="宋体" w:cs="宋体"/>
        </w:rPr>
        <w:t>15</w:t>
      </w:r>
      <w:r>
        <w:rPr>
          <w:rFonts w:hint="eastAsia" w:ascii="宋体" w:hAnsi="宋体" w:eastAsia="宋体" w:cs="宋体"/>
        </w:rPr>
        <w:fldChar w:fldCharType="end"/>
      </w:r>
      <w:r>
        <w:rPr>
          <w:rFonts w:hint="eastAsia" w:ascii="宋体" w:hAnsi="宋体" w:eastAsia="宋体" w:cs="宋体"/>
        </w:rPr>
        <w:fldChar w:fldCharType="end"/>
      </w:r>
    </w:p>
    <w:p>
      <w:pPr>
        <w:pStyle w:val="40"/>
        <w:rPr>
          <w:rFonts w:ascii="宋体" w:hAnsi="宋体" w:eastAsia="宋体" w:cs="宋体"/>
          <w:sz w:val="21"/>
          <w:szCs w:val="22"/>
        </w:rPr>
      </w:pPr>
      <w:r>
        <w:fldChar w:fldCharType="begin"/>
      </w:r>
      <w:r>
        <w:instrText xml:space="preserve"> HYPERLINK \l "_Toc34895541" </w:instrText>
      </w:r>
      <w:r>
        <w:fldChar w:fldCharType="separate"/>
      </w:r>
      <w:r>
        <w:rPr>
          <w:rStyle w:val="55"/>
          <w:rFonts w:hint="eastAsia" w:ascii="宋体" w:hAnsi="宋体" w:eastAsia="宋体" w:cs="宋体"/>
          <w:color w:val="auto"/>
        </w:rPr>
        <w:t>二    招标文件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_Toc34895541 \h </w:instrText>
      </w:r>
      <w:r>
        <w:rPr>
          <w:rFonts w:hint="eastAsia" w:ascii="宋体" w:hAnsi="宋体" w:eastAsia="宋体" w:cs="宋体"/>
        </w:rPr>
        <w:fldChar w:fldCharType="separate"/>
      </w:r>
      <w:r>
        <w:rPr>
          <w:rFonts w:ascii="宋体" w:hAnsi="宋体" w:eastAsia="宋体" w:cs="宋体"/>
        </w:rPr>
        <w:t>18</w:t>
      </w:r>
      <w:r>
        <w:rPr>
          <w:rFonts w:hint="eastAsia" w:ascii="宋体" w:hAnsi="宋体" w:eastAsia="宋体" w:cs="宋体"/>
        </w:rPr>
        <w:fldChar w:fldCharType="end"/>
      </w:r>
      <w:r>
        <w:rPr>
          <w:rFonts w:hint="eastAsia" w:ascii="宋体" w:hAnsi="宋体" w:eastAsia="宋体" w:cs="宋体"/>
        </w:rPr>
        <w:fldChar w:fldCharType="end"/>
      </w:r>
    </w:p>
    <w:p>
      <w:pPr>
        <w:pStyle w:val="40"/>
        <w:rPr>
          <w:rFonts w:ascii="宋体" w:hAnsi="宋体" w:eastAsia="宋体" w:cs="宋体"/>
          <w:sz w:val="21"/>
          <w:szCs w:val="22"/>
        </w:rPr>
      </w:pPr>
      <w:r>
        <w:fldChar w:fldCharType="begin"/>
      </w:r>
      <w:r>
        <w:instrText xml:space="preserve"> HYPERLINK \l "_Toc34895544" </w:instrText>
      </w:r>
      <w:r>
        <w:fldChar w:fldCharType="separate"/>
      </w:r>
      <w:r>
        <w:rPr>
          <w:rStyle w:val="55"/>
          <w:rFonts w:hint="eastAsia" w:ascii="宋体" w:hAnsi="宋体" w:eastAsia="宋体" w:cs="宋体"/>
          <w:color w:val="auto"/>
        </w:rPr>
        <w:t>三    投标文件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_Toc34895544 \h </w:instrText>
      </w:r>
      <w:r>
        <w:rPr>
          <w:rFonts w:hint="eastAsia" w:ascii="宋体" w:hAnsi="宋体" w:eastAsia="宋体" w:cs="宋体"/>
        </w:rPr>
        <w:fldChar w:fldCharType="separate"/>
      </w:r>
      <w:r>
        <w:rPr>
          <w:rFonts w:ascii="宋体" w:hAnsi="宋体" w:eastAsia="宋体" w:cs="宋体"/>
        </w:rPr>
        <w:t>19</w:t>
      </w:r>
      <w:r>
        <w:rPr>
          <w:rFonts w:hint="eastAsia" w:ascii="宋体" w:hAnsi="宋体" w:eastAsia="宋体" w:cs="宋体"/>
        </w:rPr>
        <w:fldChar w:fldCharType="end"/>
      </w:r>
      <w:r>
        <w:rPr>
          <w:rFonts w:hint="eastAsia" w:ascii="宋体" w:hAnsi="宋体" w:eastAsia="宋体" w:cs="宋体"/>
        </w:rPr>
        <w:fldChar w:fldCharType="end"/>
      </w:r>
    </w:p>
    <w:p>
      <w:pPr>
        <w:pStyle w:val="40"/>
        <w:rPr>
          <w:rFonts w:ascii="宋体" w:hAnsi="宋体" w:eastAsia="宋体" w:cs="宋体"/>
          <w:sz w:val="21"/>
          <w:szCs w:val="22"/>
        </w:rPr>
      </w:pPr>
      <w:r>
        <w:fldChar w:fldCharType="begin"/>
      </w:r>
      <w:r>
        <w:instrText xml:space="preserve"> HYPERLINK \l "_Toc34895550" </w:instrText>
      </w:r>
      <w:r>
        <w:fldChar w:fldCharType="separate"/>
      </w:r>
      <w:r>
        <w:rPr>
          <w:rStyle w:val="55"/>
          <w:rFonts w:hint="eastAsia" w:ascii="宋体" w:hAnsi="宋体" w:eastAsia="宋体" w:cs="宋体"/>
          <w:color w:val="auto"/>
        </w:rPr>
        <w:t>四    投标文件的编制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_Toc34895550 \h </w:instrText>
      </w:r>
      <w:r>
        <w:rPr>
          <w:rFonts w:hint="eastAsia" w:ascii="宋体" w:hAnsi="宋体" w:eastAsia="宋体" w:cs="宋体"/>
        </w:rPr>
        <w:fldChar w:fldCharType="separate"/>
      </w:r>
      <w:r>
        <w:rPr>
          <w:rFonts w:ascii="宋体" w:hAnsi="宋体" w:eastAsia="宋体" w:cs="宋体"/>
        </w:rPr>
        <w:t>20</w:t>
      </w:r>
      <w:r>
        <w:rPr>
          <w:rFonts w:hint="eastAsia" w:ascii="宋体" w:hAnsi="宋体" w:eastAsia="宋体" w:cs="宋体"/>
        </w:rPr>
        <w:fldChar w:fldCharType="end"/>
      </w:r>
      <w:r>
        <w:rPr>
          <w:rFonts w:hint="eastAsia" w:ascii="宋体" w:hAnsi="宋体" w:eastAsia="宋体" w:cs="宋体"/>
        </w:rPr>
        <w:fldChar w:fldCharType="end"/>
      </w:r>
    </w:p>
    <w:p>
      <w:pPr>
        <w:pStyle w:val="40"/>
        <w:rPr>
          <w:rFonts w:ascii="宋体" w:hAnsi="宋体" w:eastAsia="宋体" w:cs="宋体"/>
          <w:sz w:val="21"/>
          <w:szCs w:val="22"/>
        </w:rPr>
      </w:pPr>
      <w:r>
        <w:fldChar w:fldCharType="begin"/>
      </w:r>
      <w:r>
        <w:instrText xml:space="preserve"> HYPERLINK \l "_Toc34895556" </w:instrText>
      </w:r>
      <w:r>
        <w:fldChar w:fldCharType="separate"/>
      </w:r>
      <w:r>
        <w:rPr>
          <w:rStyle w:val="55"/>
          <w:rFonts w:hint="eastAsia" w:ascii="宋体" w:hAnsi="宋体" w:eastAsia="宋体" w:cs="宋体"/>
          <w:color w:val="auto"/>
        </w:rPr>
        <w:t>五    投标文件的提交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_Toc34895556 \h </w:instrText>
      </w:r>
      <w:r>
        <w:rPr>
          <w:rFonts w:hint="eastAsia" w:ascii="宋体" w:hAnsi="宋体" w:eastAsia="宋体" w:cs="宋体"/>
        </w:rPr>
        <w:fldChar w:fldCharType="separate"/>
      </w:r>
      <w:r>
        <w:rPr>
          <w:rFonts w:ascii="宋体" w:hAnsi="宋体" w:eastAsia="宋体" w:cs="宋体"/>
        </w:rPr>
        <w:t>21</w:t>
      </w:r>
      <w:r>
        <w:rPr>
          <w:rFonts w:hint="eastAsia" w:ascii="宋体" w:hAnsi="宋体" w:eastAsia="宋体" w:cs="宋体"/>
        </w:rPr>
        <w:fldChar w:fldCharType="end"/>
      </w:r>
      <w:r>
        <w:rPr>
          <w:rFonts w:hint="eastAsia" w:ascii="宋体" w:hAnsi="宋体" w:eastAsia="宋体" w:cs="宋体"/>
        </w:rPr>
        <w:fldChar w:fldCharType="end"/>
      </w:r>
    </w:p>
    <w:p>
      <w:pPr>
        <w:pStyle w:val="40"/>
        <w:rPr>
          <w:rFonts w:ascii="宋体" w:hAnsi="宋体" w:eastAsia="宋体" w:cs="宋体"/>
          <w:sz w:val="21"/>
          <w:szCs w:val="22"/>
        </w:rPr>
      </w:pPr>
      <w:r>
        <w:fldChar w:fldCharType="begin"/>
      </w:r>
      <w:r>
        <w:instrText xml:space="preserve"> HYPERLINK \l "_Toc34895562" </w:instrText>
      </w:r>
      <w:r>
        <w:fldChar w:fldCharType="separate"/>
      </w:r>
      <w:r>
        <w:rPr>
          <w:rStyle w:val="55"/>
          <w:rFonts w:hint="eastAsia" w:ascii="宋体" w:hAnsi="宋体" w:eastAsia="宋体" w:cs="宋体"/>
          <w:color w:val="auto"/>
        </w:rPr>
        <w:t>六    开标、资格审查、评标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_Toc34895562 \h </w:instrText>
      </w:r>
      <w:r>
        <w:rPr>
          <w:rFonts w:hint="eastAsia" w:ascii="宋体" w:hAnsi="宋体" w:eastAsia="宋体" w:cs="宋体"/>
        </w:rPr>
        <w:fldChar w:fldCharType="separate"/>
      </w:r>
      <w:r>
        <w:rPr>
          <w:rFonts w:ascii="宋体" w:hAnsi="宋体" w:eastAsia="宋体" w:cs="宋体"/>
        </w:rPr>
        <w:t>22</w:t>
      </w:r>
      <w:r>
        <w:rPr>
          <w:rFonts w:hint="eastAsia" w:ascii="宋体" w:hAnsi="宋体" w:eastAsia="宋体" w:cs="宋体"/>
        </w:rPr>
        <w:fldChar w:fldCharType="end"/>
      </w:r>
      <w:r>
        <w:rPr>
          <w:rFonts w:hint="eastAsia" w:ascii="宋体" w:hAnsi="宋体" w:eastAsia="宋体" w:cs="宋体"/>
        </w:rPr>
        <w:fldChar w:fldCharType="end"/>
      </w:r>
    </w:p>
    <w:p>
      <w:pPr>
        <w:pStyle w:val="40"/>
        <w:rPr>
          <w:rFonts w:ascii="宋体" w:hAnsi="宋体" w:eastAsia="宋体" w:cs="宋体"/>
          <w:sz w:val="21"/>
          <w:szCs w:val="22"/>
        </w:rPr>
      </w:pPr>
      <w:r>
        <w:fldChar w:fldCharType="begin"/>
      </w:r>
      <w:r>
        <w:instrText xml:space="preserve"> HYPERLINK \l "_Toc34895569" </w:instrText>
      </w:r>
      <w:r>
        <w:fldChar w:fldCharType="separate"/>
      </w:r>
      <w:r>
        <w:rPr>
          <w:rStyle w:val="55"/>
          <w:rFonts w:hint="eastAsia" w:ascii="宋体" w:hAnsi="宋体" w:eastAsia="宋体" w:cs="宋体"/>
          <w:color w:val="auto"/>
        </w:rPr>
        <w:t>七    投标无效的情形</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_Toc34895569 \h </w:instrText>
      </w:r>
      <w:r>
        <w:rPr>
          <w:rFonts w:hint="eastAsia" w:ascii="宋体" w:hAnsi="宋体" w:eastAsia="宋体" w:cs="宋体"/>
        </w:rPr>
        <w:fldChar w:fldCharType="separate"/>
      </w:r>
      <w:r>
        <w:rPr>
          <w:rFonts w:ascii="宋体" w:hAnsi="宋体" w:eastAsia="宋体" w:cs="宋体"/>
        </w:rPr>
        <w:t>26</w:t>
      </w:r>
      <w:r>
        <w:rPr>
          <w:rFonts w:hint="eastAsia" w:ascii="宋体" w:hAnsi="宋体" w:eastAsia="宋体" w:cs="宋体"/>
        </w:rPr>
        <w:fldChar w:fldCharType="end"/>
      </w:r>
      <w:r>
        <w:rPr>
          <w:rFonts w:hint="eastAsia" w:ascii="宋体" w:hAnsi="宋体" w:eastAsia="宋体" w:cs="宋体"/>
        </w:rPr>
        <w:fldChar w:fldCharType="end"/>
      </w:r>
    </w:p>
    <w:p>
      <w:pPr>
        <w:pStyle w:val="40"/>
        <w:rPr>
          <w:rFonts w:ascii="宋体" w:hAnsi="宋体" w:eastAsia="宋体" w:cs="宋体"/>
          <w:sz w:val="21"/>
          <w:szCs w:val="22"/>
        </w:rPr>
      </w:pPr>
      <w:r>
        <w:fldChar w:fldCharType="begin"/>
      </w:r>
      <w:r>
        <w:instrText xml:space="preserve"> HYPERLINK \l "_Toc34895576" </w:instrText>
      </w:r>
      <w:r>
        <w:fldChar w:fldCharType="separate"/>
      </w:r>
      <w:r>
        <w:rPr>
          <w:rStyle w:val="55"/>
          <w:rFonts w:hint="eastAsia" w:ascii="宋体" w:hAnsi="宋体" w:eastAsia="宋体" w:cs="宋体"/>
          <w:color w:val="auto"/>
        </w:rPr>
        <w:t>八    中标和合同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_Toc34895576 \h </w:instrText>
      </w:r>
      <w:r>
        <w:rPr>
          <w:rFonts w:hint="eastAsia" w:ascii="宋体" w:hAnsi="宋体" w:eastAsia="宋体" w:cs="宋体"/>
        </w:rPr>
        <w:fldChar w:fldCharType="separate"/>
      </w:r>
      <w:r>
        <w:rPr>
          <w:rFonts w:ascii="宋体" w:hAnsi="宋体" w:eastAsia="宋体" w:cs="宋体"/>
        </w:rPr>
        <w:t>28</w:t>
      </w:r>
      <w:r>
        <w:rPr>
          <w:rFonts w:hint="eastAsia" w:ascii="宋体" w:hAnsi="宋体" w:eastAsia="宋体" w:cs="宋体"/>
        </w:rPr>
        <w:fldChar w:fldCharType="end"/>
      </w:r>
      <w:r>
        <w:rPr>
          <w:rFonts w:hint="eastAsia" w:ascii="宋体" w:hAnsi="宋体" w:eastAsia="宋体" w:cs="宋体"/>
        </w:rPr>
        <w:fldChar w:fldCharType="end"/>
      </w:r>
    </w:p>
    <w:p>
      <w:pPr>
        <w:pStyle w:val="40"/>
        <w:rPr>
          <w:rFonts w:ascii="宋体" w:hAnsi="宋体" w:eastAsia="宋体" w:cs="宋体"/>
          <w:sz w:val="21"/>
          <w:szCs w:val="22"/>
        </w:rPr>
      </w:pPr>
      <w:r>
        <w:fldChar w:fldCharType="begin"/>
      </w:r>
      <w:r>
        <w:instrText xml:space="preserve"> HYPERLINK \l "_Toc34895581" </w:instrText>
      </w:r>
      <w:r>
        <w:fldChar w:fldCharType="separate"/>
      </w:r>
      <w:r>
        <w:rPr>
          <w:rStyle w:val="55"/>
          <w:rFonts w:hint="eastAsia" w:ascii="宋体" w:hAnsi="宋体" w:eastAsia="宋体" w:cs="宋体"/>
          <w:color w:val="auto"/>
        </w:rPr>
        <w:t>九    其他事项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_Toc34895581 \h </w:instrText>
      </w:r>
      <w:r>
        <w:rPr>
          <w:rFonts w:hint="eastAsia" w:ascii="宋体" w:hAnsi="宋体" w:eastAsia="宋体" w:cs="宋体"/>
        </w:rPr>
        <w:fldChar w:fldCharType="separate"/>
      </w:r>
      <w:r>
        <w:rPr>
          <w:rFonts w:ascii="宋体" w:hAnsi="宋体" w:eastAsia="宋体" w:cs="宋体"/>
        </w:rPr>
        <w:t>29</w:t>
      </w:r>
      <w:r>
        <w:rPr>
          <w:rFonts w:hint="eastAsia" w:ascii="宋体" w:hAnsi="宋体" w:eastAsia="宋体" w:cs="宋体"/>
        </w:rPr>
        <w:fldChar w:fldCharType="end"/>
      </w:r>
      <w:r>
        <w:rPr>
          <w:rFonts w:hint="eastAsia" w:ascii="宋体" w:hAnsi="宋体" w:eastAsia="宋体" w:cs="宋体"/>
        </w:rPr>
        <w:fldChar w:fldCharType="end"/>
      </w:r>
    </w:p>
    <w:p>
      <w:pPr>
        <w:pStyle w:val="35"/>
        <w:spacing w:line="360" w:lineRule="auto"/>
        <w:rPr>
          <w:rFonts w:ascii="宋体" w:hAnsi="宋体" w:eastAsia="宋体" w:cs="宋体"/>
          <w:b w:val="0"/>
          <w:bCs w:val="0"/>
          <w:caps w:val="0"/>
          <w:sz w:val="21"/>
          <w:szCs w:val="22"/>
        </w:rPr>
      </w:pPr>
      <w:r>
        <w:fldChar w:fldCharType="begin"/>
      </w:r>
      <w:r>
        <w:instrText xml:space="preserve"> HYPERLINK \l "_Toc34895583" </w:instrText>
      </w:r>
      <w:r>
        <w:fldChar w:fldCharType="separate"/>
      </w:r>
      <w:r>
        <w:rPr>
          <w:rStyle w:val="55"/>
          <w:rFonts w:hint="eastAsia" w:ascii="宋体" w:hAnsi="宋体" w:eastAsia="宋体" w:cs="宋体"/>
          <w:color w:val="auto"/>
        </w:rPr>
        <w:t>第四章  合同格式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_Toc34895583 \h </w:instrText>
      </w:r>
      <w:r>
        <w:rPr>
          <w:rFonts w:hint="eastAsia" w:ascii="宋体" w:hAnsi="宋体" w:eastAsia="宋体" w:cs="宋体"/>
        </w:rPr>
        <w:fldChar w:fldCharType="separate"/>
      </w:r>
      <w:r>
        <w:rPr>
          <w:rFonts w:ascii="宋体" w:hAnsi="宋体" w:eastAsia="宋体" w:cs="宋体"/>
        </w:rPr>
        <w:t>30</w:t>
      </w:r>
      <w:r>
        <w:rPr>
          <w:rFonts w:hint="eastAsia" w:ascii="宋体" w:hAnsi="宋体" w:eastAsia="宋体" w:cs="宋体"/>
        </w:rPr>
        <w:fldChar w:fldCharType="end"/>
      </w:r>
      <w:r>
        <w:rPr>
          <w:rFonts w:hint="eastAsia" w:ascii="宋体" w:hAnsi="宋体" w:eastAsia="宋体" w:cs="宋体"/>
        </w:rPr>
        <w:fldChar w:fldCharType="end"/>
      </w:r>
    </w:p>
    <w:p>
      <w:pPr>
        <w:pStyle w:val="35"/>
        <w:spacing w:line="360" w:lineRule="auto"/>
        <w:rPr>
          <w:rFonts w:ascii="宋体" w:hAnsi="宋体" w:eastAsia="宋体" w:cs="宋体"/>
          <w:b w:val="0"/>
          <w:bCs w:val="0"/>
          <w:caps w:val="0"/>
          <w:sz w:val="21"/>
          <w:szCs w:val="22"/>
        </w:rPr>
      </w:pPr>
      <w:r>
        <w:fldChar w:fldCharType="begin"/>
      </w:r>
      <w:r>
        <w:instrText xml:space="preserve"> HYPERLINK \l "_Toc34895584" </w:instrText>
      </w:r>
      <w:r>
        <w:fldChar w:fldCharType="separate"/>
      </w:r>
      <w:r>
        <w:rPr>
          <w:rStyle w:val="55"/>
          <w:rFonts w:hint="eastAsia" w:ascii="宋体" w:hAnsi="宋体" w:eastAsia="宋体" w:cs="宋体"/>
          <w:color w:val="auto"/>
        </w:rPr>
        <w:t>第五章  投标文件格式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_Toc34895584 \h </w:instrText>
      </w:r>
      <w:r>
        <w:rPr>
          <w:rFonts w:hint="eastAsia" w:ascii="宋体" w:hAnsi="宋体" w:eastAsia="宋体" w:cs="宋体"/>
        </w:rPr>
        <w:fldChar w:fldCharType="separate"/>
      </w:r>
      <w:r>
        <w:rPr>
          <w:rFonts w:ascii="宋体" w:hAnsi="宋体" w:eastAsia="宋体" w:cs="宋体"/>
        </w:rPr>
        <w:t>38</w:t>
      </w:r>
      <w:r>
        <w:rPr>
          <w:rFonts w:hint="eastAsia" w:ascii="宋体" w:hAnsi="宋体" w:eastAsia="宋体" w:cs="宋体"/>
        </w:rPr>
        <w:fldChar w:fldCharType="end"/>
      </w:r>
      <w:r>
        <w:rPr>
          <w:rFonts w:hint="eastAsia" w:ascii="宋体" w:hAnsi="宋体" w:eastAsia="宋体" w:cs="宋体"/>
        </w:rPr>
        <w:fldChar w:fldCharType="end"/>
      </w:r>
    </w:p>
    <w:p>
      <w:pPr>
        <w:pStyle w:val="40"/>
        <w:rPr>
          <w:rFonts w:ascii="宋体" w:hAnsi="宋体" w:eastAsia="宋体" w:cs="宋体"/>
          <w:sz w:val="21"/>
          <w:szCs w:val="22"/>
        </w:rPr>
      </w:pPr>
      <w:r>
        <w:fldChar w:fldCharType="begin"/>
      </w:r>
      <w:r>
        <w:instrText xml:space="preserve"> HYPERLINK \l "_Toc34895585" </w:instrText>
      </w:r>
      <w:r>
        <w:fldChar w:fldCharType="separate"/>
      </w:r>
      <w:r>
        <w:rPr>
          <w:rStyle w:val="55"/>
          <w:rFonts w:hint="eastAsia" w:ascii="宋体" w:hAnsi="宋体" w:eastAsia="宋体" w:cs="宋体"/>
          <w:color w:val="auto"/>
        </w:rPr>
        <w:t>一  资格审查文件格式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_Toc34895585 \h </w:instrText>
      </w:r>
      <w:r>
        <w:rPr>
          <w:rFonts w:hint="eastAsia" w:ascii="宋体" w:hAnsi="宋体" w:eastAsia="宋体" w:cs="宋体"/>
        </w:rPr>
        <w:fldChar w:fldCharType="separate"/>
      </w:r>
      <w:r>
        <w:rPr>
          <w:rFonts w:ascii="宋体" w:hAnsi="宋体" w:eastAsia="宋体" w:cs="宋体"/>
        </w:rPr>
        <w:t>38</w:t>
      </w:r>
      <w:r>
        <w:rPr>
          <w:rFonts w:hint="eastAsia" w:ascii="宋体" w:hAnsi="宋体" w:eastAsia="宋体" w:cs="宋体"/>
        </w:rPr>
        <w:fldChar w:fldCharType="end"/>
      </w:r>
      <w:r>
        <w:rPr>
          <w:rFonts w:hint="eastAsia" w:ascii="宋体" w:hAnsi="宋体" w:eastAsia="宋体" w:cs="宋体"/>
        </w:rPr>
        <w:fldChar w:fldCharType="end"/>
      </w:r>
    </w:p>
    <w:p>
      <w:pPr>
        <w:pStyle w:val="40"/>
        <w:rPr>
          <w:rFonts w:ascii="宋体" w:hAnsi="宋体" w:eastAsia="宋体" w:cs="宋体"/>
          <w:sz w:val="21"/>
          <w:szCs w:val="22"/>
        </w:rPr>
      </w:pPr>
      <w:r>
        <w:fldChar w:fldCharType="begin"/>
      </w:r>
      <w:r>
        <w:instrText xml:space="preserve"> HYPERLINK \l "_Toc34895598" </w:instrText>
      </w:r>
      <w:r>
        <w:fldChar w:fldCharType="separate"/>
      </w:r>
      <w:r>
        <w:rPr>
          <w:rStyle w:val="55"/>
          <w:rFonts w:hint="eastAsia" w:ascii="宋体" w:hAnsi="宋体" w:eastAsia="宋体" w:cs="宋体"/>
          <w:color w:val="auto"/>
        </w:rPr>
        <w:t>二  资信商务及技术文件格式</w:t>
      </w:r>
      <w:r>
        <w:rPr>
          <w:rFonts w:hint="eastAsia" w:ascii="宋体" w:hAnsi="宋体" w:eastAsia="宋体" w:cs="宋体"/>
        </w:rPr>
        <w:tab/>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3</w:t>
      </w:r>
    </w:p>
    <w:p>
      <w:pPr>
        <w:pStyle w:val="40"/>
        <w:rPr>
          <w:rFonts w:ascii="宋体" w:hAnsi="宋体" w:eastAsia="宋体" w:cs="宋体"/>
          <w:sz w:val="21"/>
          <w:szCs w:val="22"/>
        </w:rPr>
      </w:pPr>
      <w:r>
        <w:fldChar w:fldCharType="begin"/>
      </w:r>
      <w:r>
        <w:instrText xml:space="preserve"> HYPERLINK \l "_Toc34895616" </w:instrText>
      </w:r>
      <w:r>
        <w:fldChar w:fldCharType="separate"/>
      </w:r>
      <w:r>
        <w:rPr>
          <w:rStyle w:val="55"/>
          <w:rFonts w:hint="eastAsia" w:ascii="宋体" w:hAnsi="宋体" w:eastAsia="宋体" w:cs="宋体"/>
          <w:color w:val="auto"/>
        </w:rPr>
        <w:t>三  报价文件格式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_Toc34895616 \h </w:instrText>
      </w:r>
      <w:r>
        <w:rPr>
          <w:rFonts w:hint="eastAsia" w:ascii="宋体" w:hAnsi="宋体" w:eastAsia="宋体" w:cs="宋体"/>
        </w:rPr>
        <w:fldChar w:fldCharType="separate"/>
      </w:r>
      <w:r>
        <w:rPr>
          <w:rFonts w:ascii="宋体" w:hAnsi="宋体" w:eastAsia="宋体" w:cs="宋体"/>
        </w:rPr>
        <w:t>51</w:t>
      </w:r>
      <w:r>
        <w:rPr>
          <w:rFonts w:hint="eastAsia" w:ascii="宋体" w:hAnsi="宋体" w:eastAsia="宋体" w:cs="宋体"/>
        </w:rPr>
        <w:fldChar w:fldCharType="end"/>
      </w:r>
      <w:r>
        <w:rPr>
          <w:rFonts w:hint="eastAsia" w:ascii="宋体" w:hAnsi="宋体" w:eastAsia="宋体" w:cs="宋体"/>
        </w:rPr>
        <w:fldChar w:fldCharType="end"/>
      </w:r>
    </w:p>
    <w:p>
      <w:pPr>
        <w:pStyle w:val="35"/>
        <w:spacing w:line="360" w:lineRule="auto"/>
        <w:rPr>
          <w:rFonts w:ascii="宋体" w:hAnsi="宋体" w:eastAsia="宋体" w:cs="宋体"/>
          <w:b w:val="0"/>
          <w:bCs w:val="0"/>
          <w:caps w:val="0"/>
          <w:sz w:val="21"/>
          <w:szCs w:val="22"/>
        </w:rPr>
      </w:pPr>
      <w:r>
        <w:fldChar w:fldCharType="begin"/>
      </w:r>
      <w:r>
        <w:instrText xml:space="preserve"> HYPERLINK \l "_Toc34895622" </w:instrText>
      </w:r>
      <w:r>
        <w:fldChar w:fldCharType="separate"/>
      </w:r>
      <w:r>
        <w:rPr>
          <w:rStyle w:val="55"/>
          <w:rFonts w:hint="eastAsia" w:ascii="宋体" w:hAnsi="宋体" w:eastAsia="宋体" w:cs="宋体"/>
          <w:color w:val="auto"/>
        </w:rPr>
        <w:t>第六章  评标办法和评审标准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_Toc34895622 \h </w:instrText>
      </w:r>
      <w:r>
        <w:rPr>
          <w:rFonts w:hint="eastAsia" w:ascii="宋体" w:hAnsi="宋体" w:eastAsia="宋体" w:cs="宋体"/>
        </w:rPr>
        <w:fldChar w:fldCharType="separate"/>
      </w:r>
      <w:r>
        <w:rPr>
          <w:rFonts w:ascii="宋体" w:hAnsi="宋体" w:eastAsia="宋体" w:cs="宋体"/>
        </w:rPr>
        <w:t>55</w:t>
      </w:r>
      <w:r>
        <w:rPr>
          <w:rFonts w:hint="eastAsia" w:ascii="宋体" w:hAnsi="宋体" w:eastAsia="宋体" w:cs="宋体"/>
        </w:rPr>
        <w:fldChar w:fldCharType="end"/>
      </w:r>
      <w:r>
        <w:rPr>
          <w:rFonts w:hint="eastAsia" w:ascii="宋体" w:hAnsi="宋体" w:eastAsia="宋体" w:cs="宋体"/>
        </w:rPr>
        <w:fldChar w:fldCharType="end"/>
      </w:r>
    </w:p>
    <w:p>
      <w:pPr>
        <w:spacing w:line="360" w:lineRule="auto"/>
        <w:rPr>
          <w:rFonts w:ascii="宋体" w:hAnsi="宋体" w:cs="宋体"/>
        </w:rPr>
      </w:pPr>
      <w:r>
        <w:rPr>
          <w:rFonts w:hint="eastAsia" w:ascii="宋体" w:hAnsi="宋体" w:cs="宋体"/>
          <w:sz w:val="24"/>
          <w:szCs w:val="24"/>
        </w:rPr>
        <w:fldChar w:fldCharType="end"/>
      </w:r>
    </w:p>
    <w:bookmarkEnd w:id="6"/>
    <w:p>
      <w:pPr>
        <w:pStyle w:val="2"/>
        <w:spacing w:before="0" w:after="0" w:line="400" w:lineRule="exact"/>
        <w:rPr>
          <w:rFonts w:ascii="宋体" w:hAnsi="宋体" w:eastAsia="宋体" w:cs="宋体"/>
        </w:rPr>
        <w:sectPr>
          <w:headerReference r:id="rId9" w:type="default"/>
          <w:footerReference r:id="rId10" w:type="default"/>
          <w:pgSz w:w="11905" w:h="16838"/>
          <w:pgMar w:top="1440" w:right="1083" w:bottom="1440" w:left="1083" w:header="850" w:footer="850" w:gutter="0"/>
          <w:pgNumType w:start="1"/>
          <w:cols w:space="720" w:num="1"/>
          <w:titlePg/>
          <w:docGrid w:linePitch="312" w:charSpace="0"/>
        </w:sectPr>
      </w:pPr>
    </w:p>
    <w:p>
      <w:pPr>
        <w:pStyle w:val="44"/>
        <w:spacing w:before="0" w:after="0" w:line="360" w:lineRule="auto"/>
        <w:rPr>
          <w:rFonts w:ascii="宋体" w:hAnsi="宋体" w:cs="宋体"/>
          <w:sz w:val="30"/>
          <w:szCs w:val="30"/>
        </w:rPr>
      </w:pPr>
      <w:bookmarkStart w:id="7" w:name="_Toc493956018"/>
      <w:bookmarkStart w:id="8" w:name="_Toc530551804"/>
      <w:bookmarkStart w:id="9" w:name="_Toc34895520"/>
      <w:bookmarkStart w:id="10" w:name="_Toc531358959"/>
      <w:r>
        <w:rPr>
          <w:rFonts w:hint="eastAsia" w:ascii="宋体" w:hAnsi="宋体" w:cs="宋体"/>
          <w:sz w:val="36"/>
          <w:szCs w:val="36"/>
        </w:rPr>
        <w:t xml:space="preserve">第一章  </w:t>
      </w:r>
      <w:bookmarkEnd w:id="7"/>
      <w:r>
        <w:rPr>
          <w:rFonts w:hint="eastAsia" w:ascii="宋体" w:hAnsi="宋体" w:cs="宋体"/>
          <w:sz w:val="36"/>
          <w:szCs w:val="36"/>
        </w:rPr>
        <w:t>采购公告</w:t>
      </w:r>
      <w:bookmarkEnd w:id="8"/>
      <w:bookmarkEnd w:id="9"/>
      <w:bookmarkEnd w:id="10"/>
      <w:bookmarkStart w:id="11" w:name="EBf1e27c6183244f4a8f3fc355defd653e"/>
    </w:p>
    <w:p>
      <w:pPr>
        <w:pBdr>
          <w:top w:val="single" w:color="auto" w:sz="4" w:space="1"/>
          <w:left w:val="single" w:color="auto" w:sz="4" w:space="4"/>
          <w:bottom w:val="single" w:color="auto" w:sz="4" w:space="1"/>
          <w:right w:val="single" w:color="auto" w:sz="4" w:space="3"/>
        </w:pBdr>
        <w:spacing w:line="360" w:lineRule="auto"/>
        <w:ind w:firstLine="480" w:firstLineChars="200"/>
        <w:rPr>
          <w:rFonts w:ascii="宋体" w:hAnsi="宋体" w:cs="宋体"/>
          <w:sz w:val="24"/>
        </w:rPr>
      </w:pPr>
      <w:bookmarkStart w:id="12" w:name="_Toc28359002"/>
      <w:bookmarkStart w:id="13" w:name="_Toc35393790"/>
      <w:bookmarkStart w:id="14" w:name="_Toc28359079"/>
      <w:bookmarkStart w:id="15" w:name="_Toc35393621"/>
      <w:bookmarkStart w:id="16" w:name="_Hlk24379207"/>
      <w:r>
        <w:rPr>
          <w:rFonts w:hint="eastAsia" w:ascii="宋体" w:hAnsi="宋体" w:cs="宋体"/>
          <w:sz w:val="24"/>
        </w:rPr>
        <w:t>项目概况：</w:t>
      </w:r>
    </w:p>
    <w:p>
      <w:pPr>
        <w:pBdr>
          <w:top w:val="single" w:color="auto" w:sz="4" w:space="1"/>
          <w:left w:val="single" w:color="auto" w:sz="4" w:space="4"/>
          <w:bottom w:val="single" w:color="auto" w:sz="4" w:space="1"/>
          <w:right w:val="single" w:color="auto" w:sz="4" w:space="3"/>
        </w:pBdr>
        <w:spacing w:line="360" w:lineRule="auto"/>
        <w:ind w:firstLine="482" w:firstLineChars="200"/>
        <w:rPr>
          <w:rFonts w:ascii="宋体" w:hAnsi="宋体" w:cs="宋体"/>
          <w:sz w:val="24"/>
        </w:rPr>
      </w:pPr>
      <w:r>
        <w:rPr>
          <w:rFonts w:hint="eastAsia" w:ascii="宋体" w:hAnsi="宋体" w:cs="宋体"/>
          <w:b/>
          <w:bCs/>
          <w:sz w:val="24"/>
          <w:u w:val="single"/>
        </w:rPr>
        <w:t>缙云县建筑固废物综合利用项目劳务外包采购</w:t>
      </w:r>
      <w:r>
        <w:rPr>
          <w:rFonts w:hint="eastAsia" w:ascii="宋体" w:hAnsi="宋体" w:cs="宋体"/>
          <w:sz w:val="24"/>
        </w:rPr>
        <w:t>的潜在供应商应在乐采云（www.lecaiyun.com）、获取（下载）采购文件，并于2026年</w:t>
      </w:r>
      <w:r>
        <w:rPr>
          <w:rFonts w:hint="eastAsia" w:ascii="宋体" w:hAnsi="宋体" w:cs="宋体"/>
          <w:sz w:val="24"/>
          <w:lang w:val="en-US" w:eastAsia="zh-CN"/>
        </w:rPr>
        <w:t>4</w:t>
      </w:r>
      <w:r>
        <w:rPr>
          <w:rFonts w:hint="eastAsia" w:ascii="宋体" w:hAnsi="宋体" w:cs="宋体"/>
          <w:sz w:val="24"/>
        </w:rPr>
        <w:t>月</w:t>
      </w:r>
      <w:r>
        <w:rPr>
          <w:rFonts w:hint="eastAsia" w:ascii="宋体" w:hAnsi="宋体" w:cs="宋体"/>
          <w:sz w:val="24"/>
          <w:lang w:val="en-US" w:eastAsia="zh-CN"/>
        </w:rPr>
        <w:t>10</w:t>
      </w:r>
      <w:r>
        <w:rPr>
          <w:rFonts w:hint="eastAsia" w:ascii="宋体" w:hAnsi="宋体" w:cs="宋体"/>
          <w:sz w:val="24"/>
        </w:rPr>
        <w:t>日9:00（北京时间）前提交（上传）响应文件。</w:t>
      </w:r>
    </w:p>
    <w:p>
      <w:pPr>
        <w:spacing w:line="360" w:lineRule="auto"/>
        <w:jc w:val="left"/>
        <w:rPr>
          <w:rFonts w:ascii="宋体" w:hAnsi="宋体" w:cs="宋体"/>
          <w:b/>
          <w:sz w:val="24"/>
        </w:rPr>
      </w:pPr>
      <w:r>
        <w:rPr>
          <w:rFonts w:hint="eastAsia" w:ascii="宋体" w:hAnsi="宋体" w:cs="宋体"/>
          <w:b/>
          <w:sz w:val="24"/>
        </w:rPr>
        <w:t>一、项目基本情况</w:t>
      </w:r>
      <w:bookmarkEnd w:id="12"/>
      <w:bookmarkEnd w:id="13"/>
      <w:bookmarkEnd w:id="14"/>
      <w:bookmarkEnd w:id="15"/>
    </w:p>
    <w:bookmarkEnd w:id="16"/>
    <w:p>
      <w:pPr>
        <w:spacing w:line="360" w:lineRule="auto"/>
        <w:ind w:firstLine="480" w:firstLineChars="200"/>
        <w:rPr>
          <w:rFonts w:ascii="宋体" w:hAnsi="宋体" w:cs="宋体"/>
          <w:sz w:val="24"/>
        </w:rPr>
      </w:pPr>
      <w:r>
        <w:rPr>
          <w:rFonts w:hint="eastAsia" w:ascii="宋体" w:hAnsi="宋体" w:cs="宋体"/>
          <w:sz w:val="24"/>
        </w:rPr>
        <w:t>项目编号：环宇采招2026-09号</w:t>
      </w:r>
    </w:p>
    <w:p>
      <w:pPr>
        <w:spacing w:line="360" w:lineRule="auto"/>
        <w:ind w:firstLine="436" w:firstLineChars="200"/>
        <w:rPr>
          <w:rFonts w:ascii="宋体" w:hAnsi="宋体" w:cs="宋体"/>
          <w:sz w:val="24"/>
        </w:rPr>
      </w:pPr>
      <w:r>
        <w:rPr>
          <w:rFonts w:hint="eastAsia" w:ascii="宋体" w:hAnsi="宋体" w:cs="宋体"/>
          <w:spacing w:val="-11"/>
          <w:sz w:val="24"/>
        </w:rPr>
        <w:t>项目名称：</w:t>
      </w:r>
      <w:r>
        <w:rPr>
          <w:rFonts w:hint="eastAsia" w:ascii="宋体" w:hAnsi="宋体" w:cs="宋体"/>
          <w:sz w:val="24"/>
        </w:rPr>
        <w:t>缙云县建筑固废物综合利用项目劳务外包采购</w:t>
      </w:r>
    </w:p>
    <w:p>
      <w:pPr>
        <w:spacing w:line="360" w:lineRule="auto"/>
        <w:ind w:firstLine="480" w:firstLineChars="200"/>
        <w:rPr>
          <w:rFonts w:ascii="宋体" w:hAnsi="宋体" w:cs="宋体"/>
          <w:sz w:val="24"/>
        </w:rPr>
      </w:pPr>
      <w:r>
        <w:rPr>
          <w:rFonts w:hint="eastAsia" w:ascii="宋体" w:hAnsi="宋体" w:cs="宋体"/>
          <w:sz w:val="24"/>
        </w:rPr>
        <w:t>采购方式：公开招标</w:t>
      </w:r>
    </w:p>
    <w:p>
      <w:pPr>
        <w:spacing w:line="360" w:lineRule="auto"/>
        <w:ind w:firstLine="480" w:firstLineChars="200"/>
        <w:rPr>
          <w:rFonts w:ascii="宋体" w:hAnsi="宋体" w:cs="宋体"/>
          <w:sz w:val="24"/>
        </w:rPr>
      </w:pPr>
      <w:r>
        <w:rPr>
          <w:rFonts w:hint="eastAsia" w:ascii="宋体" w:hAnsi="宋体" w:cs="宋体"/>
          <w:sz w:val="24"/>
        </w:rPr>
        <w:t>采购需求：见采购文件第二章</w:t>
      </w:r>
    </w:p>
    <w:p>
      <w:pPr>
        <w:spacing w:line="360" w:lineRule="auto"/>
        <w:ind w:firstLine="480" w:firstLineChars="200"/>
        <w:rPr>
          <w:rFonts w:ascii="宋体" w:hAnsi="宋体" w:cs="宋体"/>
          <w:sz w:val="24"/>
        </w:rPr>
      </w:pPr>
      <w:r>
        <w:rPr>
          <w:rFonts w:hint="eastAsia" w:ascii="宋体" w:hAnsi="宋体" w:cs="宋体"/>
          <w:sz w:val="24"/>
        </w:rPr>
        <w:t>数量：1</w:t>
      </w:r>
    </w:p>
    <w:p>
      <w:pPr>
        <w:spacing w:line="360" w:lineRule="auto"/>
        <w:ind w:firstLine="480" w:firstLineChars="200"/>
        <w:rPr>
          <w:rFonts w:ascii="宋体" w:hAnsi="宋体" w:cs="宋体"/>
          <w:sz w:val="24"/>
        </w:rPr>
      </w:pPr>
      <w:r>
        <w:rPr>
          <w:rFonts w:hint="eastAsia" w:ascii="宋体" w:hAnsi="宋体" w:cs="宋体"/>
          <w:sz w:val="24"/>
        </w:rPr>
        <w:t>单位：项</w:t>
      </w:r>
    </w:p>
    <w:p>
      <w:pPr>
        <w:spacing w:line="360" w:lineRule="auto"/>
        <w:ind w:firstLine="480" w:firstLineChars="200"/>
        <w:rPr>
          <w:rFonts w:ascii="宋体" w:hAnsi="宋体" w:cs="宋体"/>
          <w:sz w:val="24"/>
        </w:rPr>
      </w:pPr>
      <w:r>
        <w:rPr>
          <w:rFonts w:hint="eastAsia" w:ascii="宋体" w:hAnsi="宋体" w:cs="宋体"/>
          <w:sz w:val="24"/>
        </w:rPr>
        <w:t>预算金额：5670万元</w:t>
      </w:r>
    </w:p>
    <w:p>
      <w:pPr>
        <w:spacing w:line="360" w:lineRule="auto"/>
        <w:ind w:firstLine="480" w:firstLineChars="200"/>
        <w:rPr>
          <w:rFonts w:ascii="宋体" w:hAnsi="宋体" w:cs="宋体"/>
          <w:sz w:val="24"/>
        </w:rPr>
      </w:pPr>
      <w:r>
        <w:rPr>
          <w:rFonts w:hint="eastAsia" w:ascii="宋体" w:hAnsi="宋体" w:cs="宋体"/>
          <w:sz w:val="24"/>
        </w:rPr>
        <w:t>最高限价：5670万元</w:t>
      </w:r>
    </w:p>
    <w:p>
      <w:pPr>
        <w:spacing w:line="360" w:lineRule="auto"/>
        <w:ind w:firstLine="480" w:firstLineChars="200"/>
        <w:rPr>
          <w:rFonts w:ascii="宋体" w:hAnsi="宋体" w:cs="宋体"/>
          <w:sz w:val="24"/>
        </w:rPr>
      </w:pPr>
      <w:r>
        <w:rPr>
          <w:rFonts w:hint="eastAsia" w:ascii="宋体" w:hAnsi="宋体" w:cs="宋体"/>
          <w:sz w:val="24"/>
        </w:rPr>
        <w:t>简要规格描述：见采购文件第二章</w:t>
      </w:r>
    </w:p>
    <w:tbl>
      <w:tblPr>
        <w:tblStyle w:val="48"/>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194"/>
        <w:gridCol w:w="1245"/>
        <w:gridCol w:w="819"/>
        <w:gridCol w:w="1305"/>
        <w:gridCol w:w="1329"/>
        <w:gridCol w:w="1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70" w:type="dxa"/>
            <w:noWrap/>
            <w:vAlign w:val="center"/>
          </w:tcPr>
          <w:p>
            <w:pPr>
              <w:spacing w:line="360" w:lineRule="auto"/>
              <w:jc w:val="center"/>
              <w:rPr>
                <w:rFonts w:ascii="宋体" w:hAnsi="宋体" w:cs="宋体"/>
                <w:b/>
                <w:sz w:val="24"/>
                <w:szCs w:val="24"/>
              </w:rPr>
            </w:pPr>
            <w:r>
              <w:rPr>
                <w:rFonts w:hint="eastAsia" w:ascii="宋体" w:hAnsi="宋体" w:cs="宋体"/>
                <w:b/>
                <w:sz w:val="24"/>
                <w:szCs w:val="24"/>
              </w:rPr>
              <w:t>序号</w:t>
            </w:r>
          </w:p>
        </w:tc>
        <w:tc>
          <w:tcPr>
            <w:tcW w:w="2194" w:type="dxa"/>
            <w:noWrap/>
            <w:vAlign w:val="center"/>
          </w:tcPr>
          <w:p>
            <w:pPr>
              <w:spacing w:line="360" w:lineRule="auto"/>
              <w:jc w:val="center"/>
              <w:rPr>
                <w:rFonts w:ascii="宋体" w:hAnsi="宋体" w:cs="宋体"/>
                <w:b/>
                <w:sz w:val="24"/>
                <w:szCs w:val="24"/>
              </w:rPr>
            </w:pPr>
            <w:r>
              <w:rPr>
                <w:rFonts w:hint="eastAsia" w:ascii="宋体" w:hAnsi="宋体" w:cs="宋体"/>
                <w:b/>
                <w:sz w:val="24"/>
                <w:szCs w:val="24"/>
              </w:rPr>
              <w:t>采购内容</w:t>
            </w:r>
          </w:p>
        </w:tc>
        <w:tc>
          <w:tcPr>
            <w:tcW w:w="1245" w:type="dxa"/>
            <w:vAlign w:val="center"/>
          </w:tcPr>
          <w:p>
            <w:pPr>
              <w:spacing w:line="360" w:lineRule="auto"/>
              <w:jc w:val="center"/>
              <w:rPr>
                <w:rFonts w:ascii="宋体" w:hAnsi="宋体" w:cs="宋体"/>
                <w:b/>
                <w:kern w:val="0"/>
                <w:sz w:val="24"/>
                <w:szCs w:val="24"/>
              </w:rPr>
            </w:pPr>
            <w:r>
              <w:rPr>
                <w:rFonts w:hint="eastAsia" w:ascii="宋体" w:hAnsi="宋体" w:cs="宋体"/>
                <w:b/>
                <w:kern w:val="0"/>
                <w:sz w:val="24"/>
                <w:szCs w:val="24"/>
              </w:rPr>
              <w:t>数量</w:t>
            </w:r>
          </w:p>
          <w:p>
            <w:pPr>
              <w:spacing w:line="360" w:lineRule="auto"/>
              <w:jc w:val="center"/>
              <w:rPr>
                <w:rFonts w:ascii="宋体" w:hAnsi="宋体" w:cs="宋体"/>
                <w:b/>
                <w:sz w:val="24"/>
                <w:szCs w:val="24"/>
              </w:rPr>
            </w:pPr>
            <w:r>
              <w:rPr>
                <w:rFonts w:hint="eastAsia" w:ascii="宋体" w:hAnsi="宋体" w:cs="宋体"/>
                <w:b/>
                <w:kern w:val="0"/>
                <w:sz w:val="24"/>
                <w:szCs w:val="24"/>
              </w:rPr>
              <w:t>（暂估）</w:t>
            </w:r>
          </w:p>
        </w:tc>
        <w:tc>
          <w:tcPr>
            <w:tcW w:w="819" w:type="dxa"/>
            <w:vAlign w:val="center"/>
          </w:tcPr>
          <w:p>
            <w:pPr>
              <w:spacing w:line="360" w:lineRule="auto"/>
              <w:jc w:val="center"/>
              <w:rPr>
                <w:rFonts w:ascii="宋体" w:hAnsi="宋体" w:cs="宋体"/>
                <w:sz w:val="24"/>
                <w:szCs w:val="24"/>
              </w:rPr>
            </w:pPr>
            <w:r>
              <w:rPr>
                <w:rFonts w:hint="eastAsia" w:ascii="宋体" w:hAnsi="宋体" w:cs="宋体"/>
                <w:b/>
                <w:bCs/>
                <w:sz w:val="24"/>
                <w:szCs w:val="24"/>
              </w:rPr>
              <w:t>单位</w:t>
            </w:r>
          </w:p>
        </w:tc>
        <w:tc>
          <w:tcPr>
            <w:tcW w:w="1305" w:type="dxa"/>
            <w:vAlign w:val="center"/>
          </w:tcPr>
          <w:p>
            <w:pPr>
              <w:pStyle w:val="297"/>
              <w:spacing w:before="50" w:line="360" w:lineRule="auto"/>
              <w:jc w:val="center"/>
              <w:rPr>
                <w:rFonts w:ascii="宋体" w:hAnsi="宋体" w:cs="宋体"/>
                <w:b/>
                <w:sz w:val="24"/>
                <w:szCs w:val="24"/>
              </w:rPr>
            </w:pPr>
            <w:r>
              <w:rPr>
                <w:b/>
                <w:bCs/>
                <w:spacing w:val="-6"/>
                <w:sz w:val="24"/>
                <w:szCs w:val="24"/>
              </w:rPr>
              <w:t>▲最高单</w:t>
            </w:r>
            <w:r>
              <w:rPr>
                <w:b/>
                <w:bCs/>
                <w:spacing w:val="-5"/>
                <w:sz w:val="24"/>
                <w:szCs w:val="24"/>
              </w:rPr>
              <w:t>价限价</w:t>
            </w:r>
          </w:p>
        </w:tc>
        <w:tc>
          <w:tcPr>
            <w:tcW w:w="1329" w:type="dxa"/>
            <w:vAlign w:val="center"/>
          </w:tcPr>
          <w:p>
            <w:pPr>
              <w:widowControl/>
              <w:spacing w:line="360" w:lineRule="auto"/>
              <w:jc w:val="center"/>
              <w:rPr>
                <w:rFonts w:ascii="宋体" w:hAnsi="宋体" w:cs="宋体"/>
                <w:b/>
                <w:kern w:val="0"/>
                <w:sz w:val="24"/>
                <w:szCs w:val="24"/>
              </w:rPr>
            </w:pPr>
            <w:r>
              <w:rPr>
                <w:rFonts w:hint="eastAsia" w:ascii="宋体" w:hAnsi="宋体" w:cs="宋体"/>
                <w:b/>
                <w:kern w:val="0"/>
                <w:sz w:val="24"/>
                <w:szCs w:val="24"/>
              </w:rPr>
              <w:t>最高限价（元)</w:t>
            </w:r>
          </w:p>
        </w:tc>
        <w:tc>
          <w:tcPr>
            <w:tcW w:w="1868" w:type="dxa"/>
            <w:vAlign w:val="center"/>
          </w:tcPr>
          <w:p>
            <w:pPr>
              <w:widowControl/>
              <w:spacing w:line="360" w:lineRule="auto"/>
              <w:jc w:val="center"/>
              <w:rPr>
                <w:rFonts w:ascii="宋体" w:hAnsi="宋体" w:cs="宋体"/>
                <w:b/>
                <w:kern w:val="0"/>
                <w:sz w:val="24"/>
                <w:szCs w:val="24"/>
              </w:rPr>
            </w:pPr>
            <w:r>
              <w:rPr>
                <w:rFonts w:hint="eastAsia" w:ascii="宋体" w:hAnsi="宋体" w:cs="宋体"/>
                <w:b/>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0" w:type="dxa"/>
            <w:noWrap/>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1</w:t>
            </w:r>
          </w:p>
        </w:tc>
        <w:tc>
          <w:tcPr>
            <w:tcW w:w="2194" w:type="dxa"/>
            <w:noWrap/>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建筑垃圾筛分服务</w:t>
            </w:r>
          </w:p>
        </w:tc>
        <w:tc>
          <w:tcPr>
            <w:tcW w:w="1245" w:type="dxa"/>
            <w:vAlign w:val="center"/>
          </w:tcPr>
          <w:p>
            <w:pPr>
              <w:spacing w:line="360" w:lineRule="auto"/>
              <w:jc w:val="center"/>
              <w:rPr>
                <w:rFonts w:ascii="宋体" w:hAnsi="宋体" w:cs="宋体"/>
                <w:sz w:val="24"/>
                <w:szCs w:val="24"/>
              </w:rPr>
            </w:pPr>
            <w:r>
              <w:rPr>
                <w:rFonts w:hint="eastAsia" w:ascii="宋体" w:hAnsi="宋体" w:cs="宋体"/>
                <w:sz w:val="24"/>
                <w:szCs w:val="24"/>
              </w:rPr>
              <w:t>30万</w:t>
            </w:r>
          </w:p>
        </w:tc>
        <w:tc>
          <w:tcPr>
            <w:tcW w:w="819" w:type="dxa"/>
            <w:vAlign w:val="center"/>
          </w:tcPr>
          <w:p>
            <w:pPr>
              <w:spacing w:line="360" w:lineRule="auto"/>
              <w:jc w:val="center"/>
              <w:rPr>
                <w:rFonts w:ascii="宋体" w:hAnsi="宋体" w:cs="宋体"/>
                <w:sz w:val="24"/>
                <w:szCs w:val="24"/>
              </w:rPr>
            </w:pPr>
            <w:r>
              <w:rPr>
                <w:rFonts w:hint="eastAsia" w:ascii="宋体" w:hAnsi="宋体" w:cs="宋体"/>
                <w:sz w:val="24"/>
                <w:szCs w:val="24"/>
              </w:rPr>
              <w:t>吨</w:t>
            </w:r>
          </w:p>
        </w:tc>
        <w:tc>
          <w:tcPr>
            <w:tcW w:w="1305" w:type="dxa"/>
            <w:vAlign w:val="center"/>
          </w:tcPr>
          <w:p>
            <w:pPr>
              <w:spacing w:line="360" w:lineRule="auto"/>
              <w:jc w:val="center"/>
              <w:rPr>
                <w:rFonts w:ascii="宋体" w:hAnsi="宋体" w:cs="宋体"/>
                <w:sz w:val="24"/>
                <w:szCs w:val="24"/>
              </w:rPr>
            </w:pPr>
            <w:r>
              <w:rPr>
                <w:rFonts w:hint="eastAsia" w:ascii="宋体" w:hAnsi="宋体" w:cs="宋体"/>
                <w:sz w:val="24"/>
                <w:szCs w:val="24"/>
              </w:rPr>
              <w:t>23元/吨</w:t>
            </w:r>
          </w:p>
        </w:tc>
        <w:tc>
          <w:tcPr>
            <w:tcW w:w="1329" w:type="dxa"/>
            <w:vAlign w:val="center"/>
          </w:tcPr>
          <w:p>
            <w:pPr>
              <w:spacing w:line="360" w:lineRule="auto"/>
              <w:jc w:val="center"/>
              <w:rPr>
                <w:rFonts w:ascii="宋体" w:hAnsi="宋体" w:cs="宋体"/>
                <w:sz w:val="24"/>
                <w:szCs w:val="24"/>
              </w:rPr>
            </w:pPr>
            <w:r>
              <w:rPr>
                <w:rFonts w:hint="eastAsia" w:ascii="宋体" w:hAnsi="宋体" w:cs="宋体"/>
                <w:sz w:val="24"/>
                <w:szCs w:val="24"/>
              </w:rPr>
              <w:t>660万元</w:t>
            </w:r>
          </w:p>
        </w:tc>
        <w:tc>
          <w:tcPr>
            <w:tcW w:w="1868" w:type="dxa"/>
            <w:vMerge w:val="restart"/>
            <w:vAlign w:val="center"/>
          </w:tcPr>
          <w:p>
            <w:pPr>
              <w:spacing w:line="360" w:lineRule="auto"/>
              <w:jc w:val="center"/>
              <w:rPr>
                <w:rFonts w:ascii="宋体" w:hAnsi="宋体" w:cs="宋体"/>
                <w:sz w:val="24"/>
                <w:szCs w:val="24"/>
              </w:rPr>
            </w:pPr>
            <w:r>
              <w:rPr>
                <w:rFonts w:hint="eastAsia" w:ascii="宋体" w:hAnsi="宋体" w:cs="宋体"/>
                <w:sz w:val="24"/>
                <w:szCs w:val="24"/>
              </w:rPr>
              <w:t>供应商报价不得超过最高单价限价或最高限价，否则作无效标处理。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0" w:type="dxa"/>
            <w:noWrap/>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2</w:t>
            </w:r>
          </w:p>
        </w:tc>
        <w:tc>
          <w:tcPr>
            <w:tcW w:w="2194" w:type="dxa"/>
            <w:noWrap/>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骨料加工服务（无需整形）</w:t>
            </w:r>
          </w:p>
        </w:tc>
        <w:tc>
          <w:tcPr>
            <w:tcW w:w="1245" w:type="dxa"/>
            <w:vAlign w:val="center"/>
          </w:tcPr>
          <w:p>
            <w:pPr>
              <w:spacing w:line="360" w:lineRule="auto"/>
              <w:jc w:val="center"/>
              <w:rPr>
                <w:rFonts w:ascii="宋体" w:hAnsi="宋体" w:cs="宋体"/>
                <w:sz w:val="24"/>
                <w:szCs w:val="24"/>
              </w:rPr>
            </w:pPr>
            <w:r>
              <w:rPr>
                <w:rFonts w:hint="eastAsia" w:ascii="宋体" w:hAnsi="宋体" w:cs="宋体"/>
                <w:sz w:val="24"/>
                <w:szCs w:val="24"/>
              </w:rPr>
              <w:t>180万</w:t>
            </w:r>
          </w:p>
        </w:tc>
        <w:tc>
          <w:tcPr>
            <w:tcW w:w="819" w:type="dxa"/>
            <w:vAlign w:val="center"/>
          </w:tcPr>
          <w:p>
            <w:pPr>
              <w:pStyle w:val="44"/>
              <w:jc w:val="center"/>
            </w:pPr>
            <w:r>
              <w:rPr>
                <w:rFonts w:hint="eastAsia"/>
                <w:b w:val="0"/>
                <w:bCs w:val="0"/>
                <w:sz w:val="24"/>
                <w:szCs w:val="24"/>
              </w:rPr>
              <w:t>吨</w:t>
            </w:r>
          </w:p>
        </w:tc>
        <w:tc>
          <w:tcPr>
            <w:tcW w:w="1305" w:type="dxa"/>
            <w:vAlign w:val="center"/>
          </w:tcPr>
          <w:p>
            <w:pPr>
              <w:spacing w:line="360" w:lineRule="auto"/>
              <w:jc w:val="center"/>
              <w:rPr>
                <w:rFonts w:ascii="宋体" w:hAnsi="宋体" w:cs="宋体"/>
                <w:sz w:val="24"/>
                <w:szCs w:val="24"/>
              </w:rPr>
            </w:pPr>
            <w:r>
              <w:rPr>
                <w:rFonts w:hint="eastAsia" w:ascii="宋体" w:hAnsi="宋体" w:cs="宋体"/>
                <w:sz w:val="24"/>
                <w:szCs w:val="24"/>
              </w:rPr>
              <w:t>15.5元/吨</w:t>
            </w:r>
          </w:p>
        </w:tc>
        <w:tc>
          <w:tcPr>
            <w:tcW w:w="1329" w:type="dxa"/>
            <w:vAlign w:val="center"/>
          </w:tcPr>
          <w:p>
            <w:pPr>
              <w:spacing w:line="360" w:lineRule="auto"/>
              <w:jc w:val="center"/>
              <w:rPr>
                <w:rFonts w:ascii="宋体" w:hAnsi="宋体" w:cs="宋体"/>
                <w:sz w:val="24"/>
                <w:szCs w:val="24"/>
              </w:rPr>
            </w:pPr>
            <w:r>
              <w:rPr>
                <w:rFonts w:hint="eastAsia" w:ascii="宋体" w:hAnsi="宋体" w:cs="宋体"/>
                <w:sz w:val="24"/>
                <w:szCs w:val="24"/>
              </w:rPr>
              <w:t>2790万元</w:t>
            </w:r>
          </w:p>
        </w:tc>
        <w:tc>
          <w:tcPr>
            <w:tcW w:w="1868" w:type="dxa"/>
            <w:vMerge w:val="continue"/>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70" w:type="dxa"/>
            <w:noWrap/>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3</w:t>
            </w:r>
          </w:p>
        </w:tc>
        <w:tc>
          <w:tcPr>
            <w:tcW w:w="2194" w:type="dxa"/>
            <w:noWrap/>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骨料加工服务（需整形）</w:t>
            </w:r>
          </w:p>
        </w:tc>
        <w:tc>
          <w:tcPr>
            <w:tcW w:w="1245" w:type="dxa"/>
            <w:vAlign w:val="center"/>
          </w:tcPr>
          <w:p>
            <w:pPr>
              <w:spacing w:line="360" w:lineRule="auto"/>
              <w:jc w:val="center"/>
              <w:rPr>
                <w:rFonts w:ascii="宋体" w:hAnsi="宋体" w:cs="宋体"/>
                <w:sz w:val="24"/>
                <w:szCs w:val="24"/>
              </w:rPr>
            </w:pPr>
            <w:r>
              <w:rPr>
                <w:rFonts w:hint="eastAsia" w:ascii="宋体" w:hAnsi="宋体" w:cs="宋体"/>
                <w:sz w:val="24"/>
                <w:szCs w:val="24"/>
              </w:rPr>
              <w:t>120万</w:t>
            </w:r>
          </w:p>
        </w:tc>
        <w:tc>
          <w:tcPr>
            <w:tcW w:w="819" w:type="dxa"/>
            <w:vAlign w:val="center"/>
          </w:tcPr>
          <w:p>
            <w:pPr>
              <w:spacing w:line="360" w:lineRule="auto"/>
              <w:jc w:val="center"/>
              <w:rPr>
                <w:rFonts w:ascii="宋体" w:hAnsi="宋体" w:cs="宋体"/>
                <w:sz w:val="24"/>
                <w:szCs w:val="24"/>
              </w:rPr>
            </w:pPr>
            <w:r>
              <w:rPr>
                <w:rFonts w:hint="eastAsia" w:ascii="宋体" w:hAnsi="宋体" w:cs="宋体"/>
                <w:sz w:val="24"/>
                <w:szCs w:val="24"/>
              </w:rPr>
              <w:t>吨</w:t>
            </w:r>
          </w:p>
        </w:tc>
        <w:tc>
          <w:tcPr>
            <w:tcW w:w="1305" w:type="dxa"/>
            <w:vAlign w:val="center"/>
          </w:tcPr>
          <w:p>
            <w:pPr>
              <w:spacing w:line="360" w:lineRule="auto"/>
              <w:jc w:val="center"/>
              <w:rPr>
                <w:rFonts w:ascii="宋体" w:hAnsi="宋体" w:cs="宋体"/>
                <w:sz w:val="24"/>
                <w:szCs w:val="24"/>
              </w:rPr>
            </w:pPr>
            <w:r>
              <w:rPr>
                <w:rFonts w:hint="eastAsia" w:ascii="宋体" w:hAnsi="宋体" w:cs="宋体"/>
                <w:sz w:val="24"/>
                <w:szCs w:val="24"/>
              </w:rPr>
              <w:t>18.5元/吨</w:t>
            </w:r>
          </w:p>
        </w:tc>
        <w:tc>
          <w:tcPr>
            <w:tcW w:w="1329" w:type="dxa"/>
            <w:vAlign w:val="center"/>
          </w:tcPr>
          <w:p>
            <w:pPr>
              <w:spacing w:line="360" w:lineRule="auto"/>
              <w:jc w:val="center"/>
              <w:rPr>
                <w:rFonts w:ascii="宋体" w:hAnsi="宋体" w:cs="宋体"/>
                <w:sz w:val="24"/>
                <w:szCs w:val="24"/>
              </w:rPr>
            </w:pPr>
            <w:r>
              <w:rPr>
                <w:rFonts w:hint="eastAsia" w:ascii="宋体" w:hAnsi="宋体" w:cs="宋体"/>
                <w:sz w:val="24"/>
                <w:szCs w:val="24"/>
              </w:rPr>
              <w:t>2220万元</w:t>
            </w:r>
          </w:p>
        </w:tc>
        <w:tc>
          <w:tcPr>
            <w:tcW w:w="1868" w:type="dxa"/>
            <w:vMerge w:val="continue"/>
            <w:vAlign w:val="center"/>
          </w:tcPr>
          <w:p>
            <w:pPr>
              <w:spacing w:line="360" w:lineRule="auto"/>
              <w:jc w:val="center"/>
              <w:rPr>
                <w:rFonts w:ascii="宋体" w:hAnsi="宋体" w:cs="宋体"/>
                <w:sz w:val="24"/>
                <w:szCs w:val="24"/>
              </w:rPr>
            </w:pPr>
          </w:p>
        </w:tc>
      </w:tr>
    </w:tbl>
    <w:p>
      <w:pPr>
        <w:spacing w:line="360" w:lineRule="auto"/>
        <w:ind w:firstLine="480" w:firstLineChars="200"/>
        <w:rPr>
          <w:rFonts w:ascii="宋体" w:hAnsi="宋体" w:cs="宋体"/>
          <w:sz w:val="24"/>
          <w:szCs w:val="24"/>
        </w:rPr>
      </w:pPr>
      <w:r>
        <w:rPr>
          <w:rFonts w:hint="eastAsia" w:ascii="宋体" w:hAnsi="宋体" w:cs="宋体"/>
          <w:sz w:val="24"/>
        </w:rPr>
        <w:t>合同履行期限：见采购文件第二章</w:t>
      </w:r>
    </w:p>
    <w:p>
      <w:pPr>
        <w:snapToGrid w:val="0"/>
        <w:spacing w:line="360" w:lineRule="auto"/>
        <w:rPr>
          <w:rFonts w:ascii="宋体" w:hAnsi="宋体" w:cs="宋体"/>
          <w:b/>
          <w:sz w:val="24"/>
          <w:szCs w:val="24"/>
        </w:rPr>
      </w:pPr>
      <w:r>
        <w:rPr>
          <w:rFonts w:hint="eastAsia" w:ascii="宋体" w:hAnsi="宋体" w:cs="宋体"/>
          <w:b/>
          <w:sz w:val="24"/>
          <w:szCs w:val="24"/>
        </w:rPr>
        <w:t>二、供应商资格要求：</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1、供应商须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法律、行政法规规定的其他条件；</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2、未被“信用中国”（www.creditchina.gov.cn）、中国政府采购网（www.ccgp.gov.cn）列入失信被执行人、重大税收违法案件当事人名单、政府采购严重违法失信行为记录名单。</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rPr>
        <w:t>3、本项目的特定资格要求：供应商需自身具备</w:t>
      </w:r>
      <w:r>
        <w:rPr>
          <w:rFonts w:hint="eastAsia" w:ascii="宋体" w:hAnsi="宋体" w:cs="宋体"/>
          <w:color w:val="auto"/>
          <w:sz w:val="24"/>
          <w:lang w:eastAsia="zh-CN"/>
        </w:rPr>
        <w:t>城市</w:t>
      </w:r>
      <w:r>
        <w:rPr>
          <w:rFonts w:hint="eastAsia" w:ascii="宋体" w:hAnsi="宋体" w:cs="宋体"/>
          <w:color w:val="auto"/>
          <w:sz w:val="24"/>
        </w:rPr>
        <w:t>建筑固废</w:t>
      </w:r>
      <w:r>
        <w:rPr>
          <w:rFonts w:hint="eastAsia" w:ascii="宋体" w:hAnsi="宋体" w:cs="宋体"/>
          <w:color w:val="auto"/>
          <w:sz w:val="24"/>
          <w:lang w:eastAsia="zh-CN"/>
        </w:rPr>
        <w:t>处置</w:t>
      </w:r>
      <w:r>
        <w:rPr>
          <w:rFonts w:hint="eastAsia" w:ascii="宋体" w:hAnsi="宋体" w:cs="宋体"/>
          <w:color w:val="auto"/>
          <w:sz w:val="24"/>
        </w:rPr>
        <w:t>性企业，且具有履行合同所必需的经验、设备和能力</w:t>
      </w:r>
      <w:r>
        <w:rPr>
          <w:rFonts w:hint="eastAsia" w:ascii="宋体" w:hAnsi="宋体" w:cs="宋体"/>
          <w:color w:val="auto"/>
          <w:sz w:val="24"/>
          <w:szCs w:val="24"/>
        </w:rPr>
        <w:t>。</w:t>
      </w:r>
    </w:p>
    <w:p>
      <w:pPr>
        <w:spacing w:line="360" w:lineRule="auto"/>
        <w:ind w:firstLine="480" w:firstLineChars="200"/>
        <w:rPr>
          <w:rFonts w:ascii="宋体" w:hAnsi="宋体" w:cs="宋体"/>
          <w:b/>
          <w:sz w:val="24"/>
          <w:szCs w:val="24"/>
        </w:rPr>
      </w:pPr>
      <w:r>
        <w:rPr>
          <w:rFonts w:hint="eastAsia" w:ascii="宋体" w:hAnsi="宋体" w:cs="宋体"/>
          <w:sz w:val="24"/>
          <w:szCs w:val="24"/>
        </w:rPr>
        <w:t>4.本项目</w:t>
      </w:r>
      <w:r>
        <w:rPr>
          <w:rFonts w:hint="eastAsia" w:ascii="宋体" w:hAnsi="宋体" w:cs="宋体"/>
          <w:sz w:val="24"/>
          <w:szCs w:val="24"/>
          <w:u w:val="single"/>
        </w:rPr>
        <w:t xml:space="preserve"> 否 </w:t>
      </w:r>
      <w:r>
        <w:rPr>
          <w:rFonts w:hint="eastAsia" w:ascii="宋体" w:hAnsi="宋体" w:cs="宋体"/>
          <w:sz w:val="24"/>
          <w:szCs w:val="24"/>
        </w:rPr>
        <w:t>接受联合体投标。</w:t>
      </w:r>
    </w:p>
    <w:p>
      <w:pPr>
        <w:snapToGrid w:val="0"/>
        <w:spacing w:line="360" w:lineRule="auto"/>
        <w:rPr>
          <w:rFonts w:ascii="宋体" w:hAnsi="宋体" w:cs="宋体"/>
          <w:b/>
          <w:sz w:val="24"/>
          <w:szCs w:val="24"/>
        </w:rPr>
      </w:pPr>
      <w:r>
        <w:rPr>
          <w:rFonts w:hint="eastAsia" w:ascii="宋体" w:hAnsi="宋体" w:cs="宋体"/>
          <w:b/>
          <w:sz w:val="24"/>
          <w:szCs w:val="24"/>
        </w:rPr>
        <w:t>三、招标文件获取：</w:t>
      </w:r>
    </w:p>
    <w:p>
      <w:pPr>
        <w:pStyle w:val="43"/>
        <w:snapToGrid w:val="0"/>
        <w:spacing w:before="75" w:beforeAutospacing="0" w:after="75" w:afterAutospacing="0" w:line="360" w:lineRule="auto"/>
        <w:ind w:firstLine="480" w:firstLineChars="200"/>
        <w:rPr>
          <w:rFonts w:cs="宋体"/>
          <w:kern w:val="2"/>
          <w:szCs w:val="24"/>
        </w:rPr>
      </w:pPr>
      <w:r>
        <w:rPr>
          <w:rFonts w:hint="eastAsia" w:cs="宋体"/>
          <w:kern w:val="2"/>
          <w:szCs w:val="24"/>
        </w:rPr>
        <w:t>1.时间：采购文件发布之日至2026年</w:t>
      </w:r>
      <w:r>
        <w:rPr>
          <w:rFonts w:hint="eastAsia" w:cs="宋体"/>
          <w:kern w:val="2"/>
          <w:szCs w:val="24"/>
          <w:lang w:val="en-US" w:eastAsia="zh-CN"/>
        </w:rPr>
        <w:t>4</w:t>
      </w:r>
      <w:r>
        <w:rPr>
          <w:rFonts w:hint="eastAsia" w:cs="宋体"/>
          <w:kern w:val="2"/>
          <w:szCs w:val="24"/>
        </w:rPr>
        <w:t>月</w:t>
      </w:r>
      <w:r>
        <w:rPr>
          <w:rFonts w:hint="eastAsia" w:cs="宋体"/>
          <w:kern w:val="2"/>
          <w:szCs w:val="24"/>
          <w:lang w:val="en-US" w:eastAsia="zh-CN"/>
        </w:rPr>
        <w:t>9</w:t>
      </w:r>
      <w:r>
        <w:rPr>
          <w:rFonts w:hint="eastAsia" w:cs="宋体"/>
          <w:kern w:val="2"/>
          <w:szCs w:val="24"/>
        </w:rPr>
        <w:t>日，每天上午00:00至12:00，下午12:00至23:59（北京时间，线上获取法定节假日均可，线下获取文件法定节假日除外）。</w:t>
      </w:r>
    </w:p>
    <w:p>
      <w:pPr>
        <w:pStyle w:val="43"/>
        <w:widowControl w:val="0"/>
        <w:spacing w:before="75" w:beforeAutospacing="0" w:after="75" w:afterAutospacing="0" w:line="360" w:lineRule="auto"/>
        <w:ind w:firstLine="480" w:firstLineChars="200"/>
        <w:rPr>
          <w:rFonts w:cs="宋体"/>
          <w:kern w:val="2"/>
          <w:szCs w:val="24"/>
        </w:rPr>
      </w:pPr>
      <w:r>
        <w:rPr>
          <w:rFonts w:hint="eastAsia" w:cs="宋体"/>
          <w:kern w:val="2"/>
          <w:szCs w:val="24"/>
        </w:rPr>
        <w:t>2.地点（网址）：乐采云（www.lecaiyun.com），公告附件。 </w:t>
      </w:r>
    </w:p>
    <w:p>
      <w:pPr>
        <w:pStyle w:val="43"/>
        <w:snapToGrid w:val="0"/>
        <w:spacing w:before="75" w:beforeAutospacing="0" w:after="75" w:afterAutospacing="0" w:line="360" w:lineRule="auto"/>
        <w:ind w:firstLine="480" w:firstLineChars="200"/>
        <w:rPr>
          <w:rFonts w:cs="宋体"/>
          <w:kern w:val="2"/>
          <w:szCs w:val="24"/>
        </w:rPr>
      </w:pPr>
      <w:r>
        <w:rPr>
          <w:rFonts w:hint="eastAsia" w:cs="宋体"/>
          <w:kern w:val="2"/>
          <w:szCs w:val="24"/>
        </w:rPr>
        <w:t>3.方式：供应商登录乐采云（www.lecaiyun.com）在线申请获取采购文件（进入“项目采购”应用，在获取采购文件菜单中选择项目，申请获取采购文件）。</w:t>
      </w:r>
    </w:p>
    <w:p>
      <w:pPr>
        <w:snapToGrid w:val="0"/>
        <w:spacing w:line="360" w:lineRule="auto"/>
        <w:ind w:firstLine="510"/>
        <w:rPr>
          <w:rFonts w:ascii="宋体" w:hAnsi="宋体" w:cs="宋体"/>
          <w:sz w:val="24"/>
          <w:szCs w:val="24"/>
        </w:rPr>
      </w:pPr>
      <w:r>
        <w:rPr>
          <w:rFonts w:hint="eastAsia" w:ascii="宋体" w:hAnsi="宋体" w:cs="宋体"/>
          <w:sz w:val="24"/>
          <w:szCs w:val="24"/>
        </w:rPr>
        <w:t>5.售价（元）：0。</w:t>
      </w:r>
    </w:p>
    <w:p>
      <w:pPr>
        <w:snapToGrid w:val="0"/>
        <w:spacing w:line="360" w:lineRule="auto"/>
        <w:rPr>
          <w:rFonts w:ascii="宋体" w:hAnsi="宋体" w:cs="宋体"/>
          <w:sz w:val="24"/>
          <w:szCs w:val="24"/>
        </w:rPr>
      </w:pPr>
      <w:r>
        <w:rPr>
          <w:rFonts w:hint="eastAsia" w:ascii="宋体" w:hAnsi="宋体" w:cs="宋体"/>
          <w:b/>
          <w:sz w:val="24"/>
          <w:szCs w:val="24"/>
        </w:rPr>
        <w:t>四、公告期限：</w:t>
      </w:r>
      <w:r>
        <w:rPr>
          <w:rFonts w:hint="eastAsia" w:ascii="宋体" w:hAnsi="宋体" w:cs="宋体"/>
          <w:sz w:val="24"/>
          <w:szCs w:val="24"/>
        </w:rPr>
        <w:t>本项目公告期限为5个工作日</w:t>
      </w:r>
    </w:p>
    <w:p>
      <w:pPr>
        <w:snapToGrid w:val="0"/>
        <w:spacing w:line="360" w:lineRule="auto"/>
        <w:rPr>
          <w:rFonts w:ascii="宋体" w:hAnsi="宋体" w:cs="宋体"/>
          <w:sz w:val="24"/>
          <w:szCs w:val="24"/>
        </w:rPr>
      </w:pPr>
      <w:r>
        <w:rPr>
          <w:rFonts w:hint="eastAsia" w:ascii="宋体" w:hAnsi="宋体" w:cs="宋体"/>
          <w:b/>
          <w:sz w:val="24"/>
          <w:szCs w:val="24"/>
        </w:rPr>
        <w:t>五、投标截止时间：</w:t>
      </w:r>
      <w:r>
        <w:rPr>
          <w:rFonts w:hint="eastAsia" w:ascii="宋体" w:hAnsi="宋体" w:cs="宋体"/>
          <w:bCs/>
          <w:sz w:val="24"/>
          <w:szCs w:val="24"/>
        </w:rPr>
        <w:t>2026年</w:t>
      </w:r>
      <w:r>
        <w:rPr>
          <w:rFonts w:hint="eastAsia" w:ascii="宋体" w:hAnsi="宋体" w:cs="宋体"/>
          <w:bCs/>
          <w:sz w:val="24"/>
          <w:szCs w:val="24"/>
          <w:lang w:val="en-US" w:eastAsia="zh-CN"/>
        </w:rPr>
        <w:t>4</w:t>
      </w:r>
      <w:r>
        <w:rPr>
          <w:rFonts w:hint="eastAsia" w:ascii="宋体" w:hAnsi="宋体" w:cs="宋体"/>
          <w:bCs/>
          <w:sz w:val="24"/>
          <w:szCs w:val="24"/>
        </w:rPr>
        <w:t>月</w:t>
      </w:r>
      <w:r>
        <w:rPr>
          <w:rFonts w:hint="eastAsia" w:ascii="宋体" w:hAnsi="宋体" w:cs="宋体"/>
          <w:bCs/>
          <w:sz w:val="24"/>
          <w:szCs w:val="24"/>
          <w:lang w:val="en-US" w:eastAsia="zh-CN"/>
        </w:rPr>
        <w:t>10</w:t>
      </w:r>
      <w:r>
        <w:rPr>
          <w:rFonts w:hint="eastAsia" w:ascii="宋体" w:hAnsi="宋体" w:cs="宋体"/>
          <w:bCs/>
          <w:sz w:val="24"/>
          <w:szCs w:val="24"/>
        </w:rPr>
        <w:t>日9时00分（北京时间）</w:t>
      </w:r>
    </w:p>
    <w:p>
      <w:pPr>
        <w:snapToGrid w:val="0"/>
        <w:spacing w:line="360" w:lineRule="auto"/>
        <w:rPr>
          <w:rFonts w:ascii="宋体" w:hAnsi="宋体" w:cs="宋体"/>
          <w:b/>
          <w:sz w:val="24"/>
          <w:szCs w:val="24"/>
        </w:rPr>
      </w:pPr>
      <w:r>
        <w:rPr>
          <w:rFonts w:hint="eastAsia" w:ascii="宋体" w:hAnsi="宋体" w:cs="宋体"/>
          <w:b/>
          <w:sz w:val="24"/>
          <w:szCs w:val="24"/>
        </w:rPr>
        <w:t>六、投标文件提交地点：</w:t>
      </w:r>
    </w:p>
    <w:p>
      <w:pPr>
        <w:wordWrap w:val="0"/>
        <w:snapToGrid w:val="0"/>
        <w:spacing w:line="360" w:lineRule="auto"/>
        <w:ind w:firstLine="510"/>
        <w:rPr>
          <w:rFonts w:ascii="宋体" w:hAnsi="宋体" w:cs="宋体"/>
          <w:bCs/>
          <w:sz w:val="24"/>
          <w:szCs w:val="24"/>
        </w:rPr>
      </w:pPr>
      <w:r>
        <w:rPr>
          <w:rFonts w:hint="eastAsia" w:ascii="宋体" w:hAnsi="宋体" w:cs="宋体"/>
          <w:bCs/>
          <w:sz w:val="24"/>
          <w:szCs w:val="24"/>
        </w:rPr>
        <w:t>截止时间：2026年</w:t>
      </w:r>
      <w:r>
        <w:rPr>
          <w:rFonts w:hint="eastAsia" w:ascii="宋体" w:hAnsi="宋体" w:cs="宋体"/>
          <w:bCs/>
          <w:sz w:val="24"/>
          <w:szCs w:val="24"/>
          <w:lang w:val="en-US" w:eastAsia="zh-CN"/>
        </w:rPr>
        <w:t>4</w:t>
      </w:r>
      <w:r>
        <w:rPr>
          <w:rFonts w:hint="eastAsia" w:ascii="宋体" w:hAnsi="宋体" w:cs="宋体"/>
          <w:bCs/>
          <w:sz w:val="24"/>
          <w:szCs w:val="24"/>
        </w:rPr>
        <w:t>月</w:t>
      </w:r>
      <w:r>
        <w:rPr>
          <w:rFonts w:hint="eastAsia" w:ascii="宋体" w:hAnsi="宋体" w:cs="宋体"/>
          <w:bCs/>
          <w:sz w:val="24"/>
          <w:szCs w:val="24"/>
          <w:lang w:val="en-US" w:eastAsia="zh-CN"/>
        </w:rPr>
        <w:t>10</w:t>
      </w:r>
      <w:r>
        <w:rPr>
          <w:rFonts w:hint="eastAsia" w:ascii="宋体" w:hAnsi="宋体" w:cs="宋体"/>
          <w:bCs/>
          <w:sz w:val="24"/>
          <w:szCs w:val="24"/>
        </w:rPr>
        <w:t>日9：00 时前（北京时间）</w:t>
      </w:r>
    </w:p>
    <w:p>
      <w:pPr>
        <w:wordWrap w:val="0"/>
        <w:snapToGrid w:val="0"/>
        <w:spacing w:line="360" w:lineRule="auto"/>
        <w:ind w:firstLine="510"/>
        <w:rPr>
          <w:rFonts w:ascii="宋体" w:hAnsi="宋体" w:cs="宋体"/>
          <w:bCs/>
          <w:sz w:val="24"/>
          <w:szCs w:val="24"/>
        </w:rPr>
      </w:pPr>
      <w:r>
        <w:rPr>
          <w:rFonts w:hint="eastAsia" w:ascii="宋体" w:hAnsi="宋体" w:cs="宋体"/>
          <w:bCs/>
          <w:sz w:val="24"/>
          <w:szCs w:val="24"/>
        </w:rPr>
        <w:t>地点 （网址）：乐采云（www.lecaiyun.com）。本项目实行电子招投标，供应商须在响应文件提交截止时间前，前往乐采云平台上传电子响应文件，无需到达现场提交响应文件。</w:t>
      </w:r>
    </w:p>
    <w:p>
      <w:pPr>
        <w:snapToGrid w:val="0"/>
        <w:spacing w:line="360" w:lineRule="auto"/>
        <w:rPr>
          <w:rFonts w:ascii="宋体" w:hAnsi="宋体" w:cs="宋体"/>
          <w:sz w:val="24"/>
          <w:szCs w:val="24"/>
        </w:rPr>
      </w:pPr>
      <w:r>
        <w:rPr>
          <w:rFonts w:hint="eastAsia" w:ascii="宋体" w:hAnsi="宋体" w:cs="宋体"/>
          <w:b/>
          <w:sz w:val="24"/>
          <w:szCs w:val="24"/>
        </w:rPr>
        <w:t>七、开标时间：</w:t>
      </w:r>
      <w:r>
        <w:rPr>
          <w:rFonts w:hint="eastAsia" w:ascii="宋体" w:hAnsi="宋体" w:cs="宋体"/>
          <w:bCs/>
          <w:sz w:val="24"/>
          <w:szCs w:val="24"/>
        </w:rPr>
        <w:t>2026年</w:t>
      </w:r>
      <w:r>
        <w:rPr>
          <w:rFonts w:hint="eastAsia" w:ascii="宋体" w:hAnsi="宋体" w:cs="宋体"/>
          <w:bCs/>
          <w:sz w:val="24"/>
          <w:szCs w:val="24"/>
          <w:lang w:val="en-US" w:eastAsia="zh-CN"/>
        </w:rPr>
        <w:t>4</w:t>
      </w:r>
      <w:r>
        <w:rPr>
          <w:rFonts w:hint="eastAsia" w:ascii="宋体" w:hAnsi="宋体" w:cs="宋体"/>
          <w:bCs/>
          <w:sz w:val="24"/>
          <w:szCs w:val="24"/>
        </w:rPr>
        <w:t>月</w:t>
      </w:r>
      <w:r>
        <w:rPr>
          <w:rFonts w:hint="eastAsia" w:ascii="宋体" w:hAnsi="宋体" w:cs="宋体"/>
          <w:bCs/>
          <w:sz w:val="24"/>
          <w:szCs w:val="24"/>
          <w:lang w:val="en-US" w:eastAsia="zh-CN"/>
        </w:rPr>
        <w:t>10</w:t>
      </w:r>
      <w:r>
        <w:rPr>
          <w:rFonts w:hint="eastAsia" w:ascii="宋体" w:hAnsi="宋体" w:cs="宋体"/>
          <w:bCs/>
          <w:sz w:val="24"/>
          <w:szCs w:val="24"/>
        </w:rPr>
        <w:t>日9时00分（北京时间）</w:t>
      </w:r>
    </w:p>
    <w:p>
      <w:pPr>
        <w:snapToGrid w:val="0"/>
        <w:spacing w:line="360" w:lineRule="auto"/>
        <w:rPr>
          <w:rFonts w:ascii="宋体" w:hAnsi="宋体" w:cs="宋体"/>
          <w:sz w:val="24"/>
          <w:szCs w:val="24"/>
        </w:rPr>
      </w:pPr>
      <w:r>
        <w:rPr>
          <w:rFonts w:hint="eastAsia" w:ascii="宋体" w:hAnsi="宋体" w:cs="宋体"/>
          <w:b/>
          <w:sz w:val="24"/>
          <w:szCs w:val="24"/>
        </w:rPr>
        <w:t>八、开标地点：</w:t>
      </w:r>
      <w:r>
        <w:rPr>
          <w:rFonts w:hint="eastAsia" w:ascii="宋体" w:hAnsi="宋体" w:cs="宋体"/>
          <w:spacing w:val="2"/>
          <w:sz w:val="24"/>
          <w:szCs w:val="24"/>
        </w:rPr>
        <w:t>缙云县新区黄龙路48号广电大楼六楼开标室三</w:t>
      </w:r>
      <w:r>
        <w:rPr>
          <w:rFonts w:hint="eastAsia" w:ascii="宋体" w:hAnsi="宋体" w:cs="宋体"/>
          <w:sz w:val="24"/>
          <w:szCs w:val="24"/>
        </w:rPr>
        <w:t>。</w:t>
      </w:r>
    </w:p>
    <w:p>
      <w:pPr>
        <w:snapToGrid w:val="0"/>
        <w:spacing w:line="360" w:lineRule="auto"/>
        <w:rPr>
          <w:rFonts w:ascii="宋体" w:hAnsi="宋体" w:cs="宋体"/>
          <w:b/>
          <w:sz w:val="24"/>
          <w:szCs w:val="24"/>
        </w:rPr>
      </w:pPr>
      <w:r>
        <w:rPr>
          <w:rFonts w:hint="eastAsia" w:ascii="宋体" w:hAnsi="宋体" w:cs="宋体"/>
          <w:b/>
          <w:sz w:val="24"/>
          <w:szCs w:val="24"/>
        </w:rPr>
        <w:t>九、在线投标响应（电子投标）说明</w:t>
      </w:r>
    </w:p>
    <w:p>
      <w:pPr>
        <w:snapToGrid w:val="0"/>
        <w:spacing w:line="360" w:lineRule="auto"/>
        <w:ind w:firstLine="510"/>
        <w:rPr>
          <w:rFonts w:ascii="宋体" w:hAnsi="宋体" w:cs="宋体"/>
          <w:bCs/>
          <w:sz w:val="24"/>
        </w:rPr>
      </w:pPr>
      <w:r>
        <w:rPr>
          <w:rFonts w:hint="eastAsia" w:ascii="宋体" w:hAnsi="宋体" w:cs="宋体"/>
          <w:bCs/>
          <w:sz w:val="24"/>
        </w:rPr>
        <w:t>1. 本项目实行电子投标，应按照本项目招标文件和乐采云平台的要求编制；供应商在使用系统进行投标的过程中遇到涉及平台使用的任何问题，可致电乐采云平台技术支持热线咨询。</w:t>
      </w:r>
    </w:p>
    <w:p>
      <w:pPr>
        <w:wordWrap w:val="0"/>
        <w:snapToGrid w:val="0"/>
        <w:spacing w:line="360" w:lineRule="auto"/>
        <w:ind w:firstLine="510"/>
        <w:rPr>
          <w:rFonts w:ascii="宋体" w:hAnsi="宋体" w:cs="宋体"/>
          <w:b/>
          <w:sz w:val="24"/>
          <w:szCs w:val="24"/>
        </w:rPr>
      </w:pPr>
      <w:r>
        <w:rPr>
          <w:rFonts w:hint="eastAsia" w:ascii="宋体" w:hAnsi="宋体" w:cs="宋体"/>
          <w:bCs/>
          <w:sz w:val="24"/>
        </w:rPr>
        <w:t>2. 本项目通过乐采云平台进行开标、资格审查、评审、询标，供应商均应当准时在线参加，否则产生的风险由供应商自行承担（供应商务必不要离开电脑太久，并留意手机短信，建议供应商提前做好检查“乐采云平台”内，关于“项目采购”的岗位权限是否勾选。</w:t>
      </w:r>
    </w:p>
    <w:p>
      <w:pPr>
        <w:snapToGrid w:val="0"/>
        <w:spacing w:line="360" w:lineRule="auto"/>
        <w:rPr>
          <w:rFonts w:ascii="宋体" w:hAnsi="宋体" w:cs="宋体"/>
          <w:b/>
          <w:sz w:val="24"/>
          <w:szCs w:val="24"/>
        </w:rPr>
      </w:pPr>
      <w:r>
        <w:rPr>
          <w:rFonts w:hint="eastAsia" w:ascii="宋体" w:hAnsi="宋体" w:cs="宋体"/>
          <w:b/>
          <w:sz w:val="24"/>
          <w:szCs w:val="24"/>
        </w:rPr>
        <w:t>十、其他事项：</w:t>
      </w:r>
    </w:p>
    <w:p>
      <w:pPr>
        <w:snapToGrid w:val="0"/>
        <w:spacing w:line="360" w:lineRule="auto"/>
        <w:ind w:firstLine="510"/>
        <w:rPr>
          <w:rFonts w:ascii="宋体" w:hAnsi="宋体" w:cs="宋体"/>
          <w:sz w:val="24"/>
          <w:szCs w:val="24"/>
        </w:rPr>
      </w:pPr>
      <w:r>
        <w:rPr>
          <w:rFonts w:hint="eastAsia" w:ascii="宋体" w:hAnsi="宋体" w:cs="宋体"/>
          <w:sz w:val="24"/>
          <w:szCs w:val="24"/>
        </w:rPr>
        <w:t>供应商认为招标文件使自己的权益受到损害的，可以自收到招标文件之日（发售截止日之后收到招标文件的，以发售截止日为准）或者招标文件公告期限届满之日（招标公告为公告发布后的第6个工作日）起7个工作日内，以书面形式向采购人或采购代理机构提出质疑。</w:t>
      </w:r>
    </w:p>
    <w:p>
      <w:pPr>
        <w:tabs>
          <w:tab w:val="left" w:pos="540"/>
        </w:tabs>
        <w:snapToGrid w:val="0"/>
        <w:spacing w:line="360" w:lineRule="auto"/>
        <w:rPr>
          <w:rFonts w:ascii="宋体" w:hAnsi="宋体" w:cs="宋体"/>
          <w:b/>
          <w:sz w:val="24"/>
          <w:szCs w:val="24"/>
        </w:rPr>
      </w:pPr>
      <w:r>
        <w:rPr>
          <w:rFonts w:hint="eastAsia" w:ascii="宋体" w:hAnsi="宋体" w:cs="宋体"/>
          <w:b/>
          <w:sz w:val="24"/>
          <w:szCs w:val="24"/>
        </w:rPr>
        <w:t>十一、联系方式</w:t>
      </w:r>
    </w:p>
    <w:p>
      <w:pPr>
        <w:snapToGrid w:val="0"/>
        <w:spacing w:line="360" w:lineRule="auto"/>
        <w:ind w:firstLine="510"/>
        <w:rPr>
          <w:rFonts w:ascii="宋体" w:hAnsi="宋体" w:cs="宋体"/>
          <w:sz w:val="24"/>
          <w:szCs w:val="24"/>
        </w:rPr>
      </w:pPr>
      <w:r>
        <w:rPr>
          <w:rFonts w:hint="eastAsia" w:ascii="宋体" w:hAnsi="宋体" w:cs="宋体"/>
          <w:sz w:val="24"/>
          <w:szCs w:val="24"/>
        </w:rPr>
        <w:t>1. 采购代理机构名称：浙江环德轩宇项目管理咨询有限公司</w:t>
      </w:r>
    </w:p>
    <w:p>
      <w:pPr>
        <w:snapToGrid w:val="0"/>
        <w:spacing w:line="360" w:lineRule="auto"/>
        <w:ind w:firstLine="510"/>
        <w:rPr>
          <w:rFonts w:ascii="宋体" w:hAnsi="宋体" w:cs="宋体"/>
          <w:sz w:val="24"/>
          <w:szCs w:val="24"/>
        </w:rPr>
      </w:pPr>
      <w:r>
        <w:rPr>
          <w:rFonts w:hint="eastAsia" w:ascii="宋体" w:hAnsi="宋体" w:cs="宋体"/>
          <w:sz w:val="24"/>
          <w:szCs w:val="24"/>
        </w:rPr>
        <w:t>项目负责人：江敏杰    联系电话：0578-3316398</w:t>
      </w:r>
    </w:p>
    <w:p>
      <w:pPr>
        <w:snapToGrid w:val="0"/>
        <w:spacing w:line="360" w:lineRule="auto"/>
        <w:ind w:firstLine="510"/>
        <w:rPr>
          <w:rFonts w:ascii="宋体" w:hAnsi="宋体" w:cs="宋体"/>
        </w:rPr>
      </w:pPr>
      <w:r>
        <w:rPr>
          <w:rFonts w:hint="eastAsia" w:ascii="宋体" w:hAnsi="宋体" w:cs="宋体"/>
          <w:sz w:val="24"/>
          <w:szCs w:val="24"/>
        </w:rPr>
        <w:t>质疑联系人：李开放    联系电话：0578-3316398</w:t>
      </w:r>
    </w:p>
    <w:p>
      <w:pPr>
        <w:snapToGrid w:val="0"/>
        <w:spacing w:line="360" w:lineRule="auto"/>
        <w:ind w:firstLine="510"/>
        <w:rPr>
          <w:rFonts w:ascii="宋体" w:hAnsi="宋体" w:cs="宋体"/>
          <w:sz w:val="24"/>
          <w:szCs w:val="24"/>
        </w:rPr>
      </w:pPr>
      <w:r>
        <w:rPr>
          <w:rFonts w:hint="eastAsia" w:ascii="宋体" w:hAnsi="宋体" w:cs="宋体"/>
          <w:sz w:val="24"/>
          <w:szCs w:val="24"/>
        </w:rPr>
        <w:t>地址：</w:t>
      </w:r>
      <w:r>
        <w:rPr>
          <w:rFonts w:hint="eastAsia" w:ascii="宋体" w:hAnsi="宋体" w:cs="宋体"/>
          <w:spacing w:val="2"/>
          <w:sz w:val="24"/>
          <w:szCs w:val="24"/>
        </w:rPr>
        <w:t>缙云县五云街道旭山路405号</w:t>
      </w:r>
    </w:p>
    <w:p>
      <w:pPr>
        <w:snapToGrid w:val="0"/>
        <w:spacing w:line="360" w:lineRule="auto"/>
        <w:ind w:firstLine="510"/>
        <w:rPr>
          <w:rFonts w:ascii="宋体" w:hAnsi="宋体" w:cs="宋体"/>
          <w:sz w:val="24"/>
          <w:szCs w:val="24"/>
        </w:rPr>
      </w:pPr>
      <w:r>
        <w:rPr>
          <w:rFonts w:hint="eastAsia" w:ascii="宋体" w:hAnsi="宋体" w:cs="宋体"/>
          <w:sz w:val="24"/>
          <w:szCs w:val="24"/>
        </w:rPr>
        <w:t xml:space="preserve">2. 采购人名称：缙云县城投市政建设有限公司 </w:t>
      </w:r>
    </w:p>
    <w:p>
      <w:pPr>
        <w:snapToGrid w:val="0"/>
        <w:spacing w:line="360" w:lineRule="auto"/>
        <w:ind w:firstLine="510"/>
        <w:rPr>
          <w:rFonts w:ascii="宋体" w:hAnsi="宋体" w:cs="宋体"/>
          <w:sz w:val="24"/>
          <w:szCs w:val="24"/>
        </w:rPr>
      </w:pPr>
      <w:r>
        <w:rPr>
          <w:rFonts w:hint="eastAsia" w:ascii="宋体" w:hAnsi="宋体" w:cs="宋体"/>
          <w:sz w:val="24"/>
        </w:rPr>
        <w:t xml:space="preserve">联系人：胡先生          联系电话：13967069559   </w:t>
      </w:r>
    </w:p>
    <w:bookmarkEnd w:id="11"/>
    <w:p>
      <w:pPr>
        <w:spacing w:line="360" w:lineRule="auto"/>
        <w:ind w:right="30" w:firstLine="420"/>
        <w:rPr>
          <w:rFonts w:ascii="宋体" w:hAnsi="宋体" w:cs="宋体"/>
          <w:sz w:val="24"/>
        </w:rPr>
      </w:pPr>
      <w:bookmarkStart w:id="17" w:name="_Toc530551805"/>
      <w:bookmarkStart w:id="18" w:name="_Toc493956019"/>
      <w:bookmarkStart w:id="19" w:name="_Toc531358960"/>
      <w:r>
        <w:rPr>
          <w:rFonts w:hint="eastAsia" w:ascii="宋体" w:hAnsi="宋体" w:cs="宋体"/>
          <w:sz w:val="24"/>
        </w:rPr>
        <w:t>地址：浙江省丽水市缙云县五云街道鼎湖南路168号</w:t>
      </w:r>
    </w:p>
    <w:p>
      <w:pPr>
        <w:pStyle w:val="44"/>
        <w:spacing w:before="0" w:after="0" w:line="360" w:lineRule="auto"/>
        <w:rPr>
          <w:rFonts w:ascii="宋体" w:hAnsi="宋体" w:cs="宋体"/>
          <w:sz w:val="24"/>
        </w:rPr>
      </w:pPr>
      <w:r>
        <w:rPr>
          <w:rFonts w:hint="eastAsia" w:ascii="宋体" w:hAnsi="宋体" w:cs="宋体"/>
          <w:sz w:val="24"/>
        </w:rPr>
        <w:t xml:space="preserve">                                           </w:t>
      </w:r>
      <w:bookmarkStart w:id="20" w:name="_Toc34895521"/>
    </w:p>
    <w:p>
      <w:pPr>
        <w:rPr>
          <w:rFonts w:ascii="宋体" w:hAnsi="宋体" w:cs="宋体"/>
          <w:sz w:val="36"/>
          <w:szCs w:val="36"/>
        </w:rPr>
      </w:pPr>
      <w:r>
        <w:rPr>
          <w:rFonts w:hint="eastAsia" w:ascii="宋体" w:hAnsi="宋体" w:cs="宋体"/>
          <w:sz w:val="36"/>
          <w:szCs w:val="36"/>
        </w:rPr>
        <w:br w:type="page"/>
      </w:r>
    </w:p>
    <w:p>
      <w:pPr>
        <w:pStyle w:val="44"/>
        <w:spacing w:before="0" w:after="0" w:line="360" w:lineRule="auto"/>
        <w:rPr>
          <w:rFonts w:ascii="宋体" w:hAnsi="宋体" w:cs="宋体"/>
          <w:sz w:val="36"/>
          <w:szCs w:val="36"/>
        </w:rPr>
      </w:pPr>
      <w:r>
        <w:rPr>
          <w:rFonts w:hint="eastAsia" w:ascii="宋体" w:hAnsi="宋体" w:cs="宋体"/>
          <w:sz w:val="36"/>
          <w:szCs w:val="36"/>
        </w:rPr>
        <w:t>第二章  招标需求</w:t>
      </w:r>
      <w:bookmarkEnd w:id="17"/>
      <w:bookmarkEnd w:id="18"/>
      <w:bookmarkEnd w:id="19"/>
      <w:bookmarkEnd w:id="20"/>
      <w:bookmarkStart w:id="21" w:name="_Toc409683143"/>
    </w:p>
    <w:p>
      <w:pPr>
        <w:numPr>
          <w:ilvl w:val="0"/>
          <w:numId w:val="2"/>
        </w:numPr>
        <w:spacing w:line="360" w:lineRule="auto"/>
        <w:ind w:firstLine="482" w:firstLineChars="200"/>
        <w:rPr>
          <w:rFonts w:ascii="宋体" w:hAnsi="宋体" w:cs="宋体"/>
          <w:b/>
          <w:bCs/>
          <w:kern w:val="0"/>
          <w:sz w:val="24"/>
          <w:szCs w:val="24"/>
        </w:rPr>
      </w:pPr>
      <w:bookmarkStart w:id="22" w:name="_Toc493956031"/>
      <w:bookmarkStart w:id="23" w:name="_Toc530551819"/>
      <w:bookmarkStart w:id="24" w:name="_Toc531358974"/>
      <w:bookmarkStart w:id="25" w:name="_Toc34895522"/>
      <w:r>
        <w:rPr>
          <w:rFonts w:hint="eastAsia" w:ascii="宋体" w:hAnsi="宋体" w:cs="宋体"/>
          <w:b/>
          <w:bCs/>
          <w:kern w:val="0"/>
          <w:sz w:val="24"/>
          <w:szCs w:val="24"/>
        </w:rPr>
        <w:t>项目概况</w:t>
      </w:r>
    </w:p>
    <w:p>
      <w:pPr>
        <w:spacing w:line="360" w:lineRule="auto"/>
        <w:ind w:firstLine="480" w:firstLineChars="200"/>
        <w:rPr>
          <w:rFonts w:cs="宋体"/>
          <w:sz w:val="24"/>
          <w:szCs w:val="24"/>
        </w:rPr>
      </w:pPr>
      <w:r>
        <w:rPr>
          <w:rFonts w:hint="eastAsia" w:cs="宋体"/>
          <w:sz w:val="24"/>
          <w:szCs w:val="24"/>
        </w:rPr>
        <w:t>1、采购人将位于缙云县的缙云建筑固废物综合利用场的加工劳务外包服务进行发包。</w:t>
      </w:r>
    </w:p>
    <w:p>
      <w:pPr>
        <w:spacing w:line="360" w:lineRule="auto"/>
        <w:ind w:firstLine="480" w:firstLineChars="200"/>
        <w:rPr>
          <w:rFonts w:cs="宋体"/>
          <w:color w:val="auto"/>
          <w:sz w:val="24"/>
          <w:szCs w:val="24"/>
        </w:rPr>
      </w:pPr>
      <w:r>
        <w:rPr>
          <w:rFonts w:hint="eastAsia" w:cs="宋体"/>
          <w:sz w:val="24"/>
          <w:szCs w:val="24"/>
        </w:rPr>
        <w:t>2、采购人提供加工所需的场地、地磅设备、生产生活用水管网、变压器、高低压配电及配电房、整套洗车设施、砂石料生产线（重型棒条给料机、</w:t>
      </w:r>
      <w:r>
        <w:rPr>
          <w:rFonts w:cs="宋体"/>
          <w:sz w:val="24"/>
          <w:szCs w:val="24"/>
        </w:rPr>
        <w:t>颚式破碎机</w:t>
      </w:r>
      <w:r>
        <w:rPr>
          <w:rFonts w:hint="eastAsia" w:cs="宋体"/>
          <w:sz w:val="24"/>
          <w:szCs w:val="24"/>
        </w:rPr>
        <w:t>、地仓储料仓、地仓给料机、单缸圆锥破碎机、圆锥破碎机、振动筛、立轴式冲击破、高位料仓（3m*3m）、高位料仓给料机、洗砂机、脱水筛、清水泵300立方带变频、液下细沙回收泵37千瓦、旋流器400、压滤机入料泵、喷淋系统、除铁器）等，提供原料，运入加工厂内（建筑固废、各类矿石、工地弃</w:t>
      </w:r>
      <w:r>
        <w:rPr>
          <w:rFonts w:hint="eastAsia" w:cs="宋体"/>
          <w:color w:val="auto"/>
          <w:sz w:val="24"/>
          <w:szCs w:val="24"/>
        </w:rPr>
        <w:t>渣、河道清淤废料、砂卵石、宕渣等）运入加工场内，并负责产品销售。</w:t>
      </w:r>
    </w:p>
    <w:p>
      <w:pPr>
        <w:spacing w:line="360" w:lineRule="auto"/>
        <w:ind w:firstLine="480" w:firstLineChars="200"/>
        <w:rPr>
          <w:rFonts w:cs="宋体"/>
          <w:color w:val="auto"/>
          <w:sz w:val="24"/>
          <w:szCs w:val="24"/>
        </w:rPr>
      </w:pPr>
      <w:r>
        <w:rPr>
          <w:rFonts w:hint="eastAsia" w:cs="宋体"/>
          <w:color w:val="auto"/>
          <w:sz w:val="24"/>
          <w:szCs w:val="24"/>
        </w:rPr>
        <w:t>3、供应商负责提供建筑固废移动筛分处理至少设备一套(具有分选、磁选功能），需自行配备5台50型的铲车（其中长臂的2台）、2台（型号200）以上挖机、炮头机1台，驾驶员由供应商自配，视加工情况需要适时增减，并自行负责安装、调试；负责接收采购人原料，对进入堆场内的建筑垃圾进行分选、破碎筛分、轻物质分拣、除铁、原料分类堆放、平整推高及二次搬运装卸、破碎加工、产品分类堆放、产品装车、场地卫生、污水处理、压滤后产生的淤泥、建筑垃圾分拣后剩余建筑垃圾处置等；配合采购人办理相关生产、环保等相关手续。分拣后剩余建筑垃圾、淤泥出厂弃方点由业主提供，装卸搬运平整由中标人负责，并保证符合行政管理部门和当地政府要求，否则，由此产生的一切法律责任和经济责任由供应商负责。</w:t>
      </w:r>
    </w:p>
    <w:p>
      <w:pPr>
        <w:spacing w:line="360" w:lineRule="auto"/>
        <w:outlineLvl w:val="1"/>
        <w:rPr>
          <w:rFonts w:cs="宋体"/>
          <w:b/>
          <w:bCs/>
          <w:sz w:val="24"/>
          <w:szCs w:val="24"/>
        </w:rPr>
      </w:pPr>
      <w:r>
        <w:rPr>
          <w:rFonts w:hint="eastAsia" w:cs="宋体"/>
          <w:b/>
          <w:bCs/>
          <w:sz w:val="24"/>
          <w:szCs w:val="24"/>
        </w:rPr>
        <w:t xml:space="preserve">  </w:t>
      </w:r>
      <w:r>
        <w:rPr>
          <w:rFonts w:hint="eastAsia" w:ascii="宋体" w:hAnsi="宋体" w:cs="宋体"/>
          <w:b/>
          <w:bCs/>
          <w:kern w:val="0"/>
          <w:sz w:val="24"/>
          <w:szCs w:val="24"/>
        </w:rPr>
        <w:t xml:space="preserve">   二、采购内容</w:t>
      </w:r>
    </w:p>
    <w:tbl>
      <w:tblPr>
        <w:tblStyle w:val="48"/>
        <w:tblW w:w="98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677"/>
        <w:gridCol w:w="1118"/>
        <w:gridCol w:w="737"/>
        <w:gridCol w:w="1363"/>
        <w:gridCol w:w="1173"/>
        <w:gridCol w:w="2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6" w:type="dxa"/>
            <w:noWrap/>
            <w:vAlign w:val="center"/>
          </w:tcPr>
          <w:p>
            <w:pPr>
              <w:spacing w:line="360" w:lineRule="auto"/>
              <w:jc w:val="center"/>
              <w:rPr>
                <w:rFonts w:ascii="宋体" w:hAnsi="宋体" w:cs="宋体"/>
                <w:b/>
                <w:sz w:val="24"/>
                <w:szCs w:val="24"/>
              </w:rPr>
            </w:pPr>
            <w:r>
              <w:rPr>
                <w:rFonts w:hint="eastAsia" w:ascii="宋体" w:hAnsi="宋体" w:cs="宋体"/>
                <w:b/>
                <w:sz w:val="24"/>
                <w:szCs w:val="24"/>
              </w:rPr>
              <w:t>序号</w:t>
            </w:r>
          </w:p>
        </w:tc>
        <w:tc>
          <w:tcPr>
            <w:tcW w:w="1677" w:type="dxa"/>
            <w:noWrap/>
            <w:vAlign w:val="center"/>
          </w:tcPr>
          <w:p>
            <w:pPr>
              <w:spacing w:line="360" w:lineRule="auto"/>
              <w:jc w:val="center"/>
              <w:rPr>
                <w:rFonts w:ascii="宋体" w:hAnsi="宋体" w:cs="宋体"/>
                <w:b/>
                <w:sz w:val="24"/>
                <w:szCs w:val="24"/>
              </w:rPr>
            </w:pPr>
            <w:r>
              <w:rPr>
                <w:rFonts w:hint="eastAsia" w:ascii="宋体" w:hAnsi="宋体" w:cs="宋体"/>
                <w:b/>
                <w:sz w:val="24"/>
                <w:szCs w:val="24"/>
              </w:rPr>
              <w:t>采购内容</w:t>
            </w:r>
          </w:p>
        </w:tc>
        <w:tc>
          <w:tcPr>
            <w:tcW w:w="1118" w:type="dxa"/>
            <w:vAlign w:val="center"/>
          </w:tcPr>
          <w:p>
            <w:pPr>
              <w:spacing w:line="360" w:lineRule="auto"/>
              <w:jc w:val="center"/>
              <w:rPr>
                <w:rFonts w:ascii="宋体" w:hAnsi="宋体" w:cs="宋体"/>
                <w:b/>
                <w:kern w:val="0"/>
                <w:sz w:val="24"/>
                <w:szCs w:val="24"/>
              </w:rPr>
            </w:pPr>
            <w:r>
              <w:rPr>
                <w:rFonts w:hint="eastAsia" w:ascii="宋体" w:hAnsi="宋体" w:cs="宋体"/>
                <w:b/>
                <w:kern w:val="0"/>
                <w:sz w:val="24"/>
                <w:szCs w:val="24"/>
              </w:rPr>
              <w:t>数量</w:t>
            </w:r>
          </w:p>
          <w:p>
            <w:pPr>
              <w:spacing w:line="360" w:lineRule="auto"/>
              <w:jc w:val="center"/>
              <w:rPr>
                <w:rFonts w:ascii="宋体" w:hAnsi="宋体" w:cs="宋体"/>
                <w:b/>
                <w:sz w:val="24"/>
                <w:szCs w:val="24"/>
              </w:rPr>
            </w:pPr>
            <w:r>
              <w:rPr>
                <w:rFonts w:hint="eastAsia" w:ascii="宋体" w:hAnsi="宋体" w:cs="宋体"/>
                <w:b/>
                <w:kern w:val="0"/>
                <w:sz w:val="24"/>
                <w:szCs w:val="24"/>
              </w:rPr>
              <w:t>（暂估）</w:t>
            </w:r>
          </w:p>
        </w:tc>
        <w:tc>
          <w:tcPr>
            <w:tcW w:w="737" w:type="dxa"/>
            <w:vAlign w:val="center"/>
          </w:tcPr>
          <w:p>
            <w:pPr>
              <w:spacing w:line="360" w:lineRule="auto"/>
              <w:jc w:val="center"/>
              <w:rPr>
                <w:rFonts w:ascii="宋体" w:hAnsi="宋体" w:cs="宋体"/>
                <w:sz w:val="24"/>
                <w:szCs w:val="24"/>
              </w:rPr>
            </w:pPr>
            <w:r>
              <w:rPr>
                <w:rFonts w:hint="eastAsia" w:ascii="宋体" w:hAnsi="宋体" w:cs="宋体"/>
                <w:b/>
                <w:bCs/>
                <w:sz w:val="24"/>
                <w:szCs w:val="24"/>
              </w:rPr>
              <w:t>单位</w:t>
            </w:r>
          </w:p>
        </w:tc>
        <w:tc>
          <w:tcPr>
            <w:tcW w:w="1363" w:type="dxa"/>
            <w:vAlign w:val="center"/>
          </w:tcPr>
          <w:p>
            <w:pPr>
              <w:pStyle w:val="297"/>
              <w:spacing w:before="50" w:line="360" w:lineRule="auto"/>
              <w:jc w:val="center"/>
              <w:rPr>
                <w:rFonts w:ascii="宋体" w:hAnsi="宋体" w:cs="宋体"/>
                <w:b/>
                <w:sz w:val="24"/>
                <w:szCs w:val="24"/>
              </w:rPr>
            </w:pPr>
            <w:r>
              <w:rPr>
                <w:b/>
                <w:bCs/>
                <w:spacing w:val="-6"/>
                <w:sz w:val="24"/>
                <w:szCs w:val="24"/>
              </w:rPr>
              <w:t>▲最高单</w:t>
            </w:r>
            <w:r>
              <w:rPr>
                <w:b/>
                <w:bCs/>
                <w:spacing w:val="-5"/>
                <w:sz w:val="24"/>
                <w:szCs w:val="24"/>
              </w:rPr>
              <w:t>价限价</w:t>
            </w:r>
          </w:p>
        </w:tc>
        <w:tc>
          <w:tcPr>
            <w:tcW w:w="1173" w:type="dxa"/>
            <w:vAlign w:val="center"/>
          </w:tcPr>
          <w:p>
            <w:pPr>
              <w:widowControl/>
              <w:spacing w:line="360" w:lineRule="auto"/>
              <w:jc w:val="center"/>
              <w:rPr>
                <w:rFonts w:ascii="宋体" w:hAnsi="宋体" w:cs="宋体"/>
                <w:b/>
                <w:kern w:val="0"/>
                <w:sz w:val="24"/>
                <w:szCs w:val="24"/>
              </w:rPr>
            </w:pPr>
            <w:r>
              <w:rPr>
                <w:rFonts w:hint="eastAsia" w:ascii="宋体" w:hAnsi="宋体" w:cs="宋体"/>
                <w:b/>
                <w:kern w:val="0"/>
                <w:sz w:val="24"/>
                <w:szCs w:val="24"/>
              </w:rPr>
              <w:t>最高限价（元)</w:t>
            </w:r>
          </w:p>
        </w:tc>
        <w:tc>
          <w:tcPr>
            <w:tcW w:w="2933" w:type="dxa"/>
            <w:vAlign w:val="center"/>
          </w:tcPr>
          <w:p>
            <w:pPr>
              <w:widowControl/>
              <w:spacing w:line="360" w:lineRule="auto"/>
              <w:jc w:val="center"/>
              <w:rPr>
                <w:rFonts w:ascii="宋体" w:hAnsi="宋体" w:cs="宋体"/>
                <w:b/>
                <w:kern w:val="0"/>
                <w:sz w:val="24"/>
                <w:szCs w:val="24"/>
              </w:rPr>
            </w:pPr>
            <w:r>
              <w:rPr>
                <w:rFonts w:hint="eastAsia" w:ascii="宋体" w:hAnsi="宋体" w:cs="宋体"/>
                <w:b/>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6" w:type="dxa"/>
            <w:noWrap/>
            <w:vAlign w:val="center"/>
          </w:tcPr>
          <w:p>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677" w:type="dxa"/>
            <w:noWrap/>
            <w:vAlign w:val="center"/>
          </w:tcPr>
          <w:p>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建筑垃圾筛分服务</w:t>
            </w:r>
          </w:p>
        </w:tc>
        <w:tc>
          <w:tcPr>
            <w:tcW w:w="1118"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30万</w:t>
            </w:r>
          </w:p>
        </w:tc>
        <w:tc>
          <w:tcPr>
            <w:tcW w:w="737" w:type="dxa"/>
            <w:vAlign w:val="center"/>
          </w:tcPr>
          <w:p>
            <w:pPr>
              <w:spacing w:line="360" w:lineRule="auto"/>
              <w:jc w:val="center"/>
              <w:rPr>
                <w:rFonts w:ascii="宋体" w:hAnsi="宋体" w:cs="宋体"/>
                <w:color w:val="auto"/>
                <w:sz w:val="24"/>
                <w:szCs w:val="24"/>
              </w:rPr>
            </w:pPr>
          </w:p>
          <w:p>
            <w:pPr>
              <w:spacing w:line="360" w:lineRule="auto"/>
              <w:jc w:val="center"/>
              <w:rPr>
                <w:rFonts w:ascii="宋体" w:hAnsi="宋体" w:cs="宋体"/>
                <w:color w:val="auto"/>
                <w:sz w:val="24"/>
                <w:szCs w:val="24"/>
              </w:rPr>
            </w:pPr>
            <w:r>
              <w:rPr>
                <w:rFonts w:hint="eastAsia" w:ascii="宋体" w:hAnsi="宋体" w:cs="宋体"/>
                <w:color w:val="auto"/>
                <w:sz w:val="24"/>
                <w:szCs w:val="24"/>
              </w:rPr>
              <w:t>吨</w:t>
            </w:r>
          </w:p>
        </w:tc>
        <w:tc>
          <w:tcPr>
            <w:tcW w:w="1363"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23元/吨</w:t>
            </w:r>
          </w:p>
        </w:tc>
        <w:tc>
          <w:tcPr>
            <w:tcW w:w="1173"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660万元</w:t>
            </w:r>
          </w:p>
        </w:tc>
        <w:tc>
          <w:tcPr>
            <w:tcW w:w="2933" w:type="dxa"/>
            <w:vMerge w:val="restart"/>
            <w:vAlign w:val="center"/>
          </w:tcPr>
          <w:p>
            <w:pPr>
              <w:spacing w:line="360" w:lineRule="auto"/>
              <w:rPr>
                <w:rFonts w:ascii="宋体" w:hAnsi="宋体" w:cs="宋体"/>
                <w:color w:val="auto"/>
                <w:sz w:val="24"/>
                <w:szCs w:val="24"/>
              </w:rPr>
            </w:pPr>
            <w:r>
              <w:rPr>
                <w:rFonts w:hint="eastAsia" w:ascii="宋体" w:hAnsi="宋体" w:cs="宋体"/>
                <w:color w:val="auto"/>
                <w:sz w:val="24"/>
                <w:szCs w:val="24"/>
              </w:rPr>
              <w:t>1.供应商报价不得超过最高单价限价或最高限价，否则作无效标处理。</w:t>
            </w:r>
          </w:p>
          <w:p>
            <w:pPr>
              <w:spacing w:line="360" w:lineRule="auto"/>
              <w:rPr>
                <w:rFonts w:ascii="宋体" w:hAnsi="宋体" w:cs="宋体"/>
                <w:color w:val="auto"/>
                <w:sz w:val="24"/>
                <w:szCs w:val="24"/>
              </w:rPr>
            </w:pPr>
            <w:r>
              <w:rPr>
                <w:rFonts w:hint="eastAsia" w:ascii="宋体" w:hAnsi="宋体" w:cs="宋体"/>
                <w:color w:val="auto"/>
                <w:sz w:val="24"/>
                <w:szCs w:val="24"/>
              </w:rPr>
              <w:t>2.供应商报价三项服务内容单价须按同比例下浮报价，报价下浮后采用四舍五入法，并保留小数2位。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46" w:type="dxa"/>
            <w:noWrap/>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2</w:t>
            </w:r>
          </w:p>
        </w:tc>
        <w:tc>
          <w:tcPr>
            <w:tcW w:w="1677" w:type="dxa"/>
            <w:noWrap/>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骨料加工服务（无需整形）</w:t>
            </w:r>
          </w:p>
        </w:tc>
        <w:tc>
          <w:tcPr>
            <w:tcW w:w="1118" w:type="dxa"/>
            <w:vAlign w:val="center"/>
          </w:tcPr>
          <w:p>
            <w:pPr>
              <w:spacing w:line="360" w:lineRule="auto"/>
              <w:jc w:val="center"/>
              <w:rPr>
                <w:rFonts w:ascii="宋体" w:hAnsi="宋体" w:cs="宋体"/>
                <w:sz w:val="24"/>
                <w:szCs w:val="24"/>
              </w:rPr>
            </w:pPr>
            <w:r>
              <w:rPr>
                <w:rFonts w:hint="eastAsia" w:ascii="宋体" w:hAnsi="宋体" w:cs="宋体"/>
                <w:sz w:val="24"/>
                <w:szCs w:val="24"/>
              </w:rPr>
              <w:t>180万</w:t>
            </w:r>
          </w:p>
        </w:tc>
        <w:tc>
          <w:tcPr>
            <w:tcW w:w="737" w:type="dxa"/>
            <w:vAlign w:val="center"/>
          </w:tcPr>
          <w:p>
            <w:pPr>
              <w:spacing w:line="360" w:lineRule="auto"/>
              <w:jc w:val="center"/>
            </w:pPr>
            <w:r>
              <w:rPr>
                <w:rFonts w:hint="eastAsia" w:ascii="宋体" w:hAnsi="宋体" w:cs="宋体"/>
                <w:sz w:val="24"/>
                <w:szCs w:val="24"/>
              </w:rPr>
              <w:t>吨</w:t>
            </w:r>
          </w:p>
        </w:tc>
        <w:tc>
          <w:tcPr>
            <w:tcW w:w="1363" w:type="dxa"/>
            <w:vAlign w:val="center"/>
          </w:tcPr>
          <w:p>
            <w:pPr>
              <w:spacing w:line="360" w:lineRule="auto"/>
              <w:jc w:val="center"/>
              <w:rPr>
                <w:rFonts w:ascii="宋体" w:hAnsi="宋体" w:cs="宋体"/>
                <w:sz w:val="24"/>
                <w:szCs w:val="24"/>
              </w:rPr>
            </w:pPr>
            <w:r>
              <w:rPr>
                <w:rFonts w:hint="eastAsia" w:ascii="宋体" w:hAnsi="宋体" w:cs="宋体"/>
                <w:sz w:val="24"/>
                <w:szCs w:val="24"/>
              </w:rPr>
              <w:t>15.5元/吨</w:t>
            </w:r>
          </w:p>
        </w:tc>
        <w:tc>
          <w:tcPr>
            <w:tcW w:w="1173" w:type="dxa"/>
            <w:vAlign w:val="center"/>
          </w:tcPr>
          <w:p>
            <w:pPr>
              <w:spacing w:line="360" w:lineRule="auto"/>
              <w:jc w:val="center"/>
              <w:rPr>
                <w:rFonts w:ascii="宋体" w:hAnsi="宋体" w:cs="宋体"/>
                <w:sz w:val="24"/>
                <w:szCs w:val="24"/>
              </w:rPr>
            </w:pPr>
            <w:r>
              <w:rPr>
                <w:rFonts w:hint="eastAsia" w:ascii="宋体" w:hAnsi="宋体" w:cs="宋体"/>
                <w:sz w:val="24"/>
                <w:szCs w:val="24"/>
              </w:rPr>
              <w:t>2790万元</w:t>
            </w:r>
          </w:p>
        </w:tc>
        <w:tc>
          <w:tcPr>
            <w:tcW w:w="2933" w:type="dxa"/>
            <w:vMerge w:val="continue"/>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46" w:type="dxa"/>
            <w:noWrap/>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3</w:t>
            </w:r>
          </w:p>
        </w:tc>
        <w:tc>
          <w:tcPr>
            <w:tcW w:w="1677" w:type="dxa"/>
            <w:noWrap/>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骨料加工服务（需整形）</w:t>
            </w:r>
          </w:p>
        </w:tc>
        <w:tc>
          <w:tcPr>
            <w:tcW w:w="1118" w:type="dxa"/>
            <w:vAlign w:val="center"/>
          </w:tcPr>
          <w:p>
            <w:pPr>
              <w:spacing w:line="360" w:lineRule="auto"/>
              <w:jc w:val="center"/>
              <w:rPr>
                <w:rFonts w:ascii="宋体" w:hAnsi="宋体" w:cs="宋体"/>
                <w:sz w:val="24"/>
                <w:szCs w:val="24"/>
              </w:rPr>
            </w:pPr>
            <w:r>
              <w:rPr>
                <w:rFonts w:hint="eastAsia" w:ascii="宋体" w:hAnsi="宋体" w:cs="宋体"/>
                <w:sz w:val="24"/>
                <w:szCs w:val="24"/>
              </w:rPr>
              <w:t>120万</w:t>
            </w:r>
          </w:p>
        </w:tc>
        <w:tc>
          <w:tcPr>
            <w:tcW w:w="737" w:type="dxa"/>
            <w:vAlign w:val="center"/>
          </w:tcPr>
          <w:p>
            <w:pPr>
              <w:spacing w:line="360" w:lineRule="auto"/>
              <w:jc w:val="center"/>
              <w:rPr>
                <w:rFonts w:ascii="宋体" w:hAnsi="宋体" w:cs="宋体"/>
                <w:sz w:val="24"/>
                <w:szCs w:val="24"/>
              </w:rPr>
            </w:pPr>
          </w:p>
          <w:p>
            <w:pPr>
              <w:spacing w:line="360" w:lineRule="auto"/>
              <w:jc w:val="center"/>
              <w:rPr>
                <w:rFonts w:ascii="宋体" w:hAnsi="宋体" w:cs="宋体"/>
                <w:sz w:val="24"/>
                <w:szCs w:val="24"/>
              </w:rPr>
            </w:pPr>
            <w:r>
              <w:rPr>
                <w:rFonts w:hint="eastAsia" w:ascii="宋体" w:hAnsi="宋体" w:cs="宋体"/>
                <w:sz w:val="24"/>
                <w:szCs w:val="24"/>
              </w:rPr>
              <w:t>吨</w:t>
            </w:r>
          </w:p>
        </w:tc>
        <w:tc>
          <w:tcPr>
            <w:tcW w:w="1363" w:type="dxa"/>
            <w:vAlign w:val="center"/>
          </w:tcPr>
          <w:p>
            <w:pPr>
              <w:spacing w:line="360" w:lineRule="auto"/>
              <w:jc w:val="center"/>
              <w:rPr>
                <w:rFonts w:ascii="宋体" w:hAnsi="宋体" w:cs="宋体"/>
                <w:sz w:val="24"/>
                <w:szCs w:val="24"/>
              </w:rPr>
            </w:pPr>
            <w:r>
              <w:rPr>
                <w:rFonts w:hint="eastAsia" w:ascii="宋体" w:hAnsi="宋体" w:cs="宋体"/>
                <w:sz w:val="24"/>
                <w:szCs w:val="24"/>
              </w:rPr>
              <w:t>18.5元/吨</w:t>
            </w:r>
          </w:p>
        </w:tc>
        <w:tc>
          <w:tcPr>
            <w:tcW w:w="1173" w:type="dxa"/>
            <w:vAlign w:val="center"/>
          </w:tcPr>
          <w:p>
            <w:pPr>
              <w:spacing w:line="360" w:lineRule="auto"/>
              <w:jc w:val="center"/>
              <w:rPr>
                <w:rFonts w:ascii="宋体" w:hAnsi="宋体" w:cs="宋体"/>
                <w:sz w:val="24"/>
                <w:szCs w:val="24"/>
              </w:rPr>
            </w:pPr>
            <w:r>
              <w:rPr>
                <w:rFonts w:hint="eastAsia" w:ascii="宋体" w:hAnsi="宋体" w:cs="宋体"/>
                <w:sz w:val="24"/>
                <w:szCs w:val="24"/>
              </w:rPr>
              <w:t>2220万元</w:t>
            </w:r>
          </w:p>
        </w:tc>
        <w:tc>
          <w:tcPr>
            <w:tcW w:w="2933" w:type="dxa"/>
            <w:vMerge w:val="continue"/>
            <w:vAlign w:val="center"/>
          </w:tcPr>
          <w:p>
            <w:pPr>
              <w:spacing w:line="360" w:lineRule="auto"/>
              <w:jc w:val="center"/>
              <w:rPr>
                <w:rFonts w:ascii="宋体" w:hAnsi="宋体" w:cs="宋体"/>
                <w:sz w:val="24"/>
                <w:szCs w:val="24"/>
              </w:rPr>
            </w:pPr>
          </w:p>
        </w:tc>
      </w:tr>
    </w:tbl>
    <w:p>
      <w:pPr>
        <w:spacing w:line="360" w:lineRule="auto"/>
        <w:ind w:firstLine="482" w:firstLineChars="200"/>
        <w:rPr>
          <w:rFonts w:ascii="宋体" w:hAnsi="宋体" w:cs="宋体"/>
          <w:sz w:val="24"/>
          <w:szCs w:val="24"/>
        </w:rPr>
      </w:pPr>
      <w:r>
        <w:rPr>
          <w:rFonts w:hint="eastAsia" w:cs="宋体"/>
          <w:b/>
          <w:bCs/>
          <w:sz w:val="24"/>
          <w:szCs w:val="24"/>
        </w:rPr>
        <w:t>注：</w:t>
      </w:r>
      <w:r>
        <w:rPr>
          <w:rFonts w:hint="eastAsia" w:ascii="宋体" w:hAnsi="宋体" w:cs="宋体"/>
          <w:sz w:val="24"/>
          <w:szCs w:val="24"/>
        </w:rPr>
        <w:t>单价为综合单价，包括本项目实施所需的设备费、水电费（除采购人办公室外）、柴油费、人工费、机械损耗费、生产垃圾、淤泥运输费用、企业管理费、人员保险、利润和税金等一切相关费用及合同包含的所有风险、责任等全部费用的综合单价。骨料加工数量按实际完成销售的数量和合同单价进行计算，在合同实施期间单价均不作调整。建筑垃圾筛分数量按实际产生合格原料的数量和合同单价进行计算，在合同实施期间单价均不作调整。</w:t>
      </w:r>
    </w:p>
    <w:p>
      <w:pPr>
        <w:widowControl/>
        <w:adjustRightInd w:val="0"/>
        <w:snapToGrid w:val="0"/>
        <w:spacing w:line="360" w:lineRule="auto"/>
        <w:outlineLvl w:val="1"/>
        <w:rPr>
          <w:rFonts w:ascii="宋体" w:hAnsi="宋体" w:cs="宋体"/>
          <w:b/>
          <w:kern w:val="0"/>
          <w:sz w:val="24"/>
          <w:szCs w:val="24"/>
        </w:rPr>
      </w:pPr>
      <w:r>
        <w:rPr>
          <w:rFonts w:hint="eastAsia" w:ascii="宋体" w:hAnsi="宋体" w:cs="宋体"/>
          <w:b/>
          <w:bCs/>
          <w:kern w:val="0"/>
          <w:sz w:val="24"/>
          <w:szCs w:val="24"/>
        </w:rPr>
        <w:t>三、项目服务期</w:t>
      </w:r>
    </w:p>
    <w:p>
      <w:pPr>
        <w:spacing w:line="360" w:lineRule="auto"/>
        <w:ind w:firstLine="480" w:firstLineChars="200"/>
        <w:rPr>
          <w:rFonts w:ascii="宋体" w:hAnsi="宋体" w:cs="宋体"/>
          <w:sz w:val="24"/>
          <w:szCs w:val="24"/>
        </w:rPr>
      </w:pPr>
      <w:r>
        <w:rPr>
          <w:rFonts w:hint="eastAsia" w:ascii="宋体" w:hAnsi="宋体" w:cs="宋体"/>
          <w:sz w:val="24"/>
          <w:szCs w:val="24"/>
        </w:rPr>
        <w:t>服务期：加工服务期限 36个月，月生产成品总量不小于5万吨，年生产成品总量不小于100万吨。以采购人发出开工通知之日开始计算，并在7日内完成设备交付工作，在15日内投入生产。若由于供应商原因未按时投入生产的，罚款20000元/天在次月加工费中扣除。若产品出现滞销情况的，根据市场需求，每月调整生产方案，供应商须按采购人要求和生产方案进行生产。</w:t>
      </w:r>
    </w:p>
    <w:p>
      <w:pPr>
        <w:widowControl/>
        <w:adjustRightInd w:val="0"/>
        <w:snapToGrid w:val="0"/>
        <w:spacing w:line="360" w:lineRule="auto"/>
        <w:outlineLvl w:val="1"/>
        <w:rPr>
          <w:rFonts w:ascii="宋体" w:hAnsi="宋体" w:cs="宋体"/>
          <w:b/>
          <w:bCs/>
          <w:kern w:val="0"/>
          <w:sz w:val="24"/>
          <w:szCs w:val="24"/>
        </w:rPr>
      </w:pPr>
      <w:r>
        <w:rPr>
          <w:rFonts w:hint="eastAsia" w:ascii="宋体" w:hAnsi="宋体"/>
          <w:bCs/>
          <w:sz w:val="24"/>
          <w:szCs w:val="24"/>
        </w:rPr>
        <w:t>▲</w:t>
      </w:r>
      <w:r>
        <w:rPr>
          <w:rFonts w:hint="eastAsia" w:ascii="宋体" w:hAnsi="宋体" w:cs="宋体"/>
          <w:b/>
          <w:bCs/>
          <w:kern w:val="0"/>
          <w:sz w:val="24"/>
          <w:szCs w:val="24"/>
        </w:rPr>
        <w:t>四、产品规格要求和质量标准</w:t>
      </w:r>
    </w:p>
    <w:p>
      <w:pPr>
        <w:widowControl/>
        <w:adjustRightInd w:val="0"/>
        <w:snapToGrid w:val="0"/>
        <w:spacing w:line="360" w:lineRule="auto"/>
        <w:ind w:firstLine="480" w:firstLineChars="200"/>
        <w:rPr>
          <w:rFonts w:ascii="宋体" w:hAnsi="宋体" w:cs="宋体"/>
          <w:color w:val="auto"/>
          <w:kern w:val="0"/>
          <w:sz w:val="24"/>
          <w:szCs w:val="24"/>
        </w:rPr>
      </w:pPr>
      <w:r>
        <w:rPr>
          <w:rFonts w:hint="eastAsia" w:ascii="宋体" w:hAnsi="宋体" w:cs="宋体"/>
          <w:kern w:val="0"/>
          <w:sz w:val="24"/>
          <w:szCs w:val="24"/>
        </w:rPr>
        <w:t>1、要求乙方生产的砂、石子规格为：0-6mm骨料、6mm-12mm骨料</w:t>
      </w:r>
      <w:r>
        <w:rPr>
          <w:rFonts w:hint="eastAsia" w:ascii="宋体" w:hAnsi="宋体" w:cs="宋体"/>
          <w:color w:val="auto"/>
          <w:kern w:val="0"/>
          <w:sz w:val="24"/>
          <w:szCs w:val="24"/>
        </w:rPr>
        <w:t>、12mm-30mm骨料三种成品骨料的各种规格（骨料规格须根据甲方需求进行调整）；制砂、石子比例为4:6（根据入库原材料情况可相应调整）。</w:t>
      </w:r>
    </w:p>
    <w:p>
      <w:pPr>
        <w:widowControl/>
        <w:adjustRightInd w:val="0"/>
        <w:snapToGrid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2、生产的骨料产品须符合国家《建设用砂》GB/T 14684-2011、《建设用卵石、碎石》GB/T 14685-2011规定的质量标准，河砂达到Ⅱ类标准，机制砂、石子Ⅲ类标准，达到不符合要求的须返工重做，并自行承担由此造成的一切损失。</w:t>
      </w:r>
    </w:p>
    <w:p>
      <w:pPr>
        <w:widowControl/>
        <w:adjustRightInd w:val="0"/>
        <w:snapToGrid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3、污水排放须达到相关部门规定的要求标准，否则一切后果由供应商负责。</w:t>
      </w:r>
    </w:p>
    <w:p>
      <w:pPr>
        <w:widowControl/>
        <w:adjustRightInd w:val="0"/>
        <w:snapToGrid w:val="0"/>
        <w:spacing w:line="360" w:lineRule="auto"/>
        <w:outlineLvl w:val="1"/>
        <w:rPr>
          <w:rFonts w:ascii="宋体" w:hAnsi="宋体" w:cs="宋体"/>
          <w:b/>
          <w:bCs/>
          <w:color w:val="auto"/>
          <w:kern w:val="0"/>
          <w:sz w:val="24"/>
          <w:szCs w:val="24"/>
        </w:rPr>
      </w:pPr>
      <w:r>
        <w:rPr>
          <w:rFonts w:hint="eastAsia" w:ascii="宋体" w:hAnsi="宋体"/>
          <w:bCs/>
          <w:color w:val="auto"/>
          <w:sz w:val="24"/>
          <w:szCs w:val="24"/>
        </w:rPr>
        <w:t>▲</w:t>
      </w:r>
      <w:r>
        <w:rPr>
          <w:rFonts w:hint="eastAsia" w:ascii="宋体" w:hAnsi="宋体" w:cs="宋体"/>
          <w:b/>
          <w:bCs/>
          <w:color w:val="auto"/>
          <w:kern w:val="0"/>
          <w:sz w:val="24"/>
          <w:szCs w:val="24"/>
        </w:rPr>
        <w:t>五、人员配置最低人数要求</w:t>
      </w:r>
    </w:p>
    <w:tbl>
      <w:tblPr>
        <w:tblStyle w:val="48"/>
        <w:tblW w:w="9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4"/>
        <w:gridCol w:w="1113"/>
        <w:gridCol w:w="4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314"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岗位</w:t>
            </w:r>
          </w:p>
        </w:tc>
        <w:tc>
          <w:tcPr>
            <w:tcW w:w="1113"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人数</w:t>
            </w:r>
          </w:p>
        </w:tc>
        <w:tc>
          <w:tcPr>
            <w:tcW w:w="4075"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314"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项目负责人</w:t>
            </w:r>
          </w:p>
        </w:tc>
        <w:tc>
          <w:tcPr>
            <w:tcW w:w="1113"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1</w:t>
            </w:r>
          </w:p>
        </w:tc>
        <w:tc>
          <w:tcPr>
            <w:tcW w:w="4075"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具有建筑固废处置3年以上工作经验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4" w:hRule="atLeast"/>
          <w:jc w:val="center"/>
        </w:trPr>
        <w:tc>
          <w:tcPr>
            <w:tcW w:w="4314"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安全员</w:t>
            </w:r>
          </w:p>
        </w:tc>
        <w:tc>
          <w:tcPr>
            <w:tcW w:w="1113"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1</w:t>
            </w:r>
          </w:p>
        </w:tc>
        <w:tc>
          <w:tcPr>
            <w:tcW w:w="4075"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具有相关岗位证书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4314"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电工</w:t>
            </w:r>
          </w:p>
        </w:tc>
        <w:tc>
          <w:tcPr>
            <w:tcW w:w="1113"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1</w:t>
            </w:r>
          </w:p>
        </w:tc>
        <w:tc>
          <w:tcPr>
            <w:tcW w:w="4075"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具有相关岗位证书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4314"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电焊工</w:t>
            </w:r>
          </w:p>
        </w:tc>
        <w:tc>
          <w:tcPr>
            <w:tcW w:w="1113"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1</w:t>
            </w:r>
          </w:p>
        </w:tc>
        <w:tc>
          <w:tcPr>
            <w:tcW w:w="4075"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具有相关岗位证书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4" w:hRule="atLeast"/>
          <w:jc w:val="center"/>
        </w:trPr>
        <w:tc>
          <w:tcPr>
            <w:tcW w:w="4314"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铲车工</w:t>
            </w:r>
          </w:p>
        </w:tc>
        <w:tc>
          <w:tcPr>
            <w:tcW w:w="1113"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4</w:t>
            </w:r>
          </w:p>
        </w:tc>
        <w:tc>
          <w:tcPr>
            <w:tcW w:w="4075"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3年以上工作经验</w:t>
            </w:r>
          </w:p>
        </w:tc>
      </w:tr>
    </w:tbl>
    <w:p>
      <w:pPr>
        <w:widowControl/>
        <w:adjustRightInd w:val="0"/>
        <w:snapToGrid w:val="0"/>
        <w:spacing w:line="360" w:lineRule="auto"/>
        <w:ind w:firstLine="480"/>
        <w:rPr>
          <w:rFonts w:ascii="宋体" w:hAnsi="宋体" w:cs="宋体"/>
          <w:bCs/>
          <w:color w:val="auto"/>
          <w:kern w:val="0"/>
          <w:sz w:val="24"/>
          <w:szCs w:val="24"/>
        </w:rPr>
      </w:pPr>
      <w:r>
        <w:rPr>
          <w:rFonts w:hint="eastAsia" w:ascii="宋体" w:hAnsi="宋体" w:cs="宋体"/>
          <w:bCs/>
          <w:color w:val="auto"/>
          <w:kern w:val="0"/>
          <w:sz w:val="24"/>
          <w:szCs w:val="24"/>
        </w:rPr>
        <w:t>注1、表中所列人员必须配备，</w:t>
      </w:r>
      <w:r>
        <w:rPr>
          <w:rFonts w:hint="eastAsia" w:ascii="宋体" w:hAnsi="宋体" w:cs="宋体"/>
          <w:bCs/>
          <w:color w:val="auto"/>
          <w:sz w:val="24"/>
          <w:szCs w:val="24"/>
        </w:rPr>
        <w:t>以</w:t>
      </w:r>
      <w:r>
        <w:rPr>
          <w:rFonts w:hint="eastAsia" w:ascii="宋体" w:hAnsi="宋体" w:cs="宋体"/>
          <w:bCs/>
          <w:color w:val="auto"/>
          <w:kern w:val="0"/>
          <w:sz w:val="24"/>
          <w:szCs w:val="24"/>
        </w:rPr>
        <w:t>满足生产需要，并提供职称或岗位证书扫描件，否则不予认可。其他各类生产和管理人员由供应商</w:t>
      </w:r>
      <w:r>
        <w:rPr>
          <w:rFonts w:hint="eastAsia" w:ascii="宋体" w:hAnsi="宋体" w:cs="宋体"/>
          <w:bCs/>
          <w:color w:val="auto"/>
          <w:sz w:val="24"/>
          <w:szCs w:val="24"/>
        </w:rPr>
        <w:t>根据实际生产情况</w:t>
      </w:r>
      <w:r>
        <w:rPr>
          <w:rFonts w:hint="eastAsia" w:ascii="宋体" w:hAnsi="宋体" w:cs="宋体"/>
          <w:bCs/>
          <w:color w:val="auto"/>
          <w:kern w:val="0"/>
          <w:sz w:val="24"/>
          <w:szCs w:val="24"/>
        </w:rPr>
        <w:t>自行合理安排，特殊工种须持证上岗。</w:t>
      </w:r>
    </w:p>
    <w:p>
      <w:pPr>
        <w:widowControl/>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2、项目负责人须提供从事建筑固废处置3年以上工作经验证明材料（如加工合同或甲方出具的证明等）。</w:t>
      </w:r>
    </w:p>
    <w:p>
      <w:pPr>
        <w:widowControl/>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3、中标后由采购人对上述人员进行备案登记，在履行合同期间如出现投标文件中承诺的投入本项目人员实际未到岗，一经发现，第一次出现此类情况每人扣除1000元，第二次出现此类情况每人扣除2000元，第三次出现此类情况采购人有权终止合同。</w:t>
      </w:r>
    </w:p>
    <w:p>
      <w:pPr>
        <w:widowControl/>
        <w:adjustRightInd w:val="0"/>
        <w:snapToGrid w:val="0"/>
        <w:spacing w:line="360" w:lineRule="auto"/>
        <w:outlineLvl w:val="1"/>
        <w:rPr>
          <w:rFonts w:ascii="宋体" w:hAnsi="宋体" w:cs="宋体"/>
          <w:b/>
          <w:bCs/>
          <w:color w:val="auto"/>
          <w:kern w:val="0"/>
          <w:sz w:val="24"/>
          <w:szCs w:val="24"/>
        </w:rPr>
      </w:pPr>
      <w:r>
        <w:rPr>
          <w:rFonts w:hint="eastAsia" w:ascii="宋体" w:hAnsi="宋体" w:cs="宋体"/>
          <w:b/>
          <w:bCs/>
          <w:color w:val="auto"/>
          <w:kern w:val="0"/>
          <w:sz w:val="24"/>
          <w:szCs w:val="24"/>
        </w:rPr>
        <w:t>六、服务质量要求</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1、供应商负责加工团队的招聘组建，加工团队有从业经验并能满足生产要求。</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2、供应商应按照采购人安排的计划任务及产品规格要求组织生产，并且应按时、保质、保量完成任务，不得私自调整。</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3、供应商自行负责场内所有设备设施（含采购人提供的设备设施）的定期维护保养、维修更换、易损件更换、所需燃料、水电等费用，砂石料</w:t>
      </w:r>
      <w:r>
        <w:rPr>
          <w:rFonts w:hint="eastAsia" w:cs="宋体"/>
          <w:color w:val="auto"/>
          <w:sz w:val="24"/>
          <w:szCs w:val="24"/>
        </w:rPr>
        <w:t>生产线</w:t>
      </w:r>
      <w:r>
        <w:rPr>
          <w:rFonts w:hint="eastAsia" w:ascii="宋体" w:hAnsi="宋体" w:cs="宋体"/>
          <w:color w:val="auto"/>
          <w:sz w:val="24"/>
          <w:szCs w:val="24"/>
        </w:rPr>
        <w:t>按厂家要求进行保养，及时更换配件。</w:t>
      </w:r>
      <w:r>
        <w:rPr>
          <w:rFonts w:hint="eastAsia" w:hAnsi="宋体" w:cs="宋体"/>
          <w:color w:val="auto"/>
          <w:sz w:val="24"/>
          <w:szCs w:val="24"/>
          <w:lang w:val="zh-CN"/>
        </w:rPr>
        <w:t>（</w:t>
      </w:r>
      <w:r>
        <w:rPr>
          <w:rFonts w:hint="eastAsia" w:hAnsi="宋体" w:cs="宋体"/>
          <w:color w:val="auto"/>
          <w:sz w:val="24"/>
          <w:szCs w:val="24"/>
        </w:rPr>
        <w:t>注：易损件要求及时更换，如因更换不及时导致设备损坏的，由供应商进行维修或更换，若供应商拒不维修或更换的，采购人有权扣除履约保证金用于设备的更换</w:t>
      </w:r>
      <w:r>
        <w:rPr>
          <w:rFonts w:hint="eastAsia" w:hAnsi="宋体" w:cs="宋体"/>
          <w:color w:val="auto"/>
          <w:sz w:val="24"/>
          <w:szCs w:val="24"/>
          <w:lang w:val="zh-CN"/>
        </w:rPr>
        <w:t>）。</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4、供应商自行采购的筛网生产的骨料产品应符合国家《建设用砂》GB/T 14684-2011、《建设用卵石、碎石》GB/T 14685-2011规定的规格标准，筛网要经采购人验收合格、确认签名后方可使用。</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5、供应商应设专人负责生产场地的管理，负责场地内（包括地磅）的清洁卫生、道路场地防扬尘、以及冲洗、维护、等工作，标准达到环保及相关部门要求，为确保产品质量，供应商应设专人负责料仓口原料进仓的垃圾清理工作，否则由此产生的后果由供应商自行负责。</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6、供应商收到采购人通知后，应及时对场地内的原料和成品料进行环保土工布（含采购）的覆盖，相关费用包含在投标报价中，供应商自行考虑。</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7、污水排放、除尘措施、生产时间等必须符合国家环保等相关规定的标准，否则一切后果由供应商负责。</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8、压滤后泥饼的含水率按照采购人提供的污水处理设备技术参数不高于33%，采购人将委托第三方进行不定期抽查。</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9、教育劳务人员遵纪守法，严格执行国家政策，遵守采购人各项规章制度。如供应商及其雇佣的员工违反法律、法规及相关规定，所造成的后果由供应商及其雇佣的员工自行承担。</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10、供应商应严格执行《中华人民共和国劳动法》、《中华人民共和国民法典》以及政府、部门有关职工劳动保护、劳动保障等规定。负责为所有人员建立个人档案，签订劳动合同，发放工资及奖励补助等，办理和缴纳各种社会保险，保障员工各项劳动权益。</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11、供应商须抓好日常的安全教育工作，定期召开安全会议，分析影响安全生产的各类问题和事故隐患，并提出防患措施和处理意见，防止自身人员伤害和财产损失。负责劳务人员在发生工伤或工亡等情况下，按国家和缙云县有关规定承担相关费用的报销、赔付工作。</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12、供应商须做好人身意外伤害险、工伤保险和机械设备的投保工作，要求所有生产人员和管理人员进行保险，职业病体检，并将投保凭证，体检报告报送采购人备案，经采购人确认后，方可开工。若有人员变动，须及时办理各项保险手续，如发现没有办理的，敦促供应商及时办理，如若在提醒后还未及时办理的，采购人将以每人每次5000元</w:t>
      </w:r>
      <w:r>
        <w:rPr>
          <w:rFonts w:hint="eastAsia" w:hAnsi="宋体" w:cs="宋体"/>
          <w:color w:val="auto"/>
          <w:sz w:val="24"/>
          <w:szCs w:val="24"/>
        </w:rPr>
        <w:t>在次月加工费中扣除</w:t>
      </w:r>
      <w:r>
        <w:rPr>
          <w:rFonts w:hint="eastAsia" w:ascii="宋体" w:hAnsi="宋体" w:cs="宋体"/>
          <w:color w:val="auto"/>
          <w:sz w:val="24"/>
          <w:szCs w:val="24"/>
        </w:rPr>
        <w:t>，完成办理后人员方可上岗。</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13、</w:t>
      </w:r>
      <w:r>
        <w:rPr>
          <w:rFonts w:hint="eastAsia" w:ascii="宋体" w:hAnsi="宋体" w:cs="宋体"/>
          <w:color w:val="auto"/>
          <w:sz w:val="24"/>
          <w:szCs w:val="24"/>
          <w:lang w:val="zh-CN"/>
        </w:rPr>
        <w:t>如果发生各项安全事故、人员伤害（含第三人）和机械设备的损坏，概由</w:t>
      </w:r>
      <w:r>
        <w:rPr>
          <w:rFonts w:hint="eastAsia" w:ascii="宋体" w:hAnsi="宋体" w:cs="宋体"/>
          <w:color w:val="auto"/>
          <w:sz w:val="24"/>
          <w:szCs w:val="24"/>
        </w:rPr>
        <w:t>供应商</w:t>
      </w:r>
      <w:r>
        <w:rPr>
          <w:rFonts w:hint="eastAsia" w:ascii="宋体" w:hAnsi="宋体" w:cs="宋体"/>
          <w:color w:val="auto"/>
          <w:sz w:val="24"/>
          <w:szCs w:val="24"/>
          <w:lang w:val="zh-CN"/>
        </w:rPr>
        <w:t>自行负责处理，并承担所有经济和法律责任，</w:t>
      </w:r>
      <w:r>
        <w:rPr>
          <w:rFonts w:hint="eastAsia" w:ascii="宋体" w:hAnsi="宋体" w:cs="宋体"/>
          <w:color w:val="auto"/>
          <w:sz w:val="24"/>
          <w:szCs w:val="24"/>
        </w:rPr>
        <w:t>供应商</w:t>
      </w:r>
      <w:r>
        <w:rPr>
          <w:rFonts w:hint="eastAsia" w:ascii="宋体" w:hAnsi="宋体" w:cs="宋体"/>
          <w:color w:val="auto"/>
          <w:sz w:val="24"/>
          <w:szCs w:val="24"/>
          <w:lang w:val="zh-CN"/>
        </w:rPr>
        <w:t>必须马上采取措施补救并及时报告</w:t>
      </w:r>
      <w:r>
        <w:rPr>
          <w:rFonts w:hint="eastAsia" w:ascii="宋体" w:hAnsi="宋体" w:cs="宋体"/>
          <w:color w:val="auto"/>
          <w:sz w:val="24"/>
          <w:szCs w:val="24"/>
        </w:rPr>
        <w:t>采购人</w:t>
      </w:r>
      <w:r>
        <w:rPr>
          <w:rFonts w:hint="eastAsia" w:ascii="宋体" w:hAnsi="宋体" w:cs="宋体"/>
          <w:color w:val="auto"/>
          <w:sz w:val="24"/>
          <w:szCs w:val="24"/>
          <w:lang w:val="zh-CN"/>
        </w:rPr>
        <w:t>。</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14、供应商负责处理与劳务人员发生的劳动争议纠纷，并根据当地劳动仲裁、人民法院等机构调解、裁决、判决结果，履行义务、承担相关费用。</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15、供应商必须建立规范的管理制度和各种安全管理体系，保证在加工期间设备正常运行，确保料场内道路畅通和过往车辆及人身安全。</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16、加工劳务人员，经采购人核查认可后上岗；如发现在实践操作中不能胜任该项工作，采购人有权要求随时更换。由此产生的停工停产或产品质量不符合要求造成的损失由供应商承担。</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17、供应商必须自觉接受采购人及其各级行政主管部门的管理、监督和检查，根据需要提供相关的文件和资料，并配合检查工作。</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18、压滤后产生的淤泥堆放点由业主提供，淤泥</w:t>
      </w:r>
      <w:r>
        <w:rPr>
          <w:rFonts w:hint="eastAsia" w:cs="宋体"/>
          <w:color w:val="auto"/>
          <w:sz w:val="24"/>
          <w:szCs w:val="24"/>
        </w:rPr>
        <w:t>装卸搬运平整</w:t>
      </w:r>
      <w:r>
        <w:rPr>
          <w:rFonts w:hint="eastAsia" w:ascii="宋体" w:hAnsi="宋体" w:cs="宋体"/>
          <w:color w:val="auto"/>
          <w:sz w:val="24"/>
          <w:szCs w:val="24"/>
        </w:rPr>
        <w:t>由供应商负责，并保证符合行政管理部门和当地政府要求。否则，</w:t>
      </w:r>
      <w:r>
        <w:rPr>
          <w:rFonts w:hint="eastAsia" w:ascii="宋体" w:hAnsi="宋体" w:cs="宋体"/>
          <w:color w:val="auto"/>
          <w:sz w:val="24"/>
          <w:szCs w:val="24"/>
          <w:lang w:val="zh-CN"/>
        </w:rPr>
        <w:t>由此产生的一切</w:t>
      </w:r>
      <w:r>
        <w:rPr>
          <w:rFonts w:hint="eastAsia" w:ascii="宋体" w:hAnsi="宋体" w:cs="宋体"/>
          <w:color w:val="auto"/>
          <w:sz w:val="24"/>
          <w:szCs w:val="24"/>
        </w:rPr>
        <w:t>法律责任和经济责任</w:t>
      </w:r>
      <w:r>
        <w:rPr>
          <w:rFonts w:hint="eastAsia" w:ascii="宋体" w:hAnsi="宋体" w:cs="宋体"/>
          <w:color w:val="auto"/>
          <w:sz w:val="24"/>
          <w:szCs w:val="24"/>
          <w:lang w:val="zh-CN"/>
        </w:rPr>
        <w:t>由</w:t>
      </w:r>
      <w:r>
        <w:rPr>
          <w:rFonts w:hint="eastAsia" w:ascii="宋体" w:hAnsi="宋体" w:cs="宋体"/>
          <w:color w:val="auto"/>
          <w:sz w:val="24"/>
          <w:szCs w:val="24"/>
        </w:rPr>
        <w:t>供应商</w:t>
      </w:r>
      <w:r>
        <w:rPr>
          <w:rFonts w:hint="eastAsia" w:ascii="宋体" w:hAnsi="宋体" w:cs="宋体"/>
          <w:color w:val="auto"/>
          <w:sz w:val="24"/>
          <w:szCs w:val="24"/>
          <w:lang w:val="zh-CN"/>
        </w:rPr>
        <w:t>负责</w:t>
      </w:r>
      <w:r>
        <w:rPr>
          <w:rFonts w:hint="eastAsia" w:ascii="宋体" w:hAnsi="宋体" w:cs="宋体"/>
          <w:color w:val="auto"/>
          <w:sz w:val="24"/>
          <w:szCs w:val="24"/>
        </w:rPr>
        <w:t>，费用已包含在骨料加工报价中。</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19、建筑垃圾分拣产生有价值的物品由采购人处置。</w:t>
      </w:r>
    </w:p>
    <w:p>
      <w:pPr>
        <w:pStyle w:val="2"/>
        <w:ind w:firstLine="480" w:firstLineChars="200"/>
        <w:jc w:val="both"/>
        <w:rPr>
          <w:rFonts w:ascii="宋体" w:hAnsi="宋体" w:eastAsia="宋体" w:cs="宋体"/>
          <w:b w:val="0"/>
          <w:bCs/>
          <w:color w:val="auto"/>
          <w:sz w:val="24"/>
          <w:szCs w:val="24"/>
        </w:rPr>
      </w:pPr>
      <w:r>
        <w:rPr>
          <w:rFonts w:hint="eastAsia" w:asciiTheme="minorEastAsia" w:hAnsiTheme="minorEastAsia" w:eastAsiaTheme="minorEastAsia" w:cstheme="minorEastAsia"/>
          <w:b w:val="0"/>
          <w:bCs/>
          <w:color w:val="auto"/>
          <w:sz w:val="24"/>
          <w:szCs w:val="24"/>
        </w:rPr>
        <w:t>20、</w:t>
      </w:r>
      <w:r>
        <w:rPr>
          <w:rFonts w:hint="eastAsia" w:ascii="宋体" w:hAnsi="宋体" w:eastAsia="宋体" w:cs="宋体"/>
          <w:b w:val="0"/>
          <w:bCs/>
          <w:color w:val="auto"/>
          <w:sz w:val="24"/>
          <w:szCs w:val="24"/>
        </w:rPr>
        <w:t>如机械设备损坏维修，供应商需自行调度机械设备，不得怠工，影响日常生产。</w:t>
      </w:r>
    </w:p>
    <w:p>
      <w:pPr>
        <w:ind w:firstLine="480" w:firstLineChars="200"/>
        <w:rPr>
          <w:color w:val="auto"/>
        </w:rPr>
      </w:pPr>
      <w:r>
        <w:rPr>
          <w:rFonts w:hint="eastAsia" w:ascii="宋体" w:hAnsi="宋体" w:cs="宋体"/>
          <w:bCs/>
          <w:color w:val="auto"/>
          <w:sz w:val="24"/>
          <w:szCs w:val="24"/>
        </w:rPr>
        <w:t>21、</w:t>
      </w:r>
      <w:r>
        <w:rPr>
          <w:rFonts w:hint="eastAsia" w:cs="宋体"/>
          <w:color w:val="auto"/>
          <w:sz w:val="24"/>
          <w:szCs w:val="24"/>
        </w:rPr>
        <w:t>增加设备需经业主同意，费用由供应商承担。</w:t>
      </w:r>
    </w:p>
    <w:p>
      <w:pPr>
        <w:widowControl/>
        <w:adjustRightInd w:val="0"/>
        <w:snapToGrid w:val="0"/>
        <w:spacing w:line="360" w:lineRule="auto"/>
        <w:outlineLvl w:val="1"/>
        <w:rPr>
          <w:rFonts w:ascii="宋体" w:hAnsi="宋体" w:cs="宋体"/>
          <w:b/>
          <w:bCs/>
          <w:color w:val="auto"/>
          <w:kern w:val="0"/>
          <w:sz w:val="24"/>
          <w:szCs w:val="24"/>
        </w:rPr>
      </w:pPr>
      <w:r>
        <w:rPr>
          <w:rFonts w:hint="eastAsia" w:ascii="宋体" w:hAnsi="宋体" w:cs="宋体"/>
          <w:b/>
          <w:bCs/>
          <w:color w:val="auto"/>
          <w:kern w:val="0"/>
          <w:sz w:val="24"/>
          <w:szCs w:val="24"/>
        </w:rPr>
        <w:t>七、</w:t>
      </w:r>
      <w:r>
        <w:rPr>
          <w:rFonts w:hint="eastAsia" w:ascii="宋体" w:hAnsi="宋体" w:cs="宋体"/>
          <w:b/>
          <w:color w:val="auto"/>
          <w:sz w:val="24"/>
          <w:szCs w:val="24"/>
        </w:rPr>
        <w:t>加工管理的形式</w:t>
      </w:r>
    </w:p>
    <w:p>
      <w:pPr>
        <w:spacing w:line="360" w:lineRule="auto"/>
        <w:ind w:firstLine="480" w:firstLineChars="200"/>
        <w:rPr>
          <w:rFonts w:ascii="宋体" w:hAnsi="宋体" w:cs="宋体"/>
          <w:bCs/>
          <w:color w:val="auto"/>
          <w:sz w:val="24"/>
          <w:szCs w:val="24"/>
        </w:rPr>
      </w:pPr>
      <w:r>
        <w:rPr>
          <w:rFonts w:hint="eastAsia" w:ascii="宋体" w:hAnsi="宋体" w:cs="宋体"/>
          <w:color w:val="auto"/>
          <w:sz w:val="24"/>
          <w:szCs w:val="24"/>
        </w:rPr>
        <w:t>1、该项目运营加工服务由供应商负责，并负责加工团队的招聘组建，员工配置、工资、福利待遇、人身保险、水电费、利润、税金、风险等一切费用，</w:t>
      </w:r>
      <w:r>
        <w:rPr>
          <w:rFonts w:hint="eastAsia" w:ascii="宋体" w:hAnsi="宋体" w:cs="宋体"/>
          <w:bCs/>
          <w:color w:val="auto"/>
          <w:sz w:val="24"/>
          <w:szCs w:val="24"/>
        </w:rPr>
        <w:t>同时包括各类破碎、维修、耗材</w:t>
      </w:r>
      <w:r>
        <w:rPr>
          <w:rFonts w:hint="eastAsia" w:ascii="宋体" w:hAnsi="宋体" w:cs="宋体"/>
          <w:color w:val="auto"/>
          <w:sz w:val="24"/>
          <w:szCs w:val="24"/>
        </w:rPr>
        <w:t>、水电费、</w:t>
      </w:r>
      <w:r>
        <w:rPr>
          <w:rFonts w:hint="eastAsia" w:ascii="宋体" w:hAnsi="宋体" w:cs="宋体"/>
          <w:bCs/>
          <w:color w:val="auto"/>
          <w:sz w:val="24"/>
          <w:szCs w:val="24"/>
        </w:rPr>
        <w:t>所需燃料等费用，采购人提供的设备设施维修保养费用，均由供应商自行负责。</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2、管理用房：采购人免费提供给供应商现有数量的管理用房，不够的由供应商自行解决。</w:t>
      </w:r>
    </w:p>
    <w:p>
      <w:pPr>
        <w:widowControl/>
        <w:snapToGrid w:val="0"/>
        <w:spacing w:line="360" w:lineRule="auto"/>
        <w:jc w:val="left"/>
        <w:outlineLvl w:val="1"/>
        <w:rPr>
          <w:rFonts w:ascii="宋体" w:hAnsi="宋体" w:cs="宋体"/>
          <w:b/>
          <w:bCs/>
          <w:color w:val="auto"/>
          <w:kern w:val="0"/>
          <w:sz w:val="24"/>
          <w:szCs w:val="24"/>
        </w:rPr>
      </w:pPr>
      <w:r>
        <w:rPr>
          <w:rFonts w:hint="eastAsia" w:ascii="宋体" w:hAnsi="宋体" w:cs="宋体"/>
          <w:b/>
          <w:bCs/>
          <w:color w:val="auto"/>
          <w:kern w:val="0"/>
          <w:sz w:val="24"/>
          <w:szCs w:val="24"/>
        </w:rPr>
        <w:t>八、其他要求</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在生产过程中，因管理不当，发生各类事故、人身伤害事故、机械设备严重损坏等，概由供应商自行负责处理，并承担所有经济和法律责任，供应商必须马上采取措施补救并及时报告采购人。采购人可视情节轻重有权单方面终止合同，并没收履约保证金。</w:t>
      </w:r>
    </w:p>
    <w:p>
      <w:pPr>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rPr>
        <w:t>2、</w:t>
      </w:r>
      <w:r>
        <w:rPr>
          <w:rFonts w:hint="eastAsia" w:ascii="宋体" w:hAnsi="宋体" w:cs="宋体"/>
          <w:color w:val="auto"/>
          <w:sz w:val="24"/>
          <w:szCs w:val="24"/>
          <w:lang w:val="zh-CN"/>
        </w:rPr>
        <w:t>如发现</w:t>
      </w:r>
      <w:r>
        <w:rPr>
          <w:rFonts w:hint="eastAsia" w:ascii="宋体" w:hAnsi="宋体" w:cs="宋体"/>
          <w:color w:val="auto"/>
          <w:sz w:val="24"/>
          <w:szCs w:val="24"/>
        </w:rPr>
        <w:t>供应商</w:t>
      </w:r>
      <w:r>
        <w:rPr>
          <w:rFonts w:hint="eastAsia" w:ascii="宋体" w:hAnsi="宋体" w:cs="宋体"/>
          <w:color w:val="auto"/>
          <w:sz w:val="24"/>
          <w:szCs w:val="24"/>
          <w:lang w:val="zh-CN"/>
        </w:rPr>
        <w:t>私自卖</w:t>
      </w:r>
      <w:r>
        <w:rPr>
          <w:rFonts w:hint="eastAsia" w:ascii="宋体" w:hAnsi="宋体" w:cs="宋体"/>
          <w:color w:val="auto"/>
          <w:sz w:val="24"/>
          <w:szCs w:val="24"/>
        </w:rPr>
        <w:t>骨料</w:t>
      </w:r>
      <w:r>
        <w:rPr>
          <w:rFonts w:hint="eastAsia" w:ascii="宋体" w:hAnsi="宋体" w:cs="宋体"/>
          <w:color w:val="auto"/>
          <w:sz w:val="24"/>
          <w:szCs w:val="24"/>
          <w:lang w:val="zh-CN"/>
        </w:rPr>
        <w:t>、建筑垃圾分拣出来有价值的物品，则视作偷盗行为，</w:t>
      </w:r>
      <w:r>
        <w:rPr>
          <w:rFonts w:hint="eastAsia" w:ascii="宋体" w:hAnsi="宋体" w:cs="宋体"/>
          <w:color w:val="auto"/>
          <w:sz w:val="24"/>
          <w:szCs w:val="24"/>
        </w:rPr>
        <w:t>采购人</w:t>
      </w:r>
      <w:r>
        <w:rPr>
          <w:rFonts w:hint="eastAsia" w:ascii="宋体" w:hAnsi="宋体" w:cs="宋体"/>
          <w:color w:val="auto"/>
          <w:sz w:val="24"/>
          <w:szCs w:val="24"/>
          <w:lang w:val="zh-CN"/>
        </w:rPr>
        <w:t>有权没收</w:t>
      </w:r>
      <w:r>
        <w:rPr>
          <w:rFonts w:hint="eastAsia" w:ascii="宋体" w:hAnsi="宋体" w:cs="宋体"/>
          <w:color w:val="auto"/>
          <w:sz w:val="24"/>
          <w:szCs w:val="24"/>
        </w:rPr>
        <w:t>供应商</w:t>
      </w:r>
      <w:r>
        <w:rPr>
          <w:rFonts w:hint="eastAsia" w:ascii="宋体" w:hAnsi="宋体" w:cs="宋体"/>
          <w:color w:val="auto"/>
          <w:sz w:val="24"/>
          <w:szCs w:val="24"/>
          <w:lang w:val="zh-CN"/>
        </w:rPr>
        <w:t>履约保证金，终止合同，并移交公安机关处理。</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3、供应商</w:t>
      </w:r>
      <w:r>
        <w:rPr>
          <w:rFonts w:hint="eastAsia" w:ascii="宋体" w:hAnsi="宋体" w:cs="宋体"/>
          <w:color w:val="auto"/>
          <w:sz w:val="24"/>
          <w:szCs w:val="24"/>
          <w:lang w:val="zh-CN"/>
        </w:rPr>
        <w:t>的</w:t>
      </w:r>
      <w:r>
        <w:rPr>
          <w:rFonts w:hint="eastAsia" w:ascii="宋体" w:hAnsi="宋体" w:cs="宋体"/>
          <w:color w:val="auto"/>
          <w:sz w:val="24"/>
          <w:szCs w:val="24"/>
        </w:rPr>
        <w:t>相关</w:t>
      </w:r>
      <w:r>
        <w:rPr>
          <w:rFonts w:hint="eastAsia" w:ascii="宋体" w:hAnsi="宋体" w:cs="宋体"/>
          <w:color w:val="auto"/>
          <w:sz w:val="24"/>
          <w:szCs w:val="24"/>
          <w:lang w:val="zh-CN"/>
        </w:rPr>
        <w:t>生产人员未能按承诺到位（除</w:t>
      </w:r>
      <w:r>
        <w:rPr>
          <w:rFonts w:hint="eastAsia" w:ascii="宋体" w:hAnsi="宋体" w:cs="宋体"/>
          <w:color w:val="auto"/>
          <w:sz w:val="24"/>
          <w:szCs w:val="24"/>
        </w:rPr>
        <w:t>采购人</w:t>
      </w:r>
      <w:r>
        <w:rPr>
          <w:rFonts w:hint="eastAsia" w:ascii="宋体" w:hAnsi="宋体" w:cs="宋体"/>
          <w:color w:val="auto"/>
          <w:sz w:val="24"/>
          <w:szCs w:val="24"/>
          <w:lang w:val="zh-CN"/>
        </w:rPr>
        <w:t>同意变更外），且影响生产和安全的，扣除履约保证金的</w:t>
      </w:r>
      <w:r>
        <w:rPr>
          <w:rFonts w:hint="eastAsia" w:ascii="宋体" w:hAnsi="宋体" w:cs="宋体"/>
          <w:color w:val="auto"/>
          <w:sz w:val="24"/>
          <w:szCs w:val="24"/>
        </w:rPr>
        <w:t>15</w:t>
      </w:r>
      <w:r>
        <w:rPr>
          <w:rFonts w:hint="eastAsia" w:ascii="宋体" w:hAnsi="宋体" w:cs="宋体"/>
          <w:color w:val="auto"/>
          <w:sz w:val="24"/>
          <w:szCs w:val="24"/>
          <w:lang w:val="zh-CN"/>
        </w:rPr>
        <w:t>%。</w:t>
      </w:r>
      <w:r>
        <w:rPr>
          <w:rFonts w:hint="eastAsia" w:ascii="宋体" w:hAnsi="宋体" w:cs="宋体"/>
          <w:color w:val="auto"/>
          <w:sz w:val="24"/>
          <w:szCs w:val="24"/>
        </w:rPr>
        <w:t xml:space="preserve"> </w:t>
      </w:r>
    </w:p>
    <w:p>
      <w:pPr>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rPr>
        <w:t>4、供应商</w:t>
      </w:r>
      <w:r>
        <w:rPr>
          <w:rFonts w:hint="eastAsia" w:ascii="宋体" w:hAnsi="宋体" w:cs="宋体"/>
          <w:color w:val="auto"/>
          <w:sz w:val="24"/>
          <w:szCs w:val="24"/>
          <w:lang w:val="zh-CN"/>
        </w:rPr>
        <w:t>因逾期未能如期提供服务或因其他违约行为导致</w:t>
      </w:r>
      <w:r>
        <w:rPr>
          <w:rFonts w:hint="eastAsia" w:ascii="宋体" w:hAnsi="宋体" w:cs="宋体"/>
          <w:color w:val="auto"/>
          <w:sz w:val="24"/>
          <w:szCs w:val="24"/>
        </w:rPr>
        <w:t>采购人</w:t>
      </w:r>
      <w:r>
        <w:rPr>
          <w:rFonts w:hint="eastAsia" w:ascii="宋体" w:hAnsi="宋体" w:cs="宋体"/>
          <w:color w:val="auto"/>
          <w:sz w:val="24"/>
          <w:szCs w:val="24"/>
          <w:lang w:val="zh-CN"/>
        </w:rPr>
        <w:t>解除合同的，</w:t>
      </w:r>
      <w:r>
        <w:rPr>
          <w:rFonts w:hint="eastAsia" w:ascii="宋体" w:hAnsi="宋体" w:cs="宋体"/>
          <w:color w:val="auto"/>
          <w:sz w:val="24"/>
          <w:szCs w:val="24"/>
        </w:rPr>
        <w:t>供应商</w:t>
      </w:r>
      <w:r>
        <w:rPr>
          <w:rFonts w:hint="eastAsia" w:ascii="宋体" w:hAnsi="宋体" w:cs="宋体"/>
          <w:color w:val="auto"/>
          <w:sz w:val="24"/>
          <w:szCs w:val="24"/>
          <w:lang w:val="zh-CN"/>
        </w:rPr>
        <w:t>应向</w:t>
      </w:r>
      <w:r>
        <w:rPr>
          <w:rFonts w:hint="eastAsia" w:ascii="宋体" w:hAnsi="宋体" w:cs="宋体"/>
          <w:color w:val="auto"/>
          <w:sz w:val="24"/>
          <w:szCs w:val="24"/>
        </w:rPr>
        <w:t>采购人</w:t>
      </w:r>
      <w:r>
        <w:rPr>
          <w:rFonts w:hint="eastAsia" w:ascii="宋体" w:hAnsi="宋体" w:cs="宋体"/>
          <w:color w:val="auto"/>
          <w:sz w:val="24"/>
          <w:szCs w:val="24"/>
          <w:lang w:val="zh-CN"/>
        </w:rPr>
        <w:t>偿付合同款5%的违约金，如造成</w:t>
      </w:r>
      <w:r>
        <w:rPr>
          <w:rFonts w:hint="eastAsia" w:ascii="宋体" w:hAnsi="宋体" w:cs="宋体"/>
          <w:color w:val="auto"/>
          <w:sz w:val="24"/>
          <w:szCs w:val="24"/>
        </w:rPr>
        <w:t>采购人</w:t>
      </w:r>
      <w:r>
        <w:rPr>
          <w:rFonts w:hint="eastAsia" w:ascii="宋体" w:hAnsi="宋体" w:cs="宋体"/>
          <w:color w:val="auto"/>
          <w:sz w:val="24"/>
          <w:szCs w:val="24"/>
          <w:lang w:val="zh-CN"/>
        </w:rPr>
        <w:t>损失超过违约金的，超出部分由</w:t>
      </w:r>
      <w:r>
        <w:rPr>
          <w:rFonts w:hint="eastAsia" w:ascii="宋体" w:hAnsi="宋体" w:cs="宋体"/>
          <w:color w:val="auto"/>
          <w:sz w:val="24"/>
          <w:szCs w:val="24"/>
        </w:rPr>
        <w:t>供应商</w:t>
      </w:r>
      <w:r>
        <w:rPr>
          <w:rFonts w:hint="eastAsia" w:ascii="宋体" w:hAnsi="宋体" w:cs="宋体"/>
          <w:color w:val="auto"/>
          <w:sz w:val="24"/>
          <w:szCs w:val="24"/>
          <w:lang w:val="zh-CN"/>
        </w:rPr>
        <w:t>继续承担赔偿责任。</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5、供应商应按照采购人安排的计划任务及产品规格要求组织生产，并且应按时、保质、保量完成任务，不得私自调整。供应商不服从采购人安排，每次</w:t>
      </w:r>
      <w:r>
        <w:rPr>
          <w:rFonts w:hint="eastAsia" w:ascii="宋体" w:hAnsi="宋体" w:cs="宋体"/>
          <w:color w:val="auto"/>
          <w:sz w:val="24"/>
          <w:szCs w:val="24"/>
          <w:lang w:val="zh-CN"/>
        </w:rPr>
        <w:t>扣除履约保证金的</w:t>
      </w:r>
      <w:r>
        <w:rPr>
          <w:rFonts w:hint="eastAsia" w:ascii="宋体" w:hAnsi="宋体" w:cs="宋体"/>
          <w:color w:val="auto"/>
          <w:sz w:val="24"/>
          <w:szCs w:val="24"/>
        </w:rPr>
        <w:t>5</w:t>
      </w:r>
      <w:r>
        <w:rPr>
          <w:rFonts w:hint="eastAsia" w:ascii="宋体" w:hAnsi="宋体" w:cs="宋体"/>
          <w:color w:val="auto"/>
          <w:sz w:val="24"/>
          <w:szCs w:val="24"/>
          <w:lang w:val="zh-CN"/>
        </w:rPr>
        <w:t>%，超过3次以上或接到通知后拒不执行的，</w:t>
      </w:r>
      <w:r>
        <w:rPr>
          <w:rFonts w:hint="eastAsia" w:ascii="宋体" w:hAnsi="宋体" w:cs="宋体"/>
          <w:color w:val="auto"/>
          <w:sz w:val="24"/>
          <w:szCs w:val="24"/>
        </w:rPr>
        <w:t>采购人</w:t>
      </w:r>
      <w:r>
        <w:rPr>
          <w:rFonts w:hint="eastAsia" w:ascii="宋体" w:hAnsi="宋体" w:cs="宋体"/>
          <w:color w:val="auto"/>
          <w:sz w:val="24"/>
          <w:szCs w:val="24"/>
          <w:lang w:val="zh-CN"/>
        </w:rPr>
        <w:t>有权提前终止合同</w:t>
      </w:r>
      <w:r>
        <w:rPr>
          <w:rFonts w:hint="eastAsia" w:ascii="宋体" w:hAnsi="宋体" w:cs="宋体"/>
          <w:color w:val="auto"/>
          <w:sz w:val="24"/>
          <w:szCs w:val="24"/>
        </w:rPr>
        <w:t>，并没收履约保证金。</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6、采购人现有设备设施，供应商认为有必要改造的须提供改造方案，经采购人书面同意后再行实施，费用由供应商负责。</w:t>
      </w:r>
    </w:p>
    <w:p>
      <w:pPr>
        <w:widowControl/>
        <w:snapToGrid w:val="0"/>
        <w:spacing w:line="360" w:lineRule="auto"/>
        <w:jc w:val="left"/>
        <w:outlineLvl w:val="1"/>
        <w:rPr>
          <w:rFonts w:ascii="宋体" w:hAnsi="宋体" w:cs="宋体"/>
          <w:b/>
          <w:bCs/>
          <w:color w:val="auto"/>
          <w:kern w:val="0"/>
          <w:sz w:val="24"/>
          <w:szCs w:val="24"/>
        </w:rPr>
      </w:pPr>
      <w:r>
        <w:rPr>
          <w:rFonts w:hint="eastAsia" w:ascii="宋体" w:hAnsi="宋体" w:cs="宋体"/>
          <w:b/>
          <w:bCs/>
          <w:color w:val="auto"/>
          <w:kern w:val="0"/>
          <w:sz w:val="24"/>
          <w:szCs w:val="24"/>
        </w:rPr>
        <w:t>九、结算及付款方式</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建筑垃圾筛分服务费：供应商每月凭实际筛分后符合原料标准的数量，按双方订立的单价进行结算，每月20号为结算日，中标人向采购人提供有效的增值税专用发票后，采购人从中标人取得有效的增值税专用发票后，10日内付清当月的加工服务费。</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骨料加工服务费：供应商每月凭采购人实际销售的骨料产品数量，按双方订立的单价进行结算，每月20号为结算日，中标人向采购人提供有效的增值税专用发票后，采购人从中标人取得有效的增值税专用发票后，10日内付清当月的加工服务费。</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供应商在合同期满前5日内，书面通知采购人对整套设备的生产运行状况及产能进行动态验收。动态验收通过并合同期满后，供应商根据设备设施交付清单将完好可生产的设备设施交付采购人，并经采购人验收确认后退还履约保证金。</w:t>
      </w:r>
      <w:r>
        <w:rPr>
          <w:rFonts w:hint="eastAsia" w:ascii="宋体" w:hAnsi="宋体" w:cs="宋体"/>
          <w:bCs/>
          <w:color w:val="auto"/>
          <w:sz w:val="24"/>
          <w:szCs w:val="24"/>
        </w:rPr>
        <w:t>如</w:t>
      </w:r>
      <w:r>
        <w:rPr>
          <w:rFonts w:hint="eastAsia" w:ascii="宋体" w:hAnsi="宋体" w:cs="宋体"/>
          <w:color w:val="auto"/>
          <w:sz w:val="24"/>
          <w:szCs w:val="24"/>
        </w:rPr>
        <w:t>采购人</w:t>
      </w:r>
      <w:r>
        <w:rPr>
          <w:rFonts w:hint="eastAsia" w:ascii="宋体" w:hAnsi="宋体" w:cs="宋体"/>
          <w:bCs/>
          <w:color w:val="auto"/>
          <w:sz w:val="24"/>
          <w:szCs w:val="24"/>
        </w:rPr>
        <w:t>交付给</w:t>
      </w:r>
      <w:r>
        <w:rPr>
          <w:rFonts w:hint="eastAsia" w:ascii="宋体" w:hAnsi="宋体" w:cs="宋体"/>
          <w:color w:val="auto"/>
          <w:sz w:val="24"/>
          <w:szCs w:val="24"/>
        </w:rPr>
        <w:t>供应商</w:t>
      </w:r>
      <w:r>
        <w:rPr>
          <w:rFonts w:hint="eastAsia" w:ascii="宋体" w:hAnsi="宋体" w:cs="宋体"/>
          <w:bCs/>
          <w:color w:val="auto"/>
          <w:sz w:val="24"/>
          <w:szCs w:val="24"/>
        </w:rPr>
        <w:t>前的设备设施是损坏的，</w:t>
      </w:r>
      <w:r>
        <w:rPr>
          <w:rFonts w:hint="eastAsia" w:ascii="宋体" w:hAnsi="宋体" w:cs="宋体"/>
          <w:color w:val="auto"/>
          <w:sz w:val="24"/>
          <w:szCs w:val="24"/>
        </w:rPr>
        <w:t>由供应商进行维修或更换，维修或更换后交付采购人，若供应商拒不维修或更换的，采购人有权从履约保证金中扣除相应部分费用用于维修或更换此类设备设施。</w:t>
      </w:r>
    </w:p>
    <w:p>
      <w:pPr>
        <w:spacing w:line="360" w:lineRule="auto"/>
        <w:ind w:firstLine="480" w:firstLineChars="200"/>
        <w:rPr>
          <w:color w:val="auto"/>
        </w:rPr>
      </w:pPr>
      <w:r>
        <w:rPr>
          <w:rFonts w:hint="eastAsia" w:ascii="宋体" w:hAnsi="宋体" w:cs="宋体"/>
          <w:color w:val="auto"/>
          <w:sz w:val="24"/>
          <w:szCs w:val="24"/>
        </w:rPr>
        <w:t>4、税率为____</w:t>
      </w:r>
      <w:r>
        <w:rPr>
          <w:rFonts w:hint="eastAsia" w:ascii="宋体" w:hAnsi="宋体" w:cs="宋体"/>
          <w:color w:val="auto"/>
          <w:sz w:val="24"/>
          <w:szCs w:val="24"/>
          <w:lang w:val="zh-CN"/>
        </w:rPr>
        <w:t>%</w:t>
      </w:r>
      <w:r>
        <w:rPr>
          <w:rFonts w:hint="eastAsia" w:ascii="宋体" w:hAnsi="宋体" w:cs="宋体"/>
          <w:color w:val="auto"/>
          <w:sz w:val="24"/>
          <w:szCs w:val="24"/>
        </w:rPr>
        <w:t>。</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5、本合同执行到期后，采购人在30日内结算出供应商所有加工服务费用，30日内采购人付清余款和退还履约保证金。</w:t>
      </w:r>
    </w:p>
    <w:p>
      <w:pPr>
        <w:widowControl/>
        <w:snapToGrid w:val="0"/>
        <w:spacing w:line="360" w:lineRule="auto"/>
        <w:jc w:val="left"/>
        <w:outlineLvl w:val="1"/>
        <w:rPr>
          <w:rFonts w:ascii="宋体" w:hAnsi="宋体" w:cs="宋体"/>
          <w:b/>
          <w:bCs/>
          <w:color w:val="auto"/>
          <w:kern w:val="0"/>
          <w:sz w:val="24"/>
          <w:szCs w:val="24"/>
        </w:rPr>
      </w:pPr>
      <w:r>
        <w:rPr>
          <w:rFonts w:hint="eastAsia" w:ascii="宋体" w:hAnsi="宋体" w:cs="宋体"/>
          <w:b/>
          <w:bCs/>
          <w:color w:val="auto"/>
          <w:kern w:val="0"/>
          <w:sz w:val="24"/>
          <w:szCs w:val="24"/>
        </w:rPr>
        <w:t>十、</w:t>
      </w:r>
      <w:bookmarkStart w:id="26" w:name="_Toc493842041"/>
      <w:bookmarkStart w:id="27" w:name="_Hlk496998387"/>
      <w:r>
        <w:rPr>
          <w:rFonts w:hint="eastAsia" w:ascii="宋体" w:hAnsi="宋体" w:cs="宋体"/>
          <w:b/>
          <w:bCs/>
          <w:color w:val="auto"/>
          <w:kern w:val="0"/>
          <w:sz w:val="24"/>
          <w:szCs w:val="24"/>
        </w:rPr>
        <w:t>绩效考核</w:t>
      </w:r>
      <w:bookmarkEnd w:id="26"/>
    </w:p>
    <w:p>
      <w:pPr>
        <w:spacing w:line="360" w:lineRule="auto"/>
        <w:ind w:firstLine="480" w:firstLineChars="200"/>
        <w:rPr>
          <w:rFonts w:ascii="宋体" w:hAnsi="宋体" w:cs="宋体"/>
          <w:color w:val="auto"/>
          <w:sz w:val="24"/>
          <w:szCs w:val="24"/>
        </w:rPr>
      </w:pPr>
      <w:bookmarkStart w:id="28" w:name="_Toc493842043"/>
      <w:r>
        <w:rPr>
          <w:rFonts w:hint="eastAsia" w:ascii="宋体" w:hAnsi="宋体" w:cs="宋体"/>
          <w:color w:val="auto"/>
          <w:sz w:val="24"/>
          <w:szCs w:val="24"/>
          <w:lang w:val="zh-CN"/>
        </w:rPr>
        <w:t>合同期间依据</w:t>
      </w:r>
      <w:r>
        <w:rPr>
          <w:rFonts w:hint="eastAsia" w:ascii="宋体" w:hAnsi="宋体" w:cs="宋体"/>
          <w:color w:val="auto"/>
          <w:sz w:val="24"/>
          <w:szCs w:val="24"/>
        </w:rPr>
        <w:t>考核表内容（附件一）每月</w:t>
      </w:r>
      <w:r>
        <w:rPr>
          <w:rFonts w:hint="eastAsia" w:ascii="宋体" w:hAnsi="宋体" w:cs="宋体"/>
          <w:color w:val="auto"/>
          <w:sz w:val="24"/>
          <w:szCs w:val="24"/>
          <w:lang w:val="zh-CN"/>
        </w:rPr>
        <w:t>进行考核，</w:t>
      </w:r>
      <w:r>
        <w:rPr>
          <w:rFonts w:hint="eastAsia" w:ascii="宋体" w:hAnsi="宋体" w:cs="宋体"/>
          <w:color w:val="auto"/>
          <w:sz w:val="24"/>
          <w:szCs w:val="24"/>
        </w:rPr>
        <w:t>甲方将</w:t>
      </w:r>
      <w:r>
        <w:rPr>
          <w:rFonts w:hint="eastAsia" w:ascii="宋体" w:hAnsi="宋体" w:cs="宋体"/>
          <w:color w:val="auto"/>
          <w:sz w:val="24"/>
          <w:szCs w:val="24"/>
          <w:lang w:val="zh-CN"/>
        </w:rPr>
        <w:t>根据考核结果以确定是否提前终止合同、正常终止合同。</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运营期绩效考核以每一个月为考核周期，每个月末计算考核成绩，具体考核办法如下：</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考核成绩在90分及以上的，绩效考核系数为1；</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考核成绩为9</w:t>
      </w:r>
      <w:r>
        <w:rPr>
          <w:rFonts w:hint="eastAsia" w:ascii="宋体" w:hAnsi="宋体" w:cs="宋体"/>
          <w:color w:val="auto"/>
          <w:sz w:val="24"/>
          <w:szCs w:val="24"/>
          <w:lang w:eastAsia="zh-TW"/>
        </w:rPr>
        <w:t>0</w:t>
      </w:r>
      <w:r>
        <w:rPr>
          <w:rFonts w:hint="eastAsia" w:ascii="宋体" w:hAnsi="宋体" w:cs="宋体"/>
          <w:color w:val="auto"/>
          <w:sz w:val="24"/>
          <w:szCs w:val="24"/>
        </w:rPr>
        <w:t>~80分的，</w:t>
      </w:r>
      <w:r>
        <w:rPr>
          <w:rFonts w:hint="eastAsia" w:ascii="宋体" w:hAnsi="宋体" w:cs="宋体"/>
          <w:bCs/>
          <w:color w:val="auto"/>
          <w:sz w:val="24"/>
          <w:szCs w:val="24"/>
        </w:rPr>
        <w:t>扣除服务费=（100-月考核分）×500元；</w:t>
      </w:r>
    </w:p>
    <w:p>
      <w:pPr>
        <w:spacing w:line="360" w:lineRule="auto"/>
        <w:ind w:firstLine="480" w:firstLineChars="200"/>
        <w:rPr>
          <w:rFonts w:ascii="宋体" w:hAnsi="宋体" w:cs="宋体"/>
          <w:sz w:val="24"/>
          <w:szCs w:val="24"/>
        </w:rPr>
      </w:pPr>
      <w:r>
        <w:rPr>
          <w:rFonts w:hint="eastAsia" w:ascii="宋体" w:hAnsi="宋体" w:cs="宋体"/>
          <w:sz w:val="24"/>
          <w:szCs w:val="24"/>
        </w:rPr>
        <w:t>考核成绩为8</w:t>
      </w:r>
      <w:r>
        <w:rPr>
          <w:rFonts w:hint="eastAsia" w:ascii="宋体" w:hAnsi="宋体" w:cs="宋体"/>
          <w:sz w:val="24"/>
          <w:szCs w:val="24"/>
          <w:lang w:eastAsia="zh-TW"/>
        </w:rPr>
        <w:t>0</w:t>
      </w:r>
      <w:r>
        <w:rPr>
          <w:rFonts w:hint="eastAsia" w:ascii="宋体" w:hAnsi="宋体" w:cs="宋体"/>
          <w:sz w:val="24"/>
          <w:szCs w:val="24"/>
        </w:rPr>
        <w:t>~70分的，</w:t>
      </w:r>
      <w:r>
        <w:rPr>
          <w:rFonts w:hint="eastAsia" w:ascii="宋体" w:hAnsi="宋体" w:cs="宋体"/>
          <w:bCs/>
          <w:sz w:val="24"/>
          <w:szCs w:val="24"/>
        </w:rPr>
        <w:t>扣除服务费=（100-月考核分）×800元；</w:t>
      </w:r>
    </w:p>
    <w:p>
      <w:pPr>
        <w:spacing w:line="360" w:lineRule="auto"/>
        <w:ind w:firstLine="480" w:firstLineChars="200"/>
        <w:rPr>
          <w:rFonts w:ascii="宋体" w:hAnsi="宋体" w:cs="宋体"/>
          <w:sz w:val="24"/>
          <w:szCs w:val="24"/>
        </w:rPr>
      </w:pPr>
      <w:r>
        <w:rPr>
          <w:rFonts w:hint="eastAsia" w:ascii="宋体" w:hAnsi="宋体" w:cs="宋体"/>
          <w:sz w:val="24"/>
          <w:szCs w:val="24"/>
        </w:rPr>
        <w:t>考核成绩为7</w:t>
      </w:r>
      <w:r>
        <w:rPr>
          <w:rFonts w:hint="eastAsia" w:ascii="宋体" w:hAnsi="宋体" w:cs="宋体"/>
          <w:sz w:val="24"/>
          <w:szCs w:val="24"/>
          <w:lang w:eastAsia="zh-TW"/>
        </w:rPr>
        <w:t>0</w:t>
      </w:r>
      <w:r>
        <w:rPr>
          <w:rFonts w:hint="eastAsia" w:ascii="宋体" w:hAnsi="宋体" w:cs="宋体"/>
          <w:sz w:val="24"/>
          <w:szCs w:val="24"/>
        </w:rPr>
        <w:t>~60分的，</w:t>
      </w:r>
      <w:r>
        <w:rPr>
          <w:rFonts w:hint="eastAsia" w:ascii="宋体" w:hAnsi="宋体" w:cs="宋体"/>
          <w:bCs/>
          <w:sz w:val="24"/>
          <w:szCs w:val="24"/>
        </w:rPr>
        <w:t>扣除服务费=（100-月考核分）×1000元；</w:t>
      </w:r>
    </w:p>
    <w:p>
      <w:pPr>
        <w:spacing w:line="360" w:lineRule="auto"/>
        <w:ind w:firstLine="480" w:firstLineChars="200"/>
        <w:rPr>
          <w:rFonts w:ascii="宋体" w:hAnsi="宋体" w:cs="宋体"/>
          <w:sz w:val="24"/>
          <w:szCs w:val="24"/>
        </w:rPr>
      </w:pPr>
      <w:r>
        <w:rPr>
          <w:rFonts w:hint="eastAsia" w:ascii="宋体" w:hAnsi="宋体" w:cs="宋体"/>
          <w:sz w:val="24"/>
          <w:szCs w:val="24"/>
        </w:rPr>
        <w:t>考核成绩在60分以下的，</w:t>
      </w:r>
      <w:r>
        <w:rPr>
          <w:rFonts w:hint="eastAsia" w:ascii="宋体" w:hAnsi="宋体" w:cs="宋体"/>
          <w:bCs/>
          <w:sz w:val="24"/>
          <w:szCs w:val="24"/>
        </w:rPr>
        <w:t>甲方可单方终止服务合同。</w:t>
      </w:r>
    </w:p>
    <w:p>
      <w:pPr>
        <w:jc w:val="center"/>
        <w:rPr>
          <w:rFonts w:ascii="宋体" w:hAnsi="宋体" w:cs="宋体"/>
          <w:b/>
          <w:bCs/>
          <w:szCs w:val="21"/>
        </w:rPr>
      </w:pPr>
    </w:p>
    <w:bookmarkEnd w:id="27"/>
    <w:bookmarkEnd w:id="28"/>
    <w:p>
      <w:pPr>
        <w:jc w:val="center"/>
        <w:rPr>
          <w:rFonts w:eastAsia="仿宋" w:cs="仿宋"/>
          <w:spacing w:val="31"/>
          <w:sz w:val="24"/>
        </w:rPr>
      </w:pPr>
    </w:p>
    <w:p>
      <w:pPr>
        <w:jc w:val="center"/>
        <w:rPr>
          <w:rFonts w:eastAsia="仿宋" w:cs="仿宋"/>
          <w:spacing w:val="31"/>
          <w:sz w:val="24"/>
        </w:rPr>
      </w:pPr>
    </w:p>
    <w:p>
      <w:pPr>
        <w:jc w:val="center"/>
        <w:rPr>
          <w:rFonts w:eastAsia="仿宋" w:cs="仿宋"/>
          <w:spacing w:val="31"/>
          <w:sz w:val="24"/>
        </w:rPr>
      </w:pPr>
    </w:p>
    <w:p>
      <w:pPr>
        <w:jc w:val="center"/>
        <w:rPr>
          <w:rFonts w:eastAsia="仿宋" w:cs="仿宋"/>
          <w:spacing w:val="31"/>
          <w:sz w:val="24"/>
        </w:rPr>
      </w:pPr>
    </w:p>
    <w:p>
      <w:pPr>
        <w:jc w:val="center"/>
        <w:rPr>
          <w:rFonts w:eastAsia="仿宋" w:cs="仿宋"/>
          <w:spacing w:val="31"/>
          <w:sz w:val="24"/>
        </w:rPr>
      </w:pPr>
    </w:p>
    <w:p>
      <w:pPr>
        <w:jc w:val="center"/>
        <w:rPr>
          <w:rFonts w:eastAsia="仿宋" w:cs="仿宋"/>
          <w:spacing w:val="31"/>
          <w:sz w:val="24"/>
        </w:rPr>
      </w:pPr>
    </w:p>
    <w:p>
      <w:pPr>
        <w:jc w:val="center"/>
        <w:rPr>
          <w:rFonts w:hint="eastAsia" w:ascii="宋体" w:hAnsi="宋体" w:eastAsia="宋体" w:cs="宋体"/>
          <w:spacing w:val="31"/>
          <w:sz w:val="24"/>
        </w:rPr>
      </w:pPr>
      <w:r>
        <w:rPr>
          <w:rFonts w:eastAsia="仿宋" w:cs="仿宋"/>
          <w:spacing w:val="31"/>
          <w:sz w:val="24"/>
        </w:rPr>
        <w:br w:type="page"/>
      </w:r>
      <w:r>
        <w:rPr>
          <w:rFonts w:hint="eastAsia" w:ascii="宋体" w:hAnsi="宋体" w:eastAsia="宋体" w:cs="宋体"/>
          <w:spacing w:val="31"/>
          <w:sz w:val="24"/>
        </w:rPr>
        <w:t>月度考核评分表</w:t>
      </w:r>
    </w:p>
    <w:tbl>
      <w:tblPr>
        <w:tblStyle w:val="48"/>
        <w:tblW w:w="9215" w:type="dxa"/>
        <w:jc w:val="center"/>
        <w:tblLayout w:type="fixed"/>
        <w:tblCellMar>
          <w:top w:w="0" w:type="dxa"/>
          <w:left w:w="108" w:type="dxa"/>
          <w:bottom w:w="0" w:type="dxa"/>
          <w:right w:w="108" w:type="dxa"/>
        </w:tblCellMar>
      </w:tblPr>
      <w:tblGrid>
        <w:gridCol w:w="1135"/>
        <w:gridCol w:w="4536"/>
        <w:gridCol w:w="709"/>
        <w:gridCol w:w="708"/>
        <w:gridCol w:w="2127"/>
      </w:tblGrid>
      <w:tr>
        <w:tblPrEx>
          <w:tblCellMar>
            <w:top w:w="0" w:type="dxa"/>
            <w:left w:w="108" w:type="dxa"/>
            <w:bottom w:w="0" w:type="dxa"/>
            <w:right w:w="108" w:type="dxa"/>
          </w:tblCellMar>
        </w:tblPrEx>
        <w:trPr>
          <w:trHeight w:val="392" w:hRule="atLeast"/>
          <w:jc w:val="center"/>
        </w:trPr>
        <w:tc>
          <w:tcPr>
            <w:tcW w:w="1135" w:type="dxa"/>
            <w:tcBorders>
              <w:top w:val="single" w:color="auto" w:sz="4" w:space="0"/>
              <w:left w:val="single" w:color="auto" w:sz="4" w:space="0"/>
              <w:bottom w:val="nil"/>
              <w:right w:val="nil"/>
            </w:tcBorders>
            <w:shd w:val="clear" w:color="auto" w:fill="FFFFFF"/>
            <w:vAlign w:val="center"/>
          </w:tcPr>
          <w:p>
            <w:pPr>
              <w:jc w:val="center"/>
              <w:rPr>
                <w:rFonts w:ascii="宋体" w:hAnsi="宋体" w:cs="宋体"/>
                <w:b/>
                <w:szCs w:val="21"/>
              </w:rPr>
            </w:pPr>
            <w:r>
              <w:rPr>
                <w:rFonts w:hint="eastAsia" w:ascii="宋体" w:hAnsi="宋体" w:cs="宋体"/>
                <w:b/>
                <w:kern w:val="0"/>
                <w:szCs w:val="21"/>
                <w:lang w:bidi="ar"/>
              </w:rPr>
              <w:t>指标类别</w:t>
            </w:r>
          </w:p>
        </w:tc>
        <w:tc>
          <w:tcPr>
            <w:tcW w:w="4536" w:type="dxa"/>
            <w:tcBorders>
              <w:top w:val="single" w:color="auto" w:sz="4" w:space="0"/>
              <w:left w:val="single" w:color="auto" w:sz="4" w:space="0"/>
              <w:bottom w:val="nil"/>
              <w:right w:val="single" w:color="auto" w:sz="4" w:space="0"/>
            </w:tcBorders>
            <w:shd w:val="clear" w:color="auto" w:fill="FFFFFF"/>
            <w:vAlign w:val="center"/>
          </w:tcPr>
          <w:p>
            <w:pPr>
              <w:jc w:val="center"/>
              <w:rPr>
                <w:rFonts w:ascii="宋体" w:hAnsi="宋体" w:cs="宋体"/>
                <w:b/>
                <w:szCs w:val="21"/>
              </w:rPr>
            </w:pPr>
            <w:r>
              <w:rPr>
                <w:rFonts w:hint="eastAsia" w:ascii="宋体" w:hAnsi="宋体" w:cs="宋体"/>
                <w:b/>
                <w:kern w:val="0"/>
                <w:szCs w:val="21"/>
                <w:lang w:bidi="ar"/>
              </w:rPr>
              <w:t>指标要求</w:t>
            </w:r>
          </w:p>
        </w:tc>
        <w:tc>
          <w:tcPr>
            <w:tcW w:w="709" w:type="dxa"/>
            <w:tcBorders>
              <w:top w:val="single" w:color="auto" w:sz="4" w:space="0"/>
              <w:left w:val="single" w:color="auto" w:sz="4" w:space="0"/>
              <w:bottom w:val="nil"/>
              <w:right w:val="single" w:color="auto" w:sz="4" w:space="0"/>
            </w:tcBorders>
            <w:shd w:val="clear" w:color="auto" w:fill="FFFFFF"/>
            <w:vAlign w:val="center"/>
          </w:tcPr>
          <w:p>
            <w:pPr>
              <w:jc w:val="center"/>
              <w:rPr>
                <w:rFonts w:ascii="宋体" w:hAnsi="宋体" w:cs="宋体"/>
                <w:b/>
                <w:szCs w:val="21"/>
              </w:rPr>
            </w:pPr>
            <w:r>
              <w:rPr>
                <w:rFonts w:hint="eastAsia" w:ascii="宋体" w:hAnsi="宋体" w:cs="宋体"/>
                <w:b/>
                <w:kern w:val="0"/>
                <w:szCs w:val="21"/>
                <w:lang w:bidi="ar"/>
              </w:rPr>
              <w:t>权重</w:t>
            </w:r>
          </w:p>
        </w:tc>
        <w:tc>
          <w:tcPr>
            <w:tcW w:w="708" w:type="dxa"/>
            <w:tcBorders>
              <w:top w:val="single" w:color="auto" w:sz="4" w:space="0"/>
              <w:left w:val="single" w:color="auto" w:sz="4" w:space="0"/>
              <w:bottom w:val="nil"/>
              <w:right w:val="single" w:color="auto" w:sz="4" w:space="0"/>
            </w:tcBorders>
            <w:shd w:val="clear" w:color="auto" w:fill="FFFFFF"/>
            <w:vAlign w:val="center"/>
          </w:tcPr>
          <w:p>
            <w:pPr>
              <w:jc w:val="center"/>
              <w:rPr>
                <w:rFonts w:ascii="宋体" w:hAnsi="宋体" w:cs="宋体"/>
                <w:b/>
                <w:szCs w:val="21"/>
              </w:rPr>
            </w:pPr>
            <w:r>
              <w:rPr>
                <w:rFonts w:hint="eastAsia" w:ascii="宋体" w:hAnsi="宋体" w:cs="宋体"/>
                <w:b/>
                <w:kern w:val="0"/>
                <w:szCs w:val="21"/>
                <w:lang w:bidi="ar"/>
              </w:rPr>
              <w:t>得分</w:t>
            </w:r>
          </w:p>
        </w:tc>
        <w:tc>
          <w:tcPr>
            <w:tcW w:w="2127" w:type="dxa"/>
            <w:tcBorders>
              <w:top w:val="single" w:color="auto" w:sz="4" w:space="0"/>
              <w:left w:val="single" w:color="auto" w:sz="4" w:space="0"/>
              <w:bottom w:val="nil"/>
              <w:right w:val="single" w:color="auto" w:sz="4" w:space="0"/>
            </w:tcBorders>
            <w:shd w:val="clear" w:color="auto" w:fill="FFFFFF"/>
            <w:vAlign w:val="center"/>
          </w:tcPr>
          <w:p>
            <w:pPr>
              <w:jc w:val="center"/>
              <w:rPr>
                <w:rFonts w:ascii="宋体" w:hAnsi="宋体" w:cs="宋体"/>
                <w:b/>
                <w:szCs w:val="21"/>
              </w:rPr>
            </w:pPr>
            <w:r>
              <w:rPr>
                <w:rFonts w:hint="eastAsia" w:ascii="宋体" w:hAnsi="宋体" w:cs="宋体"/>
                <w:b/>
                <w:kern w:val="0"/>
                <w:szCs w:val="21"/>
                <w:lang w:bidi="ar"/>
              </w:rPr>
              <w:t>扣分依据</w:t>
            </w:r>
          </w:p>
        </w:tc>
      </w:tr>
      <w:tr>
        <w:tblPrEx>
          <w:tblCellMar>
            <w:top w:w="0" w:type="dxa"/>
            <w:left w:w="108" w:type="dxa"/>
            <w:bottom w:w="0" w:type="dxa"/>
            <w:right w:w="108" w:type="dxa"/>
          </w:tblCellMar>
        </w:tblPrEx>
        <w:trPr>
          <w:trHeight w:val="504" w:hRule="atLeast"/>
          <w:jc w:val="center"/>
        </w:trPr>
        <w:tc>
          <w:tcPr>
            <w:tcW w:w="1135" w:type="dxa"/>
            <w:vMerge w:val="restart"/>
            <w:tcBorders>
              <w:top w:val="single" w:color="auto" w:sz="4" w:space="0"/>
              <w:left w:val="single" w:color="auto" w:sz="4" w:space="0"/>
              <w:bottom w:val="nil"/>
              <w:right w:val="nil"/>
            </w:tcBorders>
            <w:shd w:val="clear" w:color="auto" w:fill="FFFFFF"/>
            <w:vAlign w:val="center"/>
          </w:tcPr>
          <w:p>
            <w:pPr>
              <w:jc w:val="center"/>
              <w:rPr>
                <w:rFonts w:ascii="宋体" w:hAnsi="宋体" w:cs="宋体"/>
                <w:szCs w:val="21"/>
              </w:rPr>
            </w:pPr>
            <w:r>
              <w:rPr>
                <w:rFonts w:hint="eastAsia" w:ascii="宋体" w:hAnsi="宋体" w:cs="宋体"/>
                <w:kern w:val="0"/>
                <w:szCs w:val="21"/>
                <w:lang w:bidi="ar"/>
              </w:rPr>
              <w:t>内部管理</w:t>
            </w:r>
          </w:p>
        </w:tc>
        <w:tc>
          <w:tcPr>
            <w:tcW w:w="4536" w:type="dxa"/>
            <w:tcBorders>
              <w:top w:val="single" w:color="auto" w:sz="4" w:space="0"/>
              <w:left w:val="single" w:color="auto" w:sz="4" w:space="0"/>
              <w:bottom w:val="nil"/>
              <w:right w:val="single" w:color="auto" w:sz="4" w:space="0"/>
            </w:tcBorders>
            <w:shd w:val="clear" w:color="auto" w:fill="FFFFFF"/>
            <w:vAlign w:val="center"/>
          </w:tcPr>
          <w:p>
            <w:pPr>
              <w:jc w:val="left"/>
              <w:rPr>
                <w:rFonts w:ascii="宋体" w:hAnsi="宋体" w:cs="宋体"/>
                <w:szCs w:val="21"/>
              </w:rPr>
            </w:pPr>
            <w:r>
              <w:rPr>
                <w:rFonts w:hint="eastAsia" w:ascii="宋体" w:hAnsi="宋体" w:cs="宋体"/>
                <w:kern w:val="0"/>
                <w:szCs w:val="21"/>
                <w:lang w:bidi="ar"/>
              </w:rPr>
              <w:t>建立完善的管理制度，包括队伍建设、安全生产、检查考核、奖惩、作业规范应急预案等,并报实施机构备案。</w:t>
            </w:r>
          </w:p>
        </w:tc>
        <w:tc>
          <w:tcPr>
            <w:tcW w:w="709" w:type="dxa"/>
            <w:vMerge w:val="restart"/>
            <w:tcBorders>
              <w:top w:val="single" w:color="auto" w:sz="4" w:space="0"/>
              <w:left w:val="single" w:color="auto" w:sz="4" w:space="0"/>
              <w:bottom w:val="nil"/>
              <w:right w:val="single" w:color="auto" w:sz="4" w:space="0"/>
            </w:tcBorders>
            <w:shd w:val="clear" w:color="auto" w:fill="FFFFFF"/>
            <w:vAlign w:val="center"/>
          </w:tcPr>
          <w:p>
            <w:pPr>
              <w:jc w:val="center"/>
              <w:rPr>
                <w:rFonts w:ascii="宋体" w:hAnsi="宋体" w:cs="宋体"/>
                <w:szCs w:val="21"/>
              </w:rPr>
            </w:pPr>
            <w:r>
              <w:rPr>
                <w:rFonts w:hint="eastAsia" w:ascii="宋体" w:hAnsi="宋体" w:cs="宋体"/>
                <w:szCs w:val="21"/>
              </w:rPr>
              <w:t>20</w:t>
            </w:r>
          </w:p>
        </w:tc>
        <w:tc>
          <w:tcPr>
            <w:tcW w:w="708" w:type="dxa"/>
            <w:tcBorders>
              <w:top w:val="single" w:color="auto" w:sz="4" w:space="0"/>
              <w:left w:val="single" w:color="auto" w:sz="4" w:space="0"/>
              <w:bottom w:val="nil"/>
              <w:right w:val="single" w:color="auto" w:sz="4" w:space="0"/>
            </w:tcBorders>
            <w:shd w:val="clear" w:color="auto" w:fill="FFFFFF"/>
            <w:vAlign w:val="center"/>
          </w:tcPr>
          <w:p>
            <w:pPr>
              <w:jc w:val="center"/>
              <w:rPr>
                <w:rFonts w:ascii="宋体" w:hAnsi="宋体" w:cs="宋体"/>
                <w:szCs w:val="21"/>
              </w:rPr>
            </w:pPr>
          </w:p>
        </w:tc>
        <w:tc>
          <w:tcPr>
            <w:tcW w:w="2127" w:type="dxa"/>
            <w:tcBorders>
              <w:top w:val="single" w:color="auto" w:sz="4" w:space="0"/>
              <w:left w:val="single" w:color="auto" w:sz="4" w:space="0"/>
              <w:bottom w:val="nil"/>
              <w:right w:val="single" w:color="auto" w:sz="4" w:space="0"/>
            </w:tcBorders>
            <w:shd w:val="clear" w:color="auto" w:fill="FFFFFF"/>
            <w:vAlign w:val="center"/>
          </w:tcPr>
          <w:p>
            <w:pPr>
              <w:jc w:val="left"/>
              <w:rPr>
                <w:rFonts w:ascii="宋体" w:hAnsi="宋体" w:cs="宋体"/>
                <w:szCs w:val="21"/>
              </w:rPr>
            </w:pPr>
            <w:r>
              <w:rPr>
                <w:rFonts w:hint="eastAsia" w:ascii="宋体" w:hAnsi="宋体" w:cs="宋体"/>
                <w:kern w:val="0"/>
                <w:szCs w:val="21"/>
                <w:lang w:bidi="ar"/>
              </w:rPr>
              <w:t>各类制度未建立，建立不全或未备案的，每少一项扣2分。</w:t>
            </w:r>
          </w:p>
        </w:tc>
      </w:tr>
      <w:tr>
        <w:tblPrEx>
          <w:tblCellMar>
            <w:top w:w="0" w:type="dxa"/>
            <w:left w:w="108" w:type="dxa"/>
            <w:bottom w:w="0" w:type="dxa"/>
            <w:right w:w="108" w:type="dxa"/>
          </w:tblCellMar>
        </w:tblPrEx>
        <w:trPr>
          <w:trHeight w:val="504" w:hRule="atLeast"/>
          <w:jc w:val="center"/>
        </w:trPr>
        <w:tc>
          <w:tcPr>
            <w:tcW w:w="1135" w:type="dxa"/>
            <w:vMerge w:val="continue"/>
            <w:tcBorders>
              <w:top w:val="single" w:color="auto" w:sz="4" w:space="0"/>
              <w:left w:val="single" w:color="auto" w:sz="4" w:space="0"/>
              <w:bottom w:val="nil"/>
              <w:right w:val="nil"/>
            </w:tcBorders>
            <w:shd w:val="clear" w:color="auto" w:fill="FFFFFF"/>
            <w:vAlign w:val="center"/>
          </w:tcPr>
          <w:p>
            <w:pPr>
              <w:rPr>
                <w:rFonts w:ascii="宋体" w:hAnsi="宋体" w:cs="宋体"/>
                <w:szCs w:val="21"/>
              </w:rPr>
            </w:pPr>
          </w:p>
        </w:tc>
        <w:tc>
          <w:tcPr>
            <w:tcW w:w="4536" w:type="dxa"/>
            <w:tcBorders>
              <w:top w:val="single" w:color="auto" w:sz="4" w:space="0"/>
              <w:left w:val="single" w:color="auto" w:sz="4" w:space="0"/>
              <w:bottom w:val="nil"/>
              <w:right w:val="single" w:color="auto" w:sz="4" w:space="0"/>
            </w:tcBorders>
            <w:shd w:val="clear" w:color="auto" w:fill="FFFFFF"/>
            <w:vAlign w:val="center"/>
          </w:tcPr>
          <w:p>
            <w:pPr>
              <w:jc w:val="left"/>
              <w:rPr>
                <w:rFonts w:ascii="宋体" w:hAnsi="宋体" w:cs="宋体"/>
                <w:szCs w:val="21"/>
              </w:rPr>
            </w:pPr>
            <w:r>
              <w:rPr>
                <w:rFonts w:hint="eastAsia" w:ascii="宋体" w:hAnsi="宋体" w:cs="宋体"/>
                <w:kern w:val="0"/>
                <w:szCs w:val="21"/>
                <w:lang w:bidi="ar"/>
              </w:rPr>
              <w:t>每季度开展一次工作人员业务培训，并做好培训记录。</w:t>
            </w:r>
          </w:p>
        </w:tc>
        <w:tc>
          <w:tcPr>
            <w:tcW w:w="709" w:type="dxa"/>
            <w:vMerge w:val="continue"/>
            <w:tcBorders>
              <w:top w:val="single" w:color="auto" w:sz="4" w:space="0"/>
              <w:left w:val="single" w:color="auto" w:sz="4" w:space="0"/>
              <w:bottom w:val="nil"/>
              <w:right w:val="single" w:color="auto" w:sz="4" w:space="0"/>
            </w:tcBorders>
            <w:shd w:val="clear" w:color="auto" w:fill="FFFFFF"/>
            <w:vAlign w:val="center"/>
          </w:tcPr>
          <w:p>
            <w:pPr>
              <w:rPr>
                <w:rFonts w:ascii="宋体" w:hAnsi="宋体" w:cs="宋体"/>
                <w:szCs w:val="21"/>
              </w:rPr>
            </w:pPr>
          </w:p>
        </w:tc>
        <w:tc>
          <w:tcPr>
            <w:tcW w:w="708" w:type="dxa"/>
            <w:tcBorders>
              <w:top w:val="single" w:color="auto" w:sz="4" w:space="0"/>
              <w:left w:val="single" w:color="auto" w:sz="4" w:space="0"/>
              <w:bottom w:val="nil"/>
              <w:right w:val="single" w:color="auto" w:sz="4" w:space="0"/>
            </w:tcBorders>
            <w:shd w:val="clear" w:color="auto" w:fill="FFFFFF"/>
            <w:vAlign w:val="center"/>
          </w:tcPr>
          <w:p>
            <w:pPr>
              <w:jc w:val="center"/>
              <w:rPr>
                <w:rFonts w:ascii="宋体" w:hAnsi="宋体" w:cs="宋体"/>
                <w:szCs w:val="21"/>
              </w:rPr>
            </w:pPr>
          </w:p>
        </w:tc>
        <w:tc>
          <w:tcPr>
            <w:tcW w:w="2127" w:type="dxa"/>
            <w:tcBorders>
              <w:top w:val="single" w:color="auto" w:sz="4" w:space="0"/>
              <w:left w:val="single" w:color="auto" w:sz="4" w:space="0"/>
              <w:bottom w:val="nil"/>
              <w:right w:val="single" w:color="auto" w:sz="4" w:space="0"/>
            </w:tcBorders>
            <w:shd w:val="clear" w:color="auto" w:fill="FFFFFF"/>
            <w:vAlign w:val="center"/>
          </w:tcPr>
          <w:p>
            <w:pPr>
              <w:jc w:val="left"/>
              <w:rPr>
                <w:rFonts w:ascii="宋体" w:hAnsi="宋体" w:cs="宋体"/>
                <w:szCs w:val="21"/>
              </w:rPr>
            </w:pPr>
            <w:r>
              <w:rPr>
                <w:rFonts w:hint="eastAsia" w:ascii="宋体" w:hAnsi="宋体" w:cs="宋体"/>
                <w:kern w:val="0"/>
                <w:szCs w:val="21"/>
                <w:lang w:bidi="ar"/>
              </w:rPr>
              <w:t>未做到或培训无记录的，每次扣2分。</w:t>
            </w:r>
          </w:p>
        </w:tc>
      </w:tr>
      <w:tr>
        <w:tblPrEx>
          <w:tblCellMar>
            <w:top w:w="0" w:type="dxa"/>
            <w:left w:w="108" w:type="dxa"/>
            <w:bottom w:w="0" w:type="dxa"/>
            <w:right w:w="108" w:type="dxa"/>
          </w:tblCellMar>
        </w:tblPrEx>
        <w:trPr>
          <w:trHeight w:val="418" w:hRule="atLeast"/>
          <w:jc w:val="center"/>
        </w:trPr>
        <w:tc>
          <w:tcPr>
            <w:tcW w:w="1135" w:type="dxa"/>
            <w:vMerge w:val="restart"/>
            <w:tcBorders>
              <w:top w:val="single" w:color="auto" w:sz="4" w:space="0"/>
              <w:left w:val="single" w:color="auto" w:sz="4" w:space="0"/>
              <w:bottom w:val="nil"/>
              <w:right w:val="nil"/>
            </w:tcBorders>
            <w:shd w:val="clear" w:color="auto" w:fill="FFFFFF"/>
            <w:vAlign w:val="center"/>
          </w:tcPr>
          <w:p>
            <w:pPr>
              <w:jc w:val="center"/>
              <w:rPr>
                <w:rFonts w:ascii="宋体" w:hAnsi="宋体" w:cs="宋体"/>
                <w:szCs w:val="21"/>
              </w:rPr>
            </w:pPr>
            <w:r>
              <w:rPr>
                <w:rFonts w:hint="eastAsia" w:ascii="宋体" w:hAnsi="宋体" w:cs="宋体"/>
                <w:kern w:val="0"/>
                <w:szCs w:val="21"/>
                <w:lang w:bidi="ar"/>
              </w:rPr>
              <w:t>文明、安全生产</w:t>
            </w:r>
          </w:p>
        </w:tc>
        <w:tc>
          <w:tcPr>
            <w:tcW w:w="4536" w:type="dxa"/>
            <w:tcBorders>
              <w:top w:val="single" w:color="auto" w:sz="4" w:space="0"/>
              <w:left w:val="single" w:color="auto" w:sz="4" w:space="0"/>
              <w:bottom w:val="nil"/>
              <w:right w:val="single" w:color="auto" w:sz="4" w:space="0"/>
            </w:tcBorders>
            <w:shd w:val="clear" w:color="auto" w:fill="FFFFFF"/>
            <w:vAlign w:val="center"/>
          </w:tcPr>
          <w:p>
            <w:pPr>
              <w:jc w:val="left"/>
              <w:rPr>
                <w:rFonts w:ascii="宋体" w:hAnsi="宋体" w:cs="宋体"/>
                <w:szCs w:val="21"/>
              </w:rPr>
            </w:pPr>
            <w:r>
              <w:rPr>
                <w:rFonts w:hint="eastAsia" w:ascii="宋体" w:hAnsi="宋体" w:cs="宋体"/>
                <w:kern w:val="0"/>
                <w:szCs w:val="21"/>
                <w:lang w:bidi="ar"/>
              </w:rPr>
              <w:t>服从行业主管部门业务指导，自觉接受检查、督促和考核。</w:t>
            </w:r>
          </w:p>
        </w:tc>
        <w:tc>
          <w:tcPr>
            <w:tcW w:w="709" w:type="dxa"/>
            <w:vMerge w:val="restart"/>
            <w:tcBorders>
              <w:top w:val="single" w:color="auto" w:sz="4" w:space="0"/>
              <w:left w:val="single" w:color="auto" w:sz="4" w:space="0"/>
              <w:bottom w:val="nil"/>
              <w:right w:val="single" w:color="auto" w:sz="4" w:space="0"/>
            </w:tcBorders>
            <w:shd w:val="clear" w:color="auto" w:fill="FFFFFF"/>
            <w:vAlign w:val="center"/>
          </w:tcPr>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40</w:t>
            </w:r>
          </w:p>
        </w:tc>
        <w:tc>
          <w:tcPr>
            <w:tcW w:w="708" w:type="dxa"/>
            <w:tcBorders>
              <w:top w:val="single" w:color="auto" w:sz="4" w:space="0"/>
              <w:left w:val="single" w:color="auto" w:sz="4" w:space="0"/>
              <w:bottom w:val="nil"/>
              <w:right w:val="single" w:color="auto" w:sz="4" w:space="0"/>
            </w:tcBorders>
            <w:shd w:val="clear" w:color="auto" w:fill="FFFFFF"/>
            <w:vAlign w:val="center"/>
          </w:tcPr>
          <w:p>
            <w:pPr>
              <w:jc w:val="center"/>
              <w:rPr>
                <w:rFonts w:ascii="宋体" w:hAnsi="宋体" w:cs="宋体"/>
                <w:szCs w:val="21"/>
              </w:rPr>
            </w:pPr>
          </w:p>
        </w:tc>
        <w:tc>
          <w:tcPr>
            <w:tcW w:w="2127" w:type="dxa"/>
            <w:tcBorders>
              <w:top w:val="single" w:color="auto" w:sz="4" w:space="0"/>
              <w:left w:val="single" w:color="auto" w:sz="4" w:space="0"/>
              <w:bottom w:val="nil"/>
              <w:right w:val="single" w:color="auto" w:sz="4" w:space="0"/>
            </w:tcBorders>
            <w:shd w:val="clear" w:color="auto" w:fill="FFFFFF"/>
            <w:vAlign w:val="center"/>
          </w:tcPr>
          <w:p>
            <w:pPr>
              <w:jc w:val="left"/>
              <w:rPr>
                <w:rFonts w:ascii="宋体" w:hAnsi="宋体" w:cs="宋体"/>
                <w:szCs w:val="21"/>
              </w:rPr>
            </w:pPr>
            <w:r>
              <w:rPr>
                <w:rFonts w:hint="eastAsia" w:ascii="宋体" w:hAnsi="宋体" w:cs="宋体"/>
                <w:kern w:val="0"/>
                <w:szCs w:val="21"/>
                <w:lang w:bidi="ar"/>
              </w:rPr>
              <w:t>未做到或有暴力对抗市监督管理部门的，每次扣10分。</w:t>
            </w:r>
          </w:p>
        </w:tc>
      </w:tr>
      <w:tr>
        <w:tblPrEx>
          <w:tblCellMar>
            <w:top w:w="0" w:type="dxa"/>
            <w:left w:w="108" w:type="dxa"/>
            <w:bottom w:w="0" w:type="dxa"/>
            <w:right w:w="108" w:type="dxa"/>
          </w:tblCellMar>
        </w:tblPrEx>
        <w:trPr>
          <w:trHeight w:val="418" w:hRule="atLeast"/>
          <w:jc w:val="center"/>
        </w:trPr>
        <w:tc>
          <w:tcPr>
            <w:tcW w:w="1135" w:type="dxa"/>
            <w:vMerge w:val="continue"/>
            <w:tcBorders>
              <w:top w:val="single" w:color="auto" w:sz="4" w:space="0"/>
              <w:left w:val="single" w:color="auto" w:sz="4" w:space="0"/>
              <w:bottom w:val="nil"/>
              <w:right w:val="nil"/>
            </w:tcBorders>
            <w:shd w:val="clear" w:color="auto" w:fill="FFFFFF"/>
            <w:vAlign w:val="center"/>
          </w:tcPr>
          <w:p>
            <w:pPr>
              <w:rPr>
                <w:rFonts w:ascii="宋体" w:hAnsi="宋体" w:cs="宋体"/>
                <w:szCs w:val="21"/>
              </w:rPr>
            </w:pPr>
          </w:p>
        </w:tc>
        <w:tc>
          <w:tcPr>
            <w:tcW w:w="4536" w:type="dxa"/>
            <w:tcBorders>
              <w:top w:val="single" w:color="auto" w:sz="4" w:space="0"/>
              <w:left w:val="single" w:color="auto" w:sz="4" w:space="0"/>
              <w:bottom w:val="nil"/>
              <w:right w:val="single" w:color="auto" w:sz="4" w:space="0"/>
            </w:tcBorders>
            <w:shd w:val="clear" w:color="auto" w:fill="FFFFFF"/>
            <w:vAlign w:val="center"/>
          </w:tcPr>
          <w:p>
            <w:pPr>
              <w:jc w:val="left"/>
              <w:rPr>
                <w:rFonts w:ascii="宋体" w:hAnsi="宋体" w:cs="宋体"/>
                <w:szCs w:val="21"/>
              </w:rPr>
            </w:pPr>
            <w:r>
              <w:rPr>
                <w:rFonts w:hint="eastAsia" w:ascii="宋体" w:hAnsi="宋体" w:cs="宋体"/>
                <w:kern w:val="0"/>
                <w:szCs w:val="21"/>
                <w:lang w:bidi="ar"/>
              </w:rPr>
              <w:t>应按法律法规规定做好防尘、降尘、防噪及污水排放等措施，厂区外达标排放。</w:t>
            </w:r>
          </w:p>
        </w:tc>
        <w:tc>
          <w:tcPr>
            <w:tcW w:w="709" w:type="dxa"/>
            <w:vMerge w:val="continue"/>
            <w:tcBorders>
              <w:top w:val="single" w:color="auto" w:sz="4" w:space="0"/>
              <w:left w:val="single" w:color="auto" w:sz="4" w:space="0"/>
              <w:bottom w:val="nil"/>
              <w:right w:val="single" w:color="auto" w:sz="4" w:space="0"/>
            </w:tcBorders>
            <w:shd w:val="clear" w:color="auto" w:fill="FFFFFF"/>
            <w:vAlign w:val="center"/>
          </w:tcPr>
          <w:p>
            <w:pPr>
              <w:rPr>
                <w:rFonts w:ascii="宋体" w:hAnsi="宋体" w:cs="宋体"/>
                <w:szCs w:val="21"/>
              </w:rPr>
            </w:pPr>
          </w:p>
        </w:tc>
        <w:tc>
          <w:tcPr>
            <w:tcW w:w="708" w:type="dxa"/>
            <w:tcBorders>
              <w:top w:val="single" w:color="auto" w:sz="4" w:space="0"/>
              <w:left w:val="single" w:color="auto" w:sz="4" w:space="0"/>
              <w:bottom w:val="nil"/>
              <w:right w:val="single" w:color="auto" w:sz="4" w:space="0"/>
            </w:tcBorders>
            <w:shd w:val="clear" w:color="auto" w:fill="FFFFFF"/>
            <w:vAlign w:val="center"/>
          </w:tcPr>
          <w:p>
            <w:pPr>
              <w:jc w:val="center"/>
              <w:rPr>
                <w:rFonts w:ascii="宋体" w:hAnsi="宋体" w:cs="宋体"/>
                <w:szCs w:val="21"/>
              </w:rPr>
            </w:pPr>
          </w:p>
        </w:tc>
        <w:tc>
          <w:tcPr>
            <w:tcW w:w="2127" w:type="dxa"/>
            <w:tcBorders>
              <w:top w:val="single" w:color="auto" w:sz="4" w:space="0"/>
              <w:left w:val="single" w:color="auto" w:sz="4" w:space="0"/>
              <w:bottom w:val="nil"/>
              <w:right w:val="single" w:color="auto" w:sz="4" w:space="0"/>
            </w:tcBorders>
            <w:shd w:val="clear" w:color="auto" w:fill="FFFFFF"/>
            <w:vAlign w:val="center"/>
          </w:tcPr>
          <w:p>
            <w:pPr>
              <w:jc w:val="left"/>
              <w:rPr>
                <w:rFonts w:ascii="宋体" w:hAnsi="宋体" w:cs="宋体"/>
                <w:szCs w:val="21"/>
              </w:rPr>
            </w:pPr>
            <w:r>
              <w:rPr>
                <w:rFonts w:hint="eastAsia" w:ascii="宋体" w:hAnsi="宋体" w:cs="宋体"/>
                <w:kern w:val="0"/>
                <w:szCs w:val="21"/>
                <w:lang w:bidi="ar"/>
              </w:rPr>
              <w:t>未做到，被上级行政主管部门查实的，每次扣5分。</w:t>
            </w:r>
          </w:p>
        </w:tc>
      </w:tr>
      <w:tr>
        <w:tblPrEx>
          <w:tblCellMar>
            <w:top w:w="0" w:type="dxa"/>
            <w:left w:w="108" w:type="dxa"/>
            <w:bottom w:w="0" w:type="dxa"/>
            <w:right w:w="108" w:type="dxa"/>
          </w:tblCellMar>
        </w:tblPrEx>
        <w:trPr>
          <w:trHeight w:val="422" w:hRule="atLeast"/>
          <w:jc w:val="center"/>
        </w:trPr>
        <w:tc>
          <w:tcPr>
            <w:tcW w:w="1135" w:type="dxa"/>
            <w:vMerge w:val="continue"/>
            <w:tcBorders>
              <w:top w:val="single" w:color="auto" w:sz="4" w:space="0"/>
              <w:left w:val="single" w:color="auto" w:sz="4" w:space="0"/>
              <w:bottom w:val="nil"/>
              <w:right w:val="nil"/>
            </w:tcBorders>
            <w:shd w:val="clear" w:color="auto" w:fill="FFFFFF"/>
            <w:vAlign w:val="center"/>
          </w:tcPr>
          <w:p>
            <w:pPr>
              <w:rPr>
                <w:rFonts w:ascii="宋体" w:hAnsi="宋体" w:cs="宋体"/>
                <w:szCs w:val="21"/>
              </w:rPr>
            </w:pPr>
          </w:p>
        </w:tc>
        <w:tc>
          <w:tcPr>
            <w:tcW w:w="4536" w:type="dxa"/>
            <w:tcBorders>
              <w:top w:val="single" w:color="auto" w:sz="4" w:space="0"/>
              <w:left w:val="single" w:color="auto" w:sz="4" w:space="0"/>
              <w:bottom w:val="nil"/>
              <w:right w:val="single" w:color="auto" w:sz="4" w:space="0"/>
            </w:tcBorders>
            <w:shd w:val="clear" w:color="auto" w:fill="FFFFFF"/>
            <w:vAlign w:val="center"/>
          </w:tcPr>
          <w:p>
            <w:pPr>
              <w:jc w:val="left"/>
              <w:rPr>
                <w:rFonts w:ascii="宋体" w:hAnsi="宋体" w:cs="宋体"/>
                <w:szCs w:val="21"/>
              </w:rPr>
            </w:pPr>
            <w:r>
              <w:rPr>
                <w:rFonts w:hint="eastAsia" w:ascii="宋体" w:hAnsi="宋体" w:cs="宋体"/>
                <w:kern w:val="0"/>
                <w:szCs w:val="21"/>
                <w:lang w:bidi="ar"/>
              </w:rPr>
              <w:t>做好建筑垃圾处置中心及周边的环境卫生保护。</w:t>
            </w:r>
          </w:p>
        </w:tc>
        <w:tc>
          <w:tcPr>
            <w:tcW w:w="709" w:type="dxa"/>
            <w:vMerge w:val="continue"/>
            <w:tcBorders>
              <w:top w:val="single" w:color="auto" w:sz="4" w:space="0"/>
              <w:left w:val="single" w:color="auto" w:sz="4" w:space="0"/>
              <w:bottom w:val="nil"/>
              <w:right w:val="single" w:color="auto" w:sz="4" w:space="0"/>
            </w:tcBorders>
            <w:shd w:val="clear" w:color="auto" w:fill="FFFFFF"/>
            <w:vAlign w:val="center"/>
          </w:tcPr>
          <w:p>
            <w:pPr>
              <w:rPr>
                <w:rFonts w:ascii="宋体" w:hAnsi="宋体" w:cs="宋体"/>
                <w:szCs w:val="21"/>
              </w:rPr>
            </w:pPr>
          </w:p>
        </w:tc>
        <w:tc>
          <w:tcPr>
            <w:tcW w:w="708" w:type="dxa"/>
            <w:tcBorders>
              <w:top w:val="single" w:color="auto" w:sz="4" w:space="0"/>
              <w:left w:val="single" w:color="auto" w:sz="4" w:space="0"/>
              <w:bottom w:val="nil"/>
              <w:right w:val="single" w:color="auto" w:sz="4" w:space="0"/>
            </w:tcBorders>
            <w:shd w:val="clear" w:color="auto" w:fill="FFFFFF"/>
            <w:vAlign w:val="center"/>
          </w:tcPr>
          <w:p>
            <w:pPr>
              <w:jc w:val="center"/>
              <w:rPr>
                <w:rFonts w:ascii="宋体" w:hAnsi="宋体" w:cs="宋体"/>
                <w:szCs w:val="21"/>
              </w:rPr>
            </w:pPr>
          </w:p>
        </w:tc>
        <w:tc>
          <w:tcPr>
            <w:tcW w:w="2127" w:type="dxa"/>
            <w:tcBorders>
              <w:top w:val="single" w:color="auto" w:sz="4" w:space="0"/>
              <w:left w:val="single" w:color="auto" w:sz="4" w:space="0"/>
              <w:bottom w:val="nil"/>
              <w:right w:val="single" w:color="auto" w:sz="4" w:space="0"/>
            </w:tcBorders>
            <w:shd w:val="clear" w:color="auto" w:fill="FFFFFF"/>
            <w:vAlign w:val="center"/>
          </w:tcPr>
          <w:p>
            <w:pPr>
              <w:jc w:val="left"/>
              <w:rPr>
                <w:rFonts w:ascii="宋体" w:hAnsi="宋体" w:cs="宋体"/>
                <w:szCs w:val="21"/>
              </w:rPr>
            </w:pPr>
            <w:r>
              <w:rPr>
                <w:rFonts w:hint="eastAsia" w:ascii="宋体" w:hAnsi="宋体" w:cs="宋体"/>
                <w:kern w:val="0"/>
                <w:szCs w:val="21"/>
                <w:lang w:bidi="ar"/>
              </w:rPr>
              <w:t>未做到，被上级行政主管部门查实的，每次扣5分。</w:t>
            </w:r>
          </w:p>
        </w:tc>
      </w:tr>
      <w:tr>
        <w:tblPrEx>
          <w:tblCellMar>
            <w:top w:w="0" w:type="dxa"/>
            <w:left w:w="108" w:type="dxa"/>
            <w:bottom w:w="0" w:type="dxa"/>
            <w:right w:w="108" w:type="dxa"/>
          </w:tblCellMar>
        </w:tblPrEx>
        <w:trPr>
          <w:trHeight w:val="422" w:hRule="atLeast"/>
          <w:jc w:val="center"/>
        </w:trPr>
        <w:tc>
          <w:tcPr>
            <w:tcW w:w="1135" w:type="dxa"/>
            <w:vMerge w:val="continue"/>
            <w:tcBorders>
              <w:top w:val="single" w:color="auto" w:sz="4" w:space="0"/>
              <w:left w:val="single" w:color="auto" w:sz="4" w:space="0"/>
              <w:bottom w:val="nil"/>
              <w:right w:val="nil"/>
            </w:tcBorders>
            <w:shd w:val="clear" w:color="auto" w:fill="FFFFFF"/>
            <w:vAlign w:val="center"/>
          </w:tcPr>
          <w:p>
            <w:pPr>
              <w:rPr>
                <w:rFonts w:ascii="宋体" w:hAnsi="宋体" w:cs="宋体"/>
                <w:szCs w:val="21"/>
              </w:rPr>
            </w:pPr>
          </w:p>
        </w:tc>
        <w:tc>
          <w:tcPr>
            <w:tcW w:w="4536" w:type="dxa"/>
            <w:tcBorders>
              <w:top w:val="single" w:color="auto" w:sz="4" w:space="0"/>
              <w:left w:val="single" w:color="auto" w:sz="4" w:space="0"/>
              <w:bottom w:val="nil"/>
              <w:right w:val="single" w:color="auto" w:sz="4" w:space="0"/>
            </w:tcBorders>
            <w:shd w:val="clear" w:color="auto" w:fill="FFFFFF"/>
            <w:vAlign w:val="center"/>
          </w:tcPr>
          <w:p>
            <w:pPr>
              <w:jc w:val="left"/>
              <w:rPr>
                <w:rFonts w:ascii="宋体" w:hAnsi="宋体" w:cs="宋体"/>
                <w:szCs w:val="21"/>
              </w:rPr>
            </w:pPr>
            <w:r>
              <w:rPr>
                <w:rFonts w:hint="eastAsia" w:ascii="宋体" w:hAnsi="宋体" w:cs="宋体"/>
                <w:kern w:val="0"/>
                <w:szCs w:val="21"/>
                <w:lang w:bidi="ar"/>
              </w:rPr>
              <w:t>对实施机构及上级部门提出的整改要求，应及时整改到位。</w:t>
            </w:r>
          </w:p>
        </w:tc>
        <w:tc>
          <w:tcPr>
            <w:tcW w:w="709" w:type="dxa"/>
            <w:vMerge w:val="continue"/>
            <w:tcBorders>
              <w:top w:val="single" w:color="auto" w:sz="4" w:space="0"/>
              <w:left w:val="single" w:color="auto" w:sz="4" w:space="0"/>
              <w:bottom w:val="nil"/>
              <w:right w:val="single" w:color="auto" w:sz="4" w:space="0"/>
            </w:tcBorders>
            <w:shd w:val="clear" w:color="auto" w:fill="FFFFFF"/>
            <w:vAlign w:val="center"/>
          </w:tcPr>
          <w:p>
            <w:pPr>
              <w:rPr>
                <w:rFonts w:ascii="宋体" w:hAnsi="宋体" w:cs="宋体"/>
                <w:szCs w:val="21"/>
              </w:rPr>
            </w:pPr>
          </w:p>
        </w:tc>
        <w:tc>
          <w:tcPr>
            <w:tcW w:w="708" w:type="dxa"/>
            <w:tcBorders>
              <w:top w:val="single" w:color="auto" w:sz="4" w:space="0"/>
              <w:left w:val="single" w:color="auto" w:sz="4" w:space="0"/>
              <w:bottom w:val="nil"/>
              <w:right w:val="single" w:color="auto" w:sz="4" w:space="0"/>
            </w:tcBorders>
            <w:shd w:val="clear" w:color="auto" w:fill="FFFFFF"/>
            <w:vAlign w:val="center"/>
          </w:tcPr>
          <w:p>
            <w:pPr>
              <w:jc w:val="center"/>
              <w:rPr>
                <w:rFonts w:ascii="宋体" w:hAnsi="宋体" w:cs="宋体"/>
                <w:szCs w:val="21"/>
              </w:rPr>
            </w:pPr>
          </w:p>
        </w:tc>
        <w:tc>
          <w:tcPr>
            <w:tcW w:w="2127" w:type="dxa"/>
            <w:tcBorders>
              <w:top w:val="single" w:color="auto" w:sz="4" w:space="0"/>
              <w:left w:val="single" w:color="auto" w:sz="4" w:space="0"/>
              <w:bottom w:val="nil"/>
              <w:right w:val="single" w:color="auto" w:sz="4" w:space="0"/>
            </w:tcBorders>
            <w:shd w:val="clear" w:color="auto" w:fill="FFFFFF"/>
          </w:tcPr>
          <w:p>
            <w:pPr>
              <w:jc w:val="left"/>
              <w:rPr>
                <w:rFonts w:ascii="宋体" w:hAnsi="宋体" w:cs="宋体"/>
                <w:szCs w:val="21"/>
              </w:rPr>
            </w:pPr>
            <w:r>
              <w:rPr>
                <w:rFonts w:hint="eastAsia" w:ascii="宋体" w:hAnsi="宋体" w:cs="宋体"/>
                <w:kern w:val="0"/>
                <w:szCs w:val="21"/>
                <w:lang w:bidi="ar"/>
              </w:rPr>
              <w:t>未做到，每次扣5分。</w:t>
            </w:r>
          </w:p>
        </w:tc>
      </w:tr>
      <w:tr>
        <w:tblPrEx>
          <w:tblCellMar>
            <w:top w:w="0" w:type="dxa"/>
            <w:left w:w="108" w:type="dxa"/>
            <w:bottom w:w="0" w:type="dxa"/>
            <w:right w:w="108" w:type="dxa"/>
          </w:tblCellMar>
        </w:tblPrEx>
        <w:trPr>
          <w:trHeight w:val="418" w:hRule="atLeast"/>
          <w:jc w:val="center"/>
        </w:trPr>
        <w:tc>
          <w:tcPr>
            <w:tcW w:w="1135" w:type="dxa"/>
            <w:vMerge w:val="continue"/>
            <w:tcBorders>
              <w:top w:val="single" w:color="auto" w:sz="4" w:space="0"/>
              <w:left w:val="single" w:color="auto" w:sz="4" w:space="0"/>
              <w:bottom w:val="nil"/>
              <w:right w:val="nil"/>
            </w:tcBorders>
            <w:shd w:val="clear" w:color="auto" w:fill="FFFFFF"/>
            <w:vAlign w:val="center"/>
          </w:tcPr>
          <w:p>
            <w:pPr>
              <w:rPr>
                <w:rFonts w:ascii="宋体" w:hAnsi="宋体" w:cs="宋体"/>
                <w:szCs w:val="21"/>
              </w:rPr>
            </w:pPr>
          </w:p>
        </w:tc>
        <w:tc>
          <w:tcPr>
            <w:tcW w:w="4536" w:type="dxa"/>
            <w:tcBorders>
              <w:top w:val="single" w:color="auto" w:sz="4" w:space="0"/>
              <w:left w:val="single" w:color="auto" w:sz="4" w:space="0"/>
              <w:bottom w:val="nil"/>
              <w:right w:val="single" w:color="auto" w:sz="4" w:space="0"/>
            </w:tcBorders>
            <w:shd w:val="clear" w:color="auto" w:fill="FFFFFF"/>
            <w:vAlign w:val="center"/>
          </w:tcPr>
          <w:p>
            <w:pPr>
              <w:jc w:val="left"/>
              <w:rPr>
                <w:rFonts w:ascii="宋体" w:hAnsi="宋体" w:cs="宋体"/>
                <w:szCs w:val="21"/>
              </w:rPr>
            </w:pPr>
            <w:r>
              <w:rPr>
                <w:rFonts w:hint="eastAsia" w:ascii="宋体" w:hAnsi="宋体" w:cs="宋体"/>
                <w:kern w:val="0"/>
                <w:szCs w:val="21"/>
                <w:lang w:bidi="ar"/>
              </w:rPr>
              <w:t>项目运作过程中出现的举报、信访、网络舆情等</w:t>
            </w:r>
          </w:p>
        </w:tc>
        <w:tc>
          <w:tcPr>
            <w:tcW w:w="709" w:type="dxa"/>
            <w:vMerge w:val="continue"/>
            <w:tcBorders>
              <w:top w:val="single" w:color="auto" w:sz="4" w:space="0"/>
              <w:left w:val="single" w:color="auto" w:sz="4" w:space="0"/>
              <w:bottom w:val="nil"/>
              <w:right w:val="single" w:color="auto" w:sz="4" w:space="0"/>
            </w:tcBorders>
            <w:shd w:val="clear" w:color="auto" w:fill="FFFFFF"/>
            <w:vAlign w:val="center"/>
          </w:tcPr>
          <w:p>
            <w:pPr>
              <w:rPr>
                <w:rFonts w:ascii="宋体" w:hAnsi="宋体" w:cs="宋体"/>
                <w:szCs w:val="21"/>
              </w:rPr>
            </w:pPr>
          </w:p>
        </w:tc>
        <w:tc>
          <w:tcPr>
            <w:tcW w:w="708" w:type="dxa"/>
            <w:tcBorders>
              <w:top w:val="single" w:color="auto" w:sz="4" w:space="0"/>
              <w:left w:val="single" w:color="auto" w:sz="4" w:space="0"/>
              <w:bottom w:val="nil"/>
              <w:right w:val="single" w:color="auto" w:sz="4" w:space="0"/>
            </w:tcBorders>
            <w:shd w:val="clear" w:color="auto" w:fill="FFFFFF"/>
            <w:vAlign w:val="center"/>
          </w:tcPr>
          <w:p>
            <w:pPr>
              <w:jc w:val="center"/>
              <w:rPr>
                <w:rFonts w:ascii="宋体" w:hAnsi="宋体" w:cs="宋体"/>
                <w:szCs w:val="21"/>
              </w:rPr>
            </w:pPr>
          </w:p>
        </w:tc>
        <w:tc>
          <w:tcPr>
            <w:tcW w:w="2127" w:type="dxa"/>
            <w:tcBorders>
              <w:top w:val="single" w:color="auto" w:sz="4" w:space="0"/>
              <w:left w:val="single" w:color="auto" w:sz="4" w:space="0"/>
              <w:bottom w:val="nil"/>
              <w:right w:val="single" w:color="auto" w:sz="4" w:space="0"/>
            </w:tcBorders>
            <w:shd w:val="clear" w:color="auto" w:fill="FFFFFF"/>
            <w:vAlign w:val="center"/>
          </w:tcPr>
          <w:p>
            <w:pPr>
              <w:jc w:val="left"/>
              <w:rPr>
                <w:rFonts w:ascii="宋体" w:hAnsi="宋体" w:cs="宋体"/>
                <w:szCs w:val="21"/>
              </w:rPr>
            </w:pPr>
            <w:r>
              <w:rPr>
                <w:rFonts w:hint="eastAsia" w:ascii="宋体" w:hAnsi="宋体" w:cs="宋体"/>
                <w:kern w:val="0"/>
                <w:szCs w:val="21"/>
                <w:lang w:bidi="ar"/>
              </w:rPr>
              <w:t>发生一起扣3分，不及时整改消除影响的每起扣5分。</w:t>
            </w:r>
          </w:p>
        </w:tc>
      </w:tr>
      <w:tr>
        <w:tblPrEx>
          <w:tblCellMar>
            <w:top w:w="0" w:type="dxa"/>
            <w:left w:w="108" w:type="dxa"/>
            <w:bottom w:w="0" w:type="dxa"/>
            <w:right w:w="108" w:type="dxa"/>
          </w:tblCellMar>
        </w:tblPrEx>
        <w:trPr>
          <w:trHeight w:val="442" w:hRule="atLeast"/>
          <w:jc w:val="center"/>
        </w:trPr>
        <w:tc>
          <w:tcPr>
            <w:tcW w:w="1135" w:type="dxa"/>
            <w:vMerge w:val="restart"/>
            <w:tcBorders>
              <w:top w:val="single" w:color="auto" w:sz="4" w:space="0"/>
              <w:left w:val="single" w:color="auto" w:sz="4" w:space="0"/>
              <w:bottom w:val="single" w:color="auto" w:sz="4" w:space="0"/>
              <w:right w:val="nil"/>
            </w:tcBorders>
            <w:shd w:val="clear" w:color="auto" w:fill="FFFFFF"/>
            <w:vAlign w:val="center"/>
          </w:tcPr>
          <w:p>
            <w:pPr>
              <w:autoSpaceDE w:val="0"/>
              <w:autoSpaceDN w:val="0"/>
              <w:adjustRightInd w:val="0"/>
              <w:jc w:val="center"/>
              <w:rPr>
                <w:rFonts w:ascii="宋体" w:hAnsi="宋体" w:cs="宋体"/>
                <w:szCs w:val="21"/>
              </w:rPr>
            </w:pPr>
            <w:r>
              <w:rPr>
                <w:rFonts w:hint="eastAsia" w:ascii="宋体" w:hAnsi="宋体" w:cs="宋体"/>
                <w:kern w:val="0"/>
                <w:szCs w:val="21"/>
                <w:lang w:bidi="ar"/>
              </w:rPr>
              <w:t>堆场管理</w:t>
            </w: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ascii="宋体" w:hAnsi="宋体" w:cs="宋体"/>
                <w:szCs w:val="21"/>
              </w:rPr>
            </w:pPr>
            <w:r>
              <w:rPr>
                <w:rFonts w:hint="eastAsia" w:ascii="宋体" w:hAnsi="宋体" w:cs="宋体"/>
                <w:kern w:val="0"/>
                <w:szCs w:val="21"/>
                <w:lang w:bidi="ar"/>
              </w:rPr>
              <w:t>功能区划分合理，建筑垃圾、矿石、工地弃渣、河道清淤废料、砂卵石、渣土分区进行堆放处置。</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szCs w:val="21"/>
              </w:rPr>
            </w:pPr>
            <w:r>
              <w:rPr>
                <w:rFonts w:hint="eastAsia" w:ascii="宋体" w:hAnsi="宋体" w:cs="宋体"/>
                <w:szCs w:val="21"/>
              </w:rPr>
              <w:t>30</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szCs w:val="21"/>
              </w:rPr>
            </w:pPr>
          </w:p>
        </w:tc>
        <w:tc>
          <w:tcPr>
            <w:tcW w:w="2127" w:type="dxa"/>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ascii="宋体" w:hAnsi="宋体" w:cs="宋体"/>
                <w:szCs w:val="21"/>
              </w:rPr>
            </w:pPr>
            <w:r>
              <w:rPr>
                <w:rFonts w:hint="eastAsia" w:ascii="宋体" w:hAnsi="宋体" w:cs="宋体"/>
                <w:kern w:val="0"/>
                <w:szCs w:val="21"/>
                <w:lang w:bidi="ar"/>
              </w:rPr>
              <w:t>功能区设置混乱，扣5分；未进行分区，扣3分。</w:t>
            </w:r>
          </w:p>
        </w:tc>
      </w:tr>
      <w:tr>
        <w:tblPrEx>
          <w:tblCellMar>
            <w:top w:w="0" w:type="dxa"/>
            <w:left w:w="108" w:type="dxa"/>
            <w:bottom w:w="0" w:type="dxa"/>
            <w:right w:w="108" w:type="dxa"/>
          </w:tblCellMar>
        </w:tblPrEx>
        <w:trPr>
          <w:trHeight w:val="442" w:hRule="atLeast"/>
          <w:jc w:val="center"/>
        </w:trPr>
        <w:tc>
          <w:tcPr>
            <w:tcW w:w="1135" w:type="dxa"/>
            <w:vMerge w:val="continue"/>
            <w:tcBorders>
              <w:top w:val="single" w:color="auto" w:sz="4" w:space="0"/>
              <w:left w:val="single" w:color="auto" w:sz="4" w:space="0"/>
              <w:bottom w:val="single" w:color="auto" w:sz="4" w:space="0"/>
              <w:right w:val="nil"/>
            </w:tcBorders>
            <w:shd w:val="clear" w:color="auto" w:fill="FFFFFF"/>
            <w:vAlign w:val="center"/>
          </w:tcPr>
          <w:p>
            <w:pPr>
              <w:rPr>
                <w:rFonts w:ascii="宋体" w:hAnsi="宋体" w:cs="宋体"/>
                <w:szCs w:val="21"/>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ascii="宋体" w:hAnsi="宋体" w:cs="宋体"/>
                <w:szCs w:val="21"/>
              </w:rPr>
            </w:pPr>
            <w:r>
              <w:rPr>
                <w:rFonts w:hint="eastAsia" w:ascii="宋体" w:hAnsi="宋体" w:cs="宋体"/>
                <w:kern w:val="0"/>
                <w:szCs w:val="21"/>
                <w:lang w:bidi="ar"/>
              </w:rPr>
              <w:t>车辆进出场区顺畅有序。</w:t>
            </w:r>
          </w:p>
        </w:tc>
        <w:tc>
          <w:tcPr>
            <w:tcW w:w="70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ascii="宋体" w:hAnsi="宋体" w:cs="宋体"/>
                <w:szCs w:val="21"/>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szCs w:val="21"/>
              </w:rPr>
            </w:pPr>
          </w:p>
        </w:tc>
        <w:tc>
          <w:tcPr>
            <w:tcW w:w="2127" w:type="dxa"/>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ascii="宋体" w:hAnsi="宋体" w:cs="宋体"/>
                <w:szCs w:val="21"/>
              </w:rPr>
            </w:pPr>
            <w:r>
              <w:rPr>
                <w:rFonts w:hint="eastAsia" w:ascii="宋体" w:hAnsi="宋体" w:cs="宋体"/>
                <w:kern w:val="0"/>
                <w:szCs w:val="21"/>
                <w:lang w:bidi="ar"/>
              </w:rPr>
              <w:t>未做到，每次扣3分。</w:t>
            </w:r>
          </w:p>
        </w:tc>
      </w:tr>
      <w:tr>
        <w:tblPrEx>
          <w:tblCellMar>
            <w:top w:w="0" w:type="dxa"/>
            <w:left w:w="108" w:type="dxa"/>
            <w:bottom w:w="0" w:type="dxa"/>
            <w:right w:w="108" w:type="dxa"/>
          </w:tblCellMar>
        </w:tblPrEx>
        <w:trPr>
          <w:trHeight w:val="600" w:hRule="atLeast"/>
          <w:jc w:val="center"/>
        </w:trPr>
        <w:tc>
          <w:tcPr>
            <w:tcW w:w="1135" w:type="dxa"/>
            <w:vMerge w:val="continue"/>
            <w:tcBorders>
              <w:top w:val="single" w:color="auto" w:sz="4" w:space="0"/>
              <w:left w:val="single" w:color="auto" w:sz="4" w:space="0"/>
              <w:bottom w:val="single" w:color="auto" w:sz="4" w:space="0"/>
              <w:right w:val="nil"/>
            </w:tcBorders>
            <w:shd w:val="clear" w:color="auto" w:fill="FFFFFF"/>
            <w:vAlign w:val="center"/>
          </w:tcPr>
          <w:p>
            <w:pPr>
              <w:rPr>
                <w:rFonts w:ascii="宋体" w:hAnsi="宋体" w:cs="宋体"/>
                <w:szCs w:val="21"/>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ascii="宋体" w:hAnsi="宋体" w:cs="宋体"/>
                <w:szCs w:val="21"/>
              </w:rPr>
            </w:pPr>
            <w:r>
              <w:rPr>
                <w:rFonts w:hint="eastAsia" w:ascii="宋体" w:hAnsi="宋体" w:cs="宋体"/>
                <w:kern w:val="0"/>
                <w:szCs w:val="21"/>
                <w:lang w:bidi="ar"/>
              </w:rPr>
              <w:t>场地内保持卫生整洁。</w:t>
            </w:r>
          </w:p>
        </w:tc>
        <w:tc>
          <w:tcPr>
            <w:tcW w:w="70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ascii="宋体" w:hAnsi="宋体" w:cs="宋体"/>
                <w:szCs w:val="21"/>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szCs w:val="21"/>
              </w:rPr>
            </w:pPr>
          </w:p>
        </w:tc>
        <w:tc>
          <w:tcPr>
            <w:tcW w:w="2127" w:type="dxa"/>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ascii="宋体" w:hAnsi="宋体" w:cs="宋体"/>
                <w:szCs w:val="21"/>
              </w:rPr>
            </w:pPr>
            <w:r>
              <w:rPr>
                <w:rFonts w:hint="eastAsia" w:ascii="宋体" w:hAnsi="宋体" w:cs="宋体"/>
                <w:kern w:val="0"/>
                <w:szCs w:val="21"/>
                <w:lang w:bidi="ar"/>
              </w:rPr>
              <w:t>未做到，每次扣3分。</w:t>
            </w:r>
          </w:p>
        </w:tc>
      </w:tr>
      <w:tr>
        <w:tblPrEx>
          <w:tblCellMar>
            <w:top w:w="0" w:type="dxa"/>
            <w:left w:w="108" w:type="dxa"/>
            <w:bottom w:w="0" w:type="dxa"/>
            <w:right w:w="108" w:type="dxa"/>
          </w:tblCellMar>
        </w:tblPrEx>
        <w:trPr>
          <w:trHeight w:val="442" w:hRule="atLeast"/>
          <w:jc w:val="center"/>
        </w:trPr>
        <w:tc>
          <w:tcPr>
            <w:tcW w:w="1135" w:type="dxa"/>
            <w:tcBorders>
              <w:top w:val="single" w:color="auto" w:sz="4" w:space="0"/>
              <w:left w:val="single" w:color="auto" w:sz="4" w:space="0"/>
              <w:bottom w:val="single" w:color="auto" w:sz="4" w:space="0"/>
              <w:right w:val="nil"/>
            </w:tcBorders>
            <w:shd w:val="clear" w:color="auto" w:fill="FFFFFF"/>
            <w:vAlign w:val="center"/>
          </w:tcPr>
          <w:p>
            <w:pPr>
              <w:autoSpaceDE w:val="0"/>
              <w:autoSpaceDN w:val="0"/>
              <w:adjustRightInd w:val="0"/>
              <w:jc w:val="center"/>
              <w:rPr>
                <w:rFonts w:ascii="宋体" w:hAnsi="宋体" w:cs="宋体"/>
                <w:szCs w:val="21"/>
              </w:rPr>
            </w:pPr>
            <w:r>
              <w:rPr>
                <w:rFonts w:hint="eastAsia" w:ascii="宋体" w:hAnsi="宋体" w:cs="宋体"/>
                <w:kern w:val="0"/>
                <w:szCs w:val="21"/>
                <w:lang w:bidi="ar"/>
              </w:rPr>
              <w:t>设备与材料</w:t>
            </w: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ascii="宋体" w:hAnsi="宋体" w:cs="宋体"/>
                <w:szCs w:val="21"/>
              </w:rPr>
            </w:pPr>
            <w:r>
              <w:rPr>
                <w:rFonts w:hint="eastAsia" w:ascii="宋体" w:hAnsi="宋体" w:cs="宋体"/>
                <w:kern w:val="0"/>
                <w:szCs w:val="21"/>
                <w:lang w:bidi="ar"/>
              </w:rPr>
              <w:t>设备、设施及时进行检查维护，备件、备材充足。</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szCs w:val="21"/>
              </w:rPr>
            </w:pPr>
            <w:r>
              <w:rPr>
                <w:rFonts w:hint="eastAsia" w:ascii="宋体" w:hAnsi="宋体" w:cs="宋体"/>
                <w:szCs w:val="21"/>
              </w:rPr>
              <w:t>10</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szCs w:val="21"/>
              </w:rPr>
            </w:pPr>
          </w:p>
        </w:tc>
        <w:tc>
          <w:tcPr>
            <w:tcW w:w="2127" w:type="dxa"/>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ascii="宋体" w:hAnsi="宋体" w:cs="宋体"/>
                <w:szCs w:val="21"/>
              </w:rPr>
            </w:pPr>
            <w:r>
              <w:rPr>
                <w:rFonts w:hint="eastAsia" w:ascii="宋体" w:hAnsi="宋体" w:cs="宋体"/>
                <w:kern w:val="0"/>
                <w:szCs w:val="21"/>
                <w:lang w:bidi="ar"/>
              </w:rPr>
              <w:t>影响项目正常运营的，每次扣3分，并赔偿实施机构相应损失。</w:t>
            </w:r>
          </w:p>
        </w:tc>
      </w:tr>
      <w:tr>
        <w:tblPrEx>
          <w:tblCellMar>
            <w:top w:w="0" w:type="dxa"/>
            <w:left w:w="108" w:type="dxa"/>
            <w:bottom w:w="0" w:type="dxa"/>
            <w:right w:w="108" w:type="dxa"/>
          </w:tblCellMar>
        </w:tblPrEx>
        <w:trPr>
          <w:trHeight w:val="442" w:hRule="atLeast"/>
          <w:jc w:val="center"/>
        </w:trPr>
        <w:tc>
          <w:tcPr>
            <w:tcW w:w="1135" w:type="dxa"/>
            <w:tcBorders>
              <w:top w:val="single" w:color="auto" w:sz="4" w:space="0"/>
              <w:left w:val="single" w:color="auto" w:sz="4" w:space="0"/>
              <w:bottom w:val="single" w:color="auto" w:sz="4" w:space="0"/>
              <w:right w:val="nil"/>
            </w:tcBorders>
            <w:shd w:val="clear" w:color="auto" w:fill="FFFFFF"/>
            <w:vAlign w:val="center"/>
          </w:tcPr>
          <w:p>
            <w:pPr>
              <w:autoSpaceDE w:val="0"/>
              <w:autoSpaceDN w:val="0"/>
              <w:adjustRightInd w:val="0"/>
              <w:jc w:val="center"/>
              <w:rPr>
                <w:rFonts w:ascii="宋体" w:hAnsi="宋体" w:cs="宋体"/>
                <w:szCs w:val="21"/>
              </w:rPr>
            </w:pPr>
            <w:r>
              <w:rPr>
                <w:rFonts w:hint="eastAsia" w:ascii="宋体" w:hAnsi="宋体" w:cs="宋体"/>
                <w:kern w:val="0"/>
                <w:szCs w:val="21"/>
                <w:lang w:bidi="ar"/>
              </w:rPr>
              <w:t>合计</w:t>
            </w: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jc w:val="center"/>
              <w:rPr>
                <w:rFonts w:ascii="宋体" w:hAnsi="宋体" w:cs="宋体"/>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jc w:val="center"/>
              <w:rPr>
                <w:rFonts w:ascii="宋体" w:hAnsi="宋体" w:cs="宋体"/>
                <w:szCs w:val="21"/>
              </w:rPr>
            </w:pPr>
            <w:r>
              <w:rPr>
                <w:rFonts w:hint="eastAsia" w:ascii="宋体" w:hAnsi="宋体" w:cs="宋体"/>
                <w:kern w:val="0"/>
                <w:szCs w:val="21"/>
                <w:lang w:bidi="ar"/>
              </w:rPr>
              <w:t>100</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jc w:val="center"/>
              <w:rPr>
                <w:rFonts w:ascii="宋体" w:hAnsi="宋体" w:cs="宋体"/>
                <w:szCs w:val="21"/>
              </w:rPr>
            </w:pPr>
          </w:p>
        </w:tc>
        <w:tc>
          <w:tcPr>
            <w:tcW w:w="2127"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jc w:val="center"/>
              <w:rPr>
                <w:rFonts w:ascii="宋体" w:hAnsi="宋体" w:cs="宋体"/>
                <w:szCs w:val="21"/>
              </w:rPr>
            </w:pPr>
          </w:p>
        </w:tc>
      </w:tr>
    </w:tbl>
    <w:p>
      <w:pPr>
        <w:jc w:val="left"/>
        <w:rPr>
          <w:rFonts w:eastAsia="仿宋"/>
        </w:rPr>
      </w:pPr>
    </w:p>
    <w:p>
      <w:pPr>
        <w:pStyle w:val="47"/>
      </w:pPr>
    </w:p>
    <w:p>
      <w:pPr>
        <w:widowControl/>
        <w:spacing w:line="360" w:lineRule="auto"/>
        <w:ind w:firstLine="480" w:firstLineChars="200"/>
        <w:jc w:val="center"/>
        <w:textAlignment w:val="center"/>
        <w:rPr>
          <w:rFonts w:ascii="宋体" w:hAnsi="宋体" w:cs="宋体"/>
          <w:sz w:val="36"/>
          <w:szCs w:val="36"/>
        </w:rPr>
      </w:pPr>
      <w:r>
        <w:rPr>
          <w:rFonts w:hint="eastAsia" w:ascii="宋体" w:hAnsi="宋体" w:cs="宋体"/>
          <w:sz w:val="24"/>
          <w:szCs w:val="24"/>
          <w:lang w:bidi="ar"/>
        </w:rPr>
        <w:br w:type="page"/>
      </w:r>
      <w:r>
        <w:rPr>
          <w:rFonts w:hint="eastAsia" w:ascii="宋体" w:hAnsi="宋体" w:cs="宋体"/>
          <w:sz w:val="36"/>
          <w:szCs w:val="36"/>
        </w:rPr>
        <w:t>第三章  供应商须知</w:t>
      </w:r>
      <w:bookmarkEnd w:id="21"/>
      <w:bookmarkEnd w:id="22"/>
      <w:bookmarkEnd w:id="23"/>
      <w:bookmarkEnd w:id="24"/>
      <w:bookmarkEnd w:id="25"/>
    </w:p>
    <w:p>
      <w:pPr>
        <w:pStyle w:val="44"/>
        <w:spacing w:after="240"/>
        <w:outlineLvl w:val="1"/>
        <w:rPr>
          <w:rFonts w:ascii="宋体" w:hAnsi="宋体" w:cs="宋体"/>
          <w:sz w:val="30"/>
          <w:szCs w:val="30"/>
        </w:rPr>
      </w:pPr>
      <w:bookmarkStart w:id="29" w:name="_Toc486423882"/>
      <w:bookmarkStart w:id="30" w:name="_Toc531358975"/>
      <w:bookmarkStart w:id="31" w:name="_Toc530551820"/>
      <w:bookmarkStart w:id="32" w:name="_Toc493956032"/>
      <w:bookmarkStart w:id="33" w:name="_Toc34895523"/>
      <w:bookmarkStart w:id="34" w:name="EB4c7125c6dc654ed08b5f32dccfe34746"/>
      <w:bookmarkStart w:id="35" w:name="_Toc493956033"/>
      <w:r>
        <w:rPr>
          <w:rFonts w:hint="eastAsia" w:ascii="宋体" w:hAnsi="宋体" w:cs="宋体"/>
          <w:sz w:val="30"/>
          <w:szCs w:val="30"/>
        </w:rPr>
        <w:t>供应商须知前附表</w:t>
      </w:r>
      <w:bookmarkEnd w:id="29"/>
      <w:bookmarkEnd w:id="30"/>
      <w:bookmarkEnd w:id="31"/>
      <w:bookmarkEnd w:id="32"/>
      <w:r>
        <w:rPr>
          <w:rFonts w:hint="eastAsia" w:ascii="宋体" w:hAnsi="宋体" w:cs="宋体"/>
          <w:sz w:val="30"/>
          <w:szCs w:val="30"/>
        </w:rPr>
        <w:t>（一）</w:t>
      </w:r>
      <w:bookmarkEnd w:id="33"/>
    </w:p>
    <w:tbl>
      <w:tblPr>
        <w:tblStyle w:val="48"/>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676"/>
        <w:gridCol w:w="7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 w:type="pct"/>
            <w:vAlign w:val="center"/>
          </w:tcPr>
          <w:p>
            <w:pPr>
              <w:ind w:right="-86" w:rightChars="-41"/>
              <w:jc w:val="center"/>
              <w:rPr>
                <w:rFonts w:ascii="宋体" w:hAnsi="宋体" w:cs="宋体"/>
                <w:b/>
                <w:szCs w:val="21"/>
              </w:rPr>
            </w:pPr>
            <w:r>
              <w:rPr>
                <w:rFonts w:hint="eastAsia" w:ascii="宋体" w:hAnsi="宋体" w:cs="宋体"/>
                <w:b/>
                <w:szCs w:val="21"/>
              </w:rPr>
              <w:t>条款号</w:t>
            </w:r>
          </w:p>
        </w:tc>
        <w:tc>
          <w:tcPr>
            <w:tcW w:w="842" w:type="pct"/>
            <w:vAlign w:val="center"/>
          </w:tcPr>
          <w:p>
            <w:pPr>
              <w:jc w:val="center"/>
              <w:rPr>
                <w:rFonts w:ascii="宋体" w:hAnsi="宋体" w:cs="宋体"/>
                <w:b/>
                <w:szCs w:val="21"/>
              </w:rPr>
            </w:pPr>
            <w:r>
              <w:rPr>
                <w:rFonts w:hint="eastAsia" w:ascii="宋体" w:hAnsi="宋体" w:cs="宋体"/>
                <w:b/>
                <w:szCs w:val="21"/>
              </w:rPr>
              <w:t>条款名称</w:t>
            </w:r>
          </w:p>
        </w:tc>
        <w:tc>
          <w:tcPr>
            <w:tcW w:w="3660" w:type="pct"/>
            <w:vAlign w:val="center"/>
          </w:tcPr>
          <w:p>
            <w:pPr>
              <w:jc w:val="center"/>
              <w:rPr>
                <w:rFonts w:ascii="宋体" w:hAnsi="宋体" w:cs="宋体"/>
                <w:b/>
                <w:szCs w:val="21"/>
              </w:rPr>
            </w:pPr>
            <w:r>
              <w:rPr>
                <w:rFonts w:hint="eastAsia" w:ascii="宋体" w:hAnsi="宋体" w:cs="宋体"/>
                <w:b/>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 w:type="pct"/>
            <w:vAlign w:val="center"/>
          </w:tcPr>
          <w:p>
            <w:pPr>
              <w:ind w:left="-88" w:leftChars="-42" w:right="-113" w:rightChars="-54"/>
              <w:jc w:val="center"/>
              <w:rPr>
                <w:rFonts w:ascii="宋体" w:hAnsi="宋体" w:cs="宋体"/>
                <w:bCs/>
                <w:snapToGrid w:val="0"/>
                <w:szCs w:val="21"/>
              </w:rPr>
            </w:pPr>
            <w:r>
              <w:rPr>
                <w:rFonts w:hint="eastAsia" w:ascii="宋体" w:hAnsi="宋体" w:cs="宋体"/>
                <w:bCs/>
                <w:snapToGrid w:val="0"/>
                <w:szCs w:val="21"/>
              </w:rPr>
              <w:t>1.2.1</w:t>
            </w:r>
          </w:p>
        </w:tc>
        <w:tc>
          <w:tcPr>
            <w:tcW w:w="842" w:type="pct"/>
            <w:vAlign w:val="center"/>
          </w:tcPr>
          <w:p>
            <w:pPr>
              <w:ind w:left="-53" w:leftChars="-53" w:right="-65" w:rightChars="-31" w:hanging="58" w:hangingChars="28"/>
              <w:jc w:val="center"/>
              <w:rPr>
                <w:rFonts w:ascii="宋体" w:hAnsi="宋体" w:cs="宋体"/>
                <w:bCs/>
                <w:szCs w:val="21"/>
              </w:rPr>
            </w:pPr>
            <w:r>
              <w:rPr>
                <w:rFonts w:hint="eastAsia" w:ascii="宋体" w:hAnsi="宋体" w:cs="宋体"/>
                <w:bCs/>
                <w:szCs w:val="21"/>
              </w:rPr>
              <w:t>采购人</w:t>
            </w:r>
          </w:p>
        </w:tc>
        <w:tc>
          <w:tcPr>
            <w:tcW w:w="3660" w:type="pct"/>
            <w:vAlign w:val="center"/>
          </w:tcPr>
          <w:p>
            <w:pPr>
              <w:rPr>
                <w:rFonts w:ascii="宋体" w:hAnsi="宋体" w:cs="宋体"/>
                <w:bCs/>
                <w:szCs w:val="21"/>
              </w:rPr>
            </w:pPr>
            <w:r>
              <w:rPr>
                <w:rFonts w:hint="eastAsia" w:ascii="宋体" w:hAnsi="宋体" w:cs="宋体"/>
                <w:bCs/>
                <w:szCs w:val="21"/>
              </w:rPr>
              <w:t>见第一章招标公告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 w:type="pct"/>
            <w:vAlign w:val="center"/>
          </w:tcPr>
          <w:p>
            <w:pPr>
              <w:ind w:left="-88" w:leftChars="-42" w:right="-113" w:rightChars="-54"/>
              <w:jc w:val="center"/>
              <w:rPr>
                <w:rFonts w:ascii="宋体" w:hAnsi="宋体" w:cs="宋体"/>
                <w:bCs/>
                <w:snapToGrid w:val="0"/>
                <w:szCs w:val="21"/>
              </w:rPr>
            </w:pPr>
            <w:r>
              <w:rPr>
                <w:rFonts w:hint="eastAsia" w:ascii="宋体" w:hAnsi="宋体" w:cs="宋体"/>
                <w:bCs/>
                <w:snapToGrid w:val="0"/>
                <w:szCs w:val="21"/>
              </w:rPr>
              <w:t>1.2.2</w:t>
            </w:r>
          </w:p>
        </w:tc>
        <w:tc>
          <w:tcPr>
            <w:tcW w:w="842" w:type="pct"/>
            <w:vAlign w:val="center"/>
          </w:tcPr>
          <w:p>
            <w:pPr>
              <w:ind w:left="-53" w:leftChars="-53" w:right="-65" w:rightChars="-31" w:hanging="58" w:hangingChars="28"/>
              <w:jc w:val="center"/>
              <w:rPr>
                <w:rFonts w:ascii="宋体" w:hAnsi="宋体" w:cs="宋体"/>
                <w:bCs/>
                <w:szCs w:val="21"/>
              </w:rPr>
            </w:pPr>
            <w:r>
              <w:rPr>
                <w:rFonts w:hint="eastAsia" w:ascii="宋体" w:hAnsi="宋体" w:cs="宋体"/>
                <w:bCs/>
                <w:szCs w:val="21"/>
              </w:rPr>
              <w:t>采购代理机构</w:t>
            </w:r>
          </w:p>
        </w:tc>
        <w:tc>
          <w:tcPr>
            <w:tcW w:w="3660" w:type="pct"/>
            <w:vAlign w:val="center"/>
          </w:tcPr>
          <w:p>
            <w:pPr>
              <w:rPr>
                <w:rFonts w:ascii="宋体" w:hAnsi="宋体" w:cs="宋体"/>
                <w:bCs/>
                <w:szCs w:val="21"/>
              </w:rPr>
            </w:pPr>
            <w:r>
              <w:rPr>
                <w:rFonts w:hint="eastAsia" w:ascii="宋体" w:hAnsi="宋体" w:cs="宋体"/>
                <w:bCs/>
                <w:szCs w:val="21"/>
              </w:rPr>
              <w:t>见第一章招标公告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 w:type="pct"/>
            <w:vAlign w:val="center"/>
          </w:tcPr>
          <w:p>
            <w:pPr>
              <w:ind w:left="-88" w:leftChars="-42" w:right="-113" w:rightChars="-54"/>
              <w:jc w:val="center"/>
              <w:rPr>
                <w:rFonts w:ascii="宋体" w:hAnsi="宋体" w:cs="宋体"/>
                <w:bCs/>
                <w:snapToGrid w:val="0"/>
                <w:szCs w:val="21"/>
              </w:rPr>
            </w:pPr>
            <w:r>
              <w:rPr>
                <w:rFonts w:hint="eastAsia" w:ascii="宋体" w:hAnsi="宋体" w:cs="宋体"/>
                <w:bCs/>
                <w:snapToGrid w:val="0"/>
                <w:szCs w:val="21"/>
              </w:rPr>
              <w:t>1.4.1</w:t>
            </w:r>
          </w:p>
        </w:tc>
        <w:tc>
          <w:tcPr>
            <w:tcW w:w="842" w:type="pct"/>
            <w:vAlign w:val="center"/>
          </w:tcPr>
          <w:p>
            <w:pPr>
              <w:ind w:left="-53" w:leftChars="-53" w:right="-65" w:rightChars="-31" w:hanging="58" w:hangingChars="28"/>
              <w:jc w:val="center"/>
              <w:rPr>
                <w:rFonts w:ascii="宋体" w:hAnsi="宋体" w:cs="宋体"/>
                <w:bCs/>
                <w:szCs w:val="21"/>
              </w:rPr>
            </w:pPr>
            <w:r>
              <w:rPr>
                <w:rFonts w:hint="eastAsia" w:ascii="宋体" w:hAnsi="宋体" w:cs="宋体"/>
                <w:bCs/>
                <w:szCs w:val="21"/>
              </w:rPr>
              <w:t>联合体投标</w:t>
            </w:r>
          </w:p>
        </w:tc>
        <w:tc>
          <w:tcPr>
            <w:tcW w:w="3660" w:type="pct"/>
            <w:vAlign w:val="center"/>
          </w:tcPr>
          <w:p>
            <w:pPr>
              <w:rPr>
                <w:rFonts w:ascii="宋体" w:hAnsi="宋体" w:cs="宋体"/>
                <w:szCs w:val="21"/>
              </w:rPr>
            </w:pPr>
            <w:r>
              <w:rPr>
                <w:rFonts w:hint="eastAsia" w:ascii="宋体" w:hAnsi="宋体" w:cs="宋体"/>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 w:type="pct"/>
            <w:vAlign w:val="center"/>
          </w:tcPr>
          <w:p>
            <w:pPr>
              <w:ind w:left="-88" w:leftChars="-42" w:right="-113" w:rightChars="-54"/>
              <w:jc w:val="center"/>
              <w:rPr>
                <w:rFonts w:ascii="宋体" w:hAnsi="宋体" w:cs="宋体"/>
                <w:bCs/>
                <w:snapToGrid w:val="0"/>
                <w:szCs w:val="21"/>
              </w:rPr>
            </w:pPr>
            <w:r>
              <w:rPr>
                <w:rFonts w:hint="eastAsia" w:ascii="宋体" w:hAnsi="宋体" w:cs="宋体"/>
                <w:bCs/>
                <w:snapToGrid w:val="0"/>
                <w:szCs w:val="21"/>
              </w:rPr>
              <w:t>1.7.1</w:t>
            </w:r>
          </w:p>
        </w:tc>
        <w:tc>
          <w:tcPr>
            <w:tcW w:w="842" w:type="pct"/>
            <w:vAlign w:val="center"/>
          </w:tcPr>
          <w:p>
            <w:pPr>
              <w:ind w:left="-53" w:leftChars="-53" w:right="-65" w:rightChars="-31" w:hanging="58" w:hangingChars="28"/>
              <w:jc w:val="center"/>
              <w:rPr>
                <w:rFonts w:ascii="宋体" w:hAnsi="宋体" w:cs="宋体"/>
                <w:bCs/>
                <w:szCs w:val="21"/>
              </w:rPr>
            </w:pPr>
            <w:r>
              <w:rPr>
                <w:rFonts w:hint="eastAsia" w:ascii="宋体" w:hAnsi="宋体" w:cs="宋体"/>
                <w:bCs/>
                <w:szCs w:val="21"/>
              </w:rPr>
              <w:t>现场踏勘</w:t>
            </w:r>
          </w:p>
        </w:tc>
        <w:tc>
          <w:tcPr>
            <w:tcW w:w="3660" w:type="pct"/>
            <w:vAlign w:val="center"/>
          </w:tcPr>
          <w:p>
            <w:pPr>
              <w:rPr>
                <w:rFonts w:ascii="宋体" w:hAnsi="宋体" w:cs="宋体"/>
                <w:bCs/>
                <w:szCs w:val="21"/>
              </w:rPr>
            </w:pPr>
            <w:r>
              <w:rPr>
                <w:rFonts w:hint="eastAsia" w:ascii="宋体" w:hAnsi="宋体" w:cs="宋体"/>
                <w:szCs w:val="21"/>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 w:type="pct"/>
            <w:vAlign w:val="center"/>
          </w:tcPr>
          <w:p>
            <w:pPr>
              <w:ind w:left="-88" w:leftChars="-42" w:right="-113" w:rightChars="-54"/>
              <w:jc w:val="center"/>
              <w:rPr>
                <w:rFonts w:ascii="宋体" w:hAnsi="宋体" w:cs="宋体"/>
                <w:bCs/>
                <w:snapToGrid w:val="0"/>
                <w:szCs w:val="21"/>
              </w:rPr>
            </w:pPr>
            <w:r>
              <w:rPr>
                <w:rFonts w:hint="eastAsia" w:ascii="宋体" w:hAnsi="宋体" w:cs="宋体"/>
                <w:bCs/>
                <w:snapToGrid w:val="0"/>
                <w:szCs w:val="21"/>
              </w:rPr>
              <w:t>1.8.1</w:t>
            </w:r>
          </w:p>
        </w:tc>
        <w:tc>
          <w:tcPr>
            <w:tcW w:w="842" w:type="pct"/>
            <w:vAlign w:val="center"/>
          </w:tcPr>
          <w:p>
            <w:pPr>
              <w:ind w:left="-53" w:leftChars="-53" w:right="-65" w:rightChars="-31" w:hanging="58" w:hangingChars="28"/>
              <w:jc w:val="center"/>
              <w:rPr>
                <w:rFonts w:ascii="宋体" w:hAnsi="宋体" w:cs="宋体"/>
                <w:bCs/>
                <w:szCs w:val="21"/>
              </w:rPr>
            </w:pPr>
            <w:r>
              <w:rPr>
                <w:rFonts w:hint="eastAsia" w:ascii="宋体" w:hAnsi="宋体" w:cs="宋体"/>
                <w:bCs/>
                <w:szCs w:val="21"/>
              </w:rPr>
              <w:t>答疑会</w:t>
            </w:r>
          </w:p>
        </w:tc>
        <w:tc>
          <w:tcPr>
            <w:tcW w:w="3660" w:type="pct"/>
            <w:vAlign w:val="center"/>
          </w:tcPr>
          <w:p>
            <w:pPr>
              <w:rPr>
                <w:rFonts w:ascii="宋体" w:hAnsi="宋体" w:cs="宋体"/>
                <w:bCs/>
                <w:szCs w:val="21"/>
              </w:rPr>
            </w:pPr>
            <w:r>
              <w:rPr>
                <w:rFonts w:hint="eastAsia" w:ascii="宋体" w:hAnsi="宋体" w:cs="宋体"/>
                <w:szCs w:val="21"/>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 w:type="pct"/>
            <w:vAlign w:val="center"/>
          </w:tcPr>
          <w:p>
            <w:pPr>
              <w:ind w:left="-88" w:leftChars="-42" w:right="-113" w:rightChars="-54"/>
              <w:jc w:val="center"/>
              <w:rPr>
                <w:rFonts w:ascii="宋体" w:hAnsi="宋体" w:cs="宋体"/>
                <w:bCs/>
                <w:snapToGrid w:val="0"/>
                <w:szCs w:val="21"/>
              </w:rPr>
            </w:pPr>
            <w:r>
              <w:rPr>
                <w:rFonts w:hint="eastAsia" w:ascii="宋体" w:hAnsi="宋体" w:cs="宋体"/>
                <w:bCs/>
                <w:snapToGrid w:val="0"/>
                <w:szCs w:val="21"/>
              </w:rPr>
              <w:t>1.9.1</w:t>
            </w:r>
          </w:p>
        </w:tc>
        <w:tc>
          <w:tcPr>
            <w:tcW w:w="842" w:type="pct"/>
            <w:vAlign w:val="center"/>
          </w:tcPr>
          <w:p>
            <w:pPr>
              <w:ind w:left="-53" w:leftChars="-53" w:right="-65" w:rightChars="-31" w:hanging="58" w:hangingChars="28"/>
              <w:jc w:val="center"/>
              <w:rPr>
                <w:rFonts w:ascii="宋体" w:hAnsi="宋体" w:cs="宋体"/>
                <w:bCs/>
                <w:szCs w:val="21"/>
              </w:rPr>
            </w:pPr>
            <w:r>
              <w:rPr>
                <w:rFonts w:hint="eastAsia" w:ascii="宋体" w:hAnsi="宋体" w:cs="宋体"/>
                <w:bCs/>
                <w:szCs w:val="21"/>
              </w:rPr>
              <w:t>分包</w:t>
            </w:r>
          </w:p>
        </w:tc>
        <w:tc>
          <w:tcPr>
            <w:tcW w:w="3660" w:type="pct"/>
            <w:vAlign w:val="center"/>
          </w:tcPr>
          <w:p>
            <w:pPr>
              <w:ind w:left="-113" w:leftChars="-54" w:right="-107" w:rightChars="-51" w:firstLine="105" w:firstLineChars="50"/>
              <w:rPr>
                <w:rFonts w:ascii="宋体" w:hAnsi="宋体" w:cs="宋体"/>
                <w:bCs/>
                <w:szCs w:val="21"/>
              </w:rPr>
            </w:pPr>
            <w:r>
              <w:rPr>
                <w:rFonts w:hint="eastAsia" w:ascii="宋体" w:hAnsi="宋体" w:cs="宋体"/>
                <w:bCs/>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 w:type="pct"/>
            <w:vAlign w:val="center"/>
          </w:tcPr>
          <w:p>
            <w:pPr>
              <w:ind w:left="-88" w:leftChars="-42" w:right="-113" w:rightChars="-54"/>
              <w:jc w:val="center"/>
              <w:rPr>
                <w:rFonts w:ascii="宋体" w:hAnsi="宋体" w:cs="宋体"/>
                <w:bCs/>
                <w:snapToGrid w:val="0"/>
                <w:szCs w:val="21"/>
              </w:rPr>
            </w:pPr>
            <w:r>
              <w:rPr>
                <w:rFonts w:hint="eastAsia" w:ascii="宋体" w:hAnsi="宋体" w:cs="宋体"/>
                <w:bCs/>
                <w:snapToGrid w:val="0"/>
                <w:szCs w:val="21"/>
              </w:rPr>
              <w:t>1.14.6</w:t>
            </w:r>
          </w:p>
        </w:tc>
        <w:tc>
          <w:tcPr>
            <w:tcW w:w="842" w:type="pct"/>
            <w:vAlign w:val="center"/>
          </w:tcPr>
          <w:p>
            <w:pPr>
              <w:ind w:left="-53" w:leftChars="-53" w:right="-65" w:rightChars="-31" w:hanging="58" w:hangingChars="28"/>
              <w:jc w:val="center"/>
              <w:rPr>
                <w:rFonts w:ascii="宋体" w:hAnsi="宋体" w:cs="宋体"/>
                <w:bCs/>
                <w:szCs w:val="21"/>
              </w:rPr>
            </w:pPr>
            <w:r>
              <w:rPr>
                <w:rFonts w:hint="eastAsia" w:ascii="宋体" w:hAnsi="宋体" w:cs="宋体"/>
                <w:bCs/>
                <w:szCs w:val="21"/>
              </w:rPr>
              <w:t>质疑联系人</w:t>
            </w:r>
          </w:p>
        </w:tc>
        <w:tc>
          <w:tcPr>
            <w:tcW w:w="3660" w:type="pct"/>
            <w:vAlign w:val="center"/>
          </w:tcPr>
          <w:p>
            <w:pPr>
              <w:rPr>
                <w:rFonts w:ascii="宋体" w:hAnsi="宋体" w:cs="宋体"/>
                <w:bCs/>
                <w:szCs w:val="21"/>
              </w:rPr>
            </w:pPr>
            <w:r>
              <w:rPr>
                <w:rFonts w:hint="eastAsia" w:ascii="宋体" w:hAnsi="宋体" w:cs="宋体"/>
                <w:bCs/>
                <w:szCs w:val="21"/>
              </w:rPr>
              <w:t xml:space="preserve">1. 采购人：缙云县城投市政建设有限公司 </w:t>
            </w:r>
          </w:p>
          <w:p>
            <w:pPr>
              <w:ind w:firstLine="315" w:firstLineChars="150"/>
              <w:rPr>
                <w:rFonts w:ascii="宋体" w:hAnsi="宋体" w:cs="宋体"/>
                <w:bCs/>
                <w:color w:val="FF0000"/>
                <w:szCs w:val="21"/>
              </w:rPr>
            </w:pPr>
            <w:r>
              <w:rPr>
                <w:rFonts w:hint="eastAsia" w:ascii="宋体" w:hAnsi="宋体" w:cs="宋体"/>
                <w:szCs w:val="21"/>
              </w:rPr>
              <w:t>联系人：</w:t>
            </w:r>
            <w:r>
              <w:rPr>
                <w:rFonts w:hint="eastAsia" w:ascii="宋体" w:hAnsi="宋体" w:cs="宋体"/>
                <w:szCs w:val="21"/>
                <w:lang w:eastAsia="zh-CN"/>
              </w:rPr>
              <w:t>胡</w:t>
            </w:r>
            <w:r>
              <w:rPr>
                <w:rFonts w:hint="eastAsia" w:ascii="宋体" w:hAnsi="宋体" w:cs="宋体"/>
                <w:szCs w:val="21"/>
              </w:rPr>
              <w:t>先生          联系</w:t>
            </w:r>
            <w:r>
              <w:rPr>
                <w:rFonts w:hint="eastAsia" w:ascii="宋体" w:hAnsi="宋体" w:cs="宋体"/>
                <w:bCs/>
                <w:szCs w:val="21"/>
              </w:rPr>
              <w:t xml:space="preserve">电话：13967069559  </w:t>
            </w:r>
            <w:r>
              <w:rPr>
                <w:rFonts w:hint="eastAsia" w:ascii="宋体" w:hAnsi="宋体" w:cs="宋体"/>
                <w:szCs w:val="21"/>
              </w:rPr>
              <w:t xml:space="preserve">  </w:t>
            </w:r>
            <w:r>
              <w:rPr>
                <w:rFonts w:hint="eastAsia" w:ascii="宋体" w:hAnsi="宋体" w:cs="宋体"/>
                <w:color w:val="FF0000"/>
                <w:szCs w:val="21"/>
              </w:rPr>
              <w:t xml:space="preserve">     </w:t>
            </w:r>
            <w:r>
              <w:rPr>
                <w:rFonts w:hint="eastAsia" w:ascii="宋体" w:hAnsi="宋体" w:cs="宋体"/>
                <w:bCs/>
                <w:color w:val="FF0000"/>
                <w:szCs w:val="21"/>
              </w:rPr>
              <w:t xml:space="preserve"> </w:t>
            </w:r>
          </w:p>
          <w:p>
            <w:pPr>
              <w:rPr>
                <w:rFonts w:ascii="宋体" w:hAnsi="宋体" w:cs="宋体"/>
                <w:bCs/>
                <w:szCs w:val="21"/>
              </w:rPr>
            </w:pPr>
            <w:r>
              <w:rPr>
                <w:rFonts w:hint="eastAsia" w:ascii="宋体" w:hAnsi="宋体" w:cs="宋体"/>
                <w:bCs/>
                <w:szCs w:val="21"/>
              </w:rPr>
              <w:t>2. 采购代理机构：浙江环德轩宇项目管理咨询有限公司</w:t>
            </w:r>
          </w:p>
          <w:p>
            <w:pPr>
              <w:ind w:firstLine="315" w:firstLineChars="150"/>
              <w:rPr>
                <w:rFonts w:ascii="宋体" w:hAnsi="宋体" w:cs="宋体"/>
                <w:bCs/>
                <w:szCs w:val="21"/>
              </w:rPr>
            </w:pPr>
            <w:r>
              <w:rPr>
                <w:rFonts w:hint="eastAsia" w:ascii="宋体" w:hAnsi="宋体" w:cs="宋体"/>
                <w:szCs w:val="21"/>
              </w:rPr>
              <w:t>联系人：李开放     联系电话：</w:t>
            </w:r>
            <w:r>
              <w:rPr>
                <w:rFonts w:hint="eastAsia" w:ascii="宋体" w:hAnsi="宋体" w:cs="宋体"/>
                <w:bCs/>
                <w:szCs w:val="21"/>
              </w:rPr>
              <w:t>0578-3316398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 w:type="pct"/>
            <w:vAlign w:val="center"/>
          </w:tcPr>
          <w:p>
            <w:pPr>
              <w:ind w:left="-88" w:leftChars="-42" w:right="-113" w:rightChars="-54"/>
              <w:jc w:val="center"/>
              <w:rPr>
                <w:rFonts w:ascii="宋体" w:hAnsi="宋体" w:cs="宋体"/>
                <w:bCs/>
                <w:snapToGrid w:val="0"/>
                <w:szCs w:val="21"/>
              </w:rPr>
            </w:pPr>
            <w:r>
              <w:rPr>
                <w:rFonts w:hint="eastAsia" w:ascii="宋体" w:hAnsi="宋体" w:cs="宋体"/>
                <w:bCs/>
                <w:snapToGrid w:val="0"/>
                <w:szCs w:val="21"/>
              </w:rPr>
              <w:t>2.2.4</w:t>
            </w:r>
          </w:p>
        </w:tc>
        <w:tc>
          <w:tcPr>
            <w:tcW w:w="842" w:type="pct"/>
            <w:vAlign w:val="center"/>
          </w:tcPr>
          <w:p>
            <w:pPr>
              <w:ind w:left="-53" w:leftChars="-53" w:right="-65" w:rightChars="-31" w:hanging="58" w:hangingChars="28"/>
              <w:jc w:val="center"/>
              <w:rPr>
                <w:rFonts w:ascii="宋体" w:hAnsi="宋体" w:cs="宋体"/>
                <w:bCs/>
                <w:szCs w:val="21"/>
              </w:rPr>
            </w:pPr>
            <w:r>
              <w:rPr>
                <w:rFonts w:hint="eastAsia" w:ascii="宋体" w:hAnsi="宋体" w:cs="宋体"/>
                <w:bCs/>
                <w:szCs w:val="21"/>
              </w:rPr>
              <w:t>澄清、修改发布网址</w:t>
            </w:r>
          </w:p>
        </w:tc>
        <w:tc>
          <w:tcPr>
            <w:tcW w:w="3660" w:type="pct"/>
            <w:vAlign w:val="center"/>
          </w:tcPr>
          <w:p>
            <w:pPr>
              <w:rPr>
                <w:rFonts w:ascii="宋体" w:hAnsi="宋体" w:cs="宋体"/>
                <w:bCs/>
                <w:szCs w:val="21"/>
              </w:rPr>
            </w:pPr>
            <w:r>
              <w:rPr>
                <w:rFonts w:hint="eastAsia" w:ascii="宋体" w:hAnsi="宋体" w:cs="宋体"/>
                <w:kern w:val="0"/>
                <w:szCs w:val="21"/>
              </w:rPr>
              <w:t>乐采云（www.lecaiyun.com）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 w:type="pct"/>
            <w:vAlign w:val="center"/>
          </w:tcPr>
          <w:p>
            <w:pPr>
              <w:ind w:left="-88" w:leftChars="-42" w:right="-113" w:rightChars="-54"/>
              <w:jc w:val="center"/>
              <w:rPr>
                <w:rFonts w:ascii="宋体" w:hAnsi="宋体" w:cs="宋体"/>
                <w:bCs/>
                <w:snapToGrid w:val="0"/>
                <w:szCs w:val="21"/>
              </w:rPr>
            </w:pPr>
            <w:r>
              <w:rPr>
                <w:rFonts w:hint="eastAsia" w:ascii="宋体" w:hAnsi="宋体" w:cs="宋体"/>
                <w:bCs/>
                <w:snapToGrid w:val="0"/>
                <w:szCs w:val="21"/>
              </w:rPr>
              <w:t>3.3</w:t>
            </w:r>
          </w:p>
        </w:tc>
        <w:tc>
          <w:tcPr>
            <w:tcW w:w="842" w:type="pct"/>
            <w:vAlign w:val="center"/>
          </w:tcPr>
          <w:p>
            <w:pPr>
              <w:ind w:left="-53" w:leftChars="-53" w:right="-65" w:rightChars="-31" w:hanging="58" w:hangingChars="28"/>
              <w:jc w:val="center"/>
              <w:rPr>
                <w:rFonts w:ascii="宋体" w:hAnsi="宋体" w:cs="宋体"/>
                <w:bCs/>
                <w:szCs w:val="21"/>
              </w:rPr>
            </w:pPr>
            <w:r>
              <w:rPr>
                <w:rFonts w:hint="eastAsia" w:ascii="宋体" w:hAnsi="宋体" w:cs="宋体"/>
                <w:bCs/>
                <w:szCs w:val="21"/>
              </w:rPr>
              <w:t>资格审查文件组成</w:t>
            </w:r>
          </w:p>
        </w:tc>
        <w:tc>
          <w:tcPr>
            <w:tcW w:w="3660" w:type="pct"/>
            <w:vAlign w:val="center"/>
          </w:tcPr>
          <w:p>
            <w:pPr>
              <w:jc w:val="left"/>
              <w:rPr>
                <w:rFonts w:ascii="宋体" w:hAnsi="宋体" w:cs="宋体"/>
                <w:b/>
                <w:szCs w:val="21"/>
                <w:u w:val="single"/>
              </w:rPr>
            </w:pPr>
            <w:r>
              <w:rPr>
                <w:rFonts w:hint="eastAsia" w:ascii="宋体" w:hAnsi="宋体" w:cs="宋体"/>
                <w:bCs/>
                <w:szCs w:val="21"/>
              </w:rPr>
              <w:t>▲1.有效的营业执照电子文档；</w:t>
            </w:r>
          </w:p>
          <w:p>
            <w:pPr>
              <w:jc w:val="left"/>
              <w:rPr>
                <w:rFonts w:ascii="宋体" w:hAnsi="宋体" w:cs="宋体"/>
                <w:szCs w:val="21"/>
              </w:rPr>
            </w:pPr>
            <w:r>
              <w:rPr>
                <w:rFonts w:hint="eastAsia" w:ascii="宋体" w:hAnsi="宋体" w:cs="宋体"/>
                <w:bCs/>
                <w:szCs w:val="21"/>
              </w:rPr>
              <w:t>▲</w:t>
            </w:r>
            <w:r>
              <w:rPr>
                <w:rFonts w:hint="eastAsia" w:ascii="宋体" w:hAnsi="宋体" w:cs="宋体"/>
                <w:kern w:val="0"/>
                <w:szCs w:val="21"/>
              </w:rPr>
              <w:t>2</w:t>
            </w:r>
            <w:r>
              <w:rPr>
                <w:rFonts w:hint="eastAsia" w:ascii="宋体" w:hAnsi="宋体" w:cs="宋体"/>
                <w:bCs/>
                <w:szCs w:val="21"/>
              </w:rPr>
              <w:t>.</w:t>
            </w:r>
            <w:r>
              <w:rPr>
                <w:rFonts w:hint="eastAsia" w:ascii="宋体" w:hAnsi="宋体" w:cs="宋体"/>
                <w:szCs w:val="21"/>
              </w:rPr>
              <w:t>负责人身份证</w:t>
            </w:r>
            <w:r>
              <w:rPr>
                <w:rFonts w:hint="eastAsia" w:ascii="宋体" w:hAnsi="宋体" w:cs="宋体"/>
                <w:bCs/>
                <w:szCs w:val="21"/>
              </w:rPr>
              <w:t>电子文档</w:t>
            </w:r>
            <w:r>
              <w:rPr>
                <w:rFonts w:hint="eastAsia" w:ascii="宋体" w:hAnsi="宋体" w:cs="宋体"/>
                <w:szCs w:val="21"/>
              </w:rPr>
              <w:t>；</w:t>
            </w:r>
          </w:p>
          <w:p>
            <w:pPr>
              <w:jc w:val="left"/>
              <w:rPr>
                <w:rFonts w:ascii="宋体" w:hAnsi="宋体" w:cs="宋体"/>
                <w:szCs w:val="21"/>
              </w:rPr>
            </w:pPr>
            <w:r>
              <w:rPr>
                <w:rFonts w:hint="eastAsia" w:ascii="宋体" w:hAnsi="宋体" w:cs="宋体"/>
                <w:bCs/>
                <w:szCs w:val="21"/>
              </w:rPr>
              <w:t>▲</w:t>
            </w:r>
            <w:r>
              <w:rPr>
                <w:rFonts w:hint="eastAsia" w:ascii="宋体" w:hAnsi="宋体" w:cs="宋体"/>
                <w:szCs w:val="21"/>
              </w:rPr>
              <w:t>3</w:t>
            </w:r>
            <w:r>
              <w:rPr>
                <w:rFonts w:hint="eastAsia" w:ascii="宋体" w:hAnsi="宋体" w:cs="宋体"/>
                <w:bCs/>
                <w:szCs w:val="21"/>
              </w:rPr>
              <w:t>.</w:t>
            </w:r>
            <w:r>
              <w:rPr>
                <w:rFonts w:hint="eastAsia" w:ascii="宋体" w:hAnsi="宋体" w:cs="宋体"/>
                <w:szCs w:val="21"/>
              </w:rPr>
              <w:t>若有委托代理人的，则还应当提供授权委托书及委托代理人的身份证</w:t>
            </w:r>
            <w:r>
              <w:rPr>
                <w:rFonts w:hint="eastAsia" w:ascii="宋体" w:hAnsi="宋体" w:cs="宋体"/>
                <w:bCs/>
                <w:szCs w:val="21"/>
              </w:rPr>
              <w:t>电子文档</w:t>
            </w:r>
            <w:r>
              <w:rPr>
                <w:rFonts w:hint="eastAsia" w:ascii="宋体" w:hAnsi="宋体" w:cs="宋体"/>
                <w:szCs w:val="21"/>
              </w:rPr>
              <w:t>；</w:t>
            </w:r>
            <w:r>
              <w:rPr>
                <w:rFonts w:hint="eastAsia" w:ascii="宋体" w:hAnsi="宋体" w:cs="宋体"/>
                <w:bCs/>
                <w:szCs w:val="21"/>
              </w:rPr>
              <w:t xml:space="preserve"> </w:t>
            </w:r>
          </w:p>
          <w:p>
            <w:pPr>
              <w:jc w:val="left"/>
              <w:rPr>
                <w:rFonts w:ascii="宋体" w:hAnsi="宋体" w:cs="宋体"/>
                <w:bCs/>
                <w:szCs w:val="21"/>
              </w:rPr>
            </w:pPr>
            <w:r>
              <w:rPr>
                <w:rFonts w:hint="eastAsia" w:ascii="宋体" w:hAnsi="宋体" w:cs="宋体"/>
                <w:bCs/>
                <w:szCs w:val="21"/>
              </w:rPr>
              <w:t>▲4.无重大违法记录声明书；</w:t>
            </w:r>
          </w:p>
          <w:p>
            <w:pPr>
              <w:jc w:val="left"/>
              <w:rPr>
                <w:rFonts w:ascii="宋体" w:hAnsi="宋体" w:cs="宋体"/>
                <w:bCs/>
                <w:szCs w:val="21"/>
              </w:rPr>
            </w:pPr>
            <w:r>
              <w:rPr>
                <w:rFonts w:hint="eastAsia" w:ascii="宋体" w:hAnsi="宋体" w:cs="宋体"/>
                <w:bCs/>
                <w:szCs w:val="21"/>
              </w:rPr>
              <w:t>▲5.具有良好的财务会计制度、依法缴纳税收和社会保障资金的承诺函</w:t>
            </w:r>
          </w:p>
          <w:p>
            <w:pPr>
              <w:jc w:val="left"/>
              <w:rPr>
                <w:rFonts w:ascii="宋体" w:hAnsi="宋体" w:cs="宋体"/>
                <w:bCs/>
                <w:szCs w:val="21"/>
              </w:rPr>
            </w:pPr>
            <w:r>
              <w:rPr>
                <w:rFonts w:hint="eastAsia" w:ascii="宋体" w:hAnsi="宋体" w:cs="宋体"/>
                <w:bCs/>
                <w:szCs w:val="21"/>
              </w:rPr>
              <w:t>▲6.具有履行合同所必需设备和专业技术能力的承诺函；</w:t>
            </w:r>
          </w:p>
          <w:p>
            <w:pPr>
              <w:jc w:val="left"/>
              <w:rPr>
                <w:rFonts w:ascii="宋体" w:hAnsi="宋体" w:cs="宋体"/>
                <w:bCs/>
                <w:szCs w:val="21"/>
              </w:rPr>
            </w:pPr>
            <w:r>
              <w:rPr>
                <w:rFonts w:hint="eastAsia" w:ascii="宋体" w:hAnsi="宋体" w:cs="宋体"/>
                <w:bCs/>
                <w:szCs w:val="21"/>
              </w:rPr>
              <w:t>7.其他。</w:t>
            </w:r>
          </w:p>
          <w:p>
            <w:pPr>
              <w:jc w:val="left"/>
              <w:rPr>
                <w:rFonts w:ascii="宋体" w:hAnsi="宋体" w:cs="宋体"/>
                <w:bCs/>
                <w:szCs w:val="21"/>
              </w:rPr>
            </w:pPr>
            <w:r>
              <w:rPr>
                <w:rFonts w:hint="eastAsia" w:ascii="宋体" w:hAnsi="宋体" w:cs="宋体"/>
                <w:bCs/>
                <w:szCs w:val="21"/>
              </w:rPr>
              <w:t>注：编制格式要求见第五章投标文件格式，无格式的自行设计。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 w:type="pct"/>
            <w:vAlign w:val="center"/>
          </w:tcPr>
          <w:p>
            <w:pPr>
              <w:ind w:left="-88" w:leftChars="-42" w:right="-113" w:rightChars="-54"/>
              <w:jc w:val="center"/>
              <w:rPr>
                <w:rFonts w:ascii="宋体" w:hAnsi="宋体" w:cs="宋体"/>
                <w:bCs/>
                <w:snapToGrid w:val="0"/>
                <w:szCs w:val="21"/>
              </w:rPr>
            </w:pPr>
            <w:r>
              <w:rPr>
                <w:rFonts w:hint="eastAsia" w:ascii="宋体" w:hAnsi="宋体" w:cs="宋体"/>
                <w:bCs/>
                <w:snapToGrid w:val="0"/>
                <w:szCs w:val="21"/>
              </w:rPr>
              <w:t>3.4</w:t>
            </w:r>
          </w:p>
        </w:tc>
        <w:tc>
          <w:tcPr>
            <w:tcW w:w="842" w:type="pct"/>
            <w:vAlign w:val="center"/>
          </w:tcPr>
          <w:p>
            <w:pPr>
              <w:ind w:left="-53" w:leftChars="-53" w:right="-65" w:rightChars="-31" w:hanging="58" w:hangingChars="28"/>
              <w:jc w:val="center"/>
              <w:rPr>
                <w:rFonts w:ascii="宋体" w:hAnsi="宋体" w:cs="宋体"/>
                <w:bCs/>
                <w:szCs w:val="21"/>
              </w:rPr>
            </w:pPr>
            <w:r>
              <w:rPr>
                <w:rFonts w:hint="eastAsia" w:ascii="宋体" w:hAnsi="宋体" w:cs="宋体"/>
                <w:bCs/>
                <w:szCs w:val="21"/>
              </w:rPr>
              <w:t>资信商务及技术文件组成</w:t>
            </w:r>
          </w:p>
        </w:tc>
        <w:tc>
          <w:tcPr>
            <w:tcW w:w="3660" w:type="pct"/>
            <w:vAlign w:val="center"/>
          </w:tcPr>
          <w:p>
            <w:pPr>
              <w:jc w:val="left"/>
              <w:rPr>
                <w:rFonts w:ascii="宋体" w:hAnsi="宋体" w:cs="宋体"/>
                <w:bCs/>
                <w:szCs w:val="21"/>
              </w:rPr>
            </w:pPr>
            <w:r>
              <w:rPr>
                <w:rFonts w:hint="eastAsia" w:ascii="宋体" w:hAnsi="宋体" w:cs="宋体"/>
                <w:bCs/>
                <w:szCs w:val="21"/>
              </w:rPr>
              <w:t>1.投标函；</w:t>
            </w:r>
          </w:p>
          <w:p>
            <w:pPr>
              <w:jc w:val="left"/>
              <w:rPr>
                <w:rFonts w:ascii="宋体" w:hAnsi="宋体" w:cs="宋体"/>
                <w:bCs/>
                <w:szCs w:val="21"/>
              </w:rPr>
            </w:pPr>
            <w:r>
              <w:rPr>
                <w:rFonts w:hint="eastAsia" w:ascii="宋体" w:hAnsi="宋体" w:cs="宋体"/>
                <w:bCs/>
                <w:szCs w:val="21"/>
              </w:rPr>
              <w:t>2.商务响应表；</w:t>
            </w:r>
          </w:p>
          <w:p>
            <w:pPr>
              <w:jc w:val="left"/>
              <w:rPr>
                <w:rFonts w:ascii="宋体" w:hAnsi="宋体" w:cs="宋体"/>
                <w:bCs/>
                <w:szCs w:val="21"/>
              </w:rPr>
            </w:pPr>
            <w:r>
              <w:rPr>
                <w:rFonts w:hint="eastAsia" w:ascii="宋体" w:hAnsi="宋体" w:cs="宋体"/>
                <w:bCs/>
                <w:szCs w:val="21"/>
              </w:rPr>
              <w:t>3.供应商需要说明的其他有利文件和说明。</w:t>
            </w:r>
          </w:p>
          <w:p>
            <w:pPr>
              <w:jc w:val="left"/>
              <w:rPr>
                <w:rFonts w:ascii="宋体" w:hAnsi="宋体" w:cs="宋体"/>
                <w:bCs/>
                <w:szCs w:val="21"/>
              </w:rPr>
            </w:pPr>
            <w:r>
              <w:rPr>
                <w:rFonts w:hint="eastAsia" w:ascii="宋体" w:hAnsi="宋体" w:cs="宋体"/>
                <w:bCs/>
                <w:szCs w:val="21"/>
              </w:rPr>
              <w:t>注：结合“第二章招标需求”和“第六章评标办法和细则”进行编制，编制格式要求见第五章投标文件格式，无格式的自行设计。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 w:type="pct"/>
            <w:vAlign w:val="center"/>
          </w:tcPr>
          <w:p>
            <w:pPr>
              <w:ind w:left="-88" w:leftChars="-42" w:right="-113" w:rightChars="-54"/>
              <w:jc w:val="center"/>
              <w:rPr>
                <w:rFonts w:ascii="宋体" w:hAnsi="宋体" w:cs="宋体"/>
                <w:bCs/>
                <w:snapToGrid w:val="0"/>
                <w:szCs w:val="21"/>
              </w:rPr>
            </w:pPr>
            <w:r>
              <w:rPr>
                <w:rFonts w:hint="eastAsia" w:ascii="宋体" w:hAnsi="宋体" w:cs="宋体"/>
                <w:bCs/>
                <w:snapToGrid w:val="0"/>
                <w:szCs w:val="21"/>
              </w:rPr>
              <w:t>3.5</w:t>
            </w:r>
          </w:p>
        </w:tc>
        <w:tc>
          <w:tcPr>
            <w:tcW w:w="842" w:type="pct"/>
            <w:vAlign w:val="center"/>
          </w:tcPr>
          <w:p>
            <w:pPr>
              <w:ind w:left="-53" w:leftChars="-53" w:right="-65" w:rightChars="-31" w:hanging="58" w:hangingChars="28"/>
              <w:jc w:val="center"/>
              <w:rPr>
                <w:rFonts w:ascii="宋体" w:hAnsi="宋体" w:cs="宋体"/>
                <w:bCs/>
                <w:szCs w:val="21"/>
              </w:rPr>
            </w:pPr>
            <w:r>
              <w:rPr>
                <w:rFonts w:hint="eastAsia" w:ascii="宋体" w:hAnsi="宋体" w:cs="宋体"/>
                <w:bCs/>
                <w:szCs w:val="21"/>
              </w:rPr>
              <w:t>报价文件组成</w:t>
            </w:r>
          </w:p>
        </w:tc>
        <w:tc>
          <w:tcPr>
            <w:tcW w:w="3660" w:type="pct"/>
            <w:vAlign w:val="center"/>
          </w:tcPr>
          <w:p>
            <w:pPr>
              <w:jc w:val="left"/>
              <w:rPr>
                <w:rFonts w:ascii="宋体" w:hAnsi="宋体" w:cs="宋体"/>
                <w:bCs/>
                <w:szCs w:val="21"/>
              </w:rPr>
            </w:pPr>
            <w:r>
              <w:rPr>
                <w:rFonts w:hint="eastAsia" w:ascii="宋体" w:hAnsi="宋体" w:cs="宋体"/>
                <w:bCs/>
                <w:szCs w:val="21"/>
              </w:rPr>
              <w:t>1. 开标一览表；</w:t>
            </w:r>
          </w:p>
          <w:p>
            <w:pPr>
              <w:jc w:val="left"/>
              <w:rPr>
                <w:rFonts w:ascii="宋体" w:hAnsi="宋体" w:cs="宋体"/>
                <w:bCs/>
                <w:szCs w:val="21"/>
              </w:rPr>
            </w:pPr>
            <w:r>
              <w:rPr>
                <w:rFonts w:hint="eastAsia" w:ascii="宋体" w:hAnsi="宋体" w:cs="宋体"/>
                <w:bCs/>
                <w:szCs w:val="21"/>
              </w:rPr>
              <w:t>2. 投标分项报价表；</w:t>
            </w:r>
          </w:p>
          <w:p>
            <w:pPr>
              <w:jc w:val="left"/>
              <w:rPr>
                <w:rFonts w:ascii="宋体" w:hAnsi="宋体" w:cs="宋体"/>
                <w:bCs/>
                <w:szCs w:val="21"/>
              </w:rPr>
            </w:pPr>
            <w:r>
              <w:rPr>
                <w:rFonts w:hint="eastAsia" w:ascii="宋体" w:hAnsi="宋体" w:cs="宋体"/>
                <w:bCs/>
                <w:szCs w:val="21"/>
              </w:rPr>
              <w:t>注：编制格式要求见第五章投标文件格式，无格式的自行设计。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 w:type="pct"/>
            <w:vAlign w:val="center"/>
          </w:tcPr>
          <w:p>
            <w:pPr>
              <w:ind w:left="-88" w:leftChars="-42" w:right="-113" w:rightChars="-54"/>
              <w:jc w:val="center"/>
              <w:rPr>
                <w:rFonts w:ascii="宋体" w:hAnsi="宋体" w:cs="宋体"/>
                <w:bCs/>
                <w:snapToGrid w:val="0"/>
                <w:szCs w:val="21"/>
              </w:rPr>
            </w:pPr>
            <w:r>
              <w:rPr>
                <w:rFonts w:hint="eastAsia" w:ascii="宋体" w:hAnsi="宋体" w:cs="宋体"/>
                <w:bCs/>
                <w:snapToGrid w:val="0"/>
                <w:szCs w:val="21"/>
              </w:rPr>
              <w:t>4.3.1</w:t>
            </w:r>
          </w:p>
        </w:tc>
        <w:tc>
          <w:tcPr>
            <w:tcW w:w="842" w:type="pct"/>
            <w:vAlign w:val="center"/>
          </w:tcPr>
          <w:p>
            <w:pPr>
              <w:ind w:left="-53" w:leftChars="-53" w:right="-65" w:rightChars="-31" w:hanging="58" w:hangingChars="28"/>
              <w:jc w:val="center"/>
              <w:rPr>
                <w:rFonts w:ascii="宋体" w:hAnsi="宋体" w:cs="宋体"/>
                <w:bCs/>
                <w:szCs w:val="21"/>
              </w:rPr>
            </w:pPr>
            <w:r>
              <w:rPr>
                <w:rFonts w:hint="eastAsia" w:ascii="宋体" w:hAnsi="宋体" w:cs="宋体"/>
                <w:bCs/>
                <w:szCs w:val="21"/>
              </w:rPr>
              <w:t>投标有效期</w:t>
            </w:r>
          </w:p>
        </w:tc>
        <w:tc>
          <w:tcPr>
            <w:tcW w:w="3660" w:type="pct"/>
            <w:vAlign w:val="center"/>
          </w:tcPr>
          <w:p>
            <w:pPr>
              <w:ind w:firstLine="105" w:firstLineChars="50"/>
              <w:rPr>
                <w:rFonts w:ascii="宋体" w:hAnsi="宋体" w:cs="宋体"/>
                <w:szCs w:val="21"/>
              </w:rPr>
            </w:pPr>
            <w:r>
              <w:rPr>
                <w:rFonts w:hint="eastAsia" w:ascii="宋体" w:hAnsi="宋体" w:cs="宋体"/>
                <w:szCs w:val="21"/>
                <w:u w:val="single"/>
              </w:rPr>
              <w:t xml:space="preserve"> 90 </w:t>
            </w:r>
            <w:r>
              <w:rPr>
                <w:rFonts w:hint="eastAsia" w:ascii="宋体" w:hAnsi="宋体" w:cs="宋体"/>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 w:type="pct"/>
            <w:vAlign w:val="center"/>
          </w:tcPr>
          <w:p>
            <w:pPr>
              <w:ind w:left="-88" w:leftChars="-42" w:right="-113" w:rightChars="-54"/>
              <w:jc w:val="center"/>
              <w:rPr>
                <w:rFonts w:ascii="宋体" w:hAnsi="宋体" w:cs="宋体"/>
                <w:bCs/>
                <w:snapToGrid w:val="0"/>
                <w:szCs w:val="21"/>
              </w:rPr>
            </w:pPr>
            <w:r>
              <w:rPr>
                <w:rFonts w:hint="eastAsia" w:ascii="宋体" w:hAnsi="宋体" w:cs="宋体"/>
                <w:bCs/>
                <w:snapToGrid w:val="0"/>
                <w:szCs w:val="21"/>
              </w:rPr>
              <w:t>4.5.1</w:t>
            </w:r>
          </w:p>
        </w:tc>
        <w:tc>
          <w:tcPr>
            <w:tcW w:w="842" w:type="pct"/>
            <w:vAlign w:val="center"/>
          </w:tcPr>
          <w:p>
            <w:pPr>
              <w:ind w:left="-53" w:leftChars="-53" w:right="-65" w:rightChars="-31" w:hanging="58" w:hangingChars="28"/>
              <w:jc w:val="center"/>
              <w:rPr>
                <w:rFonts w:ascii="宋体" w:hAnsi="宋体" w:cs="宋体"/>
                <w:bCs/>
                <w:szCs w:val="21"/>
              </w:rPr>
            </w:pPr>
            <w:r>
              <w:rPr>
                <w:rFonts w:hint="eastAsia" w:ascii="宋体" w:hAnsi="宋体" w:cs="宋体"/>
                <w:bCs/>
                <w:szCs w:val="21"/>
              </w:rPr>
              <w:t>投标文件份数</w:t>
            </w:r>
          </w:p>
        </w:tc>
        <w:tc>
          <w:tcPr>
            <w:tcW w:w="3660" w:type="pct"/>
            <w:vAlign w:val="center"/>
          </w:tcPr>
          <w:p>
            <w:pPr>
              <w:wordWrap w:val="0"/>
              <w:ind w:left="420" w:hanging="420" w:hangingChars="200"/>
              <w:rPr>
                <w:rFonts w:ascii="宋体" w:hAnsi="宋体" w:cs="宋体"/>
                <w:szCs w:val="21"/>
              </w:rPr>
            </w:pPr>
            <w:r>
              <w:rPr>
                <w:rFonts w:hint="eastAsia" w:ascii="宋体" w:hAnsi="宋体" w:cs="宋体"/>
                <w:szCs w:val="21"/>
              </w:rPr>
              <w:t>1. 电子加密投标文件：</w:t>
            </w:r>
            <w:r>
              <w:rPr>
                <w:rFonts w:hint="eastAsia" w:ascii="宋体" w:hAnsi="宋体" w:cs="宋体"/>
                <w:bCs/>
                <w:szCs w:val="21"/>
              </w:rPr>
              <w:t>乐采云平台</w:t>
            </w:r>
            <w:r>
              <w:rPr>
                <w:rFonts w:hint="eastAsia" w:ascii="宋体" w:hAnsi="宋体" w:cs="宋体"/>
                <w:szCs w:val="21"/>
              </w:rPr>
              <w:t>在线提交、上传一份；</w:t>
            </w:r>
          </w:p>
          <w:p>
            <w:pPr>
              <w:wordWrap w:val="0"/>
              <w:ind w:left="420" w:hanging="420" w:hangingChars="200"/>
              <w:rPr>
                <w:rFonts w:ascii="宋体" w:hAnsi="宋体" w:cs="宋体"/>
                <w:szCs w:val="21"/>
              </w:rPr>
            </w:pPr>
            <w:r>
              <w:rPr>
                <w:rFonts w:hint="eastAsia" w:ascii="宋体" w:hAnsi="宋体" w:cs="宋体"/>
                <w:szCs w:val="21"/>
              </w:rPr>
              <w:t>2. 备份投标文件：电子邮件提交一份，由供应商自行确定是否提交；若提交请将备份投标文件打包压缩加密后以电子邮件的形式发送至（935110941@qq.com）。</w:t>
            </w:r>
          </w:p>
          <w:p>
            <w:pPr>
              <w:wordWrap w:val="0"/>
              <w:ind w:left="420" w:hanging="420" w:hangingChars="200"/>
              <w:rPr>
                <w:rFonts w:ascii="宋体" w:hAnsi="宋体" w:cs="宋体"/>
                <w:szCs w:val="21"/>
              </w:rPr>
            </w:pPr>
            <w:r>
              <w:rPr>
                <w:rFonts w:hint="eastAsia" w:ascii="宋体" w:hAnsi="宋体" w:cs="宋体"/>
                <w:szCs w:val="21"/>
              </w:rPr>
              <w:t>注：供应商在线解密失败后，启用备份投标文件，否则不启用备份投标文件。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 w:type="pct"/>
            <w:vAlign w:val="center"/>
          </w:tcPr>
          <w:p>
            <w:pPr>
              <w:ind w:left="-88" w:leftChars="-42" w:right="-113" w:rightChars="-54"/>
              <w:jc w:val="center"/>
              <w:rPr>
                <w:rFonts w:ascii="宋体" w:hAnsi="宋体" w:cs="宋体"/>
                <w:bCs/>
                <w:snapToGrid w:val="0"/>
                <w:szCs w:val="21"/>
              </w:rPr>
            </w:pPr>
            <w:r>
              <w:rPr>
                <w:rFonts w:hint="eastAsia" w:ascii="宋体" w:hAnsi="宋体" w:cs="宋体"/>
                <w:bCs/>
                <w:snapToGrid w:val="0"/>
                <w:szCs w:val="21"/>
              </w:rPr>
              <w:t>5.2.1</w:t>
            </w:r>
          </w:p>
        </w:tc>
        <w:tc>
          <w:tcPr>
            <w:tcW w:w="842" w:type="pct"/>
            <w:vAlign w:val="center"/>
          </w:tcPr>
          <w:p>
            <w:pPr>
              <w:ind w:left="-53" w:leftChars="-53" w:right="-65" w:rightChars="-31" w:hanging="58" w:hangingChars="28"/>
              <w:jc w:val="center"/>
              <w:rPr>
                <w:rFonts w:ascii="宋体" w:hAnsi="宋体" w:cs="宋体"/>
                <w:bCs/>
                <w:szCs w:val="21"/>
              </w:rPr>
            </w:pPr>
            <w:r>
              <w:rPr>
                <w:rFonts w:hint="eastAsia" w:ascii="宋体" w:hAnsi="宋体" w:cs="宋体"/>
                <w:bCs/>
                <w:szCs w:val="21"/>
              </w:rPr>
              <w:t>投标文件提交截止时间</w:t>
            </w:r>
          </w:p>
        </w:tc>
        <w:tc>
          <w:tcPr>
            <w:tcW w:w="3660" w:type="pct"/>
            <w:vAlign w:val="center"/>
          </w:tcPr>
          <w:p>
            <w:pPr>
              <w:rPr>
                <w:rFonts w:ascii="宋体" w:hAnsi="宋体" w:cs="宋体"/>
                <w:szCs w:val="21"/>
              </w:rPr>
            </w:pPr>
            <w:r>
              <w:rPr>
                <w:rFonts w:hint="eastAsia" w:ascii="宋体" w:hAnsi="宋体" w:cs="宋体"/>
                <w:bCs/>
                <w:szCs w:val="21"/>
              </w:rPr>
              <w:t>同投标截止时间，见第一章招标公告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 w:type="pct"/>
            <w:vAlign w:val="center"/>
          </w:tcPr>
          <w:p>
            <w:pPr>
              <w:ind w:left="-88" w:leftChars="-42" w:right="-113" w:rightChars="-54"/>
              <w:jc w:val="center"/>
              <w:rPr>
                <w:rFonts w:ascii="宋体" w:hAnsi="宋体" w:cs="宋体"/>
                <w:bCs/>
                <w:snapToGrid w:val="0"/>
                <w:szCs w:val="21"/>
              </w:rPr>
            </w:pPr>
            <w:r>
              <w:rPr>
                <w:rFonts w:hint="eastAsia" w:ascii="宋体" w:hAnsi="宋体" w:cs="宋体"/>
                <w:bCs/>
                <w:snapToGrid w:val="0"/>
                <w:szCs w:val="21"/>
              </w:rPr>
              <w:t>5.2.2</w:t>
            </w:r>
          </w:p>
        </w:tc>
        <w:tc>
          <w:tcPr>
            <w:tcW w:w="842" w:type="pct"/>
            <w:vAlign w:val="center"/>
          </w:tcPr>
          <w:p>
            <w:pPr>
              <w:ind w:left="-53" w:leftChars="-53" w:right="-65" w:rightChars="-31" w:hanging="58" w:hangingChars="28"/>
              <w:jc w:val="center"/>
              <w:rPr>
                <w:rFonts w:ascii="宋体" w:hAnsi="宋体" w:cs="宋体"/>
                <w:bCs/>
                <w:szCs w:val="21"/>
              </w:rPr>
            </w:pPr>
            <w:r>
              <w:rPr>
                <w:rFonts w:hint="eastAsia" w:ascii="宋体" w:hAnsi="宋体" w:cs="宋体"/>
                <w:bCs/>
                <w:szCs w:val="21"/>
              </w:rPr>
              <w:t>投标文件提交地点</w:t>
            </w:r>
          </w:p>
        </w:tc>
        <w:tc>
          <w:tcPr>
            <w:tcW w:w="3660" w:type="pct"/>
            <w:vAlign w:val="center"/>
          </w:tcPr>
          <w:p>
            <w:pPr>
              <w:rPr>
                <w:rFonts w:ascii="宋体" w:hAnsi="宋体" w:cs="宋体"/>
                <w:szCs w:val="21"/>
              </w:rPr>
            </w:pPr>
            <w:r>
              <w:rPr>
                <w:rFonts w:hint="eastAsia" w:ascii="宋体" w:hAnsi="宋体" w:cs="宋体"/>
                <w:bCs/>
                <w:szCs w:val="21"/>
              </w:rPr>
              <w:t>见第一章招标公告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 w:type="pct"/>
            <w:vAlign w:val="center"/>
          </w:tcPr>
          <w:p>
            <w:pPr>
              <w:ind w:left="-88" w:leftChars="-42" w:right="-113" w:rightChars="-54"/>
              <w:jc w:val="center"/>
              <w:rPr>
                <w:rFonts w:ascii="宋体" w:hAnsi="宋体" w:cs="宋体"/>
                <w:bCs/>
                <w:snapToGrid w:val="0"/>
                <w:szCs w:val="21"/>
              </w:rPr>
            </w:pPr>
            <w:r>
              <w:rPr>
                <w:rFonts w:hint="eastAsia" w:ascii="宋体" w:hAnsi="宋体" w:cs="宋体"/>
                <w:bCs/>
                <w:snapToGrid w:val="0"/>
                <w:szCs w:val="21"/>
              </w:rPr>
              <w:t>6.1.1</w:t>
            </w:r>
          </w:p>
        </w:tc>
        <w:tc>
          <w:tcPr>
            <w:tcW w:w="842" w:type="pct"/>
            <w:vAlign w:val="center"/>
          </w:tcPr>
          <w:p>
            <w:pPr>
              <w:ind w:left="-53" w:leftChars="-53" w:right="-65" w:rightChars="-31" w:hanging="58" w:hangingChars="28"/>
              <w:jc w:val="center"/>
              <w:rPr>
                <w:rFonts w:ascii="宋体" w:hAnsi="宋体" w:cs="宋体"/>
                <w:bCs/>
                <w:szCs w:val="21"/>
              </w:rPr>
            </w:pPr>
            <w:r>
              <w:rPr>
                <w:rFonts w:hint="eastAsia" w:ascii="宋体" w:hAnsi="宋体" w:cs="宋体"/>
                <w:bCs/>
                <w:szCs w:val="21"/>
              </w:rPr>
              <w:t>开标时间和地点</w:t>
            </w:r>
          </w:p>
        </w:tc>
        <w:tc>
          <w:tcPr>
            <w:tcW w:w="3660" w:type="pct"/>
            <w:vAlign w:val="center"/>
          </w:tcPr>
          <w:p>
            <w:pPr>
              <w:rPr>
                <w:rFonts w:ascii="宋体" w:hAnsi="宋体" w:cs="宋体"/>
                <w:szCs w:val="21"/>
              </w:rPr>
            </w:pPr>
            <w:r>
              <w:rPr>
                <w:rFonts w:hint="eastAsia" w:ascii="宋体" w:hAnsi="宋体" w:cs="宋体"/>
                <w:bCs/>
                <w:szCs w:val="21"/>
              </w:rPr>
              <w:t>见第一章招标公告，</w:t>
            </w:r>
            <w:r>
              <w:rPr>
                <w:rFonts w:hint="eastAsia" w:ascii="宋体" w:hAnsi="宋体" w:cs="宋体"/>
                <w:b/>
                <w:bCs/>
                <w:szCs w:val="21"/>
              </w:rPr>
              <w:t>供应商可以远程在线参加，不必现场参加开标。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 w:type="pct"/>
            <w:vAlign w:val="center"/>
          </w:tcPr>
          <w:p>
            <w:pPr>
              <w:ind w:left="-88" w:leftChars="-42" w:right="-113" w:rightChars="-54"/>
              <w:jc w:val="center"/>
              <w:rPr>
                <w:rFonts w:ascii="宋体" w:hAnsi="宋体" w:cs="宋体"/>
                <w:bCs/>
                <w:snapToGrid w:val="0"/>
                <w:szCs w:val="21"/>
              </w:rPr>
            </w:pPr>
            <w:r>
              <w:rPr>
                <w:rFonts w:hint="eastAsia" w:ascii="宋体" w:hAnsi="宋体" w:cs="宋体"/>
                <w:bCs/>
                <w:snapToGrid w:val="0"/>
                <w:szCs w:val="21"/>
              </w:rPr>
              <w:t>6.3.1</w:t>
            </w:r>
          </w:p>
        </w:tc>
        <w:tc>
          <w:tcPr>
            <w:tcW w:w="842" w:type="pct"/>
            <w:vAlign w:val="center"/>
          </w:tcPr>
          <w:p>
            <w:pPr>
              <w:ind w:left="-53" w:leftChars="-53" w:right="-65" w:rightChars="-31" w:hanging="58" w:hangingChars="28"/>
              <w:jc w:val="center"/>
              <w:rPr>
                <w:rFonts w:ascii="宋体" w:hAnsi="宋体" w:cs="宋体"/>
                <w:bCs/>
                <w:szCs w:val="21"/>
              </w:rPr>
            </w:pPr>
            <w:r>
              <w:rPr>
                <w:rFonts w:hint="eastAsia" w:ascii="宋体" w:hAnsi="宋体" w:cs="宋体"/>
                <w:bCs/>
                <w:szCs w:val="21"/>
              </w:rPr>
              <w:t>评标方法</w:t>
            </w:r>
          </w:p>
        </w:tc>
        <w:tc>
          <w:tcPr>
            <w:tcW w:w="3660" w:type="pct"/>
            <w:vAlign w:val="center"/>
          </w:tcPr>
          <w:p>
            <w:pPr>
              <w:rPr>
                <w:rFonts w:ascii="宋体" w:hAnsi="宋体" w:cs="宋体"/>
                <w:szCs w:val="21"/>
              </w:rPr>
            </w:pPr>
            <w:r>
              <w:rPr>
                <w:rFonts w:hint="eastAsia" w:ascii="宋体" w:hAnsi="宋体" w:cs="宋体"/>
                <w:szCs w:val="21"/>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 w:type="pct"/>
            <w:vAlign w:val="center"/>
          </w:tcPr>
          <w:p>
            <w:pPr>
              <w:ind w:left="-88" w:leftChars="-42" w:right="-113" w:rightChars="-54"/>
              <w:jc w:val="center"/>
              <w:rPr>
                <w:rFonts w:ascii="宋体" w:hAnsi="宋体" w:cs="宋体"/>
                <w:bCs/>
                <w:snapToGrid w:val="0"/>
                <w:szCs w:val="21"/>
              </w:rPr>
            </w:pPr>
            <w:r>
              <w:rPr>
                <w:rFonts w:hint="eastAsia" w:ascii="宋体" w:hAnsi="宋体" w:cs="宋体"/>
                <w:bCs/>
                <w:snapToGrid w:val="0"/>
                <w:szCs w:val="21"/>
              </w:rPr>
              <w:t>7.3</w:t>
            </w:r>
          </w:p>
        </w:tc>
        <w:tc>
          <w:tcPr>
            <w:tcW w:w="842" w:type="pct"/>
            <w:vAlign w:val="center"/>
          </w:tcPr>
          <w:p>
            <w:pPr>
              <w:ind w:left="-53" w:leftChars="-53" w:right="-65" w:rightChars="-31" w:hanging="58" w:hangingChars="28"/>
              <w:jc w:val="center"/>
              <w:rPr>
                <w:rFonts w:ascii="宋体" w:hAnsi="宋体" w:cs="宋体"/>
                <w:bCs/>
                <w:szCs w:val="21"/>
              </w:rPr>
            </w:pPr>
            <w:r>
              <w:rPr>
                <w:rFonts w:hint="eastAsia" w:ascii="宋体" w:hAnsi="宋体" w:cs="宋体"/>
                <w:szCs w:val="21"/>
              </w:rPr>
              <w:t>非实质性条款负偏离项数</w:t>
            </w:r>
          </w:p>
        </w:tc>
        <w:tc>
          <w:tcPr>
            <w:tcW w:w="3660" w:type="pct"/>
            <w:vAlign w:val="center"/>
          </w:tcPr>
          <w:p>
            <w:pPr>
              <w:rPr>
                <w:rFonts w:ascii="宋体" w:hAnsi="宋体" w:cs="宋体"/>
                <w:szCs w:val="21"/>
              </w:rPr>
            </w:pPr>
            <w:r>
              <w:rPr>
                <w:rFonts w:hint="eastAsia" w:ascii="宋体" w:hAnsi="宋体" w:cs="宋体"/>
                <w:szCs w:val="21"/>
                <w:u w:val="single"/>
              </w:rPr>
              <w:t xml:space="preserve">  / </w:t>
            </w:r>
            <w:r>
              <w:rPr>
                <w:rFonts w:hint="eastAsia" w:ascii="宋体" w:hAnsi="宋体" w:cs="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 w:type="pct"/>
            <w:vAlign w:val="center"/>
          </w:tcPr>
          <w:p>
            <w:pPr>
              <w:ind w:left="-88" w:leftChars="-42" w:right="-113" w:rightChars="-54"/>
              <w:jc w:val="center"/>
              <w:rPr>
                <w:rFonts w:ascii="宋体" w:hAnsi="宋体" w:cs="宋体"/>
                <w:bCs/>
                <w:snapToGrid w:val="0"/>
                <w:szCs w:val="21"/>
              </w:rPr>
            </w:pPr>
            <w:r>
              <w:rPr>
                <w:rFonts w:hint="eastAsia" w:ascii="宋体" w:hAnsi="宋体" w:cs="宋体"/>
                <w:szCs w:val="21"/>
              </w:rPr>
              <w:t>8.2.1</w:t>
            </w:r>
          </w:p>
        </w:tc>
        <w:tc>
          <w:tcPr>
            <w:tcW w:w="842" w:type="pct"/>
            <w:vAlign w:val="center"/>
          </w:tcPr>
          <w:p>
            <w:pPr>
              <w:ind w:left="-53" w:leftChars="-53" w:right="-65" w:rightChars="-31" w:hanging="58" w:hangingChars="28"/>
              <w:jc w:val="center"/>
              <w:rPr>
                <w:rFonts w:ascii="宋体" w:hAnsi="宋体" w:cs="宋体"/>
                <w:bCs/>
                <w:szCs w:val="21"/>
              </w:rPr>
            </w:pPr>
            <w:r>
              <w:rPr>
                <w:rFonts w:hint="eastAsia" w:ascii="宋体" w:hAnsi="宋体" w:cs="宋体"/>
                <w:bCs/>
                <w:szCs w:val="21"/>
              </w:rPr>
              <w:t>中标公告发布网址</w:t>
            </w:r>
          </w:p>
        </w:tc>
        <w:tc>
          <w:tcPr>
            <w:tcW w:w="3660" w:type="pct"/>
            <w:vAlign w:val="center"/>
          </w:tcPr>
          <w:p>
            <w:pPr>
              <w:rPr>
                <w:rFonts w:ascii="宋体" w:hAnsi="宋体" w:cs="宋体"/>
                <w:szCs w:val="21"/>
              </w:rPr>
            </w:pPr>
            <w:r>
              <w:rPr>
                <w:rFonts w:hint="eastAsia" w:ascii="宋体" w:hAnsi="宋体" w:cs="宋体"/>
                <w:kern w:val="0"/>
                <w:szCs w:val="21"/>
              </w:rPr>
              <w:t>乐采云（www.lecaiyun.com）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96" w:type="pct"/>
            <w:vAlign w:val="center"/>
          </w:tcPr>
          <w:p>
            <w:pPr>
              <w:ind w:left="-88" w:leftChars="-42" w:right="-113" w:rightChars="-54"/>
              <w:jc w:val="center"/>
              <w:rPr>
                <w:rFonts w:ascii="宋体" w:hAnsi="宋体" w:cs="宋体"/>
                <w:bCs/>
                <w:snapToGrid w:val="0"/>
                <w:szCs w:val="21"/>
              </w:rPr>
            </w:pPr>
            <w:r>
              <w:rPr>
                <w:rFonts w:hint="eastAsia" w:ascii="宋体" w:hAnsi="宋体" w:cs="宋体"/>
                <w:bCs/>
                <w:snapToGrid w:val="0"/>
                <w:szCs w:val="21"/>
              </w:rPr>
              <w:t>8.3.1</w:t>
            </w:r>
          </w:p>
        </w:tc>
        <w:tc>
          <w:tcPr>
            <w:tcW w:w="842" w:type="pct"/>
            <w:vAlign w:val="center"/>
          </w:tcPr>
          <w:p>
            <w:pPr>
              <w:ind w:left="-53" w:leftChars="-53" w:right="-65" w:rightChars="-31" w:hanging="58" w:hangingChars="28"/>
              <w:jc w:val="center"/>
              <w:rPr>
                <w:rFonts w:ascii="宋体" w:hAnsi="宋体" w:cs="宋体"/>
                <w:bCs/>
                <w:szCs w:val="21"/>
              </w:rPr>
            </w:pPr>
            <w:r>
              <w:rPr>
                <w:rFonts w:hint="eastAsia" w:ascii="宋体" w:hAnsi="宋体" w:cs="宋体"/>
                <w:bCs/>
                <w:szCs w:val="21"/>
              </w:rPr>
              <w:t>履约保证金</w:t>
            </w:r>
          </w:p>
        </w:tc>
        <w:tc>
          <w:tcPr>
            <w:tcW w:w="3660" w:type="pct"/>
            <w:vAlign w:val="center"/>
          </w:tcPr>
          <w:p>
            <w:pPr>
              <w:rPr>
                <w:rFonts w:ascii="宋体" w:hAnsi="宋体" w:cs="宋体"/>
                <w:b/>
                <w:bCs/>
                <w:color w:val="auto"/>
                <w:sz w:val="21"/>
                <w:szCs w:val="20"/>
                <w:u w:val="single"/>
              </w:rPr>
            </w:pPr>
            <w:r>
              <w:rPr>
                <w:rFonts w:hint="eastAsia" w:ascii="宋体" w:hAnsi="宋体" w:cs="宋体"/>
                <w:bCs/>
                <w:sz w:val="21"/>
                <w:szCs w:val="20"/>
              </w:rPr>
              <w:t>合同金额</w:t>
            </w:r>
            <w:r>
              <w:rPr>
                <w:rFonts w:hint="eastAsia" w:ascii="宋体" w:hAnsi="宋体" w:cs="宋体"/>
                <w:bCs/>
                <w:color w:val="auto"/>
                <w:sz w:val="21"/>
                <w:szCs w:val="20"/>
              </w:rPr>
              <w:t>的</w:t>
            </w:r>
            <w:r>
              <w:rPr>
                <w:rFonts w:hint="eastAsia" w:ascii="宋体" w:hAnsi="宋体" w:cs="宋体"/>
                <w:bCs/>
                <w:color w:val="auto"/>
                <w:sz w:val="21"/>
                <w:szCs w:val="20"/>
                <w:u w:val="single"/>
              </w:rPr>
              <w:t>1%</w:t>
            </w:r>
          </w:p>
          <w:p>
            <w:pPr>
              <w:rPr>
                <w:rFonts w:ascii="宋体" w:hAnsi="宋体" w:cs="宋体"/>
                <w:color w:val="auto"/>
                <w:sz w:val="21"/>
                <w:szCs w:val="20"/>
              </w:rPr>
            </w:pPr>
            <w:r>
              <w:rPr>
                <w:rFonts w:hint="eastAsia" w:ascii="宋体" w:hAnsi="宋体" w:cs="宋体"/>
                <w:bCs/>
                <w:color w:val="auto"/>
                <w:sz w:val="21"/>
                <w:szCs w:val="20"/>
              </w:rPr>
              <w:t>缴纳</w:t>
            </w:r>
            <w:r>
              <w:rPr>
                <w:rFonts w:hint="eastAsia" w:ascii="宋体" w:hAnsi="宋体" w:cs="宋体"/>
                <w:color w:val="auto"/>
                <w:sz w:val="21"/>
                <w:szCs w:val="20"/>
              </w:rPr>
              <w:t>方式：转账，也可以采用银行或保险公司或第三方出具履约保函形式缴纳。</w:t>
            </w:r>
          </w:p>
          <w:p>
            <w:pPr>
              <w:rPr>
                <w:rFonts w:ascii="宋体" w:hAnsi="宋体" w:cs="宋体"/>
                <w:color w:val="auto"/>
                <w:sz w:val="21"/>
                <w:szCs w:val="20"/>
              </w:rPr>
            </w:pPr>
            <w:r>
              <w:rPr>
                <w:rFonts w:hint="eastAsia" w:ascii="宋体" w:hAnsi="宋体" w:cs="宋体"/>
                <w:color w:val="auto"/>
                <w:sz w:val="21"/>
                <w:szCs w:val="20"/>
              </w:rPr>
              <w:t>缴纳时间：合同签订前</w:t>
            </w:r>
          </w:p>
          <w:p>
            <w:pPr>
              <w:rPr>
                <w:rFonts w:ascii="宋体" w:hAnsi="宋体" w:cs="宋体"/>
                <w:color w:val="auto"/>
                <w:sz w:val="21"/>
                <w:szCs w:val="20"/>
              </w:rPr>
            </w:pPr>
            <w:r>
              <w:rPr>
                <w:rFonts w:hint="eastAsia" w:ascii="宋体" w:hAnsi="宋体" w:cs="宋体"/>
                <w:color w:val="auto"/>
                <w:sz w:val="21"/>
                <w:szCs w:val="20"/>
              </w:rPr>
              <w:t>退还时间：履约保证金在合同履约完毕后一个月内无息退还。</w:t>
            </w:r>
          </w:p>
          <w:p>
            <w:pPr>
              <w:rPr>
                <w:rFonts w:ascii="宋体" w:hAnsi="宋体" w:cs="宋体"/>
                <w:szCs w:val="21"/>
              </w:rPr>
            </w:pPr>
            <w:r>
              <w:rPr>
                <w:rFonts w:hint="eastAsia" w:ascii="宋体" w:hAnsi="宋体" w:cs="宋体"/>
                <w:color w:val="auto"/>
                <w:sz w:val="21"/>
                <w:szCs w:val="20"/>
              </w:rPr>
              <w:t>履约保函：以各银行</w:t>
            </w:r>
            <w:r>
              <w:rPr>
                <w:rFonts w:hint="eastAsia" w:ascii="宋体" w:hAnsi="宋体" w:cs="宋体"/>
                <w:sz w:val="21"/>
                <w:szCs w:val="20"/>
              </w:rPr>
              <w:t>或保险公司出具的为准。</w:t>
            </w:r>
          </w:p>
        </w:tc>
      </w:tr>
    </w:tbl>
    <w:p>
      <w:pPr>
        <w:rPr>
          <w:rFonts w:ascii="宋体" w:hAnsi="宋体" w:cs="宋体"/>
        </w:rPr>
      </w:pPr>
    </w:p>
    <w:p>
      <w:pPr>
        <w:pStyle w:val="44"/>
        <w:spacing w:after="240"/>
        <w:outlineLvl w:val="1"/>
        <w:rPr>
          <w:rFonts w:ascii="宋体" w:hAnsi="宋体" w:cs="宋体"/>
          <w:sz w:val="30"/>
          <w:szCs w:val="30"/>
        </w:rPr>
        <w:sectPr>
          <w:headerReference r:id="rId12" w:type="first"/>
          <w:headerReference r:id="rId11" w:type="default"/>
          <w:footerReference r:id="rId13" w:type="default"/>
          <w:pgSz w:w="11905" w:h="16838"/>
          <w:pgMar w:top="1440" w:right="1080" w:bottom="1440" w:left="1080" w:header="850" w:footer="850" w:gutter="0"/>
          <w:cols w:space="720" w:num="1"/>
          <w:titlePg/>
          <w:docGrid w:linePitch="312" w:charSpace="0"/>
        </w:sectPr>
      </w:pPr>
    </w:p>
    <w:p>
      <w:pPr>
        <w:pStyle w:val="44"/>
        <w:spacing w:after="240"/>
        <w:jc w:val="left"/>
        <w:outlineLvl w:val="1"/>
        <w:rPr>
          <w:rFonts w:ascii="宋体" w:hAnsi="宋体" w:cs="宋体"/>
          <w:sz w:val="30"/>
          <w:szCs w:val="30"/>
        </w:rPr>
      </w:pPr>
      <w:bookmarkStart w:id="36" w:name="_Toc34895524"/>
      <w:r>
        <w:rPr>
          <w:rFonts w:hint="eastAsia" w:ascii="宋体" w:hAnsi="宋体" w:cs="宋体"/>
          <w:sz w:val="30"/>
          <w:szCs w:val="30"/>
        </w:rPr>
        <w:t>供应商须知前附表（二）</w:t>
      </w:r>
      <w:bookmarkEnd w:id="36"/>
    </w:p>
    <w:p>
      <w:pPr>
        <w:jc w:val="center"/>
        <w:rPr>
          <w:rFonts w:ascii="宋体" w:hAnsi="宋体" w:cs="宋体"/>
          <w:b/>
          <w:sz w:val="32"/>
          <w:szCs w:val="32"/>
        </w:rPr>
      </w:pPr>
      <w:r>
        <w:rPr>
          <w:rFonts w:hint="eastAsia" w:ascii="宋体" w:hAnsi="宋体" w:cs="宋体"/>
          <w:b/>
          <w:sz w:val="32"/>
          <w:szCs w:val="32"/>
        </w:rPr>
        <w:t>招标活动日程安排表</w:t>
      </w:r>
    </w:p>
    <w:tbl>
      <w:tblPr>
        <w:tblStyle w:val="4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
        <w:gridCol w:w="2240"/>
        <w:gridCol w:w="4147"/>
        <w:gridCol w:w="3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 w:type="pct"/>
            <w:vAlign w:val="center"/>
          </w:tcPr>
          <w:p>
            <w:pPr>
              <w:ind w:left="-126" w:leftChars="-60" w:right="-99" w:rightChars="-47"/>
              <w:jc w:val="center"/>
              <w:rPr>
                <w:rFonts w:ascii="宋体" w:hAnsi="宋体" w:cs="宋体"/>
                <w:szCs w:val="21"/>
              </w:rPr>
            </w:pPr>
            <w:r>
              <w:rPr>
                <w:rFonts w:hint="eastAsia" w:ascii="宋体" w:hAnsi="宋体" w:cs="宋体"/>
                <w:szCs w:val="21"/>
              </w:rPr>
              <w:t>序号</w:t>
            </w:r>
          </w:p>
        </w:tc>
        <w:tc>
          <w:tcPr>
            <w:tcW w:w="1125" w:type="pct"/>
            <w:vAlign w:val="center"/>
          </w:tcPr>
          <w:p>
            <w:pPr>
              <w:jc w:val="center"/>
              <w:rPr>
                <w:rFonts w:ascii="宋体" w:hAnsi="宋体" w:cs="宋体"/>
                <w:szCs w:val="21"/>
              </w:rPr>
            </w:pPr>
            <w:r>
              <w:rPr>
                <w:rFonts w:hint="eastAsia" w:ascii="宋体" w:hAnsi="宋体" w:cs="宋体"/>
                <w:szCs w:val="21"/>
              </w:rPr>
              <w:t>工作内容</w:t>
            </w:r>
          </w:p>
        </w:tc>
        <w:tc>
          <w:tcPr>
            <w:tcW w:w="2083" w:type="pct"/>
            <w:vAlign w:val="center"/>
          </w:tcPr>
          <w:p>
            <w:pPr>
              <w:jc w:val="center"/>
              <w:rPr>
                <w:rFonts w:ascii="宋体" w:hAnsi="宋体" w:cs="宋体"/>
                <w:szCs w:val="21"/>
              </w:rPr>
            </w:pPr>
            <w:r>
              <w:rPr>
                <w:rFonts w:hint="eastAsia" w:ascii="宋体" w:hAnsi="宋体" w:cs="宋体"/>
                <w:szCs w:val="21"/>
              </w:rPr>
              <w:t>时间安排</w:t>
            </w:r>
          </w:p>
        </w:tc>
        <w:tc>
          <w:tcPr>
            <w:tcW w:w="1510" w:type="pct"/>
            <w:vAlign w:val="center"/>
          </w:tcPr>
          <w:p>
            <w:pPr>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0" w:type="pct"/>
            <w:vAlign w:val="center"/>
          </w:tcPr>
          <w:p>
            <w:pPr>
              <w:ind w:left="-126" w:leftChars="-60" w:right="-99" w:rightChars="-47"/>
              <w:jc w:val="center"/>
              <w:rPr>
                <w:rFonts w:ascii="宋体" w:hAnsi="宋体" w:cs="宋体"/>
                <w:szCs w:val="21"/>
              </w:rPr>
            </w:pPr>
            <w:r>
              <w:rPr>
                <w:rFonts w:hint="eastAsia" w:ascii="宋体" w:hAnsi="宋体" w:cs="宋体"/>
                <w:szCs w:val="21"/>
              </w:rPr>
              <w:t>1</w:t>
            </w:r>
          </w:p>
        </w:tc>
        <w:tc>
          <w:tcPr>
            <w:tcW w:w="1125" w:type="pct"/>
            <w:vAlign w:val="center"/>
          </w:tcPr>
          <w:p>
            <w:pPr>
              <w:jc w:val="center"/>
              <w:rPr>
                <w:rFonts w:ascii="宋体" w:hAnsi="宋体" w:cs="宋体"/>
                <w:szCs w:val="21"/>
              </w:rPr>
            </w:pPr>
            <w:r>
              <w:rPr>
                <w:rFonts w:hint="eastAsia" w:ascii="宋体" w:hAnsi="宋体" w:cs="宋体"/>
                <w:szCs w:val="21"/>
              </w:rPr>
              <w:t>发布招标公告</w:t>
            </w:r>
          </w:p>
        </w:tc>
        <w:tc>
          <w:tcPr>
            <w:tcW w:w="2083" w:type="pct"/>
            <w:vAlign w:val="center"/>
          </w:tcPr>
          <w:p>
            <w:pPr>
              <w:jc w:val="left"/>
              <w:rPr>
                <w:rFonts w:ascii="宋体" w:hAnsi="宋体" w:cs="宋体"/>
                <w:szCs w:val="21"/>
              </w:rPr>
            </w:pPr>
            <w:r>
              <w:rPr>
                <w:rFonts w:hint="eastAsia" w:ascii="宋体" w:hAnsi="宋体" w:cs="宋体"/>
                <w:szCs w:val="21"/>
                <w:u w:val="single"/>
              </w:rPr>
              <w:t>2026</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3</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20</w:t>
            </w:r>
            <w:r>
              <w:rPr>
                <w:rFonts w:hint="eastAsia" w:ascii="宋体" w:hAnsi="宋体" w:cs="宋体"/>
                <w:szCs w:val="21"/>
                <w:u w:val="single"/>
              </w:rPr>
              <w:t xml:space="preserve"> </w:t>
            </w:r>
            <w:r>
              <w:rPr>
                <w:rFonts w:hint="eastAsia" w:ascii="宋体" w:hAnsi="宋体" w:cs="宋体"/>
                <w:szCs w:val="21"/>
              </w:rPr>
              <w:t>日</w:t>
            </w:r>
          </w:p>
        </w:tc>
        <w:tc>
          <w:tcPr>
            <w:tcW w:w="1510" w:type="pct"/>
            <w:vAlign w:val="center"/>
          </w:tcPr>
          <w:p>
            <w:pPr>
              <w:wordWrap w:val="0"/>
              <w:jc w:val="left"/>
              <w:rPr>
                <w:rFonts w:ascii="宋体" w:hAnsi="宋体" w:cs="宋体"/>
                <w:szCs w:val="21"/>
                <w:u w:val="single"/>
              </w:rPr>
            </w:pPr>
            <w:r>
              <w:rPr>
                <w:rFonts w:hint="eastAsia" w:ascii="宋体" w:hAnsi="宋体" w:cs="宋体"/>
                <w:kern w:val="0"/>
                <w:szCs w:val="21"/>
              </w:rPr>
              <w:t>乐采云（www.lecaiyun.com）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 w:type="pct"/>
            <w:vAlign w:val="center"/>
          </w:tcPr>
          <w:p>
            <w:pPr>
              <w:ind w:left="-126" w:leftChars="-60" w:right="-99" w:rightChars="-47"/>
              <w:jc w:val="center"/>
              <w:rPr>
                <w:rFonts w:ascii="宋体" w:hAnsi="宋体" w:cs="宋体"/>
                <w:szCs w:val="21"/>
              </w:rPr>
            </w:pPr>
            <w:r>
              <w:rPr>
                <w:rFonts w:hint="eastAsia" w:ascii="宋体" w:hAnsi="宋体" w:cs="宋体"/>
                <w:szCs w:val="21"/>
              </w:rPr>
              <w:t>2</w:t>
            </w:r>
          </w:p>
        </w:tc>
        <w:tc>
          <w:tcPr>
            <w:tcW w:w="1125" w:type="pct"/>
            <w:vAlign w:val="center"/>
          </w:tcPr>
          <w:p>
            <w:pPr>
              <w:jc w:val="center"/>
              <w:rPr>
                <w:rFonts w:ascii="宋体" w:hAnsi="宋体" w:cs="宋体"/>
                <w:szCs w:val="21"/>
              </w:rPr>
            </w:pPr>
            <w:r>
              <w:rPr>
                <w:rFonts w:hint="eastAsia" w:ascii="宋体" w:hAnsi="宋体" w:cs="宋体"/>
                <w:szCs w:val="21"/>
              </w:rPr>
              <w:t>发放招标文件</w:t>
            </w:r>
          </w:p>
        </w:tc>
        <w:tc>
          <w:tcPr>
            <w:tcW w:w="2083" w:type="pct"/>
            <w:vAlign w:val="center"/>
          </w:tcPr>
          <w:p>
            <w:pPr>
              <w:jc w:val="left"/>
              <w:rPr>
                <w:rFonts w:ascii="宋体" w:hAnsi="宋体" w:cs="宋体"/>
                <w:szCs w:val="21"/>
              </w:rPr>
            </w:pPr>
            <w:r>
              <w:rPr>
                <w:rFonts w:hint="eastAsia" w:ascii="宋体" w:hAnsi="宋体" w:cs="宋体"/>
                <w:szCs w:val="21"/>
                <w:u w:val="single"/>
              </w:rPr>
              <w:t>2026</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3</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20</w:t>
            </w:r>
            <w:bookmarkStart w:id="321" w:name="_GoBack"/>
            <w:bookmarkEnd w:id="321"/>
            <w:r>
              <w:rPr>
                <w:rFonts w:hint="eastAsia" w:ascii="宋体" w:hAnsi="宋体" w:cs="宋体"/>
                <w:szCs w:val="21"/>
                <w:u w:val="single"/>
              </w:rPr>
              <w:t xml:space="preserve"> </w:t>
            </w:r>
            <w:r>
              <w:rPr>
                <w:rFonts w:hint="eastAsia" w:ascii="宋体" w:hAnsi="宋体" w:cs="宋体"/>
                <w:szCs w:val="21"/>
              </w:rPr>
              <w:t>日起</w:t>
            </w:r>
          </w:p>
        </w:tc>
        <w:tc>
          <w:tcPr>
            <w:tcW w:w="1510" w:type="pct"/>
            <w:vAlign w:val="center"/>
          </w:tcPr>
          <w:p>
            <w:pPr>
              <w:tabs>
                <w:tab w:val="left" w:pos="2752"/>
              </w:tabs>
              <w:rPr>
                <w:rFonts w:ascii="宋体" w:hAnsi="宋体" w:cs="宋体"/>
                <w:szCs w:val="21"/>
              </w:rPr>
            </w:pPr>
            <w:r>
              <w:rPr>
                <w:rFonts w:hint="eastAsia" w:ascii="宋体" w:hAnsi="宋体" w:cs="宋体"/>
                <w:szCs w:val="21"/>
              </w:rPr>
              <w:t>获取方式：招标公告附件自行下载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 w:type="pct"/>
            <w:vAlign w:val="center"/>
          </w:tcPr>
          <w:p>
            <w:pPr>
              <w:ind w:left="-126" w:leftChars="-60" w:right="-99" w:rightChars="-47"/>
              <w:jc w:val="center"/>
              <w:rPr>
                <w:rFonts w:ascii="宋体" w:hAnsi="宋体" w:cs="宋体"/>
                <w:szCs w:val="21"/>
              </w:rPr>
            </w:pPr>
            <w:r>
              <w:rPr>
                <w:rFonts w:hint="eastAsia" w:ascii="宋体" w:hAnsi="宋体" w:cs="宋体"/>
                <w:szCs w:val="21"/>
              </w:rPr>
              <w:t>3</w:t>
            </w:r>
          </w:p>
        </w:tc>
        <w:tc>
          <w:tcPr>
            <w:tcW w:w="1125" w:type="pct"/>
            <w:vAlign w:val="center"/>
          </w:tcPr>
          <w:p>
            <w:pPr>
              <w:jc w:val="center"/>
              <w:rPr>
                <w:rFonts w:ascii="宋体" w:hAnsi="宋体" w:cs="宋体"/>
                <w:szCs w:val="21"/>
              </w:rPr>
            </w:pPr>
            <w:r>
              <w:rPr>
                <w:rFonts w:hint="eastAsia" w:ascii="宋体" w:hAnsi="宋体" w:cs="宋体"/>
                <w:szCs w:val="21"/>
              </w:rPr>
              <w:t>现场踏勘和地点</w:t>
            </w:r>
          </w:p>
        </w:tc>
        <w:tc>
          <w:tcPr>
            <w:tcW w:w="2083" w:type="pct"/>
            <w:vAlign w:val="center"/>
          </w:tcPr>
          <w:p>
            <w:pPr>
              <w:rPr>
                <w:rFonts w:ascii="宋体" w:hAnsi="宋体" w:cs="宋体"/>
                <w:szCs w:val="21"/>
              </w:rPr>
            </w:pPr>
            <w:r>
              <w:rPr>
                <w:rFonts w:hint="eastAsia" w:ascii="宋体" w:hAnsi="宋体" w:cs="宋体"/>
                <w:szCs w:val="21"/>
              </w:rPr>
              <w:sym w:font="Wingdings 2" w:char="F052"/>
            </w:r>
            <w:r>
              <w:rPr>
                <w:rFonts w:hint="eastAsia" w:ascii="宋体" w:hAnsi="宋体" w:cs="宋体"/>
                <w:szCs w:val="21"/>
              </w:rPr>
              <w:t xml:space="preserve"> 不组织</w:t>
            </w:r>
          </w:p>
          <w:p>
            <w:pPr>
              <w:rPr>
                <w:rFonts w:ascii="宋体" w:hAnsi="宋体" w:cs="宋体"/>
                <w:szCs w:val="21"/>
              </w:rPr>
            </w:pPr>
            <w:r>
              <w:rPr>
                <w:rFonts w:hint="eastAsia" w:ascii="宋体" w:hAnsi="宋体" w:cs="宋体"/>
                <w:szCs w:val="21"/>
              </w:rPr>
              <w:sym w:font="Wingdings 2" w:char="F0A3"/>
            </w:r>
            <w:r>
              <w:rPr>
                <w:rFonts w:hint="eastAsia" w:ascii="宋体" w:hAnsi="宋体" w:cs="宋体"/>
                <w:szCs w:val="21"/>
              </w:rPr>
              <w:t xml:space="preserve"> </w:t>
            </w:r>
            <w:r>
              <w:rPr>
                <w:rFonts w:hint="eastAsia" w:ascii="宋体" w:hAnsi="宋体" w:cs="宋体"/>
                <w:szCs w:val="21"/>
                <w:u w:val="single"/>
              </w:rPr>
              <w:t>XXXX</w:t>
            </w:r>
            <w:r>
              <w:rPr>
                <w:rFonts w:hint="eastAsia" w:ascii="宋体" w:hAnsi="宋体" w:cs="宋体"/>
                <w:szCs w:val="21"/>
              </w:rPr>
              <w:t>年</w:t>
            </w:r>
            <w:r>
              <w:rPr>
                <w:rFonts w:hint="eastAsia" w:ascii="宋体" w:hAnsi="宋体" w:cs="宋体"/>
                <w:szCs w:val="21"/>
                <w:u w:val="single"/>
              </w:rPr>
              <w:t>XX</w:t>
            </w:r>
            <w:r>
              <w:rPr>
                <w:rFonts w:hint="eastAsia" w:ascii="宋体" w:hAnsi="宋体" w:cs="宋体"/>
                <w:szCs w:val="21"/>
              </w:rPr>
              <w:t>月</w:t>
            </w:r>
            <w:r>
              <w:rPr>
                <w:rFonts w:hint="eastAsia" w:ascii="宋体" w:hAnsi="宋体" w:cs="宋体"/>
                <w:szCs w:val="21"/>
                <w:u w:val="single"/>
              </w:rPr>
              <w:t>XX</w:t>
            </w:r>
            <w:r>
              <w:rPr>
                <w:rFonts w:hint="eastAsia" w:ascii="宋体" w:hAnsi="宋体" w:cs="宋体"/>
                <w:szCs w:val="21"/>
              </w:rPr>
              <w:t>日XX时，</w:t>
            </w:r>
          </w:p>
        </w:tc>
        <w:tc>
          <w:tcPr>
            <w:tcW w:w="1510" w:type="pct"/>
            <w:vAlign w:val="center"/>
          </w:tcPr>
          <w:p>
            <w:pPr>
              <w:rPr>
                <w:rFonts w:ascii="宋体" w:hAnsi="宋体" w:cs="宋体"/>
                <w:szCs w:val="21"/>
              </w:rPr>
            </w:pPr>
            <w:r>
              <w:rPr>
                <w:rFonts w:hint="eastAsia" w:ascii="宋体" w:hAnsi="宋体" w:cs="宋体"/>
                <w:szCs w:val="21"/>
              </w:rPr>
              <w:t>请各潜在</w:t>
            </w:r>
            <w:r>
              <w:rPr>
                <w:rFonts w:hint="eastAsia" w:ascii="宋体" w:hAnsi="宋体" w:cs="宋体"/>
                <w:bCs/>
                <w:szCs w:val="21"/>
              </w:rPr>
              <w:t>供应商</w:t>
            </w:r>
            <w:r>
              <w:rPr>
                <w:rFonts w:hint="eastAsia" w:ascii="宋体" w:hAnsi="宋体" w:cs="宋体"/>
                <w:szCs w:val="21"/>
              </w:rPr>
              <w:t>自行前往项目所在地现场踏勘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 w:type="pct"/>
            <w:vAlign w:val="center"/>
          </w:tcPr>
          <w:p>
            <w:pPr>
              <w:ind w:left="-126" w:leftChars="-60" w:right="-99" w:rightChars="-47"/>
              <w:jc w:val="center"/>
              <w:rPr>
                <w:rFonts w:ascii="宋体" w:hAnsi="宋体" w:cs="宋体"/>
                <w:szCs w:val="21"/>
              </w:rPr>
            </w:pPr>
            <w:r>
              <w:rPr>
                <w:rFonts w:hint="eastAsia" w:ascii="宋体" w:hAnsi="宋体" w:cs="宋体"/>
                <w:szCs w:val="21"/>
              </w:rPr>
              <w:t>4</w:t>
            </w:r>
          </w:p>
        </w:tc>
        <w:tc>
          <w:tcPr>
            <w:tcW w:w="1125" w:type="pct"/>
            <w:vAlign w:val="center"/>
          </w:tcPr>
          <w:p>
            <w:pPr>
              <w:jc w:val="center"/>
              <w:rPr>
                <w:rFonts w:ascii="宋体" w:hAnsi="宋体" w:cs="宋体"/>
                <w:szCs w:val="21"/>
              </w:rPr>
            </w:pPr>
            <w:r>
              <w:rPr>
                <w:rFonts w:hint="eastAsia" w:ascii="宋体" w:hAnsi="宋体" w:cs="宋体"/>
                <w:szCs w:val="21"/>
              </w:rPr>
              <w:t>更正公告</w:t>
            </w:r>
          </w:p>
        </w:tc>
        <w:tc>
          <w:tcPr>
            <w:tcW w:w="2083" w:type="pct"/>
            <w:vAlign w:val="center"/>
          </w:tcPr>
          <w:p>
            <w:pPr>
              <w:jc w:val="left"/>
              <w:rPr>
                <w:rFonts w:ascii="宋体" w:hAnsi="宋体" w:cs="宋体"/>
                <w:szCs w:val="21"/>
              </w:rPr>
            </w:pPr>
            <w:r>
              <w:rPr>
                <w:rFonts w:hint="eastAsia" w:ascii="宋体" w:hAnsi="宋体" w:cs="宋体"/>
                <w:szCs w:val="21"/>
              </w:rPr>
              <w:t>澄清或修改内容可能影响投标文件编制的，投标截止时间15日前，不足15日的，顺延</w:t>
            </w:r>
            <w:r>
              <w:rPr>
                <w:rFonts w:hint="eastAsia" w:ascii="宋体" w:hAnsi="宋体" w:cs="宋体"/>
                <w:bCs/>
                <w:szCs w:val="21"/>
              </w:rPr>
              <w:t>投标截止时间</w:t>
            </w:r>
            <w:r>
              <w:rPr>
                <w:rFonts w:hint="eastAsia" w:ascii="宋体" w:hAnsi="宋体" w:cs="宋体"/>
                <w:szCs w:val="21"/>
              </w:rPr>
              <w:t>；</w:t>
            </w:r>
          </w:p>
        </w:tc>
        <w:tc>
          <w:tcPr>
            <w:tcW w:w="1510" w:type="pct"/>
            <w:vAlign w:val="center"/>
          </w:tcPr>
          <w:p>
            <w:pPr>
              <w:jc w:val="left"/>
              <w:rPr>
                <w:rFonts w:ascii="宋体" w:hAnsi="宋体" w:cs="宋体"/>
                <w:szCs w:val="21"/>
              </w:rPr>
            </w:pPr>
            <w:r>
              <w:rPr>
                <w:rFonts w:hint="eastAsia" w:ascii="宋体" w:hAnsi="宋体" w:cs="宋体"/>
                <w:szCs w:val="21"/>
              </w:rPr>
              <w:t>澄清或修改内容获取方式：更正公告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 w:type="pct"/>
            <w:vAlign w:val="center"/>
          </w:tcPr>
          <w:p>
            <w:pPr>
              <w:ind w:left="-126" w:leftChars="-60" w:right="-99" w:rightChars="-47"/>
              <w:jc w:val="center"/>
              <w:rPr>
                <w:rFonts w:ascii="宋体" w:hAnsi="宋体" w:cs="宋体"/>
                <w:szCs w:val="21"/>
              </w:rPr>
            </w:pPr>
            <w:r>
              <w:rPr>
                <w:rFonts w:hint="eastAsia" w:ascii="宋体" w:hAnsi="宋体" w:cs="宋体"/>
                <w:szCs w:val="21"/>
              </w:rPr>
              <w:t>5</w:t>
            </w:r>
          </w:p>
        </w:tc>
        <w:tc>
          <w:tcPr>
            <w:tcW w:w="1125" w:type="pct"/>
            <w:vAlign w:val="center"/>
          </w:tcPr>
          <w:p>
            <w:pPr>
              <w:jc w:val="center"/>
              <w:rPr>
                <w:rFonts w:ascii="宋体" w:hAnsi="宋体" w:cs="宋体"/>
                <w:szCs w:val="21"/>
              </w:rPr>
            </w:pPr>
            <w:r>
              <w:rPr>
                <w:rFonts w:hint="eastAsia" w:ascii="宋体" w:hAnsi="宋体" w:cs="宋体"/>
                <w:szCs w:val="21"/>
              </w:rPr>
              <w:t>投标文件提交截止时间</w:t>
            </w:r>
          </w:p>
        </w:tc>
        <w:tc>
          <w:tcPr>
            <w:tcW w:w="2083" w:type="pct"/>
            <w:vAlign w:val="center"/>
          </w:tcPr>
          <w:p>
            <w:pPr>
              <w:jc w:val="left"/>
              <w:rPr>
                <w:rFonts w:ascii="宋体" w:hAnsi="宋体" w:cs="宋体"/>
                <w:szCs w:val="21"/>
              </w:rPr>
            </w:pPr>
            <w:r>
              <w:rPr>
                <w:rFonts w:hint="eastAsia" w:ascii="宋体" w:hAnsi="宋体" w:cs="宋体"/>
                <w:szCs w:val="21"/>
              </w:rPr>
              <w:t>同供应商须知前附表（一）</w:t>
            </w:r>
          </w:p>
        </w:tc>
        <w:tc>
          <w:tcPr>
            <w:tcW w:w="1510" w:type="pct"/>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 w:type="pct"/>
            <w:tcBorders>
              <w:bottom w:val="single" w:color="auto" w:sz="4" w:space="0"/>
            </w:tcBorders>
            <w:vAlign w:val="center"/>
          </w:tcPr>
          <w:p>
            <w:pPr>
              <w:ind w:left="-126" w:leftChars="-60" w:right="-99" w:rightChars="-47"/>
              <w:jc w:val="center"/>
              <w:rPr>
                <w:rFonts w:ascii="宋体" w:hAnsi="宋体" w:cs="宋体"/>
                <w:szCs w:val="21"/>
              </w:rPr>
            </w:pPr>
            <w:r>
              <w:rPr>
                <w:rFonts w:hint="eastAsia" w:ascii="宋体" w:hAnsi="宋体" w:cs="宋体"/>
                <w:szCs w:val="21"/>
              </w:rPr>
              <w:t>6</w:t>
            </w:r>
          </w:p>
        </w:tc>
        <w:tc>
          <w:tcPr>
            <w:tcW w:w="1125" w:type="pct"/>
            <w:tcBorders>
              <w:bottom w:val="single" w:color="auto" w:sz="4" w:space="0"/>
            </w:tcBorders>
            <w:vAlign w:val="center"/>
          </w:tcPr>
          <w:p>
            <w:pPr>
              <w:jc w:val="center"/>
              <w:rPr>
                <w:rFonts w:ascii="宋体" w:hAnsi="宋体" w:cs="宋体"/>
                <w:szCs w:val="21"/>
              </w:rPr>
            </w:pPr>
            <w:r>
              <w:rPr>
                <w:rFonts w:hint="eastAsia" w:ascii="宋体" w:hAnsi="宋体" w:cs="宋体"/>
                <w:szCs w:val="21"/>
              </w:rPr>
              <w:t>开标时间</w:t>
            </w:r>
          </w:p>
        </w:tc>
        <w:tc>
          <w:tcPr>
            <w:tcW w:w="2083" w:type="pct"/>
            <w:tcBorders>
              <w:bottom w:val="single" w:color="auto" w:sz="4" w:space="0"/>
            </w:tcBorders>
            <w:vAlign w:val="center"/>
          </w:tcPr>
          <w:p>
            <w:pPr>
              <w:jc w:val="left"/>
              <w:rPr>
                <w:rFonts w:ascii="宋体" w:hAnsi="宋体" w:cs="宋体"/>
                <w:szCs w:val="21"/>
              </w:rPr>
            </w:pPr>
            <w:r>
              <w:rPr>
                <w:rFonts w:hint="eastAsia" w:ascii="宋体" w:hAnsi="宋体" w:cs="宋体"/>
                <w:szCs w:val="21"/>
              </w:rPr>
              <w:t>同投标截止时间</w:t>
            </w:r>
          </w:p>
        </w:tc>
        <w:tc>
          <w:tcPr>
            <w:tcW w:w="1510" w:type="pct"/>
            <w:tcBorders>
              <w:bottom w:val="single" w:color="auto" w:sz="4" w:space="0"/>
            </w:tcBorders>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80" w:type="pct"/>
            <w:tcBorders>
              <w:top w:val="single" w:color="auto" w:sz="4" w:space="0"/>
              <w:left w:val="single" w:color="auto" w:sz="4" w:space="0"/>
              <w:bottom w:val="single" w:color="auto" w:sz="4" w:space="0"/>
              <w:right w:val="single" w:color="auto" w:sz="4" w:space="0"/>
            </w:tcBorders>
            <w:vAlign w:val="center"/>
          </w:tcPr>
          <w:p>
            <w:pPr>
              <w:ind w:left="-126" w:leftChars="-60" w:right="-99" w:rightChars="-47"/>
              <w:jc w:val="center"/>
              <w:rPr>
                <w:rFonts w:ascii="宋体" w:hAnsi="宋体" w:cs="宋体"/>
                <w:szCs w:val="21"/>
              </w:rPr>
            </w:pPr>
            <w:r>
              <w:rPr>
                <w:rFonts w:hint="eastAsia" w:ascii="宋体" w:hAnsi="宋体" w:cs="宋体"/>
                <w:szCs w:val="21"/>
              </w:rPr>
              <w:t>7</w:t>
            </w:r>
          </w:p>
        </w:tc>
        <w:tc>
          <w:tcPr>
            <w:tcW w:w="112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中标公告及中标通知书</w:t>
            </w:r>
          </w:p>
        </w:tc>
        <w:tc>
          <w:tcPr>
            <w:tcW w:w="2083"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Cs w:val="21"/>
              </w:rPr>
            </w:pPr>
            <w:r>
              <w:rPr>
                <w:rFonts w:hint="eastAsia" w:ascii="宋体" w:hAnsi="宋体" w:cs="宋体"/>
                <w:szCs w:val="21"/>
              </w:rPr>
              <w:t>中标人确定之日起2个工作日内</w:t>
            </w:r>
          </w:p>
        </w:tc>
        <w:tc>
          <w:tcPr>
            <w:tcW w:w="1510"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 w:type="pct"/>
            <w:tcBorders>
              <w:top w:val="single" w:color="auto" w:sz="4" w:space="0"/>
              <w:left w:val="single" w:color="auto" w:sz="4" w:space="0"/>
              <w:bottom w:val="single" w:color="auto" w:sz="4" w:space="0"/>
              <w:right w:val="single" w:color="auto" w:sz="4" w:space="0"/>
            </w:tcBorders>
            <w:vAlign w:val="center"/>
          </w:tcPr>
          <w:p>
            <w:pPr>
              <w:ind w:left="-126" w:leftChars="-60" w:right="-99" w:rightChars="-47"/>
              <w:jc w:val="center"/>
              <w:rPr>
                <w:rFonts w:ascii="宋体" w:hAnsi="宋体" w:cs="宋体"/>
                <w:szCs w:val="21"/>
              </w:rPr>
            </w:pPr>
            <w:r>
              <w:rPr>
                <w:rFonts w:hint="eastAsia" w:ascii="宋体" w:hAnsi="宋体" w:cs="宋体"/>
                <w:szCs w:val="21"/>
              </w:rPr>
              <w:t>8</w:t>
            </w:r>
          </w:p>
        </w:tc>
        <w:tc>
          <w:tcPr>
            <w:tcW w:w="112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质疑期限</w:t>
            </w:r>
          </w:p>
        </w:tc>
        <w:tc>
          <w:tcPr>
            <w:tcW w:w="2083"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Cs w:val="21"/>
              </w:rPr>
            </w:pPr>
            <w:r>
              <w:rPr>
                <w:rFonts w:hint="eastAsia" w:ascii="宋体" w:hAnsi="宋体" w:cs="宋体"/>
                <w:szCs w:val="21"/>
              </w:rPr>
              <w:t>中标结果公告期限届满之日起7个工作日内</w:t>
            </w:r>
          </w:p>
        </w:tc>
        <w:tc>
          <w:tcPr>
            <w:tcW w:w="1510"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 w:type="pct"/>
            <w:tcBorders>
              <w:top w:val="single" w:color="auto" w:sz="4" w:space="0"/>
              <w:left w:val="single" w:color="auto" w:sz="4" w:space="0"/>
              <w:bottom w:val="single" w:color="auto" w:sz="4" w:space="0"/>
              <w:right w:val="single" w:color="auto" w:sz="4" w:space="0"/>
            </w:tcBorders>
            <w:vAlign w:val="center"/>
          </w:tcPr>
          <w:p>
            <w:pPr>
              <w:ind w:left="-126" w:leftChars="-60" w:right="-99" w:rightChars="-47"/>
              <w:jc w:val="center"/>
              <w:rPr>
                <w:rFonts w:ascii="宋体" w:hAnsi="宋体" w:cs="宋体"/>
                <w:szCs w:val="21"/>
              </w:rPr>
            </w:pPr>
            <w:r>
              <w:rPr>
                <w:rFonts w:hint="eastAsia" w:ascii="宋体" w:hAnsi="宋体" w:cs="宋体"/>
                <w:szCs w:val="21"/>
              </w:rPr>
              <w:t>9</w:t>
            </w:r>
          </w:p>
        </w:tc>
        <w:tc>
          <w:tcPr>
            <w:tcW w:w="112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投诉期限</w:t>
            </w:r>
          </w:p>
        </w:tc>
        <w:tc>
          <w:tcPr>
            <w:tcW w:w="2083"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Cs w:val="21"/>
              </w:rPr>
            </w:pPr>
            <w:r>
              <w:rPr>
                <w:rFonts w:hint="eastAsia" w:ascii="宋体" w:hAnsi="宋体" w:cs="宋体"/>
                <w:szCs w:val="21"/>
              </w:rPr>
              <w:t>质疑答复期满后15个工作日内</w:t>
            </w:r>
          </w:p>
        </w:tc>
        <w:tc>
          <w:tcPr>
            <w:tcW w:w="1510"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 w:type="pct"/>
            <w:tcBorders>
              <w:top w:val="single" w:color="auto" w:sz="4" w:space="0"/>
              <w:left w:val="single" w:color="auto" w:sz="4" w:space="0"/>
              <w:bottom w:val="single" w:color="auto" w:sz="4" w:space="0"/>
              <w:right w:val="single" w:color="auto" w:sz="4" w:space="0"/>
            </w:tcBorders>
            <w:vAlign w:val="center"/>
          </w:tcPr>
          <w:p>
            <w:pPr>
              <w:ind w:left="-126" w:leftChars="-60" w:right="-99" w:rightChars="-47"/>
              <w:jc w:val="center"/>
              <w:rPr>
                <w:rFonts w:ascii="宋体" w:hAnsi="宋体" w:cs="宋体"/>
                <w:szCs w:val="21"/>
              </w:rPr>
            </w:pPr>
            <w:r>
              <w:rPr>
                <w:rFonts w:hint="eastAsia" w:ascii="宋体" w:hAnsi="宋体" w:cs="宋体"/>
                <w:szCs w:val="21"/>
              </w:rPr>
              <w:t>10</w:t>
            </w:r>
          </w:p>
        </w:tc>
        <w:tc>
          <w:tcPr>
            <w:tcW w:w="112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签订合同</w:t>
            </w:r>
          </w:p>
        </w:tc>
        <w:tc>
          <w:tcPr>
            <w:tcW w:w="2083"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中标通知书发出之日起</w:t>
            </w:r>
            <w:r>
              <w:rPr>
                <w:rFonts w:hint="eastAsia" w:ascii="宋体" w:hAnsi="宋体" w:cs="宋体"/>
                <w:szCs w:val="21"/>
                <w:u w:val="single"/>
              </w:rPr>
              <w:t>30</w:t>
            </w:r>
            <w:r>
              <w:rPr>
                <w:rFonts w:hint="eastAsia" w:ascii="宋体" w:hAnsi="宋体" w:cs="宋体"/>
                <w:szCs w:val="21"/>
              </w:rPr>
              <w:t>日内，按照招标文件和中标人投标文件的规定，与中标人签订书面合同。</w:t>
            </w:r>
          </w:p>
        </w:tc>
        <w:tc>
          <w:tcPr>
            <w:tcW w:w="1510"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r>
      <w:bookmark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jc w:val="center"/>
        </w:trPr>
        <w:tc>
          <w:tcPr>
            <w:tcW w:w="280"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snapToGrid w:val="0"/>
                <w:szCs w:val="21"/>
              </w:rPr>
            </w:pPr>
            <w:bookmarkStart w:id="37" w:name="_Toc531358976"/>
            <w:bookmarkStart w:id="38" w:name="_Toc530551821"/>
            <w:r>
              <w:rPr>
                <w:rFonts w:hint="eastAsia" w:ascii="宋体" w:hAnsi="宋体" w:cs="宋体"/>
                <w:bCs/>
                <w:snapToGrid w:val="0"/>
                <w:szCs w:val="21"/>
              </w:rPr>
              <w:t>11</w:t>
            </w:r>
          </w:p>
        </w:tc>
        <w:tc>
          <w:tcPr>
            <w:tcW w:w="1125" w:type="pct"/>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bCs/>
                <w:szCs w:val="21"/>
              </w:rPr>
              <w:t>采购代理服务费</w:t>
            </w:r>
          </w:p>
        </w:tc>
        <w:tc>
          <w:tcPr>
            <w:tcW w:w="3594" w:type="pct"/>
            <w:gridSpan w:val="2"/>
            <w:tcBorders>
              <w:top w:val="single" w:color="auto" w:sz="4" w:space="0"/>
              <w:left w:val="single" w:color="auto" w:sz="4" w:space="0"/>
              <w:bottom w:val="single" w:color="auto" w:sz="4" w:space="0"/>
              <w:right w:val="single" w:color="auto" w:sz="4" w:space="0"/>
            </w:tcBorders>
            <w:vAlign w:val="center"/>
          </w:tcPr>
          <w:p>
            <w:pPr>
              <w:ind w:firstLine="420" w:firstLineChars="200"/>
              <w:jc w:val="left"/>
              <w:rPr>
                <w:rFonts w:ascii="宋体" w:hAnsi="宋体" w:cs="宋体"/>
                <w:szCs w:val="21"/>
              </w:rPr>
            </w:pPr>
            <w:r>
              <w:rPr>
                <w:rFonts w:hint="eastAsia" w:ascii="宋体" w:hAnsi="宋体" w:cs="宋体"/>
                <w:szCs w:val="21"/>
              </w:rPr>
              <w:t>本采购项目是属分散采购类型。由中标人支付招标代理服务费:</w:t>
            </w:r>
            <w:r>
              <w:rPr>
                <w:rFonts w:hint="eastAsia" w:ascii="宋体" w:hAnsi="宋体" w:cs="宋体"/>
                <w:szCs w:val="21"/>
                <w:u w:val="single"/>
              </w:rPr>
              <w:t>70000元</w:t>
            </w:r>
            <w:r>
              <w:rPr>
                <w:rFonts w:hint="eastAsia" w:ascii="宋体" w:hAnsi="宋体" w:cs="宋体"/>
                <w:szCs w:val="21"/>
              </w:rPr>
              <w:t>。在领取中标通知书之前，中标人向招标代理机构支付代理服务费。请投标</w:t>
            </w:r>
            <w:r>
              <w:rPr>
                <w:rFonts w:hint="eastAsia" w:ascii="宋体" w:hAnsi="宋体" w:cs="宋体"/>
                <w:bCs/>
                <w:szCs w:val="21"/>
              </w:rPr>
              <w:t>供应商</w:t>
            </w:r>
            <w:r>
              <w:rPr>
                <w:rFonts w:hint="eastAsia" w:ascii="宋体" w:hAnsi="宋体" w:cs="宋体"/>
                <w:szCs w:val="21"/>
              </w:rPr>
              <w:t>在测算报价时充分考虑这一因素。</w:t>
            </w:r>
          </w:p>
        </w:tc>
      </w:tr>
    </w:tbl>
    <w:p>
      <w:pPr>
        <w:pStyle w:val="44"/>
        <w:spacing w:beforeLines="100" w:after="240" w:afterLines="100"/>
        <w:jc w:val="left"/>
        <w:outlineLvl w:val="1"/>
        <w:rPr>
          <w:rFonts w:ascii="宋体" w:hAnsi="宋体" w:cs="宋体"/>
          <w:sz w:val="30"/>
          <w:szCs w:val="30"/>
        </w:rPr>
        <w:sectPr>
          <w:footerReference r:id="rId14" w:type="even"/>
          <w:pgSz w:w="11905" w:h="16838"/>
          <w:pgMar w:top="1440" w:right="1083" w:bottom="1440" w:left="1083" w:header="850" w:footer="850" w:gutter="0"/>
          <w:cols w:space="720" w:num="1"/>
          <w:titlePg/>
          <w:docGrid w:linePitch="312" w:charSpace="0"/>
        </w:sectPr>
      </w:pPr>
    </w:p>
    <w:p>
      <w:pPr>
        <w:pStyle w:val="44"/>
        <w:spacing w:beforeLines="100" w:after="240" w:afterLines="100"/>
        <w:jc w:val="left"/>
        <w:outlineLvl w:val="1"/>
        <w:rPr>
          <w:rFonts w:ascii="宋体" w:hAnsi="宋体" w:cs="宋体"/>
          <w:sz w:val="30"/>
          <w:szCs w:val="30"/>
        </w:rPr>
      </w:pPr>
      <w:bookmarkStart w:id="39" w:name="_Toc34895525"/>
      <w:r>
        <w:rPr>
          <w:rFonts w:hint="eastAsia" w:ascii="宋体" w:hAnsi="宋体" w:cs="宋体"/>
          <w:sz w:val="30"/>
          <w:szCs w:val="30"/>
        </w:rPr>
        <w:t>一    总则</w:t>
      </w:r>
      <w:bookmarkEnd w:id="35"/>
      <w:bookmarkEnd w:id="37"/>
      <w:bookmarkEnd w:id="38"/>
      <w:bookmarkEnd w:id="39"/>
    </w:p>
    <w:p>
      <w:pPr>
        <w:pStyle w:val="234"/>
        <w:rPr>
          <w:rFonts w:ascii="宋体" w:eastAsia="宋体"/>
        </w:rPr>
      </w:pPr>
      <w:bookmarkStart w:id="40" w:name="_Toc530551822"/>
      <w:bookmarkStart w:id="41" w:name="_Toc34895526"/>
      <w:bookmarkStart w:id="42" w:name="_Toc531358977"/>
      <w:r>
        <w:rPr>
          <w:rFonts w:hint="eastAsia" w:ascii="宋体" w:eastAsia="宋体"/>
        </w:rPr>
        <w:t>1.1     适用范围</w:t>
      </w:r>
      <w:bookmarkEnd w:id="40"/>
      <w:bookmarkEnd w:id="41"/>
      <w:bookmarkEnd w:id="42"/>
    </w:p>
    <w:p>
      <w:pPr>
        <w:spacing w:line="360" w:lineRule="auto"/>
        <w:ind w:firstLine="960" w:firstLineChars="400"/>
        <w:rPr>
          <w:rFonts w:ascii="宋体" w:hAnsi="宋体" w:cs="宋体"/>
          <w:sz w:val="24"/>
          <w:szCs w:val="24"/>
        </w:rPr>
      </w:pPr>
      <w:r>
        <w:rPr>
          <w:rFonts w:hint="eastAsia" w:ascii="宋体" w:hAnsi="宋体" w:cs="宋体"/>
          <w:bCs/>
          <w:sz w:val="24"/>
          <w:szCs w:val="24"/>
        </w:rPr>
        <w:t>招标文件</w:t>
      </w:r>
      <w:r>
        <w:rPr>
          <w:rFonts w:hint="eastAsia" w:ascii="宋体" w:hAnsi="宋体" w:cs="宋体"/>
          <w:sz w:val="24"/>
          <w:szCs w:val="24"/>
        </w:rPr>
        <w:t>适用于本次招标项目的采购行为，法律、法规另有规定的，从其规定。</w:t>
      </w:r>
    </w:p>
    <w:p>
      <w:pPr>
        <w:pStyle w:val="234"/>
        <w:rPr>
          <w:rFonts w:ascii="宋体" w:eastAsia="宋体"/>
        </w:rPr>
      </w:pPr>
      <w:bookmarkStart w:id="43" w:name="_Toc34895527"/>
      <w:bookmarkStart w:id="44" w:name="_Toc531358978"/>
      <w:bookmarkStart w:id="45" w:name="_Toc530551823"/>
      <w:r>
        <w:rPr>
          <w:rFonts w:hint="eastAsia" w:ascii="宋体" w:eastAsia="宋体"/>
        </w:rPr>
        <w:t>1.2     定义</w:t>
      </w:r>
      <w:bookmarkEnd w:id="43"/>
      <w:bookmarkEnd w:id="44"/>
      <w:bookmarkEnd w:id="45"/>
    </w:p>
    <w:p>
      <w:pPr>
        <w:spacing w:line="360" w:lineRule="auto"/>
        <w:rPr>
          <w:rFonts w:ascii="宋体" w:hAnsi="宋体" w:cs="宋体"/>
          <w:sz w:val="24"/>
          <w:szCs w:val="24"/>
        </w:rPr>
      </w:pPr>
      <w:r>
        <w:rPr>
          <w:rFonts w:hint="eastAsia" w:ascii="宋体" w:hAnsi="宋体" w:cs="宋体"/>
          <w:sz w:val="24"/>
          <w:szCs w:val="24"/>
        </w:rPr>
        <w:t>1.2.1   “采购人”是指：见供应商须知前附表（一）；</w:t>
      </w:r>
    </w:p>
    <w:p>
      <w:pPr>
        <w:spacing w:line="360" w:lineRule="auto"/>
        <w:ind w:left="960" w:hanging="960" w:hangingChars="400"/>
        <w:rPr>
          <w:rFonts w:ascii="宋体" w:hAnsi="宋体" w:cs="宋体"/>
          <w:sz w:val="24"/>
          <w:szCs w:val="24"/>
        </w:rPr>
      </w:pPr>
      <w:r>
        <w:rPr>
          <w:rFonts w:hint="eastAsia" w:ascii="宋体" w:hAnsi="宋体" w:cs="宋体"/>
          <w:sz w:val="24"/>
          <w:szCs w:val="24"/>
        </w:rPr>
        <w:t>1.2.2   “采购代理机构”系指招标公告中载明的本项目的采购代理机构，详见供应商须知前附表（一）；</w:t>
      </w:r>
    </w:p>
    <w:p>
      <w:pPr>
        <w:spacing w:line="360" w:lineRule="auto"/>
        <w:ind w:left="960" w:hanging="960" w:hangingChars="400"/>
        <w:rPr>
          <w:rFonts w:ascii="宋体" w:hAnsi="宋体" w:cs="宋体"/>
          <w:sz w:val="24"/>
          <w:szCs w:val="24"/>
        </w:rPr>
      </w:pPr>
      <w:r>
        <w:rPr>
          <w:rFonts w:hint="eastAsia" w:ascii="宋体" w:hAnsi="宋体" w:cs="宋体"/>
          <w:sz w:val="24"/>
          <w:szCs w:val="24"/>
        </w:rPr>
        <w:t>1.2.3   “供应商”系指按照本招标文件的规定参加并提交投标文件的自然人、法人或其他组织；</w:t>
      </w:r>
    </w:p>
    <w:p>
      <w:pPr>
        <w:spacing w:line="360" w:lineRule="auto"/>
        <w:ind w:left="960" w:hanging="960" w:hangingChars="400"/>
        <w:rPr>
          <w:rFonts w:ascii="宋体" w:hAnsi="宋体" w:cs="宋体"/>
          <w:sz w:val="24"/>
          <w:szCs w:val="24"/>
        </w:rPr>
      </w:pPr>
      <w:r>
        <w:rPr>
          <w:rFonts w:hint="eastAsia" w:ascii="宋体" w:hAnsi="宋体" w:cs="宋体"/>
          <w:sz w:val="24"/>
          <w:szCs w:val="24"/>
        </w:rPr>
        <w:t>1.2.4   “负责人”系指法人企业的法定代表人，或其他组织为法律、行政法规规定代表单位行使职权的主要负责人，或自然人本人；</w:t>
      </w:r>
    </w:p>
    <w:p>
      <w:pPr>
        <w:spacing w:line="360" w:lineRule="auto"/>
        <w:ind w:left="960" w:hanging="960" w:hangingChars="400"/>
        <w:rPr>
          <w:rFonts w:ascii="宋体" w:hAnsi="宋体" w:cs="宋体"/>
          <w:sz w:val="24"/>
          <w:szCs w:val="24"/>
        </w:rPr>
      </w:pPr>
      <w:r>
        <w:rPr>
          <w:rFonts w:hint="eastAsia" w:ascii="宋体" w:hAnsi="宋体" w:cs="宋体"/>
          <w:sz w:val="24"/>
          <w:szCs w:val="24"/>
        </w:rPr>
        <w:t>1.2.5   “供应商代表”系指负责人或其授权的委托代理人；</w:t>
      </w:r>
    </w:p>
    <w:p>
      <w:pPr>
        <w:spacing w:line="360" w:lineRule="auto"/>
        <w:ind w:left="960" w:hanging="960" w:hangingChars="400"/>
        <w:rPr>
          <w:rFonts w:ascii="宋体" w:hAnsi="宋体" w:cs="宋体"/>
          <w:sz w:val="24"/>
          <w:szCs w:val="24"/>
        </w:rPr>
      </w:pPr>
      <w:r>
        <w:rPr>
          <w:rFonts w:hint="eastAsia" w:ascii="宋体" w:hAnsi="宋体" w:cs="宋体"/>
          <w:sz w:val="24"/>
          <w:szCs w:val="24"/>
        </w:rPr>
        <w:t>1.2.6   “合同”系指采购人与中标人双方签署的规定双方权利与义务的协议，以及所有附件、附录、招标文件和投标文件所提到的构成合同的所有文件；</w:t>
      </w:r>
    </w:p>
    <w:p>
      <w:pPr>
        <w:spacing w:line="360" w:lineRule="auto"/>
        <w:ind w:left="960" w:hanging="960" w:hangingChars="400"/>
        <w:rPr>
          <w:rFonts w:ascii="宋体" w:hAnsi="宋体" w:cs="宋体"/>
          <w:sz w:val="24"/>
          <w:szCs w:val="24"/>
        </w:rPr>
      </w:pPr>
      <w:r>
        <w:rPr>
          <w:rFonts w:hint="eastAsia" w:ascii="宋体" w:hAnsi="宋体" w:cs="宋体"/>
          <w:sz w:val="24"/>
          <w:szCs w:val="24"/>
        </w:rPr>
        <w:t>1.2.7   “服务”系指供应商按招标文件规定应承担的缙云县建筑固废物综合利用劳务外包采购项目；</w:t>
      </w:r>
    </w:p>
    <w:p>
      <w:pPr>
        <w:spacing w:line="360" w:lineRule="auto"/>
        <w:ind w:left="960" w:hanging="960" w:hangingChars="400"/>
        <w:rPr>
          <w:rFonts w:ascii="宋体" w:hAnsi="宋体" w:cs="宋体"/>
          <w:sz w:val="24"/>
          <w:szCs w:val="24"/>
        </w:rPr>
      </w:pPr>
      <w:r>
        <w:rPr>
          <w:rFonts w:hint="eastAsia" w:ascii="宋体" w:hAnsi="宋体" w:cs="宋体"/>
          <w:sz w:val="24"/>
          <w:szCs w:val="24"/>
        </w:rPr>
        <w:t xml:space="preserve">1.2.8   “▲” 系指实质性要求条款，“★”为核心产品，“●”为重要参数； </w:t>
      </w:r>
    </w:p>
    <w:p>
      <w:pPr>
        <w:spacing w:line="360" w:lineRule="auto"/>
        <w:ind w:left="964" w:hanging="964" w:hangingChars="400"/>
        <w:rPr>
          <w:rFonts w:ascii="宋体" w:hAnsi="宋体" w:cs="宋体"/>
          <w:b/>
          <w:sz w:val="24"/>
          <w:szCs w:val="24"/>
        </w:rPr>
      </w:pPr>
      <w:r>
        <w:rPr>
          <w:rFonts w:hint="eastAsia" w:ascii="宋体" w:hAnsi="宋体" w:cs="宋体"/>
          <w:b/>
          <w:sz w:val="24"/>
          <w:szCs w:val="24"/>
        </w:rPr>
        <w:t>1.2.9  “电子投标文件”系指供应商通过“乐采云电子交易客户端”编制的数据电文形式的“电子加密投标文件”。</w:t>
      </w:r>
    </w:p>
    <w:p>
      <w:pPr>
        <w:spacing w:line="360" w:lineRule="auto"/>
        <w:ind w:left="964" w:hanging="964" w:hangingChars="400"/>
        <w:rPr>
          <w:rFonts w:ascii="宋体" w:hAnsi="宋体" w:cs="宋体"/>
          <w:b/>
          <w:sz w:val="24"/>
          <w:szCs w:val="24"/>
        </w:rPr>
      </w:pPr>
      <w:r>
        <w:rPr>
          <w:rFonts w:hint="eastAsia" w:ascii="宋体" w:hAnsi="宋体" w:cs="宋体"/>
          <w:b/>
          <w:sz w:val="24"/>
          <w:szCs w:val="24"/>
        </w:rPr>
        <w:t>1.2.10  “备份投标文件”系指与“电子投标文件”同时生成的数据电文形式的电子文件。</w:t>
      </w:r>
    </w:p>
    <w:p>
      <w:pPr>
        <w:pStyle w:val="234"/>
        <w:rPr>
          <w:rFonts w:ascii="宋体" w:eastAsia="宋体"/>
        </w:rPr>
      </w:pPr>
      <w:bookmarkStart w:id="46" w:name="_Toc34895528"/>
      <w:bookmarkStart w:id="47" w:name="_Toc531358980"/>
      <w:bookmarkStart w:id="48" w:name="_Toc530551825"/>
      <w:r>
        <w:rPr>
          <w:rFonts w:hint="eastAsia" w:ascii="宋体" w:eastAsia="宋体"/>
        </w:rPr>
        <w:t>1.3     供应商应具备资格条件</w:t>
      </w:r>
      <w:bookmarkEnd w:id="46"/>
      <w:bookmarkEnd w:id="47"/>
      <w:bookmarkEnd w:id="48"/>
    </w:p>
    <w:p>
      <w:pPr>
        <w:spacing w:line="360" w:lineRule="auto"/>
        <w:ind w:left="960" w:hanging="960" w:hangingChars="400"/>
        <w:rPr>
          <w:rFonts w:ascii="宋体" w:hAnsi="宋体" w:cs="宋体"/>
          <w:sz w:val="24"/>
          <w:szCs w:val="24"/>
        </w:rPr>
      </w:pPr>
      <w:bookmarkStart w:id="49" w:name="_Toc530551826"/>
      <w:r>
        <w:rPr>
          <w:rFonts w:hint="eastAsia" w:ascii="宋体" w:hAnsi="宋体" w:cs="宋体"/>
          <w:sz w:val="24"/>
          <w:szCs w:val="24"/>
        </w:rPr>
        <w:t>1.3.1   符合本文件第一章第“六”条的规定；</w:t>
      </w:r>
    </w:p>
    <w:p>
      <w:pPr>
        <w:pStyle w:val="234"/>
        <w:rPr>
          <w:rFonts w:ascii="宋体" w:eastAsia="宋体"/>
        </w:rPr>
      </w:pPr>
      <w:bookmarkStart w:id="50" w:name="_Toc34895529"/>
      <w:bookmarkStart w:id="51" w:name="_Toc531358981"/>
      <w:r>
        <w:rPr>
          <w:rFonts w:hint="eastAsia" w:ascii="宋体" w:eastAsia="宋体"/>
        </w:rPr>
        <w:t>1.4     联合体投标</w:t>
      </w:r>
      <w:bookmarkEnd w:id="49"/>
      <w:bookmarkEnd w:id="50"/>
      <w:bookmarkEnd w:id="51"/>
    </w:p>
    <w:p>
      <w:pPr>
        <w:spacing w:line="360" w:lineRule="auto"/>
        <w:ind w:left="720" w:hanging="720" w:hangingChars="300"/>
        <w:rPr>
          <w:rFonts w:ascii="宋体" w:hAnsi="宋体" w:cs="宋体"/>
          <w:sz w:val="24"/>
          <w:szCs w:val="24"/>
        </w:rPr>
      </w:pPr>
      <w:r>
        <w:rPr>
          <w:rFonts w:hint="eastAsia" w:ascii="宋体" w:hAnsi="宋体" w:cs="宋体"/>
          <w:sz w:val="24"/>
          <w:szCs w:val="24"/>
        </w:rPr>
        <w:t>1.4.1   联合体：见供应商须知前附表（一）；</w:t>
      </w:r>
    </w:p>
    <w:p>
      <w:pPr>
        <w:spacing w:line="360" w:lineRule="auto"/>
        <w:ind w:left="720" w:hanging="720" w:hangingChars="300"/>
        <w:rPr>
          <w:rFonts w:ascii="宋体" w:hAnsi="宋体" w:cs="宋体"/>
          <w:sz w:val="24"/>
          <w:szCs w:val="24"/>
        </w:rPr>
      </w:pPr>
      <w:r>
        <w:rPr>
          <w:rFonts w:hint="eastAsia" w:ascii="宋体" w:hAnsi="宋体" w:cs="宋体"/>
          <w:sz w:val="24"/>
          <w:szCs w:val="24"/>
        </w:rPr>
        <w:t>1.4.2   联合体各方均符合政府采购法第二十二条第一款规定；</w:t>
      </w:r>
    </w:p>
    <w:p>
      <w:pPr>
        <w:spacing w:line="360" w:lineRule="auto"/>
        <w:ind w:left="960" w:hanging="960" w:hangingChars="400"/>
        <w:rPr>
          <w:rFonts w:ascii="宋体" w:hAnsi="宋体" w:cs="宋体"/>
          <w:sz w:val="24"/>
          <w:szCs w:val="24"/>
        </w:rPr>
      </w:pPr>
      <w:r>
        <w:rPr>
          <w:rFonts w:hint="eastAsia" w:ascii="宋体" w:hAnsi="宋体" w:cs="宋体"/>
          <w:sz w:val="24"/>
          <w:szCs w:val="24"/>
        </w:rPr>
        <w:t>1.4.3   联合体中至少有一方符合本文件规定的特定资质要求。但联合体中有同类资质的供应商按照联合体分工承担相同工作的，应当按照资质等级较低的供应商确定资质等级；</w:t>
      </w:r>
    </w:p>
    <w:p>
      <w:pPr>
        <w:spacing w:line="360" w:lineRule="auto"/>
        <w:ind w:left="960" w:hanging="960" w:hangingChars="400"/>
        <w:rPr>
          <w:rFonts w:ascii="宋体" w:hAnsi="宋体" w:cs="宋体"/>
          <w:sz w:val="24"/>
          <w:szCs w:val="24"/>
        </w:rPr>
      </w:pPr>
      <w:r>
        <w:rPr>
          <w:rFonts w:hint="eastAsia" w:ascii="宋体" w:hAnsi="宋体" w:cs="宋体"/>
          <w:sz w:val="24"/>
          <w:szCs w:val="24"/>
        </w:rPr>
        <w:t>1.4.4   以联合体形式参加采购活动的，联合体各方不得再单独参加或者与其他供应商另外组成联合体参加同一合同项下的采购活动；</w:t>
      </w:r>
    </w:p>
    <w:p>
      <w:pPr>
        <w:spacing w:line="360" w:lineRule="auto"/>
        <w:ind w:left="960" w:hanging="960" w:hangingChars="400"/>
        <w:rPr>
          <w:rFonts w:ascii="宋体" w:hAnsi="宋体" w:cs="宋体"/>
          <w:sz w:val="24"/>
          <w:szCs w:val="24"/>
        </w:rPr>
      </w:pPr>
      <w:r>
        <w:rPr>
          <w:rFonts w:hint="eastAsia" w:ascii="宋体" w:hAnsi="宋体" w:cs="宋体"/>
          <w:sz w:val="24"/>
          <w:szCs w:val="24"/>
        </w:rPr>
        <w:t>1.4.5   联合体参与的，必须提供《联合体协议书》。</w:t>
      </w:r>
    </w:p>
    <w:p>
      <w:pPr>
        <w:pStyle w:val="234"/>
        <w:rPr>
          <w:rFonts w:ascii="宋体" w:eastAsia="宋体"/>
        </w:rPr>
      </w:pPr>
      <w:bookmarkStart w:id="52" w:name="_Toc531358982"/>
      <w:bookmarkStart w:id="53" w:name="_Toc34895530"/>
      <w:bookmarkStart w:id="54" w:name="_Toc530551827"/>
      <w:r>
        <w:rPr>
          <w:rFonts w:hint="eastAsia" w:ascii="宋体" w:eastAsia="宋体"/>
        </w:rPr>
        <w:t>1.5     投标文件的语言及计量</w:t>
      </w:r>
      <w:bookmarkEnd w:id="52"/>
      <w:bookmarkEnd w:id="53"/>
      <w:bookmarkEnd w:id="54"/>
    </w:p>
    <w:p>
      <w:pPr>
        <w:spacing w:line="360" w:lineRule="auto"/>
        <w:ind w:left="960" w:hanging="960" w:hangingChars="400"/>
        <w:rPr>
          <w:rFonts w:ascii="宋体" w:hAnsi="宋体" w:cs="宋体"/>
          <w:sz w:val="24"/>
          <w:szCs w:val="24"/>
        </w:rPr>
      </w:pPr>
      <w:r>
        <w:rPr>
          <w:rFonts w:hint="eastAsia" w:ascii="宋体" w:hAnsi="宋体" w:cs="宋体"/>
          <w:sz w:val="24"/>
          <w:szCs w:val="24"/>
        </w:rPr>
        <w:t>1.5.1   投标文件以及供应商、采购人与采购代理机构就有关投标事宜的所有来往函电，均应以简体中文书写，除签名、盖章、专用名称等特殊情形外；</w:t>
      </w:r>
    </w:p>
    <w:p>
      <w:pPr>
        <w:spacing w:line="360" w:lineRule="auto"/>
        <w:ind w:left="960" w:hanging="960" w:hangingChars="400"/>
        <w:rPr>
          <w:rFonts w:ascii="宋体" w:hAnsi="宋体" w:cs="宋体"/>
          <w:sz w:val="24"/>
          <w:szCs w:val="24"/>
        </w:rPr>
      </w:pPr>
      <w:r>
        <w:rPr>
          <w:rFonts w:hint="eastAsia" w:ascii="宋体" w:hAnsi="宋体" w:cs="宋体"/>
          <w:sz w:val="24"/>
          <w:szCs w:val="24"/>
        </w:rPr>
        <w:t>1.5.2   投标资料提供外文证书或者外国语视听资料的，应当附有中文译本，由翻译机构盖章或者翻译人员签名；</w:t>
      </w:r>
    </w:p>
    <w:p>
      <w:pPr>
        <w:spacing w:line="360" w:lineRule="auto"/>
        <w:ind w:left="960" w:hanging="960" w:hangingChars="400"/>
        <w:rPr>
          <w:rFonts w:ascii="宋体" w:hAnsi="宋体" w:cs="宋体"/>
          <w:sz w:val="24"/>
          <w:szCs w:val="24"/>
        </w:rPr>
      </w:pPr>
      <w:r>
        <w:rPr>
          <w:rFonts w:hint="eastAsia" w:ascii="宋体" w:hAnsi="宋体" w:cs="宋体"/>
          <w:sz w:val="24"/>
          <w:szCs w:val="24"/>
        </w:rPr>
        <w:t>1.5.3   投标计量单位，招标文件已有明确规定的，使用招标文件规定的计量单位；招标文件没有规定的，应当采用中华人民共和国法定计量单位。</w:t>
      </w:r>
    </w:p>
    <w:p>
      <w:pPr>
        <w:pStyle w:val="234"/>
        <w:rPr>
          <w:rFonts w:ascii="宋体" w:eastAsia="宋体"/>
        </w:rPr>
      </w:pPr>
      <w:bookmarkStart w:id="55" w:name="_Toc531358983"/>
      <w:bookmarkStart w:id="56" w:name="_Toc34895531"/>
      <w:bookmarkStart w:id="57" w:name="_Toc530551828"/>
      <w:r>
        <w:rPr>
          <w:rFonts w:hint="eastAsia" w:ascii="宋体" w:eastAsia="宋体"/>
        </w:rPr>
        <w:t>1.6     投标费用</w:t>
      </w:r>
      <w:bookmarkEnd w:id="55"/>
      <w:bookmarkEnd w:id="56"/>
      <w:bookmarkEnd w:id="57"/>
    </w:p>
    <w:p>
      <w:pPr>
        <w:spacing w:line="360" w:lineRule="auto"/>
        <w:ind w:firstLine="960" w:firstLineChars="400"/>
        <w:rPr>
          <w:rFonts w:ascii="宋体" w:hAnsi="宋体" w:cs="宋体"/>
          <w:sz w:val="24"/>
          <w:szCs w:val="24"/>
        </w:rPr>
      </w:pPr>
      <w:r>
        <w:rPr>
          <w:rFonts w:hint="eastAsia" w:ascii="宋体" w:hAnsi="宋体" w:cs="宋体"/>
          <w:sz w:val="24"/>
          <w:szCs w:val="24"/>
        </w:rPr>
        <w:t>不论投标的结果如何，供应商均应自行承担所有与投标有关的全部费用。</w:t>
      </w:r>
    </w:p>
    <w:p>
      <w:pPr>
        <w:pStyle w:val="234"/>
        <w:rPr>
          <w:rFonts w:ascii="宋体" w:eastAsia="宋体"/>
        </w:rPr>
      </w:pPr>
      <w:bookmarkStart w:id="58" w:name="_Toc531358984"/>
      <w:bookmarkStart w:id="59" w:name="_Toc530551829"/>
      <w:bookmarkStart w:id="60" w:name="_Toc34895532"/>
      <w:r>
        <w:rPr>
          <w:rFonts w:hint="eastAsia" w:ascii="宋体" w:eastAsia="宋体"/>
        </w:rPr>
        <w:t>1.7     现场踏勘</w:t>
      </w:r>
      <w:bookmarkEnd w:id="58"/>
      <w:bookmarkEnd w:id="59"/>
      <w:bookmarkEnd w:id="60"/>
    </w:p>
    <w:p>
      <w:pPr>
        <w:spacing w:line="360" w:lineRule="auto"/>
        <w:ind w:left="960" w:hanging="960" w:hangingChars="400"/>
        <w:rPr>
          <w:rFonts w:ascii="宋体" w:hAnsi="宋体" w:cs="宋体"/>
          <w:sz w:val="24"/>
          <w:szCs w:val="24"/>
        </w:rPr>
      </w:pPr>
      <w:r>
        <w:rPr>
          <w:rFonts w:hint="eastAsia" w:ascii="宋体" w:hAnsi="宋体" w:cs="宋体"/>
          <w:sz w:val="24"/>
          <w:szCs w:val="24"/>
        </w:rPr>
        <w:t>1.7.1   采购人按供应商须知前附表（一）规定的时间、地点组织供应商现场踏勘；</w:t>
      </w:r>
    </w:p>
    <w:p>
      <w:pPr>
        <w:spacing w:line="360" w:lineRule="auto"/>
        <w:ind w:left="960" w:hanging="960" w:hangingChars="400"/>
        <w:rPr>
          <w:rFonts w:ascii="宋体" w:hAnsi="宋体" w:cs="宋体"/>
          <w:sz w:val="24"/>
          <w:szCs w:val="24"/>
        </w:rPr>
      </w:pPr>
      <w:r>
        <w:rPr>
          <w:rFonts w:hint="eastAsia" w:ascii="宋体" w:hAnsi="宋体" w:cs="宋体"/>
          <w:sz w:val="24"/>
          <w:szCs w:val="24"/>
        </w:rPr>
        <w:t>1.7.2   供应商踏勘现场发生的费用自理；</w:t>
      </w:r>
    </w:p>
    <w:p>
      <w:pPr>
        <w:spacing w:line="360" w:lineRule="auto"/>
        <w:ind w:left="960" w:hanging="960" w:hangingChars="400"/>
        <w:rPr>
          <w:rFonts w:ascii="宋体" w:hAnsi="宋体" w:cs="宋体"/>
          <w:sz w:val="24"/>
          <w:szCs w:val="24"/>
        </w:rPr>
      </w:pPr>
      <w:r>
        <w:rPr>
          <w:rFonts w:hint="eastAsia" w:ascii="宋体" w:hAnsi="宋体" w:cs="宋体"/>
          <w:sz w:val="24"/>
          <w:szCs w:val="24"/>
        </w:rPr>
        <w:t>1.7.3   除采购人的原因外，供应商自行负责在踏勘现场中所发生的人员伤亡和财产损失；</w:t>
      </w:r>
    </w:p>
    <w:p>
      <w:pPr>
        <w:spacing w:line="360" w:lineRule="auto"/>
        <w:ind w:left="960" w:hanging="960" w:hangingChars="400"/>
        <w:rPr>
          <w:rFonts w:ascii="宋体" w:hAnsi="宋体" w:cs="宋体"/>
          <w:sz w:val="24"/>
          <w:szCs w:val="24"/>
        </w:rPr>
      </w:pPr>
      <w:r>
        <w:rPr>
          <w:rFonts w:hint="eastAsia" w:ascii="宋体" w:hAnsi="宋体" w:cs="宋体"/>
          <w:sz w:val="24"/>
          <w:szCs w:val="24"/>
        </w:rPr>
        <w:t>1.7.4   采购人在现场踏勘中介绍的场地和相关的周边环境情况，供供应商在编制投标文件时参考，采购人不对供应商据此作出的判断和决策负责；</w:t>
      </w:r>
    </w:p>
    <w:p>
      <w:pPr>
        <w:spacing w:line="360" w:lineRule="auto"/>
        <w:ind w:left="960" w:hanging="960" w:hangingChars="400"/>
        <w:rPr>
          <w:rFonts w:ascii="宋体" w:hAnsi="宋体" w:cs="宋体"/>
          <w:sz w:val="24"/>
          <w:szCs w:val="24"/>
        </w:rPr>
      </w:pPr>
      <w:r>
        <w:rPr>
          <w:rFonts w:hint="eastAsia" w:ascii="宋体" w:hAnsi="宋体" w:cs="宋体"/>
          <w:sz w:val="24"/>
          <w:szCs w:val="24"/>
        </w:rPr>
        <w:t>1.7.5   供应商自身原因不参与现场踏勘的，不得就此提出质疑。</w:t>
      </w:r>
    </w:p>
    <w:p>
      <w:pPr>
        <w:pStyle w:val="234"/>
        <w:rPr>
          <w:rFonts w:ascii="宋体" w:eastAsia="宋体"/>
        </w:rPr>
      </w:pPr>
      <w:bookmarkStart w:id="61" w:name="_Toc530551830"/>
      <w:bookmarkStart w:id="62" w:name="_Toc531358985"/>
      <w:bookmarkStart w:id="63" w:name="_Toc34895533"/>
      <w:r>
        <w:rPr>
          <w:rFonts w:hint="eastAsia" w:ascii="宋体" w:eastAsia="宋体"/>
        </w:rPr>
        <w:t>1.8     答疑会</w:t>
      </w:r>
      <w:bookmarkEnd w:id="61"/>
      <w:bookmarkEnd w:id="62"/>
      <w:bookmarkEnd w:id="63"/>
    </w:p>
    <w:p>
      <w:pPr>
        <w:spacing w:line="360" w:lineRule="auto"/>
        <w:ind w:left="960" w:hanging="960" w:hangingChars="400"/>
        <w:rPr>
          <w:rFonts w:ascii="宋体" w:hAnsi="宋体" w:cs="宋体"/>
          <w:sz w:val="24"/>
          <w:szCs w:val="24"/>
        </w:rPr>
      </w:pPr>
      <w:r>
        <w:rPr>
          <w:rFonts w:hint="eastAsia" w:ascii="宋体" w:hAnsi="宋体" w:cs="宋体"/>
          <w:sz w:val="24"/>
          <w:szCs w:val="24"/>
        </w:rPr>
        <w:t>1.8.1   采购人或采购代理机构按供应商须知前附表（一）规定的时间和地点召开答疑会；</w:t>
      </w:r>
    </w:p>
    <w:p>
      <w:pPr>
        <w:spacing w:line="360" w:lineRule="auto"/>
        <w:ind w:left="960" w:hanging="960" w:hangingChars="400"/>
        <w:rPr>
          <w:rFonts w:ascii="宋体" w:hAnsi="宋体" w:cs="宋体"/>
          <w:sz w:val="24"/>
          <w:szCs w:val="24"/>
        </w:rPr>
      </w:pPr>
      <w:r>
        <w:rPr>
          <w:rFonts w:hint="eastAsia" w:ascii="宋体" w:hAnsi="宋体" w:cs="宋体"/>
          <w:sz w:val="24"/>
          <w:szCs w:val="24"/>
        </w:rPr>
        <w:t>1.8.2   答疑会后，采购人或采购代理机构按本章第2.2款规定对供应商所提问题进行澄清答复；</w:t>
      </w:r>
    </w:p>
    <w:p>
      <w:pPr>
        <w:spacing w:line="360" w:lineRule="auto"/>
        <w:ind w:left="960" w:hanging="960" w:hangingChars="400"/>
        <w:rPr>
          <w:rFonts w:ascii="宋体" w:hAnsi="宋体" w:cs="宋体"/>
          <w:sz w:val="24"/>
          <w:szCs w:val="24"/>
        </w:rPr>
      </w:pPr>
      <w:r>
        <w:rPr>
          <w:rFonts w:hint="eastAsia" w:ascii="宋体" w:hAnsi="宋体" w:cs="宋体"/>
          <w:sz w:val="24"/>
          <w:szCs w:val="24"/>
        </w:rPr>
        <w:t>1.8.3   供应商自身原因不参与现场踏勘的，不得就此提出质疑。</w:t>
      </w:r>
    </w:p>
    <w:p>
      <w:pPr>
        <w:pStyle w:val="234"/>
        <w:rPr>
          <w:rFonts w:ascii="宋体" w:eastAsia="宋体"/>
        </w:rPr>
      </w:pPr>
      <w:bookmarkStart w:id="64" w:name="_Toc531358986"/>
      <w:bookmarkStart w:id="65" w:name="_Toc530551831"/>
      <w:bookmarkStart w:id="66" w:name="_Toc34895534"/>
      <w:r>
        <w:rPr>
          <w:rFonts w:hint="eastAsia" w:ascii="宋体" w:eastAsia="宋体"/>
        </w:rPr>
        <w:t>1.9     分包</w:t>
      </w:r>
      <w:bookmarkEnd w:id="64"/>
      <w:bookmarkEnd w:id="65"/>
      <w:bookmarkEnd w:id="66"/>
    </w:p>
    <w:p>
      <w:pPr>
        <w:spacing w:line="360" w:lineRule="auto"/>
        <w:ind w:left="720" w:hanging="720" w:hangingChars="300"/>
        <w:rPr>
          <w:rFonts w:ascii="宋体" w:hAnsi="宋体" w:cs="宋体"/>
          <w:sz w:val="24"/>
          <w:szCs w:val="24"/>
        </w:rPr>
      </w:pPr>
      <w:r>
        <w:rPr>
          <w:rFonts w:hint="eastAsia" w:ascii="宋体" w:hAnsi="宋体" w:cs="宋体"/>
          <w:sz w:val="24"/>
          <w:szCs w:val="24"/>
        </w:rPr>
        <w:t>1.9.1   分包：见供应商须知前附表（一）；</w:t>
      </w:r>
    </w:p>
    <w:p>
      <w:pPr>
        <w:spacing w:line="360" w:lineRule="auto"/>
        <w:ind w:left="960" w:hanging="960" w:hangingChars="400"/>
        <w:rPr>
          <w:rFonts w:ascii="宋体" w:hAnsi="宋体" w:cs="宋体"/>
          <w:sz w:val="24"/>
          <w:szCs w:val="24"/>
        </w:rPr>
      </w:pPr>
      <w:r>
        <w:rPr>
          <w:rFonts w:hint="eastAsia" w:ascii="宋体" w:hAnsi="宋体" w:cs="宋体"/>
          <w:sz w:val="24"/>
          <w:szCs w:val="24"/>
        </w:rPr>
        <w:t>1.9.2   供应商根据招标文件的规定和采购项目的实际情况，拟在中标后将中标项目的非主体、非关键性工作分包的，应当在投标文件中载明分包承担主体，分包承担主体应当具备相应资质条件且不得再次分包。</w:t>
      </w:r>
    </w:p>
    <w:p>
      <w:pPr>
        <w:pStyle w:val="234"/>
        <w:rPr>
          <w:rFonts w:ascii="宋体" w:eastAsia="宋体"/>
        </w:rPr>
      </w:pPr>
      <w:bookmarkStart w:id="67" w:name="_Toc531358987"/>
      <w:bookmarkStart w:id="68" w:name="_Toc34895535"/>
      <w:bookmarkStart w:id="69" w:name="_Toc530551832"/>
      <w:r>
        <w:rPr>
          <w:rFonts w:hint="eastAsia" w:ascii="宋体" w:eastAsia="宋体"/>
        </w:rPr>
        <w:t>1.10    保密</w:t>
      </w:r>
      <w:bookmarkEnd w:id="67"/>
      <w:bookmarkEnd w:id="68"/>
      <w:bookmarkEnd w:id="69"/>
    </w:p>
    <w:p>
      <w:pPr>
        <w:spacing w:line="360" w:lineRule="auto"/>
        <w:ind w:left="945" w:leftChars="450"/>
        <w:rPr>
          <w:rFonts w:ascii="宋体" w:hAnsi="宋体" w:cs="宋体"/>
          <w:sz w:val="24"/>
        </w:rPr>
      </w:pPr>
      <w:r>
        <w:rPr>
          <w:rFonts w:hint="eastAsia" w:ascii="宋体" w:hAnsi="宋体" w:cs="宋体"/>
          <w:sz w:val="24"/>
          <w:szCs w:val="24"/>
        </w:rPr>
        <w:t>参与招标投标活动的各方当事人应当对评标情况以及在评标过程中的获悉的国家秘密、商业秘密负有保密责任，违者应对由此造成的后果承担法律责任。</w:t>
      </w:r>
      <w:bookmarkStart w:id="70" w:name="_Toc34895537"/>
      <w:bookmarkStart w:id="71" w:name="_Toc530551834"/>
      <w:bookmarkStart w:id="72" w:name="_Toc531358989"/>
    </w:p>
    <w:p>
      <w:pPr>
        <w:pStyle w:val="234"/>
        <w:rPr>
          <w:rFonts w:ascii="宋体" w:eastAsia="宋体"/>
        </w:rPr>
      </w:pPr>
      <w:r>
        <w:rPr>
          <w:rFonts w:hint="eastAsia" w:ascii="宋体" w:eastAsia="宋体"/>
        </w:rPr>
        <w:t xml:space="preserve">1.12    </w:t>
      </w:r>
      <w:bookmarkEnd w:id="70"/>
      <w:bookmarkEnd w:id="71"/>
      <w:bookmarkEnd w:id="72"/>
      <w:bookmarkStart w:id="73" w:name="_Toc531358990"/>
      <w:bookmarkStart w:id="74" w:name="_Toc530551835"/>
      <w:bookmarkStart w:id="75" w:name="_Toc34895538"/>
      <w:r>
        <w:rPr>
          <w:rFonts w:hint="eastAsia" w:ascii="宋体" w:eastAsia="宋体"/>
        </w:rPr>
        <w:t>信用信息记录查询</w:t>
      </w:r>
      <w:bookmarkEnd w:id="73"/>
      <w:bookmarkEnd w:id="74"/>
      <w:bookmarkEnd w:id="75"/>
    </w:p>
    <w:p>
      <w:pPr>
        <w:spacing w:line="360" w:lineRule="auto"/>
        <w:ind w:left="960" w:hanging="960" w:hangingChars="400"/>
        <w:rPr>
          <w:rFonts w:ascii="宋体" w:hAnsi="宋体" w:cs="宋体"/>
          <w:sz w:val="24"/>
          <w:szCs w:val="24"/>
        </w:rPr>
      </w:pPr>
      <w:r>
        <w:rPr>
          <w:rFonts w:hint="eastAsia" w:ascii="宋体" w:hAnsi="宋体" w:cs="宋体"/>
          <w:sz w:val="24"/>
          <w:szCs w:val="24"/>
        </w:rPr>
        <w:t>1.12.1  查询渠道：信用中国网站（</w:t>
      </w:r>
      <w:r>
        <w:fldChar w:fldCharType="begin"/>
      </w:r>
      <w:r>
        <w:instrText xml:space="preserve"> HYPERLINK "https://www.creditchina.gov.cn/" </w:instrText>
      </w:r>
      <w:r>
        <w:fldChar w:fldCharType="separate"/>
      </w:r>
      <w:r>
        <w:rPr>
          <w:rStyle w:val="55"/>
          <w:rFonts w:hint="eastAsia" w:ascii="宋体" w:hAnsi="宋体" w:cs="宋体"/>
          <w:color w:val="auto"/>
          <w:sz w:val="24"/>
          <w:szCs w:val="24"/>
          <w:u w:val="none"/>
        </w:rPr>
        <w:t>www.creditchina.gov.cn</w:t>
      </w:r>
      <w:r>
        <w:rPr>
          <w:rStyle w:val="55"/>
          <w:rFonts w:hint="eastAsia" w:ascii="宋体" w:hAnsi="宋体" w:cs="宋体"/>
          <w:color w:val="auto"/>
          <w:sz w:val="24"/>
          <w:szCs w:val="24"/>
          <w:u w:val="none"/>
        </w:rPr>
        <w:fldChar w:fldCharType="end"/>
      </w:r>
      <w:r>
        <w:rPr>
          <w:rFonts w:hint="eastAsia" w:ascii="宋体" w:hAnsi="宋体" w:cs="宋体"/>
          <w:sz w:val="24"/>
          <w:szCs w:val="24"/>
        </w:rPr>
        <w:t>）、中国政府采购网（</w:t>
      </w:r>
      <w:r>
        <w:fldChar w:fldCharType="begin"/>
      </w:r>
      <w:r>
        <w:instrText xml:space="preserve"> HYPERLINK "http://www.ccgp.gov.cn" </w:instrText>
      </w:r>
      <w:r>
        <w:fldChar w:fldCharType="separate"/>
      </w:r>
      <w:r>
        <w:rPr>
          <w:rStyle w:val="55"/>
          <w:rFonts w:hint="eastAsia" w:ascii="宋体" w:hAnsi="宋体" w:cs="宋体"/>
          <w:color w:val="auto"/>
          <w:sz w:val="24"/>
          <w:szCs w:val="24"/>
          <w:u w:val="none"/>
        </w:rPr>
        <w:t>www.ccgp.gov.cn</w:t>
      </w:r>
      <w:r>
        <w:rPr>
          <w:rStyle w:val="55"/>
          <w:rFonts w:hint="eastAsia" w:ascii="宋体" w:hAnsi="宋体" w:cs="宋体"/>
          <w:color w:val="auto"/>
          <w:sz w:val="24"/>
          <w:szCs w:val="24"/>
          <w:u w:val="none"/>
        </w:rPr>
        <w:fldChar w:fldCharType="end"/>
      </w:r>
      <w:r>
        <w:rPr>
          <w:rFonts w:hint="eastAsia" w:ascii="宋体" w:hAnsi="宋体" w:cs="宋体"/>
          <w:sz w:val="24"/>
          <w:szCs w:val="24"/>
        </w:rPr>
        <w:t>）；</w:t>
      </w:r>
    </w:p>
    <w:p>
      <w:pPr>
        <w:spacing w:line="360" w:lineRule="auto"/>
        <w:ind w:left="960" w:hanging="960" w:hangingChars="400"/>
        <w:rPr>
          <w:rFonts w:ascii="宋体" w:hAnsi="宋体" w:cs="宋体"/>
          <w:sz w:val="24"/>
          <w:szCs w:val="24"/>
        </w:rPr>
      </w:pPr>
      <w:r>
        <w:rPr>
          <w:rFonts w:hint="eastAsia" w:ascii="宋体" w:hAnsi="宋体" w:cs="宋体"/>
          <w:sz w:val="24"/>
          <w:szCs w:val="24"/>
        </w:rPr>
        <w:t>1.12.2  信用信息记录查询截止时间：同资格审查结束时间，网站显示的信用信息记录将作为供应商资格审查的依据；</w:t>
      </w:r>
    </w:p>
    <w:p>
      <w:pPr>
        <w:spacing w:line="360" w:lineRule="auto"/>
        <w:ind w:left="960" w:hanging="960" w:hangingChars="400"/>
        <w:rPr>
          <w:rFonts w:ascii="宋体" w:hAnsi="宋体" w:cs="宋体"/>
          <w:sz w:val="24"/>
          <w:szCs w:val="24"/>
        </w:rPr>
      </w:pPr>
      <w:r>
        <w:rPr>
          <w:rFonts w:hint="eastAsia" w:ascii="宋体" w:hAnsi="宋体" w:cs="宋体"/>
          <w:sz w:val="24"/>
          <w:szCs w:val="24"/>
        </w:rPr>
        <w:t>1.12.3  查询内容：列入失信被执行人、重大税收违法案件当事人名单、政府采购严重违法失信行为记录名单；</w:t>
      </w:r>
    </w:p>
    <w:p>
      <w:pPr>
        <w:spacing w:line="360" w:lineRule="auto"/>
        <w:ind w:left="960" w:hanging="960" w:hangingChars="400"/>
        <w:rPr>
          <w:rFonts w:ascii="宋体" w:hAnsi="宋体" w:cs="宋体"/>
          <w:sz w:val="24"/>
          <w:szCs w:val="24"/>
        </w:rPr>
      </w:pPr>
      <w:r>
        <w:rPr>
          <w:rFonts w:hint="eastAsia" w:ascii="宋体" w:hAnsi="宋体" w:cs="宋体"/>
          <w:sz w:val="24"/>
          <w:szCs w:val="24"/>
        </w:rPr>
        <w:t>1.12.4  信用信息留存方式：信用信息查询记录和证据以网页页面打印（或截图）等方式进行留存；</w:t>
      </w:r>
    </w:p>
    <w:p>
      <w:pPr>
        <w:spacing w:line="360" w:lineRule="auto"/>
        <w:ind w:left="960" w:hanging="960" w:hangingChars="400"/>
        <w:rPr>
          <w:rFonts w:ascii="宋体" w:hAnsi="宋体" w:cs="宋体"/>
          <w:sz w:val="24"/>
          <w:szCs w:val="24"/>
        </w:rPr>
      </w:pPr>
      <w:r>
        <w:rPr>
          <w:rFonts w:hint="eastAsia" w:ascii="宋体" w:hAnsi="宋体" w:cs="宋体"/>
          <w:sz w:val="24"/>
          <w:szCs w:val="24"/>
        </w:rPr>
        <w:t>1.12.5  联合体成员存在不良信用信息记录的，视同联合体存在不良信用记录。</w:t>
      </w:r>
    </w:p>
    <w:p>
      <w:pPr>
        <w:pStyle w:val="234"/>
        <w:rPr>
          <w:rFonts w:ascii="宋体" w:eastAsia="宋体"/>
        </w:rPr>
      </w:pPr>
      <w:bookmarkStart w:id="76" w:name="_Toc34895539"/>
      <w:bookmarkStart w:id="77" w:name="_Toc531358991"/>
      <w:bookmarkStart w:id="78" w:name="_Toc530551836"/>
      <w:r>
        <w:rPr>
          <w:rFonts w:hint="eastAsia" w:ascii="宋体" w:eastAsia="宋体"/>
        </w:rPr>
        <w:t>1.13    质疑和投诉</w:t>
      </w:r>
      <w:bookmarkEnd w:id="76"/>
      <w:bookmarkEnd w:id="77"/>
      <w:bookmarkEnd w:id="78"/>
    </w:p>
    <w:p>
      <w:pPr>
        <w:spacing w:line="360" w:lineRule="auto"/>
        <w:ind w:left="960" w:hanging="960" w:hangingChars="400"/>
        <w:jc w:val="left"/>
        <w:rPr>
          <w:rFonts w:ascii="宋体" w:hAnsi="宋体" w:cs="宋体"/>
          <w:sz w:val="24"/>
        </w:rPr>
      </w:pPr>
      <w:r>
        <w:rPr>
          <w:rFonts w:hint="eastAsia" w:ascii="宋体" w:hAnsi="宋体" w:cs="宋体"/>
          <w:sz w:val="24"/>
        </w:rPr>
        <w:t>1.13.1  供应商认为招标文件、招标过程、中标结果使自己的权益受到损害的，可以在知道或者应知其权益受到损害之日起7个工作日内，以书面形式向采购人、采购代理机构提出质疑。</w:t>
      </w:r>
    </w:p>
    <w:p>
      <w:pPr>
        <w:spacing w:line="360" w:lineRule="auto"/>
        <w:ind w:left="960" w:hanging="960" w:hangingChars="400"/>
        <w:rPr>
          <w:rFonts w:ascii="宋体" w:hAnsi="宋体" w:cs="宋体"/>
          <w:sz w:val="24"/>
        </w:rPr>
      </w:pPr>
      <w:r>
        <w:rPr>
          <w:rFonts w:hint="eastAsia" w:ascii="宋体" w:hAnsi="宋体" w:cs="宋体"/>
          <w:sz w:val="24"/>
        </w:rPr>
        <w:t>1.13.2  提出质疑的供应商应当是参与所质疑项目招标活动的供应商；</w:t>
      </w:r>
    </w:p>
    <w:p>
      <w:pPr>
        <w:spacing w:line="360" w:lineRule="auto"/>
        <w:ind w:left="945" w:leftChars="450"/>
        <w:rPr>
          <w:rFonts w:ascii="宋体" w:hAnsi="宋体" w:cs="宋体"/>
          <w:sz w:val="24"/>
        </w:rPr>
      </w:pPr>
      <w:r>
        <w:rPr>
          <w:rFonts w:hint="eastAsia" w:ascii="宋体" w:hAnsi="宋体" w:cs="宋体"/>
          <w:sz w:val="24"/>
        </w:rPr>
        <w:t>潜在供应商已依法获取其可质疑的招标文件的，可以对该文件提出质疑。对招标文件提出质疑的，应当在获取招标文件或者招标文件公告期限届满之日起7个工作日内提出；</w:t>
      </w:r>
    </w:p>
    <w:p>
      <w:pPr>
        <w:spacing w:line="360" w:lineRule="auto"/>
        <w:ind w:left="960" w:hanging="960" w:hangingChars="400"/>
        <w:rPr>
          <w:rFonts w:ascii="宋体" w:hAnsi="宋体" w:cs="宋体"/>
          <w:sz w:val="24"/>
        </w:rPr>
      </w:pPr>
      <w:r>
        <w:rPr>
          <w:rFonts w:hint="eastAsia" w:ascii="宋体" w:hAnsi="宋体" w:cs="宋体"/>
          <w:sz w:val="24"/>
        </w:rPr>
        <w:t>1.13.3  同一招标程序环节的质疑，供应商须一次性提出，否则不予以答复；</w:t>
      </w:r>
    </w:p>
    <w:p>
      <w:pPr>
        <w:spacing w:line="360" w:lineRule="auto"/>
        <w:ind w:left="960" w:hanging="960" w:hangingChars="400"/>
        <w:rPr>
          <w:rFonts w:ascii="宋体" w:hAnsi="宋体" w:cs="宋体"/>
          <w:sz w:val="24"/>
        </w:rPr>
      </w:pPr>
      <w:r>
        <w:rPr>
          <w:rFonts w:hint="eastAsia" w:ascii="宋体" w:hAnsi="宋体" w:cs="宋体"/>
          <w:sz w:val="24"/>
        </w:rPr>
        <w:t>1.13.4  质疑主要内容应符合《政府采购质疑和投诉办法》（财政部94号令）等相关规定，质疑内容涉及保密事项，质疑人应提供有效的信息来源或有效证据；</w:t>
      </w:r>
    </w:p>
    <w:p>
      <w:pPr>
        <w:spacing w:line="360" w:lineRule="auto"/>
        <w:ind w:left="960" w:hanging="960" w:hangingChars="400"/>
        <w:rPr>
          <w:rFonts w:ascii="宋体" w:hAnsi="宋体" w:cs="宋体"/>
          <w:sz w:val="24"/>
        </w:rPr>
      </w:pPr>
      <w:r>
        <w:rPr>
          <w:rFonts w:hint="eastAsia" w:ascii="宋体" w:hAnsi="宋体" w:cs="宋体"/>
          <w:sz w:val="24"/>
        </w:rPr>
        <w:t>1.13.5  质疑人可直接提交、传真或邮寄方式提交质疑函（一式三份以上）。以其他方式提出的质疑，采购人或采购代理机构可不予接受、答复。</w:t>
      </w:r>
    </w:p>
    <w:p>
      <w:pPr>
        <w:spacing w:line="360" w:lineRule="auto"/>
        <w:ind w:left="1185" w:leftChars="450" w:hanging="240" w:hangingChars="1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GB2 </w:instrText>
      </w:r>
      <w:r>
        <w:rPr>
          <w:rFonts w:hint="eastAsia" w:ascii="宋体" w:hAnsi="宋体" w:cs="宋体"/>
          <w:sz w:val="24"/>
        </w:rPr>
        <w:fldChar w:fldCharType="separate"/>
      </w:r>
      <w:r>
        <w:rPr>
          <w:rFonts w:hint="eastAsia" w:ascii="宋体" w:hAnsi="宋体" w:cs="宋体"/>
          <w:sz w:val="24"/>
        </w:rPr>
        <w:t>⑴</w:t>
      </w:r>
      <w:r>
        <w:rPr>
          <w:rFonts w:hint="eastAsia" w:ascii="宋体" w:hAnsi="宋体" w:cs="宋体"/>
          <w:sz w:val="24"/>
        </w:rPr>
        <w:fldChar w:fldCharType="end"/>
      </w:r>
      <w:r>
        <w:rPr>
          <w:rFonts w:hint="eastAsia" w:ascii="宋体" w:hAnsi="宋体" w:cs="宋体"/>
          <w:sz w:val="24"/>
        </w:rPr>
        <w:t>邮寄方式送达质疑函的，以采购人或采购代理机构实际收到邮件之日作为收到质疑的日期。</w:t>
      </w:r>
    </w:p>
    <w:p>
      <w:pPr>
        <w:spacing w:line="360" w:lineRule="auto"/>
        <w:ind w:left="1185" w:leftChars="450" w:hanging="240" w:hangingChars="1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GB2 </w:instrText>
      </w:r>
      <w:r>
        <w:rPr>
          <w:rFonts w:hint="eastAsia" w:ascii="宋体" w:hAnsi="宋体" w:cs="宋体"/>
          <w:sz w:val="24"/>
        </w:rPr>
        <w:fldChar w:fldCharType="separate"/>
      </w:r>
      <w:r>
        <w:rPr>
          <w:rFonts w:hint="eastAsia" w:ascii="宋体" w:hAnsi="宋体" w:cs="宋体"/>
          <w:sz w:val="24"/>
        </w:rPr>
        <w:t>⑵</w:t>
      </w:r>
      <w:r>
        <w:rPr>
          <w:rFonts w:hint="eastAsia" w:ascii="宋体" w:hAnsi="宋体" w:cs="宋体"/>
          <w:sz w:val="24"/>
        </w:rPr>
        <w:fldChar w:fldCharType="end"/>
      </w:r>
      <w:r>
        <w:rPr>
          <w:rFonts w:hint="eastAsia" w:ascii="宋体" w:hAnsi="宋体" w:cs="宋体"/>
          <w:sz w:val="24"/>
        </w:rPr>
        <w:t>传真方式送达质疑函的，质疑人应当取得采购人或采购代理机构确认收到传真的意见，并及时将质疑函原件送达采购人或采购代理机构。采购人或采购代理机构以实际收到原件之日作为收到质疑的日期。</w:t>
      </w:r>
    </w:p>
    <w:p>
      <w:pPr>
        <w:spacing w:line="360" w:lineRule="auto"/>
        <w:ind w:left="945" w:leftChars="45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GB2 </w:instrText>
      </w:r>
      <w:r>
        <w:rPr>
          <w:rFonts w:hint="eastAsia" w:ascii="宋体" w:hAnsi="宋体" w:cs="宋体"/>
          <w:sz w:val="24"/>
        </w:rPr>
        <w:fldChar w:fldCharType="separate"/>
      </w:r>
      <w:r>
        <w:rPr>
          <w:rFonts w:hint="eastAsia" w:ascii="宋体" w:hAnsi="宋体" w:cs="宋体"/>
          <w:sz w:val="24"/>
        </w:rPr>
        <w:t>⑶</w:t>
      </w:r>
      <w:r>
        <w:rPr>
          <w:rFonts w:hint="eastAsia" w:ascii="宋体" w:hAnsi="宋体" w:cs="宋体"/>
          <w:sz w:val="24"/>
        </w:rPr>
        <w:fldChar w:fldCharType="end"/>
      </w:r>
      <w:r>
        <w:rPr>
          <w:rFonts w:hint="eastAsia" w:ascii="宋体" w:hAnsi="宋体" w:cs="宋体"/>
          <w:sz w:val="24"/>
        </w:rPr>
        <w:t>在质疑期限届满前，质疑函已经邮寄或传真成功的，质疑不视为过期。</w:t>
      </w:r>
    </w:p>
    <w:p>
      <w:pPr>
        <w:spacing w:line="360" w:lineRule="auto"/>
        <w:ind w:left="960" w:hanging="960" w:hangingChars="400"/>
        <w:rPr>
          <w:rFonts w:ascii="宋体" w:hAnsi="宋体" w:cs="宋体"/>
          <w:sz w:val="24"/>
        </w:rPr>
      </w:pPr>
      <w:r>
        <w:rPr>
          <w:rFonts w:hint="eastAsia" w:ascii="宋体" w:hAnsi="宋体" w:cs="宋体"/>
          <w:sz w:val="24"/>
        </w:rPr>
        <w:t>1.13.6  质疑联系人：见供应商须知前附表（一）</w:t>
      </w:r>
    </w:p>
    <w:p>
      <w:pPr>
        <w:spacing w:line="360" w:lineRule="auto"/>
        <w:ind w:left="960" w:hanging="960" w:hangingChars="400"/>
        <w:rPr>
          <w:rFonts w:ascii="宋体" w:hAnsi="宋体" w:cs="宋体"/>
          <w:sz w:val="24"/>
        </w:rPr>
      </w:pPr>
      <w:r>
        <w:rPr>
          <w:rFonts w:hint="eastAsia" w:ascii="宋体" w:hAnsi="宋体" w:cs="宋体"/>
          <w:sz w:val="24"/>
        </w:rPr>
        <w:t>1.13.7  相关当事人提供外文证书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pPr>
        <w:spacing w:line="360" w:lineRule="auto"/>
        <w:ind w:left="960" w:hanging="960" w:hangingChars="400"/>
        <w:rPr>
          <w:rFonts w:ascii="宋体" w:hAnsi="宋体" w:cs="宋体"/>
          <w:sz w:val="24"/>
        </w:rPr>
      </w:pPr>
      <w:r>
        <w:rPr>
          <w:rFonts w:hint="eastAsia" w:ascii="宋体" w:hAnsi="宋体" w:cs="宋体"/>
          <w:sz w:val="24"/>
        </w:rPr>
        <w:t>1.13.8  采购人或采购代理机构在收到质疑人的书面质疑后7个工作日内作出答复，并以书面形式答复质疑人；</w:t>
      </w:r>
    </w:p>
    <w:p>
      <w:pPr>
        <w:spacing w:line="360" w:lineRule="auto"/>
        <w:ind w:left="960" w:hanging="960" w:hangingChars="400"/>
        <w:rPr>
          <w:rFonts w:ascii="宋体" w:hAnsi="宋体" w:cs="宋体"/>
          <w:sz w:val="24"/>
        </w:rPr>
      </w:pPr>
      <w:r>
        <w:rPr>
          <w:rFonts w:hint="eastAsia" w:ascii="宋体" w:hAnsi="宋体" w:cs="宋体"/>
          <w:sz w:val="24"/>
        </w:rPr>
        <w:t>1.13.9  质疑人捏造事实、提供虚假材料进行质疑的，采购人或采购代理机构报告同级采购监督管理部门，由同级采购监督管理部门审查，情况属实的，应列入不良行为记录，并在指定的媒体上公告；</w:t>
      </w:r>
    </w:p>
    <w:p>
      <w:pPr>
        <w:spacing w:line="360" w:lineRule="auto"/>
        <w:ind w:left="960" w:hanging="960" w:hangingChars="400"/>
        <w:rPr>
          <w:rFonts w:ascii="宋体" w:hAnsi="宋体" w:cs="宋体"/>
          <w:sz w:val="24"/>
        </w:rPr>
      </w:pPr>
      <w:r>
        <w:rPr>
          <w:rFonts w:hint="eastAsia" w:ascii="宋体" w:hAnsi="宋体" w:cs="宋体"/>
          <w:sz w:val="24"/>
        </w:rPr>
        <w:t>1.13.10 质疑人对采购人或采购代理机构的答复不满意或者采购人、采购代理机构未在规定时间内答复的，可以在答复期满后15个工作日内向同级采购监督管理部门提起投诉；</w:t>
      </w:r>
    </w:p>
    <w:p>
      <w:pPr>
        <w:spacing w:line="360" w:lineRule="auto"/>
        <w:ind w:left="960" w:hanging="960" w:hangingChars="400"/>
        <w:rPr>
          <w:rFonts w:ascii="宋体" w:hAnsi="宋体" w:cs="宋体"/>
          <w:sz w:val="24"/>
        </w:rPr>
      </w:pPr>
      <w:r>
        <w:rPr>
          <w:rFonts w:hint="eastAsia" w:ascii="宋体" w:hAnsi="宋体" w:cs="宋体"/>
          <w:sz w:val="24"/>
        </w:rPr>
        <w:t>1.13.11 质疑函、投诉书范本在浙江政府采购网（zfcg.czt.zj.gov.cn）-下载专区中下载。</w:t>
      </w:r>
    </w:p>
    <w:p>
      <w:pPr>
        <w:pStyle w:val="234"/>
        <w:rPr>
          <w:rFonts w:ascii="宋体" w:eastAsia="宋体"/>
        </w:rPr>
      </w:pPr>
      <w:bookmarkStart w:id="79" w:name="_Toc531358992"/>
      <w:bookmarkStart w:id="80" w:name="_Toc530551837"/>
      <w:bookmarkStart w:id="81" w:name="_Toc34895540"/>
      <w:r>
        <w:rPr>
          <w:rFonts w:hint="eastAsia" w:ascii="宋体" w:eastAsia="宋体"/>
        </w:rPr>
        <w:t>1.14    特别声明</w:t>
      </w:r>
      <w:bookmarkEnd w:id="79"/>
      <w:bookmarkEnd w:id="80"/>
      <w:bookmarkEnd w:id="81"/>
    </w:p>
    <w:p>
      <w:pPr>
        <w:spacing w:line="360" w:lineRule="auto"/>
        <w:ind w:left="960" w:hanging="960" w:hangingChars="400"/>
        <w:rPr>
          <w:rFonts w:ascii="宋体" w:hAnsi="宋体" w:cs="宋体"/>
          <w:sz w:val="24"/>
          <w:szCs w:val="24"/>
        </w:rPr>
      </w:pPr>
      <w:r>
        <w:rPr>
          <w:rFonts w:hint="eastAsia" w:ascii="宋体" w:hAnsi="宋体" w:cs="宋体"/>
          <w:sz w:val="24"/>
          <w:szCs w:val="24"/>
        </w:rPr>
        <w:t xml:space="preserve">1.14.1   </w:t>
      </w:r>
      <w:r>
        <w:rPr>
          <w:rFonts w:hint="eastAsia" w:ascii="宋体" w:hAnsi="宋体" w:cs="宋体"/>
          <w:bCs/>
          <w:sz w:val="24"/>
          <w:szCs w:val="24"/>
        </w:rPr>
        <w:t>▲</w:t>
      </w:r>
      <w:r>
        <w:rPr>
          <w:rFonts w:hint="eastAsia" w:ascii="宋体" w:hAnsi="宋体" w:cs="宋体"/>
          <w:sz w:val="24"/>
          <w:szCs w:val="24"/>
        </w:rPr>
        <w:t>单位负责人为同一人或者存在直接控股、管理关系的不同供应商，以及属于同一母公司或集团的不同供应商不得参加同一合同项下的采购活动；</w:t>
      </w:r>
    </w:p>
    <w:p>
      <w:pPr>
        <w:spacing w:line="360" w:lineRule="auto"/>
        <w:ind w:left="960" w:hanging="960" w:hangingChars="400"/>
        <w:rPr>
          <w:rFonts w:ascii="宋体" w:hAnsi="宋体" w:cs="宋体"/>
          <w:sz w:val="24"/>
          <w:szCs w:val="24"/>
        </w:rPr>
      </w:pPr>
      <w:r>
        <w:rPr>
          <w:rFonts w:hint="eastAsia" w:ascii="宋体" w:hAnsi="宋体" w:cs="宋体"/>
          <w:sz w:val="24"/>
          <w:szCs w:val="24"/>
        </w:rPr>
        <w:t xml:space="preserve">1.14.2   </w:t>
      </w:r>
      <w:r>
        <w:rPr>
          <w:rFonts w:hint="eastAsia" w:ascii="宋体" w:hAnsi="宋体" w:cs="宋体"/>
          <w:bCs/>
          <w:sz w:val="24"/>
          <w:szCs w:val="24"/>
        </w:rPr>
        <w:t>▲</w:t>
      </w:r>
      <w:r>
        <w:rPr>
          <w:rFonts w:hint="eastAsia" w:ascii="宋体" w:hAnsi="宋体" w:cs="宋体"/>
          <w:sz w:val="24"/>
          <w:szCs w:val="24"/>
        </w:rPr>
        <w:t>为采购项目提供整体设计、规范编制或者项目管理、监理、检测等服务的供应商，不得再参加该采购项目的其他采购活动；</w:t>
      </w:r>
    </w:p>
    <w:p>
      <w:pPr>
        <w:spacing w:line="360" w:lineRule="auto"/>
        <w:ind w:left="960" w:hanging="960" w:hangingChars="400"/>
        <w:rPr>
          <w:rFonts w:ascii="宋体" w:hAnsi="宋体" w:cs="宋体"/>
          <w:sz w:val="24"/>
          <w:szCs w:val="24"/>
        </w:rPr>
      </w:pPr>
      <w:r>
        <w:rPr>
          <w:rFonts w:hint="eastAsia" w:ascii="宋体" w:hAnsi="宋体" w:cs="宋体"/>
          <w:sz w:val="24"/>
          <w:szCs w:val="24"/>
        </w:rPr>
        <w:t xml:space="preserve">1.14.3   </w:t>
      </w:r>
      <w:r>
        <w:rPr>
          <w:rFonts w:hint="eastAsia" w:ascii="宋体" w:hAnsi="宋体" w:cs="宋体"/>
          <w:bCs/>
          <w:sz w:val="24"/>
          <w:szCs w:val="24"/>
        </w:rPr>
        <w:t>▲</w:t>
      </w:r>
      <w:r>
        <w:rPr>
          <w:rFonts w:hint="eastAsia" w:ascii="宋体" w:hAnsi="宋体" w:cs="宋体"/>
          <w:sz w:val="24"/>
          <w:szCs w:val="24"/>
        </w:rPr>
        <w:t>公益一类事业单位不属于政府购买服务的承接主体，不得参与承接购买服务。</w:t>
      </w:r>
    </w:p>
    <w:p>
      <w:pPr>
        <w:pStyle w:val="44"/>
        <w:spacing w:beforeLines="100" w:after="240" w:afterLines="100"/>
        <w:jc w:val="left"/>
        <w:outlineLvl w:val="1"/>
        <w:rPr>
          <w:rFonts w:ascii="宋体" w:hAnsi="宋体" w:cs="宋体"/>
          <w:sz w:val="30"/>
          <w:szCs w:val="30"/>
        </w:rPr>
      </w:pPr>
      <w:bookmarkStart w:id="82" w:name="_Toc493956034"/>
      <w:bookmarkStart w:id="83" w:name="_Toc34895541"/>
      <w:bookmarkStart w:id="84" w:name="_Toc531358993"/>
      <w:bookmarkStart w:id="85" w:name="_Toc530551838"/>
      <w:r>
        <w:rPr>
          <w:rFonts w:hint="eastAsia" w:ascii="宋体" w:hAnsi="宋体" w:cs="宋体"/>
          <w:sz w:val="30"/>
          <w:szCs w:val="30"/>
        </w:rPr>
        <w:t>二    招标文件</w:t>
      </w:r>
      <w:bookmarkEnd w:id="82"/>
      <w:bookmarkEnd w:id="83"/>
      <w:bookmarkEnd w:id="84"/>
      <w:bookmarkEnd w:id="85"/>
    </w:p>
    <w:p>
      <w:pPr>
        <w:pStyle w:val="234"/>
        <w:rPr>
          <w:rFonts w:ascii="宋体" w:eastAsia="宋体"/>
        </w:rPr>
      </w:pPr>
      <w:bookmarkStart w:id="86" w:name="_Toc34895542"/>
      <w:bookmarkStart w:id="87" w:name="_Toc530551839"/>
      <w:bookmarkStart w:id="88" w:name="_Toc531358994"/>
      <w:r>
        <w:rPr>
          <w:rFonts w:hint="eastAsia" w:ascii="宋体" w:eastAsia="宋体"/>
        </w:rPr>
        <w:t>2.1     招标文件的组成</w:t>
      </w:r>
      <w:bookmarkEnd w:id="86"/>
      <w:bookmarkEnd w:id="87"/>
      <w:bookmarkEnd w:id="88"/>
    </w:p>
    <w:p>
      <w:pPr>
        <w:spacing w:line="360" w:lineRule="auto"/>
        <w:ind w:left="960" w:hanging="960" w:hangingChars="400"/>
        <w:rPr>
          <w:rFonts w:ascii="宋体" w:hAnsi="宋体" w:cs="宋体"/>
          <w:sz w:val="24"/>
          <w:szCs w:val="24"/>
        </w:rPr>
      </w:pPr>
      <w:r>
        <w:rPr>
          <w:rFonts w:hint="eastAsia" w:ascii="宋体" w:hAnsi="宋体" w:cs="宋体"/>
          <w:sz w:val="24"/>
          <w:szCs w:val="24"/>
        </w:rPr>
        <w:t>2.1.1   第一章  招标公告；</w:t>
      </w:r>
    </w:p>
    <w:p>
      <w:pPr>
        <w:spacing w:line="360" w:lineRule="auto"/>
        <w:ind w:left="960" w:hanging="960" w:hangingChars="400"/>
        <w:rPr>
          <w:rFonts w:ascii="宋体" w:hAnsi="宋体" w:cs="宋体"/>
          <w:sz w:val="24"/>
          <w:szCs w:val="24"/>
        </w:rPr>
      </w:pPr>
      <w:bookmarkStart w:id="89" w:name="_Toc301187619"/>
      <w:r>
        <w:rPr>
          <w:rFonts w:hint="eastAsia" w:ascii="宋体" w:hAnsi="宋体" w:cs="宋体"/>
          <w:sz w:val="24"/>
          <w:szCs w:val="24"/>
        </w:rPr>
        <w:t>2.1.2   第二章  招标需求</w:t>
      </w:r>
      <w:bookmarkEnd w:id="89"/>
      <w:r>
        <w:rPr>
          <w:rFonts w:hint="eastAsia" w:ascii="宋体" w:hAnsi="宋体" w:cs="宋体"/>
          <w:sz w:val="24"/>
          <w:szCs w:val="24"/>
        </w:rPr>
        <w:t>；</w:t>
      </w:r>
    </w:p>
    <w:p>
      <w:pPr>
        <w:spacing w:line="360" w:lineRule="auto"/>
        <w:ind w:left="960" w:hanging="960" w:hangingChars="400"/>
        <w:rPr>
          <w:rFonts w:ascii="宋体" w:hAnsi="宋体" w:cs="宋体"/>
          <w:sz w:val="24"/>
          <w:szCs w:val="24"/>
        </w:rPr>
      </w:pPr>
      <w:bookmarkStart w:id="90" w:name="_Toc301187620"/>
      <w:r>
        <w:rPr>
          <w:rFonts w:hint="eastAsia" w:ascii="宋体" w:hAnsi="宋体" w:cs="宋体"/>
          <w:sz w:val="24"/>
          <w:szCs w:val="24"/>
        </w:rPr>
        <w:t>2.1.3   第三章  供应商须知</w:t>
      </w:r>
      <w:bookmarkEnd w:id="90"/>
      <w:r>
        <w:rPr>
          <w:rFonts w:hint="eastAsia" w:ascii="宋体" w:hAnsi="宋体" w:cs="宋体"/>
          <w:sz w:val="24"/>
          <w:szCs w:val="24"/>
        </w:rPr>
        <w:t>；</w:t>
      </w:r>
    </w:p>
    <w:p>
      <w:pPr>
        <w:spacing w:line="360" w:lineRule="auto"/>
        <w:ind w:left="960" w:hanging="960" w:hangingChars="400"/>
        <w:rPr>
          <w:rFonts w:ascii="宋体" w:hAnsi="宋体" w:cs="宋体"/>
          <w:sz w:val="24"/>
          <w:szCs w:val="24"/>
        </w:rPr>
      </w:pPr>
      <w:bookmarkStart w:id="91" w:name="_Toc301187621"/>
      <w:r>
        <w:rPr>
          <w:rFonts w:hint="eastAsia" w:ascii="宋体" w:hAnsi="宋体" w:cs="宋体"/>
          <w:sz w:val="24"/>
          <w:szCs w:val="24"/>
        </w:rPr>
        <w:t>2.1.4   第四章  服务合同；</w:t>
      </w:r>
    </w:p>
    <w:bookmarkEnd w:id="91"/>
    <w:p>
      <w:pPr>
        <w:spacing w:line="360" w:lineRule="auto"/>
        <w:ind w:left="960" w:hanging="960" w:hangingChars="400"/>
        <w:rPr>
          <w:rFonts w:ascii="宋体" w:hAnsi="宋体" w:cs="宋体"/>
          <w:sz w:val="24"/>
          <w:szCs w:val="24"/>
        </w:rPr>
      </w:pPr>
      <w:r>
        <w:rPr>
          <w:rFonts w:hint="eastAsia" w:ascii="宋体" w:hAnsi="宋体" w:cs="宋体"/>
          <w:sz w:val="24"/>
          <w:szCs w:val="24"/>
        </w:rPr>
        <w:t>2.1.5   第五章  投标文件格式；</w:t>
      </w:r>
    </w:p>
    <w:p>
      <w:pPr>
        <w:spacing w:line="360" w:lineRule="auto"/>
        <w:ind w:left="960" w:hanging="960" w:hangingChars="400"/>
        <w:rPr>
          <w:rFonts w:ascii="宋体" w:hAnsi="宋体" w:cs="宋体"/>
          <w:sz w:val="24"/>
          <w:szCs w:val="24"/>
        </w:rPr>
      </w:pPr>
      <w:bookmarkStart w:id="92" w:name="_Toc301187623"/>
      <w:r>
        <w:rPr>
          <w:rFonts w:hint="eastAsia" w:ascii="宋体" w:hAnsi="宋体" w:cs="宋体"/>
          <w:sz w:val="24"/>
          <w:szCs w:val="24"/>
        </w:rPr>
        <w:t>2.1.6   第六章  评标办法及标准</w:t>
      </w:r>
      <w:bookmarkEnd w:id="92"/>
      <w:r>
        <w:rPr>
          <w:rFonts w:hint="eastAsia" w:ascii="宋体" w:hAnsi="宋体" w:cs="宋体"/>
          <w:sz w:val="24"/>
          <w:szCs w:val="24"/>
        </w:rPr>
        <w:t>；</w:t>
      </w:r>
    </w:p>
    <w:p>
      <w:pPr>
        <w:spacing w:line="360" w:lineRule="auto"/>
        <w:ind w:left="960" w:hanging="960" w:hangingChars="400"/>
        <w:rPr>
          <w:rFonts w:ascii="宋体" w:hAnsi="宋体" w:cs="宋体"/>
          <w:sz w:val="24"/>
          <w:szCs w:val="24"/>
        </w:rPr>
      </w:pPr>
      <w:bookmarkStart w:id="93" w:name="_Toc301187624"/>
      <w:r>
        <w:rPr>
          <w:rFonts w:hint="eastAsia" w:ascii="宋体" w:hAnsi="宋体" w:cs="宋体"/>
          <w:sz w:val="24"/>
          <w:szCs w:val="24"/>
        </w:rPr>
        <w:t>2.1.7   本项目招标文件的澄清、修改的内容</w:t>
      </w:r>
      <w:bookmarkEnd w:id="93"/>
      <w:r>
        <w:rPr>
          <w:rFonts w:hint="eastAsia" w:ascii="宋体" w:hAnsi="宋体" w:cs="宋体"/>
          <w:sz w:val="24"/>
          <w:szCs w:val="24"/>
        </w:rPr>
        <w:t>。</w:t>
      </w:r>
    </w:p>
    <w:p>
      <w:pPr>
        <w:pStyle w:val="234"/>
        <w:rPr>
          <w:rFonts w:ascii="宋体" w:eastAsia="宋体"/>
        </w:rPr>
      </w:pPr>
      <w:bookmarkStart w:id="94" w:name="_Toc531358996"/>
      <w:bookmarkStart w:id="95" w:name="_Toc34895543"/>
      <w:bookmarkStart w:id="96" w:name="_Toc530551841"/>
      <w:r>
        <w:rPr>
          <w:rFonts w:hint="eastAsia" w:ascii="宋体" w:eastAsia="宋体"/>
        </w:rPr>
        <w:t>2.2     招标文件的澄清、修改</w:t>
      </w:r>
      <w:bookmarkEnd w:id="94"/>
      <w:bookmarkEnd w:id="95"/>
      <w:bookmarkEnd w:id="96"/>
    </w:p>
    <w:p>
      <w:pPr>
        <w:spacing w:line="360" w:lineRule="auto"/>
        <w:ind w:left="960" w:hanging="960" w:hangingChars="400"/>
        <w:rPr>
          <w:rFonts w:ascii="宋体" w:hAnsi="宋体" w:cs="宋体"/>
          <w:bCs/>
          <w:sz w:val="24"/>
        </w:rPr>
      </w:pPr>
      <w:r>
        <w:rPr>
          <w:rFonts w:hint="eastAsia" w:ascii="宋体" w:hAnsi="宋体" w:cs="宋体"/>
          <w:bCs/>
          <w:sz w:val="24"/>
        </w:rPr>
        <w:t>2.2.1   供应商应仔细阅读和检查招标文件的全部内容。发现其中有误或有不合理要求的，应当在招标文件的澄清、修改截止时间前以书面形式要求采购人或采购代理机构对招标文件予以澄清、修改；</w:t>
      </w:r>
    </w:p>
    <w:p>
      <w:pPr>
        <w:spacing w:line="360" w:lineRule="auto"/>
        <w:ind w:left="960" w:hanging="960" w:hangingChars="400"/>
        <w:rPr>
          <w:rFonts w:ascii="宋体" w:hAnsi="宋体" w:cs="宋体"/>
          <w:sz w:val="24"/>
        </w:rPr>
      </w:pPr>
      <w:r>
        <w:rPr>
          <w:rFonts w:hint="eastAsia" w:ascii="宋体" w:hAnsi="宋体" w:cs="宋体"/>
          <w:bCs/>
          <w:sz w:val="24"/>
        </w:rPr>
        <w:t>2.2.2   澄清或修改内容可能影响投标文件编制的，采购代理机构</w:t>
      </w:r>
      <w:r>
        <w:rPr>
          <w:rFonts w:hint="eastAsia" w:ascii="宋体" w:hAnsi="宋体" w:cs="宋体"/>
          <w:sz w:val="24"/>
        </w:rPr>
        <w:t>在提交</w:t>
      </w:r>
      <w:r>
        <w:rPr>
          <w:rFonts w:hint="eastAsia" w:ascii="宋体" w:hAnsi="宋体" w:cs="宋体"/>
          <w:bCs/>
          <w:sz w:val="24"/>
        </w:rPr>
        <w:t>投标截止时间</w:t>
      </w:r>
      <w:r>
        <w:rPr>
          <w:rFonts w:hint="eastAsia" w:ascii="宋体" w:hAnsi="宋体" w:cs="宋体"/>
          <w:sz w:val="24"/>
        </w:rPr>
        <w:t>15日前，将以发布更正公告的形式通知各潜在的供应商。不足15日的，采购代理机构有权顺延</w:t>
      </w:r>
      <w:r>
        <w:rPr>
          <w:rFonts w:hint="eastAsia" w:ascii="宋体" w:hAnsi="宋体" w:cs="宋体"/>
          <w:bCs/>
          <w:sz w:val="24"/>
        </w:rPr>
        <w:t>投标截止时间</w:t>
      </w:r>
      <w:r>
        <w:rPr>
          <w:rFonts w:hint="eastAsia" w:ascii="宋体" w:hAnsi="宋体" w:cs="宋体"/>
          <w:sz w:val="24"/>
        </w:rPr>
        <w:t>；</w:t>
      </w:r>
    </w:p>
    <w:p>
      <w:pPr>
        <w:spacing w:line="360" w:lineRule="auto"/>
        <w:ind w:left="960" w:hanging="960" w:hangingChars="400"/>
        <w:rPr>
          <w:rFonts w:ascii="宋体" w:hAnsi="宋体" w:cs="宋体"/>
          <w:sz w:val="24"/>
          <w:szCs w:val="24"/>
        </w:rPr>
      </w:pPr>
      <w:r>
        <w:rPr>
          <w:rFonts w:hint="eastAsia" w:ascii="宋体" w:hAnsi="宋体" w:cs="宋体"/>
          <w:sz w:val="24"/>
          <w:szCs w:val="24"/>
        </w:rPr>
        <w:t>2.2.3   投标截止时间前，采购代理机构可以对发出的招标文件进行必要的澄清或修改，澄清或修改后的补充文件，作为招标文件的组成部分，对各供应商起同等约束作用；</w:t>
      </w:r>
    </w:p>
    <w:p>
      <w:pPr>
        <w:spacing w:line="360" w:lineRule="auto"/>
        <w:ind w:left="960" w:hanging="960" w:hangingChars="400"/>
        <w:rPr>
          <w:rFonts w:ascii="宋体" w:hAnsi="宋体" w:cs="宋体"/>
          <w:sz w:val="24"/>
          <w:szCs w:val="24"/>
        </w:rPr>
      </w:pPr>
      <w:r>
        <w:rPr>
          <w:rFonts w:hint="eastAsia" w:ascii="宋体" w:hAnsi="宋体" w:cs="宋体"/>
          <w:sz w:val="24"/>
          <w:szCs w:val="24"/>
        </w:rPr>
        <w:t>2.2.4   澄清、修改等更正内容发布网址：见供应商须知前附表（一）；</w:t>
      </w:r>
    </w:p>
    <w:p>
      <w:pPr>
        <w:spacing w:line="360" w:lineRule="auto"/>
        <w:ind w:left="960" w:hanging="960" w:hangingChars="400"/>
        <w:rPr>
          <w:rFonts w:ascii="宋体" w:hAnsi="宋体" w:cs="宋体"/>
          <w:sz w:val="24"/>
        </w:rPr>
      </w:pPr>
      <w:r>
        <w:rPr>
          <w:rFonts w:hint="eastAsia" w:ascii="宋体" w:hAnsi="宋体" w:cs="宋体"/>
          <w:sz w:val="24"/>
        </w:rPr>
        <w:t>2.2.5   当招标文件与澄清或修改文件就同一内容的表述不一致时，以最后发出的澄清或修改文件为准。</w:t>
      </w:r>
    </w:p>
    <w:p>
      <w:pPr>
        <w:pStyle w:val="44"/>
        <w:spacing w:beforeLines="100" w:after="240" w:afterLines="100"/>
        <w:jc w:val="left"/>
        <w:outlineLvl w:val="1"/>
        <w:rPr>
          <w:rFonts w:ascii="宋体" w:hAnsi="宋体" w:cs="宋体"/>
          <w:sz w:val="30"/>
          <w:szCs w:val="30"/>
        </w:rPr>
      </w:pPr>
      <w:bookmarkStart w:id="97" w:name="_Toc531358997"/>
      <w:bookmarkStart w:id="98" w:name="_Toc34895544"/>
      <w:bookmarkStart w:id="99" w:name="_Toc530551842"/>
      <w:r>
        <w:rPr>
          <w:rFonts w:hint="eastAsia" w:ascii="宋体" w:hAnsi="宋体" w:cs="宋体"/>
          <w:sz w:val="30"/>
          <w:szCs w:val="30"/>
        </w:rPr>
        <w:t>三    投标文件</w:t>
      </w:r>
      <w:bookmarkEnd w:id="97"/>
      <w:bookmarkEnd w:id="98"/>
      <w:bookmarkEnd w:id="99"/>
    </w:p>
    <w:p>
      <w:pPr>
        <w:pStyle w:val="234"/>
        <w:rPr>
          <w:rFonts w:ascii="宋体" w:eastAsia="宋体"/>
        </w:rPr>
      </w:pPr>
      <w:bookmarkStart w:id="100" w:name="_Toc34895545"/>
      <w:r>
        <w:rPr>
          <w:rFonts w:hint="eastAsia" w:ascii="宋体" w:eastAsia="宋体"/>
        </w:rPr>
        <w:t xml:space="preserve">3.1   </w:t>
      </w:r>
      <w:bookmarkStart w:id="101" w:name="_Toc18592302"/>
      <w:r>
        <w:rPr>
          <w:rFonts w:hint="eastAsia" w:ascii="宋体" w:eastAsia="宋体"/>
        </w:rPr>
        <w:t xml:space="preserve">  投标文件的形式和效力</w:t>
      </w:r>
      <w:bookmarkEnd w:id="100"/>
      <w:bookmarkEnd w:id="101"/>
    </w:p>
    <w:p>
      <w:pPr>
        <w:spacing w:line="360" w:lineRule="auto"/>
        <w:ind w:left="960" w:hanging="960" w:hangingChars="400"/>
        <w:rPr>
          <w:rFonts w:ascii="宋体" w:hAnsi="宋体" w:cs="宋体"/>
          <w:sz w:val="24"/>
          <w:szCs w:val="24"/>
        </w:rPr>
      </w:pPr>
      <w:r>
        <w:rPr>
          <w:rFonts w:hint="eastAsia" w:ascii="宋体" w:hAnsi="宋体" w:cs="宋体"/>
          <w:sz w:val="24"/>
          <w:szCs w:val="24"/>
        </w:rPr>
        <w:t>3.1.1   投标文件形式：电子投标文件（包括“电子加密投标文件”和“备份投标文件”，“电子加密投标文件”和“备份投标文件”在投标文件编制完成后同时生成）。</w:t>
      </w:r>
    </w:p>
    <w:p>
      <w:pPr>
        <w:spacing w:line="360" w:lineRule="auto"/>
        <w:ind w:left="960" w:hanging="960" w:hangingChars="400"/>
        <w:jc w:val="left"/>
        <w:rPr>
          <w:rFonts w:ascii="宋体" w:hAnsi="宋体" w:cs="宋体"/>
          <w:sz w:val="24"/>
          <w:szCs w:val="24"/>
        </w:rPr>
      </w:pPr>
      <w:r>
        <w:rPr>
          <w:rFonts w:hint="eastAsia" w:ascii="宋体" w:hAnsi="宋体" w:cs="宋体"/>
          <w:sz w:val="24"/>
          <w:szCs w:val="24"/>
        </w:rPr>
        <w:t>3.1.2   投标文件的效力：“电子加密投标文件”和“备份投标文件”具有同等效力，数据电文内容应完全一致。</w:t>
      </w:r>
    </w:p>
    <w:p>
      <w:pPr>
        <w:spacing w:line="360" w:lineRule="auto"/>
        <w:ind w:left="960" w:hanging="960" w:hangingChars="400"/>
        <w:jc w:val="left"/>
        <w:rPr>
          <w:rFonts w:ascii="宋体" w:hAnsi="宋体" w:cs="宋体"/>
          <w:sz w:val="24"/>
          <w:szCs w:val="24"/>
        </w:rPr>
      </w:pPr>
      <w:r>
        <w:rPr>
          <w:rFonts w:hint="eastAsia" w:ascii="宋体" w:hAnsi="宋体" w:cs="宋体"/>
          <w:sz w:val="24"/>
          <w:szCs w:val="24"/>
        </w:rPr>
        <w:t xml:space="preserve">3.1.3   </w:t>
      </w:r>
      <w:r>
        <w:rPr>
          <w:rFonts w:hint="eastAsia" w:ascii="宋体" w:hAnsi="宋体" w:cs="宋体"/>
          <w:bCs/>
          <w:sz w:val="24"/>
          <w:szCs w:val="24"/>
        </w:rPr>
        <w:t>▲</w:t>
      </w:r>
      <w:r>
        <w:rPr>
          <w:rFonts w:hint="eastAsia" w:ascii="宋体" w:hAnsi="宋体" w:cs="宋体"/>
          <w:sz w:val="24"/>
          <w:szCs w:val="24"/>
        </w:rPr>
        <w:t>电子加密投标文件按时解密成功的，备份投标文件自动失效；电子加密投标文件解密失败，按时启动备份投标文件电子且有效的，以备份投标文件为准；电子加密投标文件解密失败，又未提交备份投标文件（包括提交备份投标文件未按时提供解密密码或密码错误的），视同放弃投标；</w:t>
      </w:r>
    </w:p>
    <w:p>
      <w:pPr>
        <w:pStyle w:val="234"/>
        <w:rPr>
          <w:rFonts w:ascii="宋体" w:eastAsia="宋体"/>
        </w:rPr>
      </w:pPr>
      <w:bookmarkStart w:id="102" w:name="_Toc531358998"/>
      <w:bookmarkStart w:id="103" w:name="_Toc34895546"/>
      <w:bookmarkStart w:id="104" w:name="_Toc530551843"/>
      <w:r>
        <w:rPr>
          <w:rFonts w:hint="eastAsia" w:ascii="宋体" w:eastAsia="宋体"/>
        </w:rPr>
        <w:t>3.2     投标文件组成</w:t>
      </w:r>
      <w:bookmarkEnd w:id="102"/>
      <w:bookmarkEnd w:id="103"/>
      <w:bookmarkEnd w:id="104"/>
    </w:p>
    <w:p>
      <w:pPr>
        <w:spacing w:line="360" w:lineRule="auto"/>
        <w:ind w:left="945" w:leftChars="450"/>
        <w:rPr>
          <w:rFonts w:ascii="宋体" w:hAnsi="宋体" w:cs="宋体"/>
          <w:sz w:val="24"/>
        </w:rPr>
      </w:pPr>
      <w:r>
        <w:rPr>
          <w:rFonts w:hint="eastAsia" w:ascii="宋体" w:hAnsi="宋体" w:cs="宋体"/>
          <w:sz w:val="24"/>
        </w:rPr>
        <w:t>投标文件由【资格审查文件】、【资信商务及技术文件】、【报价文件】三部分组成。</w:t>
      </w:r>
    </w:p>
    <w:p>
      <w:pPr>
        <w:pStyle w:val="234"/>
        <w:rPr>
          <w:rFonts w:ascii="宋体" w:eastAsia="宋体"/>
        </w:rPr>
      </w:pPr>
      <w:bookmarkStart w:id="105" w:name="_Toc531358999"/>
      <w:bookmarkStart w:id="106" w:name="_Toc34895547"/>
      <w:bookmarkStart w:id="107" w:name="_Toc530551844"/>
      <w:r>
        <w:rPr>
          <w:rFonts w:hint="eastAsia" w:ascii="宋体" w:eastAsia="宋体"/>
        </w:rPr>
        <w:t>3.3     资格审查文件的组成</w:t>
      </w:r>
      <w:bookmarkEnd w:id="105"/>
      <w:bookmarkEnd w:id="106"/>
      <w:bookmarkEnd w:id="107"/>
    </w:p>
    <w:p>
      <w:pPr>
        <w:spacing w:line="360" w:lineRule="auto"/>
        <w:ind w:left="840" w:leftChars="400" w:firstLine="120" w:firstLineChars="50"/>
        <w:rPr>
          <w:rFonts w:ascii="宋体" w:hAnsi="宋体" w:cs="宋体"/>
          <w:sz w:val="24"/>
        </w:rPr>
      </w:pPr>
      <w:r>
        <w:rPr>
          <w:rFonts w:hint="eastAsia" w:ascii="宋体" w:hAnsi="宋体" w:cs="宋体"/>
          <w:sz w:val="24"/>
        </w:rPr>
        <w:t>资格审查文件的组成：见供应商须知前附表（一）。</w:t>
      </w:r>
    </w:p>
    <w:p>
      <w:pPr>
        <w:pStyle w:val="234"/>
        <w:rPr>
          <w:rFonts w:ascii="宋体" w:eastAsia="宋体"/>
        </w:rPr>
      </w:pPr>
      <w:bookmarkStart w:id="108" w:name="_Toc531359000"/>
      <w:bookmarkStart w:id="109" w:name="_Toc530551845"/>
      <w:bookmarkStart w:id="110" w:name="_Toc34895548"/>
      <w:r>
        <w:rPr>
          <w:rFonts w:hint="eastAsia" w:ascii="宋体" w:eastAsia="宋体"/>
        </w:rPr>
        <w:t>3.4     资信商务及技术文件的组成</w:t>
      </w:r>
      <w:bookmarkEnd w:id="108"/>
      <w:bookmarkEnd w:id="109"/>
      <w:bookmarkEnd w:id="110"/>
    </w:p>
    <w:p>
      <w:pPr>
        <w:spacing w:line="360" w:lineRule="auto"/>
        <w:ind w:left="840" w:leftChars="400" w:firstLine="120" w:firstLineChars="50"/>
        <w:rPr>
          <w:rFonts w:ascii="宋体" w:hAnsi="宋体" w:cs="宋体"/>
          <w:sz w:val="24"/>
        </w:rPr>
      </w:pPr>
      <w:r>
        <w:rPr>
          <w:rFonts w:hint="eastAsia" w:ascii="宋体" w:hAnsi="宋体" w:cs="宋体"/>
          <w:sz w:val="24"/>
        </w:rPr>
        <w:t>资信商务及技术文件的组成：见供应商须知前附表（一）。</w:t>
      </w:r>
    </w:p>
    <w:p>
      <w:pPr>
        <w:pStyle w:val="234"/>
        <w:rPr>
          <w:rFonts w:ascii="宋体" w:eastAsia="宋体"/>
        </w:rPr>
      </w:pPr>
      <w:bookmarkStart w:id="111" w:name="_Toc34895549"/>
      <w:bookmarkStart w:id="112" w:name="_Toc531359001"/>
      <w:bookmarkStart w:id="113" w:name="_Toc530551846"/>
      <w:r>
        <w:rPr>
          <w:rFonts w:hint="eastAsia" w:ascii="宋体" w:eastAsia="宋体"/>
        </w:rPr>
        <w:t>3.5     报价文件的组成</w:t>
      </w:r>
      <w:bookmarkEnd w:id="111"/>
      <w:bookmarkEnd w:id="112"/>
      <w:bookmarkEnd w:id="113"/>
    </w:p>
    <w:p>
      <w:pPr>
        <w:spacing w:line="360" w:lineRule="auto"/>
        <w:ind w:left="840" w:leftChars="400" w:firstLine="120" w:firstLineChars="50"/>
        <w:rPr>
          <w:rFonts w:ascii="宋体" w:hAnsi="宋体" w:cs="宋体"/>
          <w:sz w:val="24"/>
        </w:rPr>
      </w:pPr>
      <w:r>
        <w:rPr>
          <w:rFonts w:hint="eastAsia" w:ascii="宋体" w:hAnsi="宋体" w:cs="宋体"/>
          <w:sz w:val="24"/>
        </w:rPr>
        <w:t>报价文件的组成：见供应商须知前附表（一）。</w:t>
      </w:r>
    </w:p>
    <w:p>
      <w:pPr>
        <w:pStyle w:val="44"/>
        <w:spacing w:beforeLines="100" w:after="240" w:afterLines="100"/>
        <w:jc w:val="left"/>
        <w:outlineLvl w:val="1"/>
        <w:rPr>
          <w:rFonts w:ascii="宋体" w:hAnsi="宋体" w:cs="宋体"/>
          <w:sz w:val="30"/>
          <w:szCs w:val="30"/>
        </w:rPr>
      </w:pPr>
      <w:bookmarkStart w:id="114" w:name="_Toc531359002"/>
      <w:bookmarkStart w:id="115" w:name="_Toc34895550"/>
      <w:bookmarkStart w:id="116" w:name="_Toc530551847"/>
      <w:r>
        <w:rPr>
          <w:rFonts w:hint="eastAsia" w:ascii="宋体" w:hAnsi="宋体" w:cs="宋体"/>
          <w:sz w:val="30"/>
          <w:szCs w:val="30"/>
        </w:rPr>
        <w:t>四    投标文件的编制</w:t>
      </w:r>
      <w:bookmarkEnd w:id="114"/>
      <w:bookmarkEnd w:id="115"/>
      <w:bookmarkEnd w:id="116"/>
    </w:p>
    <w:p>
      <w:pPr>
        <w:pStyle w:val="234"/>
        <w:rPr>
          <w:rFonts w:ascii="宋体" w:eastAsia="宋体"/>
        </w:rPr>
      </w:pPr>
      <w:bookmarkStart w:id="117" w:name="_Toc531359004"/>
      <w:bookmarkStart w:id="118" w:name="_Toc530551849"/>
      <w:bookmarkStart w:id="119" w:name="_Toc34895551"/>
      <w:r>
        <w:rPr>
          <w:rFonts w:hint="eastAsia" w:ascii="宋体" w:eastAsia="宋体"/>
        </w:rPr>
        <w:t>4.1     投标文件编制</w:t>
      </w:r>
      <w:bookmarkEnd w:id="117"/>
      <w:bookmarkEnd w:id="118"/>
      <w:bookmarkEnd w:id="119"/>
    </w:p>
    <w:p>
      <w:pPr>
        <w:spacing w:line="360" w:lineRule="auto"/>
        <w:ind w:left="960" w:hanging="960" w:hangingChars="400"/>
        <w:rPr>
          <w:rFonts w:ascii="宋体" w:hAnsi="宋体" w:cs="宋体"/>
          <w:sz w:val="24"/>
        </w:rPr>
      </w:pPr>
      <w:r>
        <w:rPr>
          <w:rFonts w:hint="eastAsia" w:ascii="宋体" w:hAnsi="宋体" w:cs="宋体"/>
          <w:sz w:val="24"/>
        </w:rPr>
        <w:t>4.1.1   本招标文件中若有多标项的，若参与多标项投标的，则按每个标项分别独立编制投标文件；</w:t>
      </w:r>
    </w:p>
    <w:p>
      <w:pPr>
        <w:wordWrap w:val="0"/>
        <w:spacing w:line="360" w:lineRule="auto"/>
        <w:ind w:left="960" w:hanging="960" w:hangingChars="400"/>
        <w:rPr>
          <w:rFonts w:ascii="宋体" w:hAnsi="宋体" w:cs="宋体"/>
          <w:sz w:val="24"/>
        </w:rPr>
      </w:pPr>
      <w:r>
        <w:rPr>
          <w:rFonts w:hint="eastAsia" w:ascii="宋体" w:hAnsi="宋体" w:cs="宋体"/>
          <w:sz w:val="24"/>
        </w:rPr>
        <w:t>4.1.2   电子投标文件编制请按乐采云平台供应商项目采购-电子招投标操作指南和本招标文件要求编制并进行关联定位。</w:t>
      </w:r>
    </w:p>
    <w:p>
      <w:pPr>
        <w:spacing w:line="360" w:lineRule="auto"/>
        <w:ind w:left="960" w:hanging="960" w:hangingChars="400"/>
        <w:rPr>
          <w:rFonts w:ascii="宋体" w:hAnsi="宋体" w:cs="宋体"/>
          <w:sz w:val="24"/>
        </w:rPr>
      </w:pPr>
      <w:r>
        <w:rPr>
          <w:rFonts w:hint="eastAsia" w:ascii="宋体" w:hAnsi="宋体" w:cs="宋体"/>
          <w:sz w:val="24"/>
        </w:rPr>
        <w:t>4.1.3   供应商应按招标文件的要求提供相关资料，并对招标文件中提出的所有内容要求给予明确响应，须保证投标文件的准确、真实、明确。投标文件响应内容对招标文件要求如有偏离均应填写偏离表，如不填写，评标委员会有权视作投标文件不完全响应招标文件要求；</w:t>
      </w:r>
    </w:p>
    <w:p>
      <w:pPr>
        <w:spacing w:line="360" w:lineRule="auto"/>
        <w:ind w:left="960" w:hanging="960" w:hangingChars="400"/>
        <w:rPr>
          <w:rFonts w:ascii="宋体" w:hAnsi="宋体" w:cs="宋体"/>
          <w:sz w:val="24"/>
        </w:rPr>
      </w:pPr>
      <w:r>
        <w:rPr>
          <w:rFonts w:hint="eastAsia" w:ascii="宋体" w:hAnsi="宋体" w:cs="宋体"/>
          <w:sz w:val="24"/>
        </w:rPr>
        <w:t>4.1.4   投标文件编制时应有正确的索引目录及连续页码标注；</w:t>
      </w:r>
    </w:p>
    <w:p>
      <w:pPr>
        <w:spacing w:line="360" w:lineRule="auto"/>
        <w:ind w:left="960" w:hanging="960" w:hangingChars="400"/>
        <w:rPr>
          <w:rFonts w:ascii="宋体" w:hAnsi="宋体" w:cs="宋体"/>
          <w:sz w:val="24"/>
        </w:rPr>
      </w:pPr>
      <w:r>
        <w:rPr>
          <w:rFonts w:hint="eastAsia" w:ascii="宋体" w:hAnsi="宋体" w:cs="宋体"/>
          <w:sz w:val="24"/>
        </w:rPr>
        <w:t>4.1.5   投标文件须清晰可辨，因模糊不清所引起的后果由供应商自行负责。</w:t>
      </w:r>
    </w:p>
    <w:p>
      <w:pPr>
        <w:pStyle w:val="234"/>
        <w:rPr>
          <w:rFonts w:ascii="宋体" w:eastAsia="宋体"/>
        </w:rPr>
      </w:pPr>
      <w:bookmarkStart w:id="120" w:name="_Toc34895552"/>
      <w:bookmarkStart w:id="121" w:name="_Toc531359005"/>
      <w:bookmarkStart w:id="122" w:name="_Toc530551850"/>
      <w:r>
        <w:rPr>
          <w:rFonts w:hint="eastAsia" w:ascii="宋体" w:eastAsia="宋体"/>
        </w:rPr>
        <w:t>4.2     投标报价要求</w:t>
      </w:r>
      <w:bookmarkEnd w:id="120"/>
      <w:bookmarkEnd w:id="121"/>
      <w:bookmarkEnd w:id="122"/>
    </w:p>
    <w:p>
      <w:pPr>
        <w:spacing w:line="360" w:lineRule="auto"/>
        <w:jc w:val="left"/>
        <w:rPr>
          <w:rFonts w:ascii="宋体" w:hAnsi="宋体" w:cs="宋体"/>
          <w:b/>
          <w:sz w:val="24"/>
        </w:rPr>
      </w:pPr>
      <w:r>
        <w:rPr>
          <w:rFonts w:hint="eastAsia" w:ascii="宋体" w:hAnsi="宋体" w:cs="宋体"/>
          <w:b/>
          <w:sz w:val="24"/>
        </w:rPr>
        <w:t xml:space="preserve">4.2.1本项目投标报价不得高于最高限价，否则作无效标处理。 </w:t>
      </w:r>
    </w:p>
    <w:p>
      <w:pPr>
        <w:spacing w:line="360" w:lineRule="auto"/>
        <w:rPr>
          <w:rFonts w:ascii="宋体" w:hAnsi="宋体" w:cs="宋体"/>
          <w:sz w:val="24"/>
        </w:rPr>
      </w:pPr>
      <w:r>
        <w:rPr>
          <w:rFonts w:hint="eastAsia" w:ascii="宋体" w:hAnsi="宋体" w:cs="宋体"/>
          <w:sz w:val="24"/>
        </w:rPr>
        <w:t xml:space="preserve">4.2.2 </w:t>
      </w:r>
      <w:r>
        <w:rPr>
          <w:rFonts w:hint="eastAsia" w:ascii="宋体" w:hAnsi="宋体" w:cs="宋体"/>
          <w:bCs/>
          <w:sz w:val="24"/>
          <w:szCs w:val="24"/>
        </w:rPr>
        <w:t>▲</w:t>
      </w:r>
      <w:r>
        <w:rPr>
          <w:rFonts w:hint="eastAsia" w:ascii="宋体" w:hAnsi="宋体" w:cs="宋体"/>
          <w:sz w:val="24"/>
        </w:rPr>
        <w:t>投标报价是履行合同的最终价格，包括人工、保险、运输、各种税费以及验收等一切费用。供应商应充分考虑各种风险因素</w:t>
      </w:r>
      <w:r>
        <w:rPr>
          <w:rFonts w:hint="eastAsia" w:ascii="宋体" w:hAnsi="宋体" w:cs="宋体"/>
          <w:iCs/>
          <w:spacing w:val="20"/>
          <w:sz w:val="24"/>
        </w:rPr>
        <w:t>，凡供应商漏项、漏报均认为已包含在投标报价中，不作调整。</w:t>
      </w:r>
    </w:p>
    <w:p>
      <w:pPr>
        <w:spacing w:line="360" w:lineRule="auto"/>
        <w:rPr>
          <w:rFonts w:ascii="宋体" w:hAnsi="宋体" w:cs="宋体"/>
          <w:sz w:val="24"/>
        </w:rPr>
      </w:pPr>
      <w:r>
        <w:rPr>
          <w:rFonts w:hint="eastAsia" w:ascii="宋体" w:hAnsi="宋体" w:cs="宋体"/>
          <w:sz w:val="24"/>
        </w:rPr>
        <w:t xml:space="preserve">4.2.3  </w:t>
      </w:r>
      <w:r>
        <w:rPr>
          <w:rFonts w:hint="eastAsia" w:ascii="宋体" w:hAnsi="宋体" w:cs="宋体"/>
          <w:bCs/>
          <w:sz w:val="24"/>
          <w:szCs w:val="24"/>
        </w:rPr>
        <w:t>▲</w:t>
      </w:r>
      <w:r>
        <w:rPr>
          <w:rFonts w:hint="eastAsia" w:ascii="宋体" w:hAnsi="宋体" w:cs="宋体"/>
          <w:sz w:val="24"/>
        </w:rPr>
        <w:t>投标文件只允许有一个报价，有选择的或有条件的报价将不予接受。</w:t>
      </w:r>
    </w:p>
    <w:p>
      <w:pPr>
        <w:pStyle w:val="234"/>
        <w:rPr>
          <w:rFonts w:ascii="宋体" w:eastAsia="宋体"/>
          <w:b w:val="0"/>
          <w:bCs w:val="0"/>
          <w:szCs w:val="22"/>
        </w:rPr>
      </w:pPr>
      <w:bookmarkStart w:id="123" w:name="_Toc531359008"/>
      <w:bookmarkStart w:id="124" w:name="_Toc530551853"/>
      <w:bookmarkStart w:id="125" w:name="_Toc34895553"/>
      <w:r>
        <w:rPr>
          <w:rFonts w:hint="eastAsia" w:ascii="宋体" w:eastAsia="宋体"/>
          <w:b w:val="0"/>
          <w:bCs w:val="0"/>
          <w:szCs w:val="22"/>
        </w:rPr>
        <w:t>4.2.4  ▲供应商报价三项服务内容单价须按同比例下浮报价，报价下浮后采用四舍五入法，并保留小数2位。</w:t>
      </w:r>
    </w:p>
    <w:p>
      <w:pPr>
        <w:pStyle w:val="234"/>
        <w:rPr>
          <w:rFonts w:ascii="宋体" w:eastAsia="宋体"/>
        </w:rPr>
      </w:pPr>
      <w:r>
        <w:rPr>
          <w:rFonts w:hint="eastAsia" w:ascii="宋体" w:eastAsia="宋体"/>
        </w:rPr>
        <w:t>4.3     投标有效期</w:t>
      </w:r>
      <w:bookmarkEnd w:id="123"/>
      <w:bookmarkEnd w:id="124"/>
      <w:bookmarkEnd w:id="125"/>
    </w:p>
    <w:p>
      <w:pPr>
        <w:spacing w:line="360" w:lineRule="auto"/>
        <w:ind w:left="960" w:hanging="960" w:hangingChars="400"/>
        <w:rPr>
          <w:rFonts w:ascii="宋体" w:hAnsi="宋体" w:cs="宋体"/>
          <w:sz w:val="24"/>
        </w:rPr>
      </w:pPr>
      <w:bookmarkStart w:id="126" w:name="_Toc301187640"/>
      <w:r>
        <w:rPr>
          <w:rFonts w:hint="eastAsia" w:ascii="宋体" w:hAnsi="宋体" w:cs="宋体"/>
          <w:sz w:val="24"/>
        </w:rPr>
        <w:t xml:space="preserve">4.3.1   </w:t>
      </w:r>
      <w:r>
        <w:rPr>
          <w:rFonts w:hint="eastAsia" w:ascii="宋体" w:hAnsi="宋体" w:cs="宋体"/>
          <w:bCs/>
          <w:sz w:val="24"/>
          <w:szCs w:val="24"/>
        </w:rPr>
        <w:t>▲</w:t>
      </w:r>
      <w:r>
        <w:rPr>
          <w:rFonts w:hint="eastAsia" w:ascii="宋体" w:hAnsi="宋体" w:cs="宋体"/>
          <w:sz w:val="24"/>
        </w:rPr>
        <w:t>投标有效期：见供应商须知前附表（一）。投标有效期从提交投标文件的截止之日起算。投标文件中承诺的投标有效期应当不少于招标文件中载明的投标有效期</w:t>
      </w:r>
      <w:bookmarkEnd w:id="126"/>
      <w:r>
        <w:rPr>
          <w:rFonts w:hint="eastAsia" w:ascii="宋体" w:hAnsi="宋体" w:cs="宋体"/>
          <w:sz w:val="24"/>
        </w:rPr>
        <w:t>；</w:t>
      </w:r>
    </w:p>
    <w:p>
      <w:pPr>
        <w:spacing w:line="360" w:lineRule="auto"/>
        <w:ind w:left="960" w:hanging="960" w:hangingChars="400"/>
        <w:rPr>
          <w:rFonts w:ascii="宋体" w:hAnsi="宋体" w:cs="宋体"/>
          <w:sz w:val="24"/>
        </w:rPr>
      </w:pPr>
      <w:r>
        <w:rPr>
          <w:rFonts w:hint="eastAsia" w:ascii="宋体" w:hAnsi="宋体" w:cs="宋体"/>
          <w:sz w:val="24"/>
        </w:rPr>
        <w:t>4.3.2   在特殊情况下，采购人可与供应商协商延长投标书的有效期，这种要求和答复均以书面形式进行。</w:t>
      </w:r>
    </w:p>
    <w:p>
      <w:pPr>
        <w:pStyle w:val="234"/>
        <w:rPr>
          <w:rFonts w:ascii="宋体" w:eastAsia="宋体"/>
        </w:rPr>
      </w:pPr>
      <w:bookmarkStart w:id="127" w:name="_Toc34895554"/>
      <w:bookmarkStart w:id="128" w:name="_Toc530551854"/>
      <w:bookmarkStart w:id="129" w:name="_Toc531359009"/>
      <w:r>
        <w:rPr>
          <w:rFonts w:hint="eastAsia" w:ascii="宋体" w:eastAsia="宋体"/>
        </w:rPr>
        <w:t>4.4     投标文件格式</w:t>
      </w:r>
      <w:bookmarkEnd w:id="127"/>
      <w:bookmarkEnd w:id="128"/>
      <w:bookmarkEnd w:id="129"/>
    </w:p>
    <w:p>
      <w:pPr>
        <w:spacing w:line="360" w:lineRule="auto"/>
        <w:ind w:left="945" w:leftChars="450"/>
        <w:rPr>
          <w:rFonts w:ascii="宋体" w:hAnsi="宋体" w:cs="宋体"/>
          <w:sz w:val="24"/>
        </w:rPr>
      </w:pPr>
      <w:r>
        <w:rPr>
          <w:rFonts w:hint="eastAsia" w:ascii="宋体" w:hAnsi="宋体" w:cs="宋体"/>
          <w:sz w:val="24"/>
        </w:rPr>
        <w:t>投标文件格式见招标文件“第五章投标文件格式”，投标文件应当按照招标文件已提供的格式填写，无格式的可自行设计。</w:t>
      </w:r>
    </w:p>
    <w:p>
      <w:pPr>
        <w:pStyle w:val="234"/>
        <w:rPr>
          <w:rFonts w:ascii="宋体" w:eastAsia="宋体"/>
        </w:rPr>
      </w:pPr>
      <w:bookmarkStart w:id="130" w:name="_Toc531359010"/>
      <w:bookmarkStart w:id="131" w:name="_Toc34895555"/>
      <w:bookmarkStart w:id="132" w:name="_Toc530551855"/>
      <w:r>
        <w:rPr>
          <w:rFonts w:hint="eastAsia" w:ascii="宋体" w:eastAsia="宋体"/>
        </w:rPr>
        <w:t>4.5     投标文件份数及签署</w:t>
      </w:r>
      <w:bookmarkEnd w:id="130"/>
      <w:bookmarkEnd w:id="131"/>
      <w:bookmarkEnd w:id="132"/>
    </w:p>
    <w:p>
      <w:pPr>
        <w:spacing w:line="360" w:lineRule="auto"/>
        <w:ind w:left="960" w:hanging="960" w:hangingChars="400"/>
        <w:rPr>
          <w:rFonts w:ascii="宋体" w:hAnsi="宋体" w:cs="宋体"/>
          <w:sz w:val="24"/>
        </w:rPr>
      </w:pPr>
      <w:r>
        <w:rPr>
          <w:rFonts w:hint="eastAsia" w:ascii="宋体" w:hAnsi="宋体" w:cs="宋体"/>
          <w:sz w:val="24"/>
        </w:rPr>
        <w:t>4.5.1   投标文件份数：见供应商须知前附表（一）；</w:t>
      </w:r>
    </w:p>
    <w:p>
      <w:pPr>
        <w:spacing w:line="360" w:lineRule="auto"/>
        <w:ind w:left="960" w:hanging="960" w:hangingChars="400"/>
        <w:rPr>
          <w:rFonts w:ascii="宋体" w:hAnsi="宋体" w:cs="宋体"/>
          <w:sz w:val="24"/>
        </w:rPr>
      </w:pPr>
      <w:r>
        <w:rPr>
          <w:rFonts w:hint="eastAsia" w:ascii="宋体" w:hAnsi="宋体" w:cs="宋体"/>
          <w:sz w:val="24"/>
        </w:rPr>
        <w:t>4.5.2   投标文件中所须加盖公章部分均采用CA签章。</w:t>
      </w:r>
    </w:p>
    <w:p>
      <w:pPr>
        <w:pStyle w:val="44"/>
        <w:spacing w:beforeLines="100" w:after="240" w:afterLines="100"/>
        <w:jc w:val="left"/>
        <w:outlineLvl w:val="1"/>
        <w:rPr>
          <w:rFonts w:ascii="宋体" w:hAnsi="宋体" w:cs="宋体"/>
          <w:sz w:val="30"/>
          <w:szCs w:val="30"/>
        </w:rPr>
      </w:pPr>
      <w:bookmarkStart w:id="133" w:name="_Toc531359011"/>
      <w:bookmarkStart w:id="134" w:name="_Toc34895556"/>
      <w:bookmarkStart w:id="135" w:name="_Toc530551856"/>
      <w:r>
        <w:rPr>
          <w:rFonts w:hint="eastAsia" w:ascii="宋体" w:hAnsi="宋体" w:cs="宋体"/>
          <w:sz w:val="30"/>
          <w:szCs w:val="30"/>
        </w:rPr>
        <w:t>五    投标文件的提交</w:t>
      </w:r>
      <w:bookmarkEnd w:id="133"/>
      <w:bookmarkEnd w:id="134"/>
      <w:bookmarkEnd w:id="135"/>
    </w:p>
    <w:p>
      <w:pPr>
        <w:pStyle w:val="234"/>
        <w:rPr>
          <w:rFonts w:ascii="宋体" w:eastAsia="宋体"/>
        </w:rPr>
      </w:pPr>
      <w:bookmarkStart w:id="136" w:name="_Toc530551857"/>
      <w:bookmarkStart w:id="137" w:name="_Toc531359012"/>
      <w:bookmarkStart w:id="138" w:name="_Toc34895557"/>
      <w:r>
        <w:rPr>
          <w:rFonts w:hint="eastAsia" w:ascii="宋体" w:eastAsia="宋体"/>
        </w:rPr>
        <w:t>5.1     投标文件导入</w:t>
      </w:r>
      <w:bookmarkEnd w:id="136"/>
      <w:bookmarkEnd w:id="137"/>
      <w:r>
        <w:rPr>
          <w:rFonts w:hint="eastAsia" w:ascii="宋体" w:eastAsia="宋体"/>
        </w:rPr>
        <w:t>和加密</w:t>
      </w:r>
      <w:bookmarkEnd w:id="138"/>
    </w:p>
    <w:p>
      <w:pPr>
        <w:wordWrap w:val="0"/>
        <w:spacing w:line="360" w:lineRule="auto"/>
        <w:ind w:left="960" w:hanging="960" w:hangingChars="400"/>
        <w:rPr>
          <w:rFonts w:ascii="宋体" w:hAnsi="宋体" w:cs="宋体"/>
          <w:sz w:val="24"/>
        </w:rPr>
      </w:pPr>
      <w:r>
        <w:rPr>
          <w:rFonts w:hint="eastAsia" w:ascii="宋体" w:hAnsi="宋体" w:cs="宋体"/>
          <w:sz w:val="24"/>
        </w:rPr>
        <w:t>5.1.1   供应商应当按照资格审查文件、资信商务及技术文件和报价文件三部分分别导入相应位置，各文件之间不得导错位置；</w:t>
      </w:r>
    </w:p>
    <w:p>
      <w:pPr>
        <w:wordWrap w:val="0"/>
        <w:spacing w:line="360" w:lineRule="auto"/>
        <w:ind w:left="960" w:hanging="960" w:hangingChars="400"/>
        <w:jc w:val="left"/>
        <w:rPr>
          <w:rFonts w:ascii="宋体" w:hAnsi="宋体" w:cs="宋体"/>
          <w:sz w:val="24"/>
        </w:rPr>
      </w:pPr>
      <w:r>
        <w:rPr>
          <w:rFonts w:hint="eastAsia" w:ascii="宋体" w:hAnsi="宋体" w:cs="宋体"/>
          <w:sz w:val="24"/>
        </w:rPr>
        <w:t>5.1.2   投标文件编制好后应当生成电子加密投标文件，生成电子加密投标文件具体操作详见乐采云平台。</w:t>
      </w:r>
    </w:p>
    <w:p>
      <w:pPr>
        <w:pStyle w:val="234"/>
        <w:rPr>
          <w:rFonts w:ascii="宋体" w:eastAsia="宋体"/>
        </w:rPr>
      </w:pPr>
      <w:bookmarkStart w:id="139" w:name="_Toc530551858"/>
      <w:bookmarkStart w:id="140" w:name="_Toc531359013"/>
      <w:bookmarkStart w:id="141" w:name="_Toc34895558"/>
      <w:r>
        <w:rPr>
          <w:rFonts w:hint="eastAsia" w:ascii="宋体" w:eastAsia="宋体"/>
        </w:rPr>
        <w:t>5.2     投标文件的提交</w:t>
      </w:r>
      <w:bookmarkEnd w:id="139"/>
      <w:bookmarkEnd w:id="140"/>
      <w:bookmarkEnd w:id="141"/>
    </w:p>
    <w:p>
      <w:pPr>
        <w:spacing w:line="360" w:lineRule="auto"/>
        <w:ind w:left="960" w:hanging="960" w:hangingChars="400"/>
        <w:rPr>
          <w:rFonts w:ascii="宋体" w:hAnsi="宋体" w:cs="宋体"/>
          <w:sz w:val="24"/>
        </w:rPr>
      </w:pPr>
      <w:bookmarkStart w:id="142" w:name="_Toc301187685"/>
      <w:r>
        <w:rPr>
          <w:rFonts w:hint="eastAsia" w:ascii="宋体" w:hAnsi="宋体" w:cs="宋体"/>
          <w:sz w:val="24"/>
        </w:rPr>
        <w:t>5.2.1</w:t>
      </w:r>
      <w:bookmarkEnd w:id="142"/>
      <w:r>
        <w:rPr>
          <w:rFonts w:hint="eastAsia" w:ascii="宋体" w:hAnsi="宋体" w:cs="宋体"/>
          <w:sz w:val="24"/>
        </w:rPr>
        <w:t xml:space="preserve">   投标文件提交截止时间：见供应商须知前附表（一）</w:t>
      </w:r>
    </w:p>
    <w:p>
      <w:pPr>
        <w:spacing w:line="360" w:lineRule="auto"/>
        <w:ind w:left="960" w:hanging="960" w:hangingChars="400"/>
        <w:rPr>
          <w:rFonts w:ascii="宋体" w:hAnsi="宋体" w:cs="宋体"/>
          <w:sz w:val="24"/>
        </w:rPr>
      </w:pPr>
      <w:bookmarkStart w:id="143" w:name="_Toc301187686"/>
      <w:r>
        <w:rPr>
          <w:rFonts w:hint="eastAsia" w:ascii="宋体" w:hAnsi="宋体" w:cs="宋体"/>
          <w:sz w:val="24"/>
        </w:rPr>
        <w:t xml:space="preserve">5.2.2   </w:t>
      </w:r>
      <w:bookmarkEnd w:id="143"/>
      <w:r>
        <w:rPr>
          <w:rFonts w:hint="eastAsia" w:ascii="宋体" w:hAnsi="宋体" w:cs="宋体"/>
          <w:sz w:val="24"/>
        </w:rPr>
        <w:t>投标文件提交地点：见供应商须知前附表（一）</w:t>
      </w:r>
    </w:p>
    <w:p>
      <w:pPr>
        <w:spacing w:line="360" w:lineRule="auto"/>
        <w:ind w:left="960" w:hanging="960" w:hangingChars="400"/>
        <w:rPr>
          <w:rFonts w:ascii="宋体" w:hAnsi="宋体" w:cs="宋体"/>
          <w:sz w:val="24"/>
        </w:rPr>
      </w:pPr>
      <w:bookmarkStart w:id="144" w:name="_Toc301187687"/>
      <w:r>
        <w:rPr>
          <w:rFonts w:hint="eastAsia" w:ascii="宋体" w:hAnsi="宋体" w:cs="宋体"/>
          <w:sz w:val="24"/>
        </w:rPr>
        <w:t>5.2.3   不予接收的投标文件情形</w:t>
      </w:r>
    </w:p>
    <w:p>
      <w:pPr>
        <w:spacing w:line="360" w:lineRule="auto"/>
        <w:ind w:left="840" w:leftChars="400" w:firstLine="120" w:firstLineChars="50"/>
        <w:rPr>
          <w:rFonts w:ascii="宋体" w:hAnsi="宋体" w:cs="宋体"/>
          <w:sz w:val="24"/>
        </w:rPr>
      </w:pPr>
      <w:r>
        <w:rPr>
          <w:rFonts w:hint="eastAsia" w:ascii="宋体" w:hAnsi="宋体" w:cs="宋体"/>
          <w:bCs/>
          <w:sz w:val="24"/>
          <w:szCs w:val="24"/>
        </w:rPr>
        <w:t>▲</w:t>
      </w:r>
      <w:r>
        <w:rPr>
          <w:rFonts w:hint="eastAsia" w:ascii="宋体" w:hAnsi="宋体" w:cs="宋体"/>
          <w:sz w:val="24"/>
        </w:rPr>
        <w:fldChar w:fldCharType="begin"/>
      </w:r>
      <w:r>
        <w:rPr>
          <w:rFonts w:hint="eastAsia" w:ascii="宋体" w:hAnsi="宋体" w:cs="宋体"/>
          <w:sz w:val="24"/>
        </w:rPr>
        <w:instrText xml:space="preserve"> = 1 \* GB2 </w:instrText>
      </w:r>
      <w:r>
        <w:rPr>
          <w:rFonts w:hint="eastAsia" w:ascii="宋体" w:hAnsi="宋体" w:cs="宋体"/>
          <w:sz w:val="24"/>
        </w:rPr>
        <w:fldChar w:fldCharType="separate"/>
      </w:r>
      <w:r>
        <w:rPr>
          <w:rFonts w:hint="eastAsia" w:ascii="宋体" w:hAnsi="宋体" w:cs="宋体"/>
          <w:sz w:val="24"/>
        </w:rPr>
        <w:t>⑴</w:t>
      </w:r>
      <w:r>
        <w:rPr>
          <w:rFonts w:hint="eastAsia" w:ascii="宋体" w:hAnsi="宋体" w:cs="宋体"/>
          <w:sz w:val="24"/>
        </w:rPr>
        <w:fldChar w:fldCharType="end"/>
      </w:r>
      <w:bookmarkEnd w:id="144"/>
      <w:r>
        <w:rPr>
          <w:rFonts w:hint="eastAsia" w:ascii="宋体" w:hAnsi="宋体" w:cs="宋体"/>
          <w:sz w:val="24"/>
        </w:rPr>
        <w:t>投标截止时间前未完成传输的投标文件；</w:t>
      </w:r>
    </w:p>
    <w:p>
      <w:pPr>
        <w:spacing w:line="360" w:lineRule="auto"/>
        <w:ind w:left="840" w:leftChars="400" w:firstLine="120" w:firstLineChars="50"/>
        <w:rPr>
          <w:rFonts w:ascii="宋体" w:hAnsi="宋体" w:cs="宋体"/>
          <w:sz w:val="24"/>
        </w:rPr>
      </w:pPr>
      <w:r>
        <w:rPr>
          <w:rFonts w:hint="eastAsia" w:ascii="宋体" w:hAnsi="宋体" w:cs="宋体"/>
          <w:bCs/>
          <w:sz w:val="24"/>
          <w:szCs w:val="24"/>
        </w:rPr>
        <w:t>▲</w:t>
      </w:r>
      <w:r>
        <w:rPr>
          <w:rFonts w:hint="eastAsia" w:ascii="宋体" w:hAnsi="宋体" w:cs="宋体"/>
          <w:sz w:val="24"/>
        </w:rPr>
        <w:t>⑵未生成加密的投标文件；</w:t>
      </w:r>
    </w:p>
    <w:p>
      <w:pPr>
        <w:spacing w:line="360" w:lineRule="auto"/>
        <w:ind w:left="960" w:hanging="960" w:hangingChars="400"/>
        <w:rPr>
          <w:rFonts w:ascii="宋体" w:hAnsi="宋体" w:cs="宋体"/>
          <w:sz w:val="24"/>
        </w:rPr>
      </w:pPr>
      <w:r>
        <w:rPr>
          <w:rFonts w:hint="eastAsia" w:ascii="宋体" w:hAnsi="宋体" w:cs="宋体"/>
          <w:sz w:val="24"/>
        </w:rPr>
        <w:t>5.2.4   供应商所提交的投标文件不予退还。</w:t>
      </w:r>
    </w:p>
    <w:p>
      <w:pPr>
        <w:pStyle w:val="234"/>
        <w:rPr>
          <w:rFonts w:ascii="宋体" w:eastAsia="宋体"/>
        </w:rPr>
      </w:pPr>
      <w:bookmarkStart w:id="145" w:name="_Toc531359014"/>
      <w:bookmarkStart w:id="146" w:name="_Toc34895559"/>
      <w:bookmarkStart w:id="147" w:name="_Toc530551859"/>
      <w:r>
        <w:rPr>
          <w:rFonts w:hint="eastAsia" w:ascii="宋体" w:eastAsia="宋体"/>
        </w:rPr>
        <w:t>5.3     投标文件修改和撤回</w:t>
      </w:r>
      <w:bookmarkEnd w:id="145"/>
      <w:bookmarkEnd w:id="146"/>
      <w:bookmarkEnd w:id="147"/>
    </w:p>
    <w:p>
      <w:pPr>
        <w:spacing w:line="360" w:lineRule="auto"/>
        <w:ind w:left="960" w:hanging="960" w:hangingChars="400"/>
        <w:rPr>
          <w:rFonts w:ascii="宋体" w:hAnsi="宋体" w:cs="宋体"/>
          <w:sz w:val="24"/>
        </w:rPr>
      </w:pPr>
      <w:r>
        <w:rPr>
          <w:rFonts w:hint="eastAsia" w:ascii="宋体" w:hAnsi="宋体" w:cs="宋体"/>
          <w:sz w:val="24"/>
        </w:rPr>
        <w:t>5.3.1   在投标截止时间前，供应商可对已提交的</w:t>
      </w:r>
      <w:r>
        <w:rPr>
          <w:rFonts w:hint="eastAsia" w:ascii="宋体" w:hAnsi="宋体" w:cs="宋体"/>
          <w:kern w:val="0"/>
          <w:sz w:val="24"/>
        </w:rPr>
        <w:t>投标文件</w:t>
      </w:r>
      <w:r>
        <w:rPr>
          <w:rFonts w:hint="eastAsia" w:ascii="宋体" w:hAnsi="宋体" w:cs="宋体"/>
          <w:sz w:val="24"/>
        </w:rPr>
        <w:t>进行补充、修改或撤回。补充、修改投标文件的，应当先行撤回原文件，补充、修改后重新生成加密的投标文件并重新上传提交；</w:t>
      </w:r>
    </w:p>
    <w:p>
      <w:pPr>
        <w:spacing w:line="360" w:lineRule="auto"/>
        <w:ind w:left="960" w:hanging="960" w:hangingChars="400"/>
        <w:rPr>
          <w:rFonts w:ascii="宋体" w:hAnsi="宋体" w:cs="宋体"/>
          <w:sz w:val="24"/>
        </w:rPr>
      </w:pPr>
      <w:r>
        <w:rPr>
          <w:rFonts w:hint="eastAsia" w:ascii="宋体" w:hAnsi="宋体" w:cs="宋体"/>
          <w:sz w:val="24"/>
        </w:rPr>
        <w:t>5.3.2   补充、修改后重新提交的投标文件应按招标文件的规定编制、加密、导入和提交；</w:t>
      </w:r>
    </w:p>
    <w:p>
      <w:pPr>
        <w:spacing w:line="360" w:lineRule="auto"/>
        <w:ind w:left="960" w:hanging="960" w:hangingChars="400"/>
        <w:rPr>
          <w:rFonts w:ascii="宋体" w:hAnsi="宋体" w:cs="宋体"/>
          <w:sz w:val="24"/>
        </w:rPr>
      </w:pPr>
      <w:r>
        <w:rPr>
          <w:rFonts w:hint="eastAsia" w:ascii="宋体" w:hAnsi="宋体" w:cs="宋体"/>
          <w:sz w:val="24"/>
        </w:rPr>
        <w:t>5.3.3   在投标截止时间后，供应商不得修改、撤回已提交的投标文件。</w:t>
      </w:r>
    </w:p>
    <w:p>
      <w:pPr>
        <w:pStyle w:val="234"/>
        <w:rPr>
          <w:rFonts w:ascii="宋体" w:eastAsia="宋体"/>
        </w:rPr>
      </w:pPr>
      <w:bookmarkStart w:id="148" w:name="_Toc34895560"/>
      <w:bookmarkStart w:id="149" w:name="_Toc531359015"/>
      <w:r>
        <w:rPr>
          <w:rFonts w:hint="eastAsia" w:ascii="宋体" w:eastAsia="宋体"/>
        </w:rPr>
        <w:t>5.4     备选投标方案</w:t>
      </w:r>
      <w:bookmarkEnd w:id="148"/>
      <w:bookmarkEnd w:id="149"/>
    </w:p>
    <w:p>
      <w:pPr>
        <w:spacing w:line="360" w:lineRule="auto"/>
        <w:ind w:left="960" w:hanging="960" w:hangingChars="400"/>
        <w:rPr>
          <w:rFonts w:ascii="宋体" w:hAnsi="宋体" w:cs="宋体"/>
          <w:sz w:val="24"/>
        </w:rPr>
      </w:pPr>
      <w:r>
        <w:rPr>
          <w:rFonts w:hint="eastAsia" w:ascii="宋体" w:hAnsi="宋体" w:cs="宋体"/>
          <w:sz w:val="24"/>
        </w:rPr>
        <w:t xml:space="preserve">        本项目不接受备选投标方案。与“电子投标文件”同时生成的“备份投标文件”不是投标备选（替代）投标方案。</w:t>
      </w:r>
    </w:p>
    <w:p>
      <w:pPr>
        <w:pStyle w:val="234"/>
        <w:rPr>
          <w:rFonts w:ascii="宋体" w:eastAsia="宋体"/>
        </w:rPr>
      </w:pPr>
      <w:bookmarkStart w:id="150" w:name="_Toc14170771"/>
      <w:bookmarkStart w:id="151" w:name="_Toc28354563"/>
      <w:bookmarkStart w:id="152" w:name="_Toc34895561"/>
      <w:r>
        <w:rPr>
          <w:rFonts w:hint="eastAsia" w:ascii="宋体" w:eastAsia="宋体"/>
        </w:rPr>
        <w:t>5.5     投标诚实信用</w:t>
      </w:r>
      <w:bookmarkEnd w:id="150"/>
      <w:bookmarkEnd w:id="151"/>
      <w:bookmarkEnd w:id="152"/>
    </w:p>
    <w:p>
      <w:pPr>
        <w:spacing w:line="360" w:lineRule="auto"/>
        <w:ind w:left="960" w:hanging="960" w:hangingChars="400"/>
        <w:rPr>
          <w:rFonts w:ascii="宋体" w:hAnsi="宋体" w:cs="宋体"/>
          <w:sz w:val="24"/>
        </w:rPr>
      </w:pPr>
      <w:bookmarkStart w:id="153" w:name="_Toc301187651"/>
      <w:r>
        <w:rPr>
          <w:rFonts w:hint="eastAsia" w:ascii="宋体" w:hAnsi="宋体" w:cs="宋体"/>
          <w:sz w:val="24"/>
        </w:rPr>
        <w:t>5.5.1   供应商应当遵守诚实信用原则。</w:t>
      </w:r>
    </w:p>
    <w:p>
      <w:pPr>
        <w:spacing w:line="360" w:lineRule="auto"/>
        <w:ind w:left="960" w:hanging="960" w:hangingChars="400"/>
        <w:rPr>
          <w:rFonts w:ascii="宋体" w:hAnsi="宋体" w:cs="宋体"/>
          <w:sz w:val="24"/>
        </w:rPr>
      </w:pPr>
      <w:r>
        <w:rPr>
          <w:rFonts w:hint="eastAsia" w:ascii="宋体" w:hAnsi="宋体" w:cs="宋体"/>
          <w:sz w:val="24"/>
        </w:rPr>
        <w:t>5.5.2   供应商有下列情形之一的，将会报告财政部门并按照相关规定处理：</w:t>
      </w:r>
      <w:bookmarkEnd w:id="153"/>
    </w:p>
    <w:p>
      <w:pPr>
        <w:spacing w:line="360" w:lineRule="auto"/>
        <w:ind w:left="840" w:leftChars="400" w:firstLine="120" w:firstLineChars="50"/>
        <w:rPr>
          <w:rFonts w:ascii="宋体" w:hAnsi="宋体" w:cs="宋体"/>
          <w:sz w:val="24"/>
        </w:rPr>
      </w:pPr>
      <w:bookmarkStart w:id="154" w:name="_Toc301187652"/>
      <w:r>
        <w:rPr>
          <w:rFonts w:hint="eastAsia" w:ascii="宋体" w:hAnsi="宋体" w:cs="宋体"/>
          <w:sz w:val="24"/>
        </w:rPr>
        <w:fldChar w:fldCharType="begin"/>
      </w:r>
      <w:r>
        <w:rPr>
          <w:rFonts w:hint="eastAsia" w:ascii="宋体" w:hAnsi="宋体" w:cs="宋体"/>
          <w:sz w:val="24"/>
        </w:rPr>
        <w:instrText xml:space="preserve"> = 1 \* GB2 </w:instrText>
      </w:r>
      <w:r>
        <w:rPr>
          <w:rFonts w:hint="eastAsia" w:ascii="宋体" w:hAnsi="宋体" w:cs="宋体"/>
          <w:sz w:val="24"/>
        </w:rPr>
        <w:fldChar w:fldCharType="separate"/>
      </w:r>
      <w:r>
        <w:rPr>
          <w:rFonts w:hint="eastAsia" w:ascii="宋体" w:hAnsi="宋体" w:cs="宋体"/>
          <w:sz w:val="24"/>
        </w:rPr>
        <w:t>⑴</w:t>
      </w:r>
      <w:r>
        <w:rPr>
          <w:rFonts w:hint="eastAsia" w:ascii="宋体" w:hAnsi="宋体" w:cs="宋体"/>
          <w:sz w:val="24"/>
        </w:rPr>
        <w:fldChar w:fldCharType="end"/>
      </w:r>
      <w:r>
        <w:rPr>
          <w:rFonts w:hint="eastAsia" w:ascii="宋体" w:hAnsi="宋体" w:cs="宋体"/>
          <w:sz w:val="24"/>
        </w:rPr>
        <w:t>供应商在投标有效期内撤销投标文件的；</w:t>
      </w:r>
      <w:bookmarkEnd w:id="154"/>
      <w:bookmarkStart w:id="155" w:name="_Toc301187653"/>
    </w:p>
    <w:p>
      <w:pPr>
        <w:spacing w:line="360" w:lineRule="auto"/>
        <w:ind w:left="840" w:leftChars="400" w:firstLine="120" w:firstLineChars="5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GB2 </w:instrText>
      </w:r>
      <w:r>
        <w:rPr>
          <w:rFonts w:hint="eastAsia" w:ascii="宋体" w:hAnsi="宋体" w:cs="宋体"/>
          <w:sz w:val="24"/>
        </w:rPr>
        <w:fldChar w:fldCharType="separate"/>
      </w:r>
      <w:r>
        <w:rPr>
          <w:rFonts w:hint="eastAsia" w:ascii="宋体" w:hAnsi="宋体" w:cs="宋体"/>
          <w:sz w:val="24"/>
        </w:rPr>
        <w:t>⑵</w:t>
      </w:r>
      <w:r>
        <w:rPr>
          <w:rFonts w:hint="eastAsia" w:ascii="宋体" w:hAnsi="宋体" w:cs="宋体"/>
          <w:sz w:val="24"/>
        </w:rPr>
        <w:fldChar w:fldCharType="end"/>
      </w:r>
      <w:r>
        <w:rPr>
          <w:rFonts w:hint="eastAsia" w:ascii="宋体" w:hAnsi="宋体" w:cs="宋体"/>
          <w:sz w:val="24"/>
        </w:rPr>
        <w:t>未按规定提交履约保证金的；</w:t>
      </w:r>
      <w:bookmarkEnd w:id="155"/>
      <w:bookmarkStart w:id="156" w:name="_Toc301187654"/>
    </w:p>
    <w:p>
      <w:pPr>
        <w:spacing w:line="360" w:lineRule="auto"/>
        <w:ind w:left="840" w:leftChars="400" w:firstLine="120" w:firstLineChars="5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GB2 </w:instrText>
      </w:r>
      <w:r>
        <w:rPr>
          <w:rFonts w:hint="eastAsia" w:ascii="宋体" w:hAnsi="宋体" w:cs="宋体"/>
          <w:sz w:val="24"/>
        </w:rPr>
        <w:fldChar w:fldCharType="separate"/>
      </w:r>
      <w:r>
        <w:rPr>
          <w:rFonts w:hint="eastAsia" w:ascii="宋体" w:hAnsi="宋体" w:cs="宋体"/>
          <w:sz w:val="24"/>
        </w:rPr>
        <w:t>⑶</w:t>
      </w:r>
      <w:r>
        <w:rPr>
          <w:rFonts w:hint="eastAsia" w:ascii="宋体" w:hAnsi="宋体" w:cs="宋体"/>
          <w:sz w:val="24"/>
        </w:rPr>
        <w:fldChar w:fldCharType="end"/>
      </w:r>
      <w:r>
        <w:rPr>
          <w:rFonts w:hint="eastAsia" w:ascii="宋体" w:hAnsi="宋体" w:cs="宋体"/>
          <w:sz w:val="24"/>
        </w:rPr>
        <w:t>供应商在投标过程中弄虚作假，提供虚假材料的；</w:t>
      </w:r>
      <w:bookmarkEnd w:id="156"/>
      <w:bookmarkStart w:id="157" w:name="_Toc301187655"/>
    </w:p>
    <w:p>
      <w:pPr>
        <w:spacing w:line="360" w:lineRule="auto"/>
        <w:ind w:left="840" w:leftChars="400" w:firstLine="120" w:firstLineChars="5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GB2 </w:instrText>
      </w:r>
      <w:r>
        <w:rPr>
          <w:rFonts w:hint="eastAsia" w:ascii="宋体" w:hAnsi="宋体" w:cs="宋体"/>
          <w:sz w:val="24"/>
        </w:rPr>
        <w:fldChar w:fldCharType="separate"/>
      </w:r>
      <w:r>
        <w:rPr>
          <w:rFonts w:hint="eastAsia" w:ascii="宋体" w:hAnsi="宋体" w:cs="宋体"/>
          <w:sz w:val="24"/>
        </w:rPr>
        <w:t>⑷</w:t>
      </w:r>
      <w:r>
        <w:rPr>
          <w:rFonts w:hint="eastAsia" w:ascii="宋体" w:hAnsi="宋体" w:cs="宋体"/>
          <w:sz w:val="24"/>
        </w:rPr>
        <w:fldChar w:fldCharType="end"/>
      </w:r>
      <w:r>
        <w:rPr>
          <w:rFonts w:hint="eastAsia" w:ascii="宋体" w:hAnsi="宋体" w:cs="宋体"/>
          <w:sz w:val="24"/>
        </w:rPr>
        <w:t>中标人无正当理由不与采购人签订合同的；</w:t>
      </w:r>
      <w:bookmarkEnd w:id="157"/>
    </w:p>
    <w:p>
      <w:pPr>
        <w:spacing w:line="360" w:lineRule="auto"/>
        <w:ind w:left="840" w:leftChars="400" w:firstLine="120" w:firstLineChars="5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GB2 </w:instrText>
      </w:r>
      <w:r>
        <w:rPr>
          <w:rFonts w:hint="eastAsia" w:ascii="宋体" w:hAnsi="宋体" w:cs="宋体"/>
          <w:sz w:val="24"/>
        </w:rPr>
        <w:fldChar w:fldCharType="separate"/>
      </w:r>
      <w:r>
        <w:rPr>
          <w:rFonts w:hint="eastAsia" w:ascii="宋体" w:hAnsi="宋体" w:cs="宋体"/>
          <w:sz w:val="24"/>
        </w:rPr>
        <w:t>⑸</w:t>
      </w:r>
      <w:r>
        <w:rPr>
          <w:rFonts w:hint="eastAsia" w:ascii="宋体" w:hAnsi="宋体" w:cs="宋体"/>
          <w:sz w:val="24"/>
        </w:rPr>
        <w:fldChar w:fldCharType="end"/>
      </w:r>
      <w:r>
        <w:rPr>
          <w:rFonts w:hint="eastAsia" w:ascii="宋体" w:hAnsi="宋体" w:cs="宋体"/>
          <w:sz w:val="24"/>
        </w:rPr>
        <w:t>供应商有串通投标行为的；</w:t>
      </w:r>
    </w:p>
    <w:p>
      <w:pPr>
        <w:spacing w:line="360" w:lineRule="auto"/>
        <w:ind w:left="840" w:leftChars="400" w:firstLine="120" w:firstLineChars="5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6 \* GB2 </w:instrText>
      </w:r>
      <w:r>
        <w:rPr>
          <w:rFonts w:hint="eastAsia" w:ascii="宋体" w:hAnsi="宋体" w:cs="宋体"/>
          <w:sz w:val="24"/>
        </w:rPr>
        <w:fldChar w:fldCharType="separate"/>
      </w:r>
      <w:r>
        <w:rPr>
          <w:rFonts w:hint="eastAsia" w:ascii="宋体" w:hAnsi="宋体" w:cs="宋体"/>
          <w:sz w:val="24"/>
        </w:rPr>
        <w:t>⑹</w:t>
      </w:r>
      <w:r>
        <w:rPr>
          <w:rFonts w:hint="eastAsia" w:ascii="宋体" w:hAnsi="宋体" w:cs="宋体"/>
          <w:sz w:val="24"/>
        </w:rPr>
        <w:fldChar w:fldCharType="end"/>
      </w:r>
      <w:r>
        <w:rPr>
          <w:rFonts w:hint="eastAsia" w:ascii="宋体" w:hAnsi="宋体" w:cs="宋体"/>
          <w:sz w:val="24"/>
        </w:rPr>
        <w:t>严重扰乱采购程序的；</w:t>
      </w:r>
      <w:bookmarkStart w:id="158" w:name="_Toc301187658"/>
    </w:p>
    <w:p>
      <w:pPr>
        <w:spacing w:line="360" w:lineRule="auto"/>
        <w:ind w:left="840" w:leftChars="400" w:firstLine="120" w:firstLineChars="5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7 \* GB2 </w:instrText>
      </w:r>
      <w:r>
        <w:rPr>
          <w:rFonts w:hint="eastAsia" w:ascii="宋体" w:hAnsi="宋体" w:cs="宋体"/>
          <w:sz w:val="24"/>
        </w:rPr>
        <w:fldChar w:fldCharType="separate"/>
      </w:r>
      <w:r>
        <w:rPr>
          <w:rFonts w:hint="eastAsia" w:ascii="宋体" w:hAnsi="宋体" w:cs="宋体"/>
          <w:sz w:val="24"/>
        </w:rPr>
        <w:t>⑺</w:t>
      </w:r>
      <w:r>
        <w:rPr>
          <w:rFonts w:hint="eastAsia" w:ascii="宋体" w:hAnsi="宋体" w:cs="宋体"/>
          <w:sz w:val="24"/>
        </w:rPr>
        <w:fldChar w:fldCharType="end"/>
      </w:r>
      <w:r>
        <w:rPr>
          <w:rFonts w:hint="eastAsia" w:ascii="宋体" w:hAnsi="宋体" w:cs="宋体"/>
          <w:sz w:val="24"/>
        </w:rPr>
        <w:t>违反其他法律法规规定的情形。</w:t>
      </w:r>
      <w:bookmarkEnd w:id="158"/>
    </w:p>
    <w:p>
      <w:pPr>
        <w:spacing w:line="360" w:lineRule="auto"/>
        <w:ind w:left="972" w:hanging="972" w:hangingChars="405"/>
        <w:rPr>
          <w:rFonts w:ascii="宋体" w:hAnsi="宋体" w:cs="宋体"/>
          <w:sz w:val="24"/>
        </w:rPr>
      </w:pPr>
      <w:r>
        <w:rPr>
          <w:rFonts w:hint="eastAsia" w:ascii="宋体" w:hAnsi="宋体" w:cs="宋体"/>
          <w:sz w:val="24"/>
        </w:rPr>
        <w:t>5.5.3   因供应商有第5.5.2条情形之一造成采购人和采购代理机构损失的，采购人和采购代理机构有权追究供应商赔偿责任。</w:t>
      </w:r>
    </w:p>
    <w:p>
      <w:pPr>
        <w:pStyle w:val="44"/>
        <w:spacing w:beforeLines="100" w:after="240" w:afterLines="100"/>
        <w:jc w:val="left"/>
        <w:outlineLvl w:val="1"/>
        <w:rPr>
          <w:rFonts w:ascii="宋体" w:hAnsi="宋体" w:cs="宋体"/>
          <w:sz w:val="30"/>
          <w:szCs w:val="30"/>
        </w:rPr>
      </w:pPr>
      <w:bookmarkStart w:id="159" w:name="_Toc531359017"/>
      <w:bookmarkStart w:id="160" w:name="_Toc34895562"/>
      <w:bookmarkStart w:id="161" w:name="_Toc530551861"/>
      <w:r>
        <w:rPr>
          <w:rFonts w:hint="eastAsia" w:ascii="宋体" w:hAnsi="宋体" w:cs="宋体"/>
          <w:sz w:val="30"/>
          <w:szCs w:val="30"/>
        </w:rPr>
        <w:t>六    开标、资格审查、评标</w:t>
      </w:r>
      <w:bookmarkEnd w:id="159"/>
      <w:bookmarkEnd w:id="160"/>
      <w:bookmarkEnd w:id="161"/>
    </w:p>
    <w:p>
      <w:pPr>
        <w:spacing w:line="360" w:lineRule="auto"/>
        <w:ind w:left="945" w:leftChars="450"/>
        <w:rPr>
          <w:rFonts w:ascii="宋体" w:hAnsi="宋体" w:cs="宋体"/>
          <w:b/>
          <w:sz w:val="24"/>
        </w:rPr>
      </w:pPr>
      <w:r>
        <w:rPr>
          <w:rFonts w:hint="eastAsia" w:ascii="宋体" w:hAnsi="宋体" w:cs="宋体"/>
          <w:b/>
          <w:sz w:val="24"/>
        </w:rPr>
        <w:t>本项目通过乐采云平台进行开标、资格审查、评审、询标，供应商应当准时在线参加，否则产生的风险由供应商自行承担（供应商务必不要离开电脑太久，并留意手机短信，建议供应商提前做好检查“乐采云平台”内，关于“项目采购”的岗位权限是否勾选。。</w:t>
      </w:r>
    </w:p>
    <w:p>
      <w:pPr>
        <w:pStyle w:val="234"/>
        <w:rPr>
          <w:rFonts w:ascii="宋体" w:eastAsia="宋体"/>
        </w:rPr>
      </w:pPr>
      <w:bookmarkStart w:id="162" w:name="_Toc531359018"/>
      <w:bookmarkStart w:id="163" w:name="_Toc530551862"/>
      <w:bookmarkStart w:id="164" w:name="_Toc34895563"/>
      <w:r>
        <w:rPr>
          <w:rFonts w:hint="eastAsia" w:ascii="宋体" w:eastAsia="宋体"/>
        </w:rPr>
        <w:t>6.1     开标</w:t>
      </w:r>
      <w:bookmarkEnd w:id="162"/>
      <w:bookmarkEnd w:id="163"/>
      <w:bookmarkEnd w:id="164"/>
    </w:p>
    <w:p>
      <w:pPr>
        <w:spacing w:line="360" w:lineRule="auto"/>
        <w:ind w:left="960" w:hanging="960" w:hangingChars="400"/>
        <w:rPr>
          <w:rFonts w:ascii="宋体" w:hAnsi="宋体" w:cs="宋体"/>
          <w:sz w:val="24"/>
        </w:rPr>
      </w:pPr>
      <w:r>
        <w:rPr>
          <w:rFonts w:hint="eastAsia" w:ascii="宋体" w:hAnsi="宋体" w:cs="宋体"/>
          <w:sz w:val="24"/>
        </w:rPr>
        <w:t>6.1.1   开标时间和地点：见供应商须知前附表（一）</w:t>
      </w:r>
    </w:p>
    <w:p>
      <w:pPr>
        <w:spacing w:line="360" w:lineRule="auto"/>
        <w:ind w:left="960" w:hanging="960" w:hangingChars="400"/>
        <w:rPr>
          <w:rFonts w:ascii="宋体" w:hAnsi="宋体" w:cs="宋体"/>
          <w:sz w:val="24"/>
        </w:rPr>
      </w:pPr>
      <w:r>
        <w:rPr>
          <w:rFonts w:hint="eastAsia" w:ascii="宋体" w:hAnsi="宋体" w:cs="宋体"/>
          <w:sz w:val="24"/>
        </w:rPr>
        <w:t>6.1.2   供应商的供应商代表应当在线参加，否则视同认可开标结果，事后不得对采购相关人员、开标过程和开标结果提出质疑；</w:t>
      </w:r>
    </w:p>
    <w:p>
      <w:pPr>
        <w:spacing w:line="360" w:lineRule="auto"/>
        <w:ind w:left="960" w:hanging="960" w:hangingChars="400"/>
        <w:rPr>
          <w:rFonts w:ascii="宋体" w:hAnsi="宋体" w:cs="宋体"/>
          <w:sz w:val="24"/>
        </w:rPr>
      </w:pPr>
      <w:r>
        <w:rPr>
          <w:rFonts w:hint="eastAsia" w:ascii="宋体" w:hAnsi="宋体" w:cs="宋体"/>
          <w:sz w:val="24"/>
        </w:rPr>
        <w:t>6.1.3   开标程序</w:t>
      </w:r>
    </w:p>
    <w:p>
      <w:pPr>
        <w:spacing w:line="360" w:lineRule="auto"/>
        <w:ind w:left="1200" w:hanging="1200" w:hangingChars="500"/>
        <w:rPr>
          <w:rFonts w:ascii="宋体" w:hAnsi="宋体" w:cs="宋体"/>
          <w:sz w:val="24"/>
        </w:rPr>
      </w:pPr>
      <w:r>
        <w:rPr>
          <w:rFonts w:hint="eastAsia" w:ascii="宋体" w:hAnsi="宋体" w:cs="宋体"/>
          <w:sz w:val="24"/>
        </w:rPr>
        <w:t xml:space="preserve">        </w:t>
      </w:r>
      <w:r>
        <w:rPr>
          <w:rFonts w:hint="eastAsia" w:ascii="宋体" w:hAnsi="宋体" w:cs="宋体"/>
          <w:sz w:val="24"/>
        </w:rPr>
        <w:fldChar w:fldCharType="begin"/>
      </w:r>
      <w:r>
        <w:rPr>
          <w:rFonts w:hint="eastAsia" w:ascii="宋体" w:hAnsi="宋体" w:cs="宋体"/>
          <w:sz w:val="24"/>
        </w:rPr>
        <w:instrText xml:space="preserve"> = 1 \* GB2 </w:instrText>
      </w:r>
      <w:r>
        <w:rPr>
          <w:rFonts w:hint="eastAsia" w:ascii="宋体" w:hAnsi="宋体" w:cs="宋体"/>
          <w:sz w:val="24"/>
        </w:rPr>
        <w:fldChar w:fldCharType="separate"/>
      </w:r>
      <w:r>
        <w:rPr>
          <w:rFonts w:hint="eastAsia" w:ascii="宋体" w:hAnsi="宋体" w:cs="宋体"/>
          <w:sz w:val="24"/>
        </w:rPr>
        <w:t>⑴</w:t>
      </w:r>
      <w:r>
        <w:rPr>
          <w:rFonts w:hint="eastAsia" w:ascii="宋体" w:hAnsi="宋体" w:cs="宋体"/>
          <w:sz w:val="24"/>
        </w:rPr>
        <w:fldChar w:fldCharType="end"/>
      </w:r>
      <w:r>
        <w:rPr>
          <w:rFonts w:hint="eastAsia" w:ascii="宋体" w:hAnsi="宋体" w:cs="宋体"/>
          <w:sz w:val="24"/>
        </w:rPr>
        <w:t xml:space="preserve">主持人宣布项目开标会开始，介绍参加本次开标会的相关人员； </w:t>
      </w:r>
    </w:p>
    <w:p>
      <w:pPr>
        <w:spacing w:line="360" w:lineRule="auto"/>
        <w:ind w:left="1200" w:hanging="1200" w:hangingChars="500"/>
        <w:rPr>
          <w:rFonts w:ascii="宋体" w:hAnsi="宋体" w:cs="宋体"/>
          <w:sz w:val="24"/>
        </w:rPr>
      </w:pPr>
      <w:r>
        <w:rPr>
          <w:rFonts w:hint="eastAsia" w:ascii="宋体" w:hAnsi="宋体" w:cs="宋体"/>
          <w:sz w:val="24"/>
        </w:rPr>
        <w:t xml:space="preserve">        </w:t>
      </w:r>
      <w:r>
        <w:rPr>
          <w:rFonts w:hint="eastAsia" w:ascii="宋体" w:hAnsi="宋体" w:cs="宋体"/>
          <w:sz w:val="24"/>
        </w:rPr>
        <w:fldChar w:fldCharType="begin"/>
      </w:r>
      <w:r>
        <w:rPr>
          <w:rFonts w:hint="eastAsia" w:ascii="宋体" w:hAnsi="宋体" w:cs="宋体"/>
          <w:sz w:val="24"/>
        </w:rPr>
        <w:instrText xml:space="preserve"> = 2 \* GB2 </w:instrText>
      </w:r>
      <w:r>
        <w:rPr>
          <w:rFonts w:hint="eastAsia" w:ascii="宋体" w:hAnsi="宋体" w:cs="宋体"/>
          <w:sz w:val="24"/>
        </w:rPr>
        <w:fldChar w:fldCharType="separate"/>
      </w:r>
      <w:r>
        <w:rPr>
          <w:rFonts w:hint="eastAsia" w:ascii="宋体" w:hAnsi="宋体" w:cs="宋体"/>
          <w:sz w:val="24"/>
        </w:rPr>
        <w:t>⑵</w:t>
      </w:r>
      <w:r>
        <w:rPr>
          <w:rFonts w:hint="eastAsia" w:ascii="宋体" w:hAnsi="宋体" w:cs="宋体"/>
          <w:sz w:val="24"/>
        </w:rPr>
        <w:fldChar w:fldCharType="end"/>
      </w:r>
      <w:r>
        <w:rPr>
          <w:rFonts w:hint="eastAsia" w:ascii="宋体" w:hAnsi="宋体" w:cs="宋体"/>
          <w:sz w:val="24"/>
        </w:rPr>
        <w:t>介绍招标项目招标情况，包括采购方式，发布媒体，提交投标文件的供应商家数、供应商名称；</w:t>
      </w:r>
    </w:p>
    <w:p>
      <w:pPr>
        <w:spacing w:line="360" w:lineRule="auto"/>
        <w:ind w:left="1198" w:leftChars="456" w:hanging="240" w:hangingChars="1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GB2 </w:instrText>
      </w:r>
      <w:r>
        <w:rPr>
          <w:rFonts w:hint="eastAsia" w:ascii="宋体" w:hAnsi="宋体" w:cs="宋体"/>
          <w:sz w:val="24"/>
        </w:rPr>
        <w:fldChar w:fldCharType="separate"/>
      </w:r>
      <w:r>
        <w:rPr>
          <w:rFonts w:hint="eastAsia" w:ascii="宋体" w:hAnsi="宋体" w:cs="宋体"/>
          <w:sz w:val="24"/>
        </w:rPr>
        <w:t>⑶</w:t>
      </w:r>
      <w:r>
        <w:rPr>
          <w:rFonts w:hint="eastAsia" w:ascii="宋体" w:hAnsi="宋体" w:cs="宋体"/>
          <w:sz w:val="24"/>
        </w:rPr>
        <w:fldChar w:fldCharType="end"/>
      </w:r>
      <w:r>
        <w:rPr>
          <w:rFonts w:hint="eastAsia" w:ascii="宋体" w:hAnsi="宋体" w:cs="宋体"/>
          <w:sz w:val="24"/>
        </w:rPr>
        <w:t>宣布开标纪律；</w:t>
      </w:r>
    </w:p>
    <w:p>
      <w:pPr>
        <w:spacing w:line="360" w:lineRule="auto"/>
        <w:ind w:left="1198" w:leftChars="399" w:hanging="360" w:hangingChars="150"/>
        <w:rPr>
          <w:rFonts w:ascii="宋体" w:hAnsi="宋体" w:cs="宋体"/>
          <w:sz w:val="24"/>
        </w:rPr>
      </w:pPr>
      <w:r>
        <w:rPr>
          <w:rFonts w:hint="eastAsia" w:ascii="宋体" w:hAnsi="宋体" w:cs="宋体"/>
          <w:sz w:val="24"/>
        </w:rPr>
        <w:t>（4）供应商填写并通过在线询标澄清方式递交《采购活动现场确认声明书》（见招标文件附件），递交时间为询标函发出后30分钟内，否则视为供应商放弃相关权利；</w:t>
      </w:r>
    </w:p>
    <w:p>
      <w:pPr>
        <w:spacing w:line="360" w:lineRule="auto"/>
        <w:ind w:left="1198" w:leftChars="399" w:hanging="360" w:hangingChars="150"/>
        <w:rPr>
          <w:rFonts w:ascii="宋体" w:hAnsi="宋体" w:cs="宋体"/>
          <w:sz w:val="24"/>
        </w:rPr>
      </w:pPr>
      <w:r>
        <w:rPr>
          <w:rFonts w:hint="eastAsia" w:ascii="宋体" w:hAnsi="宋体" w:cs="宋体"/>
          <w:sz w:val="24"/>
        </w:rPr>
        <w:t>（5）供应商进行在线解密（解密时间为投标截止时间后30分钟内）；解密未成功的，供应商应当在解密时间内向采购代理机构通过电子邮箱（935110941@qq.com）提供备份投标文件压缩解密密码；否则视为放弃投标；</w:t>
      </w:r>
    </w:p>
    <w:p>
      <w:pPr>
        <w:spacing w:line="360" w:lineRule="auto"/>
        <w:ind w:left="1198" w:leftChars="399" w:hanging="360" w:hangingChars="150"/>
        <w:rPr>
          <w:rFonts w:ascii="宋体" w:hAnsi="宋体" w:cs="宋体"/>
          <w:sz w:val="24"/>
        </w:rPr>
      </w:pPr>
      <w:r>
        <w:rPr>
          <w:rFonts w:hint="eastAsia" w:ascii="宋体" w:hAnsi="宋体" w:cs="宋体"/>
          <w:sz w:val="24"/>
        </w:rPr>
        <w:t>（6）采购代理机构做好开标记录，供应商在解密完成后可点击【查看开标记录】查看开标记录；</w:t>
      </w:r>
    </w:p>
    <w:p>
      <w:pPr>
        <w:spacing w:line="360" w:lineRule="auto"/>
        <w:ind w:left="960" w:hanging="960" w:hangingChars="400"/>
        <w:rPr>
          <w:rFonts w:ascii="宋体" w:hAnsi="宋体" w:cs="宋体"/>
          <w:sz w:val="24"/>
        </w:rPr>
      </w:pPr>
      <w:r>
        <w:rPr>
          <w:rFonts w:hint="eastAsia" w:ascii="宋体" w:hAnsi="宋体" w:cs="宋体"/>
          <w:sz w:val="24"/>
        </w:rPr>
        <w:t>6.1.4   供应商代表对开标过程和开标记录有疑义，以及认为采购人、采购代理机构相关工作人员有需要回避的情形，应通过电子邮件、传真等形式向采购代理机构提出询问或回避申请；</w:t>
      </w:r>
    </w:p>
    <w:p>
      <w:pPr>
        <w:spacing w:line="360" w:lineRule="auto"/>
        <w:ind w:left="960" w:hanging="960" w:hangingChars="400"/>
        <w:rPr>
          <w:rFonts w:ascii="宋体" w:hAnsi="宋体" w:cs="宋体"/>
          <w:sz w:val="24"/>
        </w:rPr>
      </w:pPr>
      <w:r>
        <w:rPr>
          <w:rFonts w:hint="eastAsia" w:ascii="宋体" w:hAnsi="宋体" w:cs="宋体"/>
          <w:sz w:val="24"/>
        </w:rPr>
        <w:t xml:space="preserve">6.1.5   </w:t>
      </w:r>
      <w:r>
        <w:rPr>
          <w:rFonts w:hint="eastAsia" w:ascii="宋体" w:hAnsi="宋体" w:cs="宋体"/>
          <w:kern w:val="0"/>
          <w:sz w:val="24"/>
        </w:rPr>
        <w:t>开标会议结束。</w:t>
      </w:r>
      <w:r>
        <w:rPr>
          <w:rFonts w:hint="eastAsia" w:ascii="宋体" w:hAnsi="宋体" w:cs="宋体"/>
          <w:sz w:val="24"/>
        </w:rPr>
        <w:t xml:space="preserve"> </w:t>
      </w:r>
    </w:p>
    <w:p>
      <w:pPr>
        <w:pStyle w:val="234"/>
        <w:rPr>
          <w:rFonts w:ascii="宋体" w:eastAsia="宋体"/>
        </w:rPr>
      </w:pPr>
      <w:bookmarkStart w:id="165" w:name="_Toc530551863"/>
      <w:bookmarkStart w:id="166" w:name="_Toc531359019"/>
      <w:bookmarkStart w:id="167" w:name="_Toc34895564"/>
      <w:r>
        <w:rPr>
          <w:rFonts w:hint="eastAsia" w:ascii="宋体" w:eastAsia="宋体"/>
        </w:rPr>
        <w:t>6.2     资格审查</w:t>
      </w:r>
      <w:bookmarkEnd w:id="165"/>
      <w:bookmarkEnd w:id="166"/>
      <w:bookmarkEnd w:id="167"/>
    </w:p>
    <w:p>
      <w:pPr>
        <w:spacing w:line="360" w:lineRule="auto"/>
        <w:ind w:left="960" w:hanging="960" w:hangingChars="400"/>
        <w:rPr>
          <w:rFonts w:ascii="宋体" w:hAnsi="宋体" w:cs="宋体"/>
          <w:sz w:val="24"/>
        </w:rPr>
      </w:pPr>
      <w:r>
        <w:rPr>
          <w:rFonts w:hint="eastAsia" w:ascii="宋体" w:hAnsi="宋体" w:cs="宋体"/>
          <w:sz w:val="24"/>
        </w:rPr>
        <w:t>6.2.1   资格审查内容：</w:t>
      </w:r>
    </w:p>
    <w:p>
      <w:pPr>
        <w:spacing w:line="360" w:lineRule="auto"/>
        <w:ind w:left="945" w:leftChars="450"/>
        <w:rPr>
          <w:rFonts w:ascii="宋体" w:hAnsi="宋体" w:cs="宋体"/>
          <w:sz w:val="24"/>
        </w:rPr>
      </w:pPr>
      <w:r>
        <w:rPr>
          <w:rFonts w:hint="eastAsia" w:ascii="宋体" w:hAnsi="宋体" w:cs="宋体"/>
          <w:sz w:val="24"/>
        </w:rPr>
        <w:t>采购人或采购代理机构按招标公告内供应商资格要求及本章第3.3条资格审查文件的组成内容进行审查；</w:t>
      </w:r>
    </w:p>
    <w:p>
      <w:pPr>
        <w:spacing w:line="360" w:lineRule="auto"/>
        <w:ind w:left="960" w:hanging="960" w:hangingChars="400"/>
        <w:rPr>
          <w:rFonts w:ascii="宋体" w:hAnsi="宋体" w:cs="宋体"/>
          <w:sz w:val="24"/>
        </w:rPr>
      </w:pPr>
      <w:r>
        <w:rPr>
          <w:rFonts w:hint="eastAsia" w:ascii="宋体" w:hAnsi="宋体" w:cs="宋体"/>
          <w:sz w:val="24"/>
        </w:rPr>
        <w:t>6.2.2   资格审查：全部满足下表要求的供应商为合格供应商，否则资格审查不予以通过；</w:t>
      </w:r>
    </w:p>
    <w:tbl>
      <w:tblPr>
        <w:tblStyle w:val="4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2406"/>
        <w:gridCol w:w="6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8" w:type="pct"/>
            <w:vAlign w:val="center"/>
          </w:tcPr>
          <w:p>
            <w:pPr>
              <w:spacing w:line="360" w:lineRule="auto"/>
              <w:jc w:val="center"/>
              <w:rPr>
                <w:rFonts w:ascii="宋体" w:hAnsi="宋体" w:cs="宋体"/>
                <w:sz w:val="24"/>
                <w:szCs w:val="24"/>
              </w:rPr>
            </w:pPr>
            <w:r>
              <w:rPr>
                <w:rFonts w:hint="eastAsia" w:ascii="宋体" w:hAnsi="宋体" w:cs="宋体"/>
                <w:sz w:val="24"/>
                <w:szCs w:val="24"/>
              </w:rPr>
              <w:t>序号</w:t>
            </w:r>
          </w:p>
        </w:tc>
        <w:tc>
          <w:tcPr>
            <w:tcW w:w="1209" w:type="pct"/>
            <w:vAlign w:val="center"/>
          </w:tcPr>
          <w:p>
            <w:pPr>
              <w:spacing w:line="360" w:lineRule="auto"/>
              <w:jc w:val="center"/>
              <w:rPr>
                <w:rFonts w:ascii="宋体" w:hAnsi="宋体" w:cs="宋体"/>
                <w:sz w:val="24"/>
                <w:szCs w:val="24"/>
              </w:rPr>
            </w:pPr>
            <w:r>
              <w:rPr>
                <w:rFonts w:hint="eastAsia" w:ascii="宋体" w:hAnsi="宋体" w:cs="宋体"/>
                <w:sz w:val="24"/>
                <w:szCs w:val="24"/>
              </w:rPr>
              <w:t>资格审查内容</w:t>
            </w:r>
          </w:p>
        </w:tc>
        <w:tc>
          <w:tcPr>
            <w:tcW w:w="3342" w:type="pct"/>
            <w:vAlign w:val="center"/>
          </w:tcPr>
          <w:p>
            <w:pPr>
              <w:spacing w:line="360" w:lineRule="auto"/>
              <w:jc w:val="center"/>
              <w:rPr>
                <w:rFonts w:ascii="宋体" w:hAnsi="宋体" w:cs="宋体"/>
                <w:sz w:val="24"/>
                <w:szCs w:val="24"/>
              </w:rPr>
            </w:pPr>
            <w:r>
              <w:rPr>
                <w:rFonts w:hint="eastAsia" w:ascii="宋体" w:hAnsi="宋体" w:cs="宋体"/>
                <w:sz w:val="24"/>
                <w:szCs w:val="24"/>
              </w:rPr>
              <w:t>审查因素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8" w:type="pct"/>
            <w:vMerge w:val="restart"/>
            <w:vAlign w:val="center"/>
          </w:tcPr>
          <w:p>
            <w:pPr>
              <w:spacing w:line="360" w:lineRule="auto"/>
              <w:jc w:val="center"/>
              <w:rPr>
                <w:rFonts w:ascii="宋体" w:hAnsi="宋体" w:cs="宋体"/>
                <w:sz w:val="24"/>
                <w:szCs w:val="24"/>
              </w:rPr>
            </w:pPr>
            <w:r>
              <w:rPr>
                <w:rFonts w:hint="eastAsia" w:ascii="宋体" w:hAnsi="宋体" w:cs="宋体"/>
                <w:sz w:val="24"/>
                <w:szCs w:val="24"/>
              </w:rPr>
              <w:t>1</w:t>
            </w:r>
          </w:p>
        </w:tc>
        <w:tc>
          <w:tcPr>
            <w:tcW w:w="1209" w:type="pct"/>
            <w:vAlign w:val="center"/>
          </w:tcPr>
          <w:p>
            <w:pPr>
              <w:spacing w:line="360" w:lineRule="auto"/>
              <w:jc w:val="center"/>
              <w:rPr>
                <w:rFonts w:ascii="宋体" w:hAnsi="宋体" w:cs="宋体"/>
                <w:sz w:val="24"/>
                <w:szCs w:val="24"/>
              </w:rPr>
            </w:pPr>
            <w:r>
              <w:rPr>
                <w:rFonts w:hint="eastAsia" w:ascii="宋体" w:hAnsi="宋体" w:cs="宋体"/>
                <w:sz w:val="24"/>
                <w:szCs w:val="24"/>
              </w:rPr>
              <w:t>营业执照</w:t>
            </w:r>
          </w:p>
        </w:tc>
        <w:tc>
          <w:tcPr>
            <w:tcW w:w="3342" w:type="pct"/>
            <w:vAlign w:val="center"/>
          </w:tcPr>
          <w:p>
            <w:pPr>
              <w:spacing w:line="360" w:lineRule="auto"/>
              <w:ind w:left="-92" w:leftChars="-44" w:firstLine="91" w:firstLineChars="38"/>
              <w:jc w:val="left"/>
              <w:rPr>
                <w:rFonts w:ascii="宋体" w:hAnsi="宋体" w:cs="宋体"/>
                <w:sz w:val="24"/>
                <w:szCs w:val="24"/>
              </w:rPr>
            </w:pPr>
            <w:r>
              <w:rPr>
                <w:rFonts w:hint="eastAsia" w:ascii="宋体" w:hAnsi="宋体" w:cs="宋体"/>
                <w:sz w:val="24"/>
                <w:szCs w:val="24"/>
              </w:rPr>
              <w:t>营业期限在有效期内；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448" w:type="pct"/>
            <w:vMerge w:val="continue"/>
            <w:vAlign w:val="center"/>
          </w:tcPr>
          <w:p>
            <w:pPr>
              <w:spacing w:line="360" w:lineRule="auto"/>
              <w:jc w:val="center"/>
              <w:rPr>
                <w:rFonts w:ascii="宋体" w:hAnsi="宋体" w:cs="宋体"/>
                <w:sz w:val="24"/>
                <w:szCs w:val="24"/>
              </w:rPr>
            </w:pPr>
          </w:p>
        </w:tc>
        <w:tc>
          <w:tcPr>
            <w:tcW w:w="1209" w:type="pct"/>
            <w:vAlign w:val="center"/>
          </w:tcPr>
          <w:p>
            <w:pPr>
              <w:spacing w:line="360" w:lineRule="auto"/>
              <w:jc w:val="center"/>
              <w:rPr>
                <w:rFonts w:ascii="宋体" w:hAnsi="宋体" w:cs="宋体"/>
                <w:sz w:val="24"/>
                <w:szCs w:val="24"/>
              </w:rPr>
            </w:pPr>
            <w:r>
              <w:rPr>
                <w:rFonts w:hint="eastAsia" w:ascii="宋体" w:hAnsi="宋体" w:cs="宋体"/>
                <w:sz w:val="24"/>
                <w:szCs w:val="24"/>
              </w:rPr>
              <w:t>负责人身份</w:t>
            </w:r>
          </w:p>
        </w:tc>
        <w:tc>
          <w:tcPr>
            <w:tcW w:w="3342" w:type="pct"/>
            <w:vAlign w:val="center"/>
          </w:tcPr>
          <w:p>
            <w:pPr>
              <w:spacing w:line="360" w:lineRule="auto"/>
              <w:ind w:left="-92" w:leftChars="-44" w:firstLine="91" w:firstLineChars="38"/>
              <w:jc w:val="left"/>
              <w:rPr>
                <w:rFonts w:ascii="宋体" w:hAnsi="宋体" w:cs="宋体"/>
                <w:sz w:val="24"/>
                <w:szCs w:val="24"/>
              </w:rPr>
            </w:pPr>
            <w:r>
              <w:rPr>
                <w:rFonts w:hint="eastAsia" w:ascii="宋体" w:hAnsi="宋体" w:cs="宋体"/>
                <w:sz w:val="24"/>
                <w:szCs w:val="24"/>
              </w:rPr>
              <w:t>1. 负责人身份证正、反面电子文档；</w:t>
            </w:r>
          </w:p>
          <w:p>
            <w:pPr>
              <w:spacing w:line="360" w:lineRule="auto"/>
              <w:ind w:left="-92" w:leftChars="-44" w:firstLine="91" w:firstLineChars="38"/>
              <w:jc w:val="left"/>
              <w:rPr>
                <w:rFonts w:ascii="宋体" w:hAnsi="宋体" w:cs="宋体"/>
                <w:sz w:val="24"/>
                <w:szCs w:val="24"/>
              </w:rPr>
            </w:pPr>
            <w:r>
              <w:rPr>
                <w:rFonts w:hint="eastAsia" w:ascii="宋体" w:hAnsi="宋体" w:cs="宋体"/>
                <w:sz w:val="24"/>
                <w:szCs w:val="24"/>
              </w:rPr>
              <w:t>2. 和营业执照上的法定代表人或负责人一致；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8" w:type="pct"/>
            <w:vMerge w:val="continue"/>
            <w:vAlign w:val="center"/>
          </w:tcPr>
          <w:p>
            <w:pPr>
              <w:spacing w:line="360" w:lineRule="auto"/>
              <w:jc w:val="center"/>
              <w:rPr>
                <w:rFonts w:ascii="宋体" w:hAnsi="宋体" w:cs="宋体"/>
                <w:sz w:val="24"/>
                <w:szCs w:val="24"/>
              </w:rPr>
            </w:pPr>
          </w:p>
        </w:tc>
        <w:tc>
          <w:tcPr>
            <w:tcW w:w="1209" w:type="pct"/>
            <w:vAlign w:val="center"/>
          </w:tcPr>
          <w:p>
            <w:pPr>
              <w:spacing w:line="360" w:lineRule="auto"/>
              <w:jc w:val="center"/>
              <w:rPr>
                <w:rFonts w:ascii="宋体" w:hAnsi="宋体" w:cs="宋体"/>
                <w:sz w:val="24"/>
                <w:szCs w:val="24"/>
              </w:rPr>
            </w:pPr>
            <w:r>
              <w:rPr>
                <w:rFonts w:hint="eastAsia" w:ascii="宋体" w:hAnsi="宋体" w:cs="宋体"/>
                <w:sz w:val="24"/>
                <w:szCs w:val="24"/>
              </w:rPr>
              <w:t>授权委托书及委托代理人</w:t>
            </w:r>
          </w:p>
        </w:tc>
        <w:tc>
          <w:tcPr>
            <w:tcW w:w="3342" w:type="pct"/>
            <w:vAlign w:val="center"/>
          </w:tcPr>
          <w:p>
            <w:pPr>
              <w:spacing w:line="360" w:lineRule="auto"/>
              <w:ind w:left="-92" w:leftChars="-44" w:firstLine="91" w:firstLineChars="38"/>
              <w:jc w:val="left"/>
              <w:rPr>
                <w:rFonts w:ascii="宋体" w:hAnsi="宋体" w:cs="宋体"/>
                <w:sz w:val="24"/>
                <w:szCs w:val="24"/>
              </w:rPr>
            </w:pPr>
            <w:r>
              <w:rPr>
                <w:rFonts w:hint="eastAsia" w:ascii="宋体" w:hAnsi="宋体" w:cs="宋体"/>
                <w:sz w:val="24"/>
                <w:szCs w:val="24"/>
              </w:rPr>
              <w:t>1. 是否按授权委托书格式内容填写且签字盖章；</w:t>
            </w:r>
          </w:p>
          <w:p>
            <w:pPr>
              <w:spacing w:line="360" w:lineRule="auto"/>
              <w:ind w:left="-92" w:leftChars="-44" w:firstLine="91" w:firstLineChars="38"/>
              <w:jc w:val="left"/>
              <w:rPr>
                <w:rFonts w:ascii="宋体" w:hAnsi="宋体" w:cs="宋体"/>
                <w:sz w:val="24"/>
                <w:szCs w:val="24"/>
              </w:rPr>
            </w:pPr>
            <w:r>
              <w:rPr>
                <w:rFonts w:hint="eastAsia" w:ascii="宋体" w:hAnsi="宋体" w:cs="宋体"/>
                <w:sz w:val="24"/>
                <w:szCs w:val="24"/>
              </w:rPr>
              <w:t>2. 委托代理人的身份证正、反面电子文档；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8" w:type="pct"/>
            <w:vAlign w:val="center"/>
          </w:tcPr>
          <w:p>
            <w:pPr>
              <w:spacing w:line="360" w:lineRule="auto"/>
              <w:jc w:val="center"/>
              <w:rPr>
                <w:rFonts w:ascii="宋体" w:hAnsi="宋体" w:cs="宋体"/>
                <w:sz w:val="24"/>
                <w:szCs w:val="24"/>
              </w:rPr>
            </w:pPr>
            <w:r>
              <w:rPr>
                <w:rFonts w:hint="eastAsia" w:ascii="宋体" w:hAnsi="宋体" w:cs="宋体"/>
                <w:sz w:val="24"/>
                <w:szCs w:val="24"/>
              </w:rPr>
              <w:t>2</w:t>
            </w:r>
          </w:p>
        </w:tc>
        <w:tc>
          <w:tcPr>
            <w:tcW w:w="1209" w:type="pct"/>
            <w:vAlign w:val="center"/>
          </w:tcPr>
          <w:p>
            <w:pPr>
              <w:spacing w:line="360" w:lineRule="auto"/>
              <w:jc w:val="center"/>
              <w:rPr>
                <w:rFonts w:ascii="宋体" w:hAnsi="宋体" w:cs="宋体"/>
                <w:sz w:val="24"/>
                <w:szCs w:val="24"/>
              </w:rPr>
            </w:pPr>
            <w:r>
              <w:rPr>
                <w:rFonts w:hint="eastAsia" w:ascii="宋体" w:hAnsi="宋体" w:cs="宋体"/>
                <w:sz w:val="24"/>
                <w:szCs w:val="24"/>
              </w:rPr>
              <w:t>无重大违法记录</w:t>
            </w:r>
          </w:p>
        </w:tc>
        <w:tc>
          <w:tcPr>
            <w:tcW w:w="3342" w:type="pct"/>
            <w:vAlign w:val="center"/>
          </w:tcPr>
          <w:p>
            <w:pPr>
              <w:spacing w:line="360" w:lineRule="auto"/>
              <w:ind w:left="-92" w:leftChars="-44" w:firstLine="91" w:firstLineChars="38"/>
              <w:jc w:val="left"/>
              <w:rPr>
                <w:rFonts w:ascii="宋体" w:hAnsi="宋体" w:cs="宋体"/>
                <w:sz w:val="24"/>
                <w:szCs w:val="24"/>
              </w:rPr>
            </w:pPr>
            <w:r>
              <w:rPr>
                <w:rFonts w:hint="eastAsia" w:ascii="宋体" w:hAnsi="宋体" w:cs="宋体"/>
                <w:sz w:val="24"/>
                <w:szCs w:val="24"/>
              </w:rPr>
              <w:t>是否按无重大违法记录声明书格式填写且盖章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jc w:val="center"/>
        </w:trPr>
        <w:tc>
          <w:tcPr>
            <w:tcW w:w="448" w:type="pct"/>
            <w:vAlign w:val="center"/>
          </w:tcPr>
          <w:p>
            <w:pPr>
              <w:spacing w:line="360" w:lineRule="auto"/>
              <w:jc w:val="center"/>
              <w:rPr>
                <w:rFonts w:ascii="宋体" w:hAnsi="宋体" w:cs="宋体"/>
                <w:sz w:val="24"/>
                <w:szCs w:val="24"/>
              </w:rPr>
            </w:pPr>
            <w:r>
              <w:rPr>
                <w:rFonts w:hint="eastAsia" w:ascii="宋体" w:hAnsi="宋体" w:cs="宋体"/>
                <w:sz w:val="24"/>
                <w:szCs w:val="24"/>
              </w:rPr>
              <w:t>3</w:t>
            </w:r>
          </w:p>
        </w:tc>
        <w:tc>
          <w:tcPr>
            <w:tcW w:w="1209" w:type="pct"/>
            <w:vAlign w:val="center"/>
          </w:tcPr>
          <w:p>
            <w:pPr>
              <w:spacing w:line="360" w:lineRule="auto"/>
              <w:jc w:val="center"/>
              <w:rPr>
                <w:rFonts w:ascii="宋体" w:hAnsi="宋体" w:cs="宋体"/>
                <w:sz w:val="24"/>
                <w:szCs w:val="24"/>
              </w:rPr>
            </w:pPr>
            <w:r>
              <w:rPr>
                <w:rFonts w:hint="eastAsia" w:ascii="宋体" w:hAnsi="宋体" w:cs="宋体"/>
                <w:sz w:val="24"/>
                <w:szCs w:val="24"/>
              </w:rPr>
              <w:t>信用信息查询</w:t>
            </w:r>
          </w:p>
        </w:tc>
        <w:tc>
          <w:tcPr>
            <w:tcW w:w="3342" w:type="pct"/>
            <w:vAlign w:val="center"/>
          </w:tcPr>
          <w:p>
            <w:pPr>
              <w:spacing w:line="360" w:lineRule="auto"/>
              <w:ind w:left="-92" w:leftChars="-44" w:firstLine="91" w:firstLineChars="38"/>
              <w:jc w:val="left"/>
              <w:rPr>
                <w:rFonts w:ascii="宋体" w:hAnsi="宋体" w:cs="宋体"/>
                <w:sz w:val="24"/>
                <w:szCs w:val="24"/>
              </w:rPr>
            </w:pPr>
            <w:r>
              <w:rPr>
                <w:rFonts w:hint="eastAsia" w:ascii="宋体" w:hAnsi="宋体" w:cs="宋体"/>
                <w:sz w:val="24"/>
                <w:szCs w:val="24"/>
              </w:rPr>
              <w:t>1. 查询网址：</w:t>
            </w:r>
          </w:p>
          <w:p>
            <w:pPr>
              <w:spacing w:line="360" w:lineRule="auto"/>
              <w:ind w:left="-92" w:leftChars="-44" w:firstLine="91" w:firstLineChars="38"/>
              <w:jc w:val="left"/>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 1 \* GB2 </w:instrText>
            </w:r>
            <w:r>
              <w:rPr>
                <w:rFonts w:hint="eastAsia" w:ascii="宋体" w:hAnsi="宋体" w:cs="宋体"/>
                <w:sz w:val="24"/>
                <w:szCs w:val="24"/>
              </w:rPr>
              <w:fldChar w:fldCharType="separate"/>
            </w:r>
            <w:r>
              <w:rPr>
                <w:rFonts w:hint="eastAsia" w:ascii="宋体" w:hAnsi="宋体" w:cs="宋体"/>
                <w:sz w:val="24"/>
                <w:szCs w:val="24"/>
              </w:rPr>
              <w:t>⑴</w:t>
            </w:r>
            <w:r>
              <w:rPr>
                <w:rFonts w:hint="eastAsia" w:ascii="宋体" w:hAnsi="宋体" w:cs="宋体"/>
                <w:sz w:val="24"/>
                <w:szCs w:val="24"/>
              </w:rPr>
              <w:fldChar w:fldCharType="end"/>
            </w:r>
            <w:r>
              <w:rPr>
                <w:rFonts w:hint="eastAsia" w:ascii="宋体" w:hAnsi="宋体" w:cs="宋体"/>
                <w:sz w:val="24"/>
                <w:szCs w:val="24"/>
              </w:rPr>
              <w:t>信用中国（</w:t>
            </w:r>
            <w:r>
              <w:fldChar w:fldCharType="begin"/>
            </w:r>
            <w:r>
              <w:instrText xml:space="preserve"> HYPERLINK "http://www.creditchina.gov.cn" </w:instrText>
            </w:r>
            <w:r>
              <w:fldChar w:fldCharType="separate"/>
            </w:r>
            <w:r>
              <w:rPr>
                <w:rStyle w:val="55"/>
                <w:rFonts w:hint="eastAsia" w:ascii="宋体" w:hAnsi="宋体" w:cs="宋体"/>
                <w:color w:val="auto"/>
                <w:sz w:val="24"/>
                <w:szCs w:val="24"/>
                <w:u w:val="none"/>
              </w:rPr>
              <w:t>www.creditchina.gov.cn</w:t>
            </w:r>
            <w:r>
              <w:rPr>
                <w:rStyle w:val="55"/>
                <w:rFonts w:hint="eastAsia" w:ascii="宋体" w:hAnsi="宋体" w:cs="宋体"/>
                <w:color w:val="auto"/>
                <w:sz w:val="24"/>
                <w:szCs w:val="24"/>
                <w:u w:val="none"/>
              </w:rPr>
              <w:fldChar w:fldCharType="end"/>
            </w:r>
            <w:r>
              <w:rPr>
                <w:rFonts w:hint="eastAsia" w:ascii="宋体" w:hAnsi="宋体" w:cs="宋体"/>
                <w:sz w:val="24"/>
                <w:szCs w:val="24"/>
              </w:rPr>
              <w:t>）</w:t>
            </w:r>
          </w:p>
          <w:p>
            <w:pPr>
              <w:spacing w:line="360" w:lineRule="auto"/>
              <w:ind w:left="-92" w:leftChars="-44" w:firstLine="91" w:firstLineChars="38"/>
              <w:jc w:val="left"/>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 2 \* GB2 </w:instrText>
            </w:r>
            <w:r>
              <w:rPr>
                <w:rFonts w:hint="eastAsia" w:ascii="宋体" w:hAnsi="宋体" w:cs="宋体"/>
                <w:sz w:val="24"/>
                <w:szCs w:val="24"/>
              </w:rPr>
              <w:fldChar w:fldCharType="separate"/>
            </w:r>
            <w:r>
              <w:rPr>
                <w:rFonts w:hint="eastAsia" w:ascii="宋体" w:hAnsi="宋体" w:cs="宋体"/>
                <w:sz w:val="24"/>
                <w:szCs w:val="24"/>
              </w:rPr>
              <w:t>⑵</w:t>
            </w:r>
            <w:r>
              <w:rPr>
                <w:rFonts w:hint="eastAsia" w:ascii="宋体" w:hAnsi="宋体" w:cs="宋体"/>
                <w:sz w:val="24"/>
                <w:szCs w:val="24"/>
              </w:rPr>
              <w:fldChar w:fldCharType="end"/>
            </w:r>
            <w:r>
              <w:rPr>
                <w:rFonts w:hint="eastAsia" w:ascii="宋体" w:hAnsi="宋体" w:cs="宋体"/>
                <w:sz w:val="24"/>
                <w:szCs w:val="24"/>
              </w:rPr>
              <w:t>中国政府采购网（</w:t>
            </w:r>
            <w:r>
              <w:fldChar w:fldCharType="begin"/>
            </w:r>
            <w:r>
              <w:instrText xml:space="preserve"> HYPERLINK "http://www.ccgp.gov.cn" </w:instrText>
            </w:r>
            <w:r>
              <w:fldChar w:fldCharType="separate"/>
            </w:r>
            <w:r>
              <w:rPr>
                <w:rStyle w:val="55"/>
                <w:rFonts w:hint="eastAsia" w:ascii="宋体" w:hAnsi="宋体" w:cs="宋体"/>
                <w:color w:val="auto"/>
                <w:sz w:val="24"/>
                <w:szCs w:val="24"/>
                <w:u w:val="none"/>
              </w:rPr>
              <w:t>www.ccgp.gov.cn</w:t>
            </w:r>
            <w:r>
              <w:rPr>
                <w:rStyle w:val="55"/>
                <w:rFonts w:hint="eastAsia" w:ascii="宋体" w:hAnsi="宋体" w:cs="宋体"/>
                <w:color w:val="auto"/>
                <w:sz w:val="24"/>
                <w:szCs w:val="24"/>
                <w:u w:val="none"/>
              </w:rPr>
              <w:fldChar w:fldCharType="end"/>
            </w:r>
            <w:r>
              <w:rPr>
                <w:rFonts w:hint="eastAsia" w:ascii="宋体" w:hAnsi="宋体" w:cs="宋体"/>
                <w:sz w:val="24"/>
                <w:szCs w:val="24"/>
              </w:rPr>
              <w:t>）</w:t>
            </w:r>
          </w:p>
          <w:p>
            <w:pPr>
              <w:spacing w:line="360" w:lineRule="auto"/>
              <w:ind w:left="-92" w:leftChars="-44" w:firstLine="91" w:firstLineChars="38"/>
              <w:jc w:val="left"/>
              <w:rPr>
                <w:rFonts w:ascii="宋体" w:hAnsi="宋体" w:cs="宋体"/>
                <w:sz w:val="24"/>
                <w:szCs w:val="24"/>
              </w:rPr>
            </w:pPr>
            <w:r>
              <w:rPr>
                <w:rFonts w:hint="eastAsia" w:ascii="宋体" w:hAnsi="宋体" w:cs="宋体"/>
                <w:sz w:val="24"/>
                <w:szCs w:val="24"/>
              </w:rPr>
              <w:t>2. 核对事项：</w:t>
            </w:r>
          </w:p>
          <w:p>
            <w:pPr>
              <w:spacing w:line="360" w:lineRule="auto"/>
              <w:ind w:left="-92" w:leftChars="-44" w:firstLine="91" w:firstLineChars="38"/>
              <w:jc w:val="left"/>
              <w:rPr>
                <w:rFonts w:ascii="宋体" w:hAnsi="宋体" w:cs="宋体"/>
                <w:sz w:val="24"/>
                <w:szCs w:val="24"/>
              </w:rPr>
            </w:pPr>
            <w:r>
              <w:rPr>
                <w:rFonts w:hint="eastAsia" w:ascii="宋体" w:hAnsi="宋体" w:cs="宋体"/>
                <w:sz w:val="24"/>
                <w:szCs w:val="24"/>
              </w:rPr>
              <w:t>有无被列入失信被执行人、重大税收违法案件当事人名单、政府采购严重违法失信行为记录名单；</w:t>
            </w:r>
          </w:p>
          <w:p>
            <w:pPr>
              <w:spacing w:line="360" w:lineRule="auto"/>
              <w:ind w:left="-92" w:leftChars="-44" w:firstLine="92" w:firstLineChars="38"/>
              <w:jc w:val="left"/>
              <w:rPr>
                <w:rFonts w:ascii="宋体" w:hAnsi="宋体" w:cs="宋体"/>
                <w:sz w:val="24"/>
                <w:szCs w:val="24"/>
              </w:rPr>
            </w:pPr>
            <w:r>
              <w:rPr>
                <w:rFonts w:hint="eastAsia" w:ascii="宋体" w:hAnsi="宋体" w:cs="宋体"/>
                <w:b/>
                <w:sz w:val="24"/>
                <w:szCs w:val="24"/>
              </w:rPr>
              <w:t>注：</w:t>
            </w:r>
            <w:r>
              <w:rPr>
                <w:rFonts w:hint="eastAsia" w:ascii="宋体" w:hAnsi="宋体" w:cs="宋体"/>
                <w:sz w:val="24"/>
                <w:szCs w:val="24"/>
              </w:rPr>
              <w:t>信用信息已修复的，以修复后的信息为准。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448" w:type="pct"/>
            <w:vAlign w:val="center"/>
          </w:tcPr>
          <w:p>
            <w:pPr>
              <w:spacing w:line="360" w:lineRule="auto"/>
              <w:jc w:val="center"/>
              <w:rPr>
                <w:rFonts w:ascii="宋体" w:hAnsi="宋体" w:cs="宋体"/>
                <w:sz w:val="24"/>
                <w:szCs w:val="24"/>
              </w:rPr>
            </w:pPr>
            <w:r>
              <w:rPr>
                <w:rFonts w:hint="eastAsia" w:ascii="宋体" w:hAnsi="宋体" w:cs="宋体"/>
                <w:sz w:val="24"/>
                <w:szCs w:val="24"/>
              </w:rPr>
              <w:t>4</w:t>
            </w:r>
          </w:p>
        </w:tc>
        <w:tc>
          <w:tcPr>
            <w:tcW w:w="1209" w:type="pct"/>
            <w:vAlign w:val="center"/>
          </w:tcPr>
          <w:p>
            <w:pPr>
              <w:spacing w:line="360" w:lineRule="auto"/>
              <w:jc w:val="center"/>
              <w:rPr>
                <w:rFonts w:ascii="宋体" w:hAnsi="宋体" w:cs="宋体"/>
                <w:sz w:val="24"/>
                <w:szCs w:val="24"/>
              </w:rPr>
            </w:pPr>
            <w:r>
              <w:rPr>
                <w:rFonts w:hint="eastAsia" w:ascii="宋体" w:hAnsi="宋体" w:cs="宋体"/>
                <w:sz w:val="24"/>
                <w:szCs w:val="24"/>
              </w:rPr>
              <w:t>具有良好的财务会计制度、依法缴纳税收和社会保障资金的承诺函</w:t>
            </w:r>
          </w:p>
        </w:tc>
        <w:tc>
          <w:tcPr>
            <w:tcW w:w="3342" w:type="pct"/>
            <w:vAlign w:val="center"/>
          </w:tcPr>
          <w:p>
            <w:pPr>
              <w:spacing w:line="360" w:lineRule="auto"/>
              <w:jc w:val="left"/>
              <w:rPr>
                <w:rFonts w:ascii="宋体" w:hAnsi="宋体" w:cs="宋体"/>
                <w:b/>
                <w:sz w:val="24"/>
                <w:szCs w:val="24"/>
              </w:rPr>
            </w:pPr>
            <w:r>
              <w:rPr>
                <w:rFonts w:hint="eastAsia" w:ascii="宋体" w:hAnsi="宋体" w:cs="宋体"/>
                <w:sz w:val="24"/>
                <w:szCs w:val="24"/>
              </w:rPr>
              <w:t>供应商按要求提供承诺函。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448" w:type="pct"/>
            <w:vAlign w:val="center"/>
          </w:tcPr>
          <w:p>
            <w:pPr>
              <w:spacing w:line="360" w:lineRule="auto"/>
              <w:jc w:val="center"/>
              <w:rPr>
                <w:rFonts w:ascii="宋体" w:hAnsi="宋体" w:cs="宋体"/>
                <w:sz w:val="24"/>
                <w:szCs w:val="24"/>
              </w:rPr>
            </w:pPr>
            <w:r>
              <w:rPr>
                <w:rFonts w:hint="eastAsia" w:ascii="宋体" w:hAnsi="宋体" w:cs="宋体"/>
                <w:sz w:val="24"/>
                <w:szCs w:val="24"/>
              </w:rPr>
              <w:t>5</w:t>
            </w:r>
          </w:p>
        </w:tc>
        <w:tc>
          <w:tcPr>
            <w:tcW w:w="1209" w:type="pct"/>
            <w:vAlign w:val="center"/>
          </w:tcPr>
          <w:p>
            <w:pPr>
              <w:spacing w:line="360" w:lineRule="auto"/>
              <w:jc w:val="center"/>
              <w:rPr>
                <w:rFonts w:ascii="宋体" w:hAnsi="宋体" w:cs="宋体"/>
                <w:sz w:val="24"/>
                <w:szCs w:val="24"/>
              </w:rPr>
            </w:pPr>
            <w:r>
              <w:rPr>
                <w:rFonts w:hint="eastAsia" w:ascii="宋体" w:hAnsi="宋体" w:cs="宋体"/>
                <w:sz w:val="24"/>
                <w:szCs w:val="24"/>
              </w:rPr>
              <w:t>具有履行合同所必需设备和专业技术能力的承诺函</w:t>
            </w:r>
          </w:p>
        </w:tc>
        <w:tc>
          <w:tcPr>
            <w:tcW w:w="3342" w:type="pct"/>
            <w:vAlign w:val="center"/>
          </w:tcPr>
          <w:p>
            <w:pPr>
              <w:spacing w:line="360" w:lineRule="auto"/>
              <w:ind w:left="-92" w:leftChars="-44" w:firstLine="91" w:firstLineChars="38"/>
              <w:jc w:val="left"/>
              <w:rPr>
                <w:rFonts w:ascii="宋体" w:hAnsi="宋体" w:cs="宋体"/>
                <w:b/>
                <w:sz w:val="24"/>
                <w:szCs w:val="24"/>
              </w:rPr>
            </w:pPr>
            <w:r>
              <w:rPr>
                <w:rFonts w:hint="eastAsia" w:ascii="宋体" w:hAnsi="宋体" w:cs="宋体"/>
                <w:sz w:val="24"/>
                <w:szCs w:val="24"/>
              </w:rPr>
              <w:t>供应商按要求提供承诺函。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448" w:type="pct"/>
            <w:vAlign w:val="center"/>
          </w:tcPr>
          <w:p>
            <w:pPr>
              <w:spacing w:line="360" w:lineRule="auto"/>
              <w:jc w:val="center"/>
              <w:rPr>
                <w:rFonts w:ascii="宋体" w:hAnsi="宋体" w:cs="宋体"/>
                <w:sz w:val="24"/>
                <w:szCs w:val="24"/>
              </w:rPr>
            </w:pPr>
            <w:r>
              <w:rPr>
                <w:rFonts w:hint="eastAsia" w:ascii="宋体" w:hAnsi="宋体" w:cs="宋体"/>
                <w:sz w:val="24"/>
                <w:szCs w:val="24"/>
              </w:rPr>
              <w:t>6</w:t>
            </w:r>
          </w:p>
        </w:tc>
        <w:tc>
          <w:tcPr>
            <w:tcW w:w="1209" w:type="pct"/>
            <w:vAlign w:val="center"/>
          </w:tcPr>
          <w:p>
            <w:pPr>
              <w:spacing w:line="360" w:lineRule="auto"/>
              <w:jc w:val="center"/>
              <w:rPr>
                <w:rFonts w:ascii="宋体" w:hAnsi="宋体" w:cs="宋体"/>
                <w:sz w:val="24"/>
                <w:szCs w:val="24"/>
              </w:rPr>
            </w:pPr>
            <w:r>
              <w:rPr>
                <w:rFonts w:hint="eastAsia" w:ascii="宋体" w:hAnsi="宋体" w:cs="宋体"/>
                <w:sz w:val="24"/>
                <w:szCs w:val="24"/>
              </w:rPr>
              <w:t>特定资格条件</w:t>
            </w:r>
          </w:p>
        </w:tc>
        <w:tc>
          <w:tcPr>
            <w:tcW w:w="3342" w:type="pct"/>
            <w:vAlign w:val="center"/>
          </w:tcPr>
          <w:p>
            <w:pPr>
              <w:spacing w:line="360" w:lineRule="auto"/>
              <w:ind w:firstLine="480" w:firstLineChars="200"/>
              <w:rPr>
                <w:rFonts w:ascii="宋体" w:hAnsi="宋体" w:cs="宋体"/>
                <w:sz w:val="24"/>
                <w:szCs w:val="24"/>
              </w:rPr>
            </w:pPr>
            <w:r>
              <w:rPr>
                <w:rFonts w:hint="eastAsia" w:ascii="宋体" w:hAnsi="宋体" w:cs="宋体"/>
                <w:color w:val="auto"/>
                <w:sz w:val="24"/>
              </w:rPr>
              <w:t>供应商需自身具备</w:t>
            </w:r>
            <w:r>
              <w:rPr>
                <w:rFonts w:hint="eastAsia" w:ascii="宋体" w:hAnsi="宋体" w:cs="宋体"/>
                <w:color w:val="auto"/>
                <w:sz w:val="24"/>
                <w:lang w:eastAsia="zh-CN"/>
              </w:rPr>
              <w:t>城市</w:t>
            </w:r>
            <w:r>
              <w:rPr>
                <w:rFonts w:hint="eastAsia" w:ascii="宋体" w:hAnsi="宋体" w:cs="宋体"/>
                <w:color w:val="auto"/>
                <w:sz w:val="24"/>
              </w:rPr>
              <w:t>建筑固废</w:t>
            </w:r>
            <w:r>
              <w:rPr>
                <w:rFonts w:hint="eastAsia" w:ascii="宋体" w:hAnsi="宋体" w:cs="宋体"/>
                <w:color w:val="auto"/>
                <w:sz w:val="24"/>
                <w:lang w:eastAsia="zh-CN"/>
              </w:rPr>
              <w:t>处置</w:t>
            </w:r>
            <w:r>
              <w:rPr>
                <w:rFonts w:hint="eastAsia" w:ascii="宋体" w:hAnsi="宋体" w:cs="宋体"/>
                <w:color w:val="auto"/>
                <w:sz w:val="24"/>
              </w:rPr>
              <w:t>性企业</w:t>
            </w:r>
            <w:r>
              <w:rPr>
                <w:rFonts w:hint="eastAsia" w:ascii="宋体" w:hAnsi="宋体" w:cs="宋体"/>
                <w:color w:val="auto"/>
                <w:sz w:val="24"/>
                <w:lang w:eastAsia="zh-CN"/>
              </w:rPr>
              <w:t>（提供相应处置证明材料，如相关部门批复文件、业绩等）</w:t>
            </w:r>
            <w:r>
              <w:rPr>
                <w:rFonts w:hint="eastAsia" w:ascii="宋体" w:hAnsi="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000" w:type="pct"/>
            <w:gridSpan w:val="3"/>
            <w:vAlign w:val="center"/>
          </w:tcPr>
          <w:p>
            <w:pPr>
              <w:spacing w:line="360" w:lineRule="auto"/>
              <w:jc w:val="left"/>
              <w:rPr>
                <w:rFonts w:ascii="宋体" w:hAnsi="宋体" w:cs="宋体"/>
                <w:b/>
                <w:sz w:val="24"/>
                <w:szCs w:val="24"/>
              </w:rPr>
            </w:pPr>
            <w:r>
              <w:rPr>
                <w:rFonts w:hint="eastAsia" w:ascii="宋体" w:hAnsi="宋体" w:cs="宋体"/>
                <w:b/>
                <w:sz w:val="24"/>
                <w:szCs w:val="24"/>
              </w:rPr>
              <w:t>注：以上资料内容须清晰可辨的，模糊不清造成资格审查不予以通过，由供应商自行负责；</w:t>
            </w:r>
          </w:p>
        </w:tc>
      </w:tr>
    </w:tbl>
    <w:p>
      <w:pPr>
        <w:spacing w:line="360" w:lineRule="auto"/>
        <w:ind w:left="960" w:hanging="960" w:hangingChars="400"/>
        <w:rPr>
          <w:rFonts w:ascii="宋体" w:hAnsi="宋体" w:cs="宋体"/>
          <w:sz w:val="24"/>
        </w:rPr>
      </w:pPr>
      <w:r>
        <w:rPr>
          <w:rFonts w:hint="eastAsia" w:ascii="宋体" w:hAnsi="宋体" w:cs="宋体"/>
          <w:sz w:val="24"/>
        </w:rPr>
        <w:t>6.2.3   经资格审查后合格的供应商不足三家的，不得进入评标，并按相关规定重新组织采购。</w:t>
      </w:r>
    </w:p>
    <w:p>
      <w:pPr>
        <w:pStyle w:val="234"/>
        <w:rPr>
          <w:rFonts w:ascii="宋体" w:eastAsia="宋体"/>
        </w:rPr>
      </w:pPr>
      <w:bookmarkStart w:id="168" w:name="_Toc34895565"/>
      <w:bookmarkStart w:id="169" w:name="_Toc531359020"/>
      <w:r>
        <w:rPr>
          <w:rFonts w:hint="eastAsia" w:ascii="宋体" w:eastAsia="宋体"/>
        </w:rPr>
        <w:t>6.3     评标</w:t>
      </w:r>
      <w:bookmarkEnd w:id="168"/>
      <w:bookmarkEnd w:id="169"/>
    </w:p>
    <w:p>
      <w:pPr>
        <w:pStyle w:val="14"/>
        <w:spacing w:line="360" w:lineRule="auto"/>
        <w:ind w:firstLine="0"/>
        <w:rPr>
          <w:rFonts w:ascii="宋体" w:hAnsi="宋体" w:cs="宋体"/>
        </w:rPr>
      </w:pPr>
      <w:r>
        <w:rPr>
          <w:rFonts w:hint="eastAsia" w:ascii="宋体" w:hAnsi="宋体" w:cs="宋体"/>
          <w:sz w:val="24"/>
        </w:rPr>
        <w:t>6.3.1   评标办法：见供应商须知前附表（一）；</w:t>
      </w:r>
    </w:p>
    <w:p>
      <w:pPr>
        <w:spacing w:line="360" w:lineRule="auto"/>
        <w:ind w:left="960" w:hanging="960" w:hangingChars="400"/>
        <w:rPr>
          <w:rFonts w:ascii="宋体" w:hAnsi="宋体" w:cs="宋体"/>
          <w:sz w:val="24"/>
        </w:rPr>
      </w:pPr>
      <w:r>
        <w:rPr>
          <w:rFonts w:hint="eastAsia" w:ascii="宋体" w:hAnsi="宋体" w:cs="宋体"/>
          <w:sz w:val="24"/>
        </w:rPr>
        <w:t>6.3.2   评标委员会由采购代理机构组建：评标委员会由评审专家或采购人代表和评审专家组成，成员人数为5人以上单数，其中评审专家不少于成员总数的三分之二，评审专家按规定从评审专家库中随机抽取。如有特殊情况的，按相关规定组建评标委员会；</w:t>
      </w:r>
    </w:p>
    <w:p>
      <w:pPr>
        <w:spacing w:line="360" w:lineRule="auto"/>
        <w:ind w:left="960" w:hanging="960" w:hangingChars="400"/>
        <w:rPr>
          <w:rFonts w:ascii="宋体" w:hAnsi="宋体" w:cs="宋体"/>
          <w:sz w:val="24"/>
        </w:rPr>
      </w:pPr>
      <w:r>
        <w:rPr>
          <w:rFonts w:hint="eastAsia" w:ascii="宋体" w:hAnsi="宋体" w:cs="宋体"/>
          <w:sz w:val="24"/>
        </w:rPr>
        <w:t>6.3.3   评标由评标委员会负责，评标委员会应当按照客观、公正、审慎的原则，根据招标文件确定评标程序、评标办法和评审标准独立评审；</w:t>
      </w:r>
    </w:p>
    <w:p>
      <w:pPr>
        <w:spacing w:line="360" w:lineRule="auto"/>
        <w:jc w:val="left"/>
        <w:rPr>
          <w:rFonts w:ascii="宋体" w:hAnsi="宋体" w:cs="宋体"/>
          <w:sz w:val="24"/>
        </w:rPr>
      </w:pPr>
      <w:r>
        <w:rPr>
          <w:rFonts w:hint="eastAsia" w:ascii="宋体" w:hAnsi="宋体" w:cs="宋体"/>
          <w:sz w:val="24"/>
        </w:rPr>
        <w:t>6.3.4   评标程序：符合性审查、资信商务及技术文件评审、报价文件评审；</w:t>
      </w:r>
    </w:p>
    <w:p>
      <w:pPr>
        <w:spacing w:line="360" w:lineRule="auto"/>
        <w:jc w:val="left"/>
        <w:rPr>
          <w:rFonts w:ascii="宋体" w:hAnsi="宋体" w:cs="宋体"/>
          <w:sz w:val="24"/>
        </w:rPr>
      </w:pPr>
      <w:r>
        <w:rPr>
          <w:rFonts w:hint="eastAsia" w:ascii="宋体" w:hAnsi="宋体" w:cs="宋体"/>
          <w:sz w:val="24"/>
        </w:rPr>
        <w:t>6.3.5   符合性审查</w:t>
      </w:r>
    </w:p>
    <w:p>
      <w:pPr>
        <w:spacing w:line="360" w:lineRule="auto"/>
        <w:ind w:left="1290" w:leftChars="500" w:hanging="240" w:hangingChars="100"/>
        <w:jc w:val="left"/>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GB2 </w:instrText>
      </w:r>
      <w:r>
        <w:rPr>
          <w:rFonts w:hint="eastAsia" w:ascii="宋体" w:hAnsi="宋体" w:cs="宋体"/>
          <w:sz w:val="24"/>
        </w:rPr>
        <w:fldChar w:fldCharType="separate"/>
      </w:r>
      <w:r>
        <w:rPr>
          <w:rFonts w:hint="eastAsia" w:ascii="宋体" w:hAnsi="宋体" w:cs="宋体"/>
          <w:sz w:val="24"/>
        </w:rPr>
        <w:t>⑴</w:t>
      </w:r>
      <w:r>
        <w:rPr>
          <w:rFonts w:hint="eastAsia" w:ascii="宋体" w:hAnsi="宋体" w:cs="宋体"/>
          <w:sz w:val="24"/>
        </w:rPr>
        <w:fldChar w:fldCharType="end"/>
      </w:r>
      <w:r>
        <w:rPr>
          <w:rFonts w:hint="eastAsia" w:ascii="宋体" w:hAnsi="宋体" w:cs="宋体"/>
          <w:sz w:val="24"/>
        </w:rPr>
        <w:t>评标委员会对投标文件的有效性、完整性和对招标文件的响应程度进行符合性审查，以确定是否对招标文件的实质性要求作出响应，实质性响应是指投标文件符合招标文件规定的实质性内容、条件和规定；</w:t>
      </w:r>
    </w:p>
    <w:p>
      <w:pPr>
        <w:spacing w:line="360" w:lineRule="auto"/>
        <w:ind w:left="1290" w:leftChars="500" w:hanging="240" w:hangingChars="100"/>
        <w:jc w:val="left"/>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GB2 </w:instrText>
      </w:r>
      <w:r>
        <w:rPr>
          <w:rFonts w:hint="eastAsia" w:ascii="宋体" w:hAnsi="宋体" w:cs="宋体"/>
          <w:sz w:val="24"/>
        </w:rPr>
        <w:fldChar w:fldCharType="separate"/>
      </w:r>
      <w:r>
        <w:rPr>
          <w:rFonts w:hint="eastAsia" w:ascii="宋体" w:hAnsi="宋体" w:cs="宋体"/>
          <w:sz w:val="24"/>
        </w:rPr>
        <w:t>⑵</w:t>
      </w:r>
      <w:r>
        <w:rPr>
          <w:rFonts w:hint="eastAsia" w:ascii="宋体" w:hAnsi="宋体" w:cs="宋体"/>
          <w:sz w:val="24"/>
        </w:rPr>
        <w:fldChar w:fldCharType="end"/>
      </w:r>
      <w:r>
        <w:rPr>
          <w:rFonts w:hint="eastAsia" w:ascii="宋体" w:hAnsi="宋体" w:cs="宋体"/>
          <w:sz w:val="24"/>
        </w:rPr>
        <w:t>通过符合性审查不足三家的，除采购任务取消情形外，按相关规定重新组织招标。</w:t>
      </w:r>
    </w:p>
    <w:p>
      <w:pPr>
        <w:spacing w:line="360" w:lineRule="auto"/>
        <w:ind w:left="960" w:hanging="960" w:hangingChars="400"/>
        <w:rPr>
          <w:rFonts w:ascii="宋体" w:hAnsi="宋体" w:cs="宋体"/>
          <w:sz w:val="24"/>
        </w:rPr>
      </w:pPr>
      <w:r>
        <w:rPr>
          <w:rFonts w:hint="eastAsia" w:ascii="宋体" w:hAnsi="宋体" w:cs="宋体"/>
          <w:sz w:val="24"/>
        </w:rPr>
        <w:t>6.3.6   资信商务及技术文件评审</w:t>
      </w:r>
    </w:p>
    <w:p>
      <w:pPr>
        <w:spacing w:line="360" w:lineRule="auto"/>
        <w:ind w:left="1290" w:leftChars="500" w:hanging="240" w:hangingChars="1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GB2 </w:instrText>
      </w:r>
      <w:r>
        <w:rPr>
          <w:rFonts w:hint="eastAsia" w:ascii="宋体" w:hAnsi="宋体" w:cs="宋体"/>
          <w:sz w:val="24"/>
        </w:rPr>
        <w:fldChar w:fldCharType="separate"/>
      </w:r>
      <w:r>
        <w:rPr>
          <w:rFonts w:hint="eastAsia" w:ascii="宋体" w:hAnsi="宋体" w:cs="宋体"/>
          <w:sz w:val="24"/>
        </w:rPr>
        <w:t>⑴</w:t>
      </w:r>
      <w:r>
        <w:rPr>
          <w:rFonts w:hint="eastAsia" w:ascii="宋体" w:hAnsi="宋体" w:cs="宋体"/>
          <w:sz w:val="24"/>
        </w:rPr>
        <w:fldChar w:fldCharType="end"/>
      </w:r>
      <w:r>
        <w:rPr>
          <w:rFonts w:hint="eastAsia" w:ascii="宋体" w:hAnsi="宋体" w:cs="宋体"/>
          <w:sz w:val="24"/>
        </w:rPr>
        <w:t>评标委员会依据招标文件的规定，对各供应商的资信商务及技术文件进行评审，其中客观部分应统一意见后统一给分，其他技术部分由评委委员会对各投标文件进行比较和必要的澄清，若有演示环节要求的和资信商务及技术文件评审同步进行，演示循序由开标现场随机抽取产生，并根据澄清、演示、样品等情况按评审细则进行独立打分；</w:t>
      </w:r>
    </w:p>
    <w:p>
      <w:pPr>
        <w:spacing w:line="360" w:lineRule="auto"/>
        <w:ind w:left="1290" w:leftChars="500" w:hanging="240" w:hangingChars="1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GB2 </w:instrText>
      </w:r>
      <w:r>
        <w:rPr>
          <w:rFonts w:hint="eastAsia" w:ascii="宋体" w:hAnsi="宋体" w:cs="宋体"/>
          <w:sz w:val="24"/>
        </w:rPr>
        <w:fldChar w:fldCharType="separate"/>
      </w:r>
      <w:r>
        <w:rPr>
          <w:rFonts w:hint="eastAsia" w:ascii="宋体" w:hAnsi="宋体" w:cs="宋体"/>
          <w:sz w:val="24"/>
        </w:rPr>
        <w:t>⑵</w:t>
      </w:r>
      <w:r>
        <w:rPr>
          <w:rFonts w:hint="eastAsia" w:ascii="宋体" w:hAnsi="宋体" w:cs="宋体"/>
          <w:sz w:val="24"/>
        </w:rPr>
        <w:fldChar w:fldCharType="end"/>
      </w:r>
      <w:r>
        <w:rPr>
          <w:rFonts w:hint="eastAsia" w:ascii="宋体" w:hAnsi="宋体" w:cs="宋体"/>
          <w:sz w:val="24"/>
        </w:rPr>
        <w:t>各供应商的资信商务及技术得分，为各评审专家对该供应商的评审得分结果汇总后的算术平均数。</w:t>
      </w:r>
    </w:p>
    <w:p>
      <w:pPr>
        <w:spacing w:line="360" w:lineRule="auto"/>
        <w:ind w:left="960" w:hanging="960" w:hangingChars="400"/>
        <w:rPr>
          <w:rFonts w:ascii="宋体" w:hAnsi="宋体" w:cs="宋体"/>
          <w:sz w:val="24"/>
        </w:rPr>
      </w:pPr>
      <w:r>
        <w:rPr>
          <w:rFonts w:hint="eastAsia" w:ascii="宋体" w:hAnsi="宋体" w:cs="宋体"/>
          <w:sz w:val="24"/>
        </w:rPr>
        <w:t>6.3.7   报价文件评审</w:t>
      </w:r>
    </w:p>
    <w:p>
      <w:pPr>
        <w:spacing w:line="360" w:lineRule="auto"/>
        <w:ind w:left="1185" w:leftChars="450" w:hanging="240" w:hangingChars="1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GB2 </w:instrText>
      </w:r>
      <w:r>
        <w:rPr>
          <w:rFonts w:hint="eastAsia" w:ascii="宋体" w:hAnsi="宋体" w:cs="宋体"/>
          <w:sz w:val="24"/>
        </w:rPr>
        <w:fldChar w:fldCharType="separate"/>
      </w:r>
      <w:r>
        <w:rPr>
          <w:rFonts w:hint="eastAsia" w:ascii="宋体" w:hAnsi="宋体" w:cs="宋体"/>
          <w:sz w:val="24"/>
        </w:rPr>
        <w:t>⑴</w:t>
      </w:r>
      <w:r>
        <w:rPr>
          <w:rFonts w:hint="eastAsia" w:ascii="宋体" w:hAnsi="宋体" w:cs="宋体"/>
          <w:sz w:val="24"/>
        </w:rPr>
        <w:fldChar w:fldCharType="end"/>
      </w:r>
      <w:r>
        <w:rPr>
          <w:rFonts w:hint="eastAsia" w:ascii="宋体" w:hAnsi="宋体" w:cs="宋体"/>
          <w:sz w:val="24"/>
        </w:rPr>
        <w:t>评标委员会依据招标文件的规定，对各供应商的报价的完整性、合理性进行审查，必要时可要求供应商对其报价做出澄清、说明；</w:t>
      </w:r>
    </w:p>
    <w:p>
      <w:pPr>
        <w:spacing w:line="360" w:lineRule="auto"/>
        <w:ind w:left="945" w:leftChars="45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GB2 </w:instrText>
      </w:r>
      <w:r>
        <w:rPr>
          <w:rFonts w:hint="eastAsia" w:ascii="宋体" w:hAnsi="宋体" w:cs="宋体"/>
          <w:sz w:val="24"/>
        </w:rPr>
        <w:fldChar w:fldCharType="separate"/>
      </w:r>
      <w:r>
        <w:rPr>
          <w:rFonts w:hint="eastAsia" w:ascii="宋体" w:hAnsi="宋体" w:cs="宋体"/>
          <w:sz w:val="24"/>
        </w:rPr>
        <w:t>⑵</w:t>
      </w:r>
      <w:r>
        <w:rPr>
          <w:rFonts w:hint="eastAsia" w:ascii="宋体" w:hAnsi="宋体" w:cs="宋体"/>
          <w:sz w:val="24"/>
        </w:rPr>
        <w:fldChar w:fldCharType="end"/>
      </w:r>
      <w:r>
        <w:rPr>
          <w:rFonts w:hint="eastAsia" w:ascii="宋体" w:hAnsi="宋体" w:cs="宋体"/>
          <w:sz w:val="24"/>
        </w:rPr>
        <w:t>报价修正；</w:t>
      </w:r>
    </w:p>
    <w:p>
      <w:pPr>
        <w:spacing w:line="360" w:lineRule="auto"/>
        <w:ind w:left="945" w:leftChars="450"/>
        <w:rPr>
          <w:rFonts w:ascii="宋体" w:hAnsi="宋体" w:cs="宋体"/>
          <w:sz w:val="24"/>
        </w:rPr>
      </w:pPr>
      <w:r>
        <w:rPr>
          <w:rFonts w:hint="eastAsia" w:ascii="宋体" w:hAnsi="宋体" w:cs="宋体"/>
          <w:szCs w:val="20"/>
        </w:rPr>
        <w:t>（3）</w:t>
      </w:r>
      <w:r>
        <w:rPr>
          <w:rFonts w:hint="eastAsia" w:ascii="宋体" w:hAnsi="宋体" w:cs="宋体"/>
          <w:sz w:val="24"/>
        </w:rPr>
        <w:t>评审委员会根据供应商的报价和评审标准，计算各供应商的报价得分。</w:t>
      </w:r>
    </w:p>
    <w:p>
      <w:pPr>
        <w:pStyle w:val="234"/>
        <w:rPr>
          <w:rFonts w:ascii="宋体" w:eastAsia="宋体"/>
        </w:rPr>
      </w:pPr>
      <w:bookmarkStart w:id="170" w:name="_Toc34895566"/>
      <w:bookmarkStart w:id="171" w:name="_Toc531359021"/>
      <w:r>
        <w:rPr>
          <w:rFonts w:hint="eastAsia" w:ascii="宋体" w:eastAsia="宋体"/>
        </w:rPr>
        <w:t>6.4     投标文件的澄清、说明或补正</w:t>
      </w:r>
      <w:bookmarkEnd w:id="170"/>
      <w:bookmarkEnd w:id="171"/>
    </w:p>
    <w:p>
      <w:pPr>
        <w:spacing w:line="360" w:lineRule="auto"/>
        <w:ind w:left="1200" w:hanging="1200" w:hangingChars="500"/>
        <w:rPr>
          <w:rFonts w:ascii="宋体" w:hAnsi="宋体" w:cs="宋体"/>
          <w:sz w:val="24"/>
        </w:rPr>
      </w:pPr>
      <w:r>
        <w:rPr>
          <w:rFonts w:hint="eastAsia" w:ascii="宋体" w:hAnsi="宋体" w:cs="宋体"/>
          <w:sz w:val="24"/>
        </w:rPr>
        <w:t xml:space="preserve">6.4.1   </w:t>
      </w:r>
      <w:r>
        <w:rPr>
          <w:rFonts w:hint="eastAsia" w:ascii="宋体" w:hAnsi="宋体" w:cs="宋体"/>
          <w:sz w:val="24"/>
        </w:rPr>
        <w:fldChar w:fldCharType="begin"/>
      </w:r>
      <w:r>
        <w:rPr>
          <w:rFonts w:hint="eastAsia" w:ascii="宋体" w:hAnsi="宋体" w:cs="宋体"/>
          <w:sz w:val="24"/>
        </w:rPr>
        <w:instrText xml:space="preserve"> = 1 \* GB2 </w:instrText>
      </w:r>
      <w:r>
        <w:rPr>
          <w:rFonts w:hint="eastAsia" w:ascii="宋体" w:hAnsi="宋体" w:cs="宋体"/>
          <w:sz w:val="24"/>
        </w:rPr>
        <w:fldChar w:fldCharType="separate"/>
      </w:r>
      <w:r>
        <w:rPr>
          <w:rFonts w:hint="eastAsia" w:ascii="宋体" w:hAnsi="宋体" w:cs="宋体"/>
          <w:sz w:val="24"/>
        </w:rPr>
        <w:t>⑴</w:t>
      </w:r>
      <w:r>
        <w:rPr>
          <w:rFonts w:hint="eastAsia" w:ascii="宋体" w:hAnsi="宋体" w:cs="宋体"/>
          <w:sz w:val="24"/>
        </w:rPr>
        <w:fldChar w:fldCharType="end"/>
      </w:r>
      <w:r>
        <w:rPr>
          <w:rFonts w:hint="eastAsia" w:ascii="宋体" w:hAnsi="宋体" w:cs="宋体"/>
          <w:sz w:val="24"/>
        </w:rPr>
        <w:t>对投标文件中含义不明确、同类问题表述不一致或者有明显文字和计算错误的内容，</w:t>
      </w:r>
      <w:r>
        <w:rPr>
          <w:rFonts w:hint="eastAsia" w:ascii="宋体" w:hAnsi="宋体" w:cs="宋体"/>
          <w:b/>
          <w:sz w:val="24"/>
        </w:rPr>
        <w:t>评标委员会通过乐采云平台要求供应商作出必要的澄清、说明或者补正。电子投标文件的澄清、说明或者补正采用乐采云平台交换数据电文，供应商提交的澄清、说明或补正的时间为30分钟（供应商务必在线等待，留意手机短信，及时在线澄清、说明或补正）。</w:t>
      </w:r>
      <w:r>
        <w:rPr>
          <w:rFonts w:hint="eastAsia" w:ascii="宋体" w:hAnsi="宋体" w:cs="宋体"/>
          <w:sz w:val="24"/>
        </w:rPr>
        <w:t>供应商的澄清、说明或者补正不得超出投标文件的范围或者改变投标文件的实质性内容；</w:t>
      </w:r>
    </w:p>
    <w:p>
      <w:pPr>
        <w:spacing w:line="360" w:lineRule="auto"/>
        <w:ind w:left="960" w:hanging="960" w:hangingChars="400"/>
        <w:rPr>
          <w:rFonts w:ascii="宋体" w:hAnsi="宋体" w:cs="宋体"/>
          <w:sz w:val="24"/>
        </w:rPr>
      </w:pPr>
      <w:r>
        <w:rPr>
          <w:rFonts w:hint="eastAsia" w:ascii="宋体" w:hAnsi="宋体" w:cs="宋体"/>
          <w:sz w:val="24"/>
        </w:rPr>
        <w:t xml:space="preserve">        </w:t>
      </w:r>
      <w:r>
        <w:rPr>
          <w:rFonts w:hint="eastAsia" w:ascii="宋体" w:hAnsi="宋体" w:cs="宋体"/>
          <w:sz w:val="24"/>
        </w:rPr>
        <w:fldChar w:fldCharType="begin"/>
      </w:r>
      <w:r>
        <w:rPr>
          <w:rFonts w:hint="eastAsia" w:ascii="宋体" w:hAnsi="宋体" w:cs="宋体"/>
          <w:sz w:val="24"/>
        </w:rPr>
        <w:instrText xml:space="preserve"> = 2 \* GB2 </w:instrText>
      </w:r>
      <w:r>
        <w:rPr>
          <w:rFonts w:hint="eastAsia" w:ascii="宋体" w:hAnsi="宋体" w:cs="宋体"/>
          <w:sz w:val="24"/>
        </w:rPr>
        <w:fldChar w:fldCharType="separate"/>
      </w:r>
      <w:r>
        <w:rPr>
          <w:rFonts w:hint="eastAsia" w:ascii="宋体" w:hAnsi="宋体" w:cs="宋体"/>
          <w:sz w:val="24"/>
        </w:rPr>
        <w:t>⑵</w:t>
      </w:r>
      <w:r>
        <w:rPr>
          <w:rFonts w:hint="eastAsia" w:ascii="宋体" w:hAnsi="宋体" w:cs="宋体"/>
          <w:sz w:val="24"/>
        </w:rPr>
        <w:fldChar w:fldCharType="end"/>
      </w:r>
      <w:r>
        <w:rPr>
          <w:rFonts w:hint="eastAsia" w:ascii="宋体" w:hAnsi="宋体" w:cs="宋体"/>
          <w:sz w:val="24"/>
        </w:rPr>
        <w:t xml:space="preserve">供应商的的澄清、说明或补正将作为投标文件的一部分； </w:t>
      </w:r>
    </w:p>
    <w:p>
      <w:pPr>
        <w:spacing w:line="360" w:lineRule="auto"/>
        <w:ind w:left="960" w:hanging="960" w:hangingChars="400"/>
        <w:rPr>
          <w:rFonts w:ascii="宋体" w:hAnsi="宋体" w:cs="宋体"/>
          <w:sz w:val="24"/>
        </w:rPr>
      </w:pPr>
      <w:r>
        <w:rPr>
          <w:rFonts w:hint="eastAsia" w:ascii="宋体" w:hAnsi="宋体" w:cs="宋体"/>
          <w:sz w:val="24"/>
        </w:rPr>
        <w:t>6.4.2   评审时评标委员会认为供应商的报价明显低于其他通过符合性审查供应商的报价，有可能影响产品质量或者不能诚信履约的，在评标合理的时间内说明原因和提供证明材料；</w:t>
      </w:r>
    </w:p>
    <w:p>
      <w:pPr>
        <w:spacing w:line="360" w:lineRule="auto"/>
        <w:ind w:left="960" w:hanging="960" w:hangingChars="400"/>
        <w:rPr>
          <w:rFonts w:ascii="宋体" w:hAnsi="宋体" w:cs="宋体"/>
          <w:sz w:val="24"/>
        </w:rPr>
      </w:pPr>
      <w:r>
        <w:rPr>
          <w:rFonts w:hint="eastAsia" w:ascii="宋体" w:hAnsi="宋体" w:cs="宋体"/>
          <w:sz w:val="24"/>
        </w:rPr>
        <w:t>6.4.3   不接受供应商主动对投标文件的澄清、说明或者补正。</w:t>
      </w:r>
    </w:p>
    <w:p>
      <w:pPr>
        <w:pStyle w:val="234"/>
        <w:rPr>
          <w:rFonts w:ascii="宋体" w:eastAsia="宋体"/>
        </w:rPr>
      </w:pPr>
      <w:bookmarkStart w:id="172" w:name="_Toc34895567"/>
      <w:bookmarkStart w:id="173" w:name="_Toc531359022"/>
      <w:r>
        <w:rPr>
          <w:rFonts w:hint="eastAsia" w:ascii="宋体" w:eastAsia="宋体"/>
        </w:rPr>
        <w:t>6.5     报价错误修正</w:t>
      </w:r>
      <w:bookmarkEnd w:id="172"/>
      <w:bookmarkEnd w:id="173"/>
    </w:p>
    <w:p>
      <w:pPr>
        <w:spacing w:line="360" w:lineRule="auto"/>
        <w:ind w:left="960" w:hanging="960" w:hangingChars="400"/>
        <w:rPr>
          <w:rFonts w:ascii="宋体" w:hAnsi="宋体" w:cs="宋体"/>
          <w:sz w:val="24"/>
        </w:rPr>
      </w:pPr>
      <w:r>
        <w:rPr>
          <w:rFonts w:hint="eastAsia" w:ascii="宋体" w:hAnsi="宋体" w:cs="宋体"/>
          <w:sz w:val="24"/>
        </w:rPr>
        <w:t>6.5.1   评标委员会对确定投标文件为实质上响应招标文件要求的，投标文件报价出现前后不一致的，按照下列规定修正：</w:t>
      </w:r>
    </w:p>
    <w:p>
      <w:pPr>
        <w:spacing w:line="360" w:lineRule="auto"/>
        <w:ind w:left="1185" w:leftChars="450" w:hanging="240" w:hangingChars="1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GB2 </w:instrText>
      </w:r>
      <w:r>
        <w:rPr>
          <w:rFonts w:hint="eastAsia" w:ascii="宋体" w:hAnsi="宋体" w:cs="宋体"/>
          <w:sz w:val="24"/>
        </w:rPr>
        <w:fldChar w:fldCharType="separate"/>
      </w:r>
      <w:r>
        <w:rPr>
          <w:rFonts w:hint="eastAsia" w:ascii="宋体" w:hAnsi="宋体" w:cs="宋体"/>
          <w:sz w:val="24"/>
        </w:rPr>
        <w:t>⑴</w:t>
      </w:r>
      <w:r>
        <w:rPr>
          <w:rFonts w:hint="eastAsia" w:ascii="宋体" w:hAnsi="宋体" w:cs="宋体"/>
          <w:sz w:val="24"/>
        </w:rPr>
        <w:fldChar w:fldCharType="end"/>
      </w:r>
      <w:r>
        <w:rPr>
          <w:rFonts w:hint="eastAsia" w:ascii="宋体" w:hAnsi="宋体" w:cs="宋体"/>
          <w:kern w:val="0"/>
          <w:sz w:val="24"/>
        </w:rPr>
        <w:t>报价文件</w:t>
      </w:r>
      <w:r>
        <w:rPr>
          <w:rFonts w:hint="eastAsia" w:ascii="宋体" w:hAnsi="宋体" w:cs="宋体"/>
          <w:bCs/>
          <w:sz w:val="24"/>
        </w:rPr>
        <w:t>中开标一览表（报价表）内容与</w:t>
      </w:r>
      <w:r>
        <w:rPr>
          <w:rFonts w:hint="eastAsia" w:ascii="宋体" w:hAnsi="宋体" w:cs="宋体"/>
          <w:kern w:val="0"/>
          <w:sz w:val="24"/>
        </w:rPr>
        <w:t>报价</w:t>
      </w:r>
      <w:r>
        <w:rPr>
          <w:rFonts w:hint="eastAsia" w:ascii="宋体" w:hAnsi="宋体" w:cs="宋体"/>
          <w:bCs/>
          <w:sz w:val="24"/>
        </w:rPr>
        <w:t>明细表相应内容不一致的，以开标一览表（报价表）为准；</w:t>
      </w:r>
    </w:p>
    <w:p>
      <w:pPr>
        <w:spacing w:line="360" w:lineRule="auto"/>
        <w:ind w:left="1185" w:leftChars="450" w:hanging="240" w:hangingChars="100"/>
        <w:rPr>
          <w:rFonts w:ascii="宋体" w:hAnsi="宋体" w:cs="宋体"/>
          <w:bCs/>
          <w:sz w:val="24"/>
        </w:rPr>
      </w:pPr>
      <w:r>
        <w:rPr>
          <w:rFonts w:hint="eastAsia" w:ascii="宋体" w:hAnsi="宋体" w:cs="宋体"/>
          <w:sz w:val="24"/>
        </w:rPr>
        <w:fldChar w:fldCharType="begin"/>
      </w:r>
      <w:r>
        <w:rPr>
          <w:rFonts w:hint="eastAsia" w:ascii="宋体" w:hAnsi="宋体" w:cs="宋体"/>
          <w:sz w:val="24"/>
        </w:rPr>
        <w:instrText xml:space="preserve"> = 2 \* GB2 </w:instrText>
      </w:r>
      <w:r>
        <w:rPr>
          <w:rFonts w:hint="eastAsia" w:ascii="宋体" w:hAnsi="宋体" w:cs="宋体"/>
          <w:sz w:val="24"/>
        </w:rPr>
        <w:fldChar w:fldCharType="separate"/>
      </w:r>
      <w:r>
        <w:rPr>
          <w:rFonts w:hint="eastAsia" w:ascii="宋体" w:hAnsi="宋体" w:cs="宋体"/>
          <w:sz w:val="24"/>
        </w:rPr>
        <w:t>⑵</w:t>
      </w:r>
      <w:r>
        <w:rPr>
          <w:rFonts w:hint="eastAsia" w:ascii="宋体" w:hAnsi="宋体" w:cs="宋体"/>
          <w:sz w:val="24"/>
        </w:rPr>
        <w:fldChar w:fldCharType="end"/>
      </w:r>
      <w:r>
        <w:rPr>
          <w:rFonts w:hint="eastAsia" w:ascii="宋体" w:hAnsi="宋体" w:cs="宋体"/>
          <w:bCs/>
          <w:sz w:val="24"/>
        </w:rPr>
        <w:t>报价文件的大写金额和小写金额不一致的，以大写金额为准；</w:t>
      </w:r>
    </w:p>
    <w:p>
      <w:pPr>
        <w:spacing w:line="360" w:lineRule="auto"/>
        <w:ind w:left="1185" w:leftChars="450" w:hanging="240" w:hangingChars="100"/>
        <w:rPr>
          <w:rFonts w:ascii="宋体" w:hAnsi="宋体" w:cs="宋体"/>
          <w:bCs/>
          <w:sz w:val="24"/>
        </w:rPr>
      </w:pPr>
      <w:r>
        <w:rPr>
          <w:rFonts w:hint="eastAsia" w:ascii="宋体" w:hAnsi="宋体" w:cs="宋体"/>
          <w:bCs/>
          <w:sz w:val="24"/>
        </w:rPr>
        <w:fldChar w:fldCharType="begin"/>
      </w:r>
      <w:r>
        <w:rPr>
          <w:rFonts w:hint="eastAsia" w:ascii="宋体" w:hAnsi="宋体" w:cs="宋体"/>
          <w:bCs/>
          <w:sz w:val="24"/>
        </w:rPr>
        <w:instrText xml:space="preserve"> = 3 \* GB2 </w:instrText>
      </w:r>
      <w:r>
        <w:rPr>
          <w:rFonts w:hint="eastAsia" w:ascii="宋体" w:hAnsi="宋体" w:cs="宋体"/>
          <w:bCs/>
          <w:sz w:val="24"/>
        </w:rPr>
        <w:fldChar w:fldCharType="separate"/>
      </w:r>
      <w:r>
        <w:rPr>
          <w:rFonts w:hint="eastAsia" w:ascii="宋体" w:hAnsi="宋体" w:cs="宋体"/>
          <w:bCs/>
          <w:sz w:val="24"/>
        </w:rPr>
        <w:t>⑶</w:t>
      </w:r>
      <w:r>
        <w:rPr>
          <w:rFonts w:hint="eastAsia" w:ascii="宋体" w:hAnsi="宋体" w:cs="宋体"/>
          <w:bCs/>
          <w:sz w:val="24"/>
        </w:rPr>
        <w:fldChar w:fldCharType="end"/>
      </w:r>
      <w:r>
        <w:rPr>
          <w:rFonts w:hint="eastAsia" w:ascii="宋体" w:hAnsi="宋体" w:cs="宋体"/>
          <w:bCs/>
          <w:sz w:val="24"/>
        </w:rPr>
        <w:t>单价金额小数点或者百分比有明显错位的，以开标一览表（报价表）的总价为准，并修改单价；</w:t>
      </w:r>
    </w:p>
    <w:p>
      <w:pPr>
        <w:spacing w:line="360" w:lineRule="auto"/>
        <w:ind w:left="1185" w:leftChars="450" w:hanging="240" w:hangingChars="100"/>
        <w:rPr>
          <w:rFonts w:ascii="宋体" w:hAnsi="宋体" w:cs="宋体"/>
          <w:bCs/>
          <w:sz w:val="24"/>
        </w:rPr>
      </w:pPr>
      <w:r>
        <w:rPr>
          <w:rFonts w:hint="eastAsia" w:ascii="宋体" w:hAnsi="宋体" w:cs="宋体"/>
          <w:bCs/>
          <w:sz w:val="24"/>
        </w:rPr>
        <w:fldChar w:fldCharType="begin"/>
      </w:r>
      <w:r>
        <w:rPr>
          <w:rFonts w:hint="eastAsia" w:ascii="宋体" w:hAnsi="宋体" w:cs="宋体"/>
          <w:bCs/>
          <w:sz w:val="24"/>
        </w:rPr>
        <w:instrText xml:space="preserve"> = 4 \* GB2 </w:instrText>
      </w:r>
      <w:r>
        <w:rPr>
          <w:rFonts w:hint="eastAsia" w:ascii="宋体" w:hAnsi="宋体" w:cs="宋体"/>
          <w:bCs/>
          <w:sz w:val="24"/>
        </w:rPr>
        <w:fldChar w:fldCharType="separate"/>
      </w:r>
      <w:r>
        <w:rPr>
          <w:rFonts w:hint="eastAsia" w:ascii="宋体" w:hAnsi="宋体" w:cs="宋体"/>
          <w:bCs/>
          <w:sz w:val="24"/>
        </w:rPr>
        <w:t>⑷</w:t>
      </w:r>
      <w:r>
        <w:rPr>
          <w:rFonts w:hint="eastAsia" w:ascii="宋体" w:hAnsi="宋体" w:cs="宋体"/>
          <w:bCs/>
          <w:sz w:val="24"/>
        </w:rPr>
        <w:fldChar w:fldCharType="end"/>
      </w:r>
      <w:r>
        <w:rPr>
          <w:rFonts w:hint="eastAsia" w:ascii="宋体" w:hAnsi="宋体" w:cs="宋体"/>
          <w:bCs/>
          <w:sz w:val="24"/>
        </w:rPr>
        <w:t>总价金额与按单价汇总金额不一致的，以单价金额计算结果为准；</w:t>
      </w:r>
    </w:p>
    <w:p>
      <w:pPr>
        <w:spacing w:line="360" w:lineRule="auto"/>
        <w:ind w:left="840" w:leftChars="400" w:firstLine="120" w:firstLineChars="50"/>
        <w:rPr>
          <w:rFonts w:ascii="宋体" w:hAnsi="宋体" w:cs="宋体"/>
          <w:bCs/>
          <w:sz w:val="24"/>
        </w:rPr>
      </w:pPr>
      <w:r>
        <w:rPr>
          <w:rFonts w:hint="eastAsia" w:ascii="宋体" w:hAnsi="宋体" w:cs="宋体"/>
          <w:bCs/>
          <w:sz w:val="24"/>
        </w:rPr>
        <w:fldChar w:fldCharType="begin"/>
      </w:r>
      <w:r>
        <w:rPr>
          <w:rFonts w:hint="eastAsia" w:ascii="宋体" w:hAnsi="宋体" w:cs="宋体"/>
          <w:bCs/>
          <w:sz w:val="24"/>
        </w:rPr>
        <w:instrText xml:space="preserve"> = 5 \* GB2 </w:instrText>
      </w:r>
      <w:r>
        <w:rPr>
          <w:rFonts w:hint="eastAsia" w:ascii="宋体" w:hAnsi="宋体" w:cs="宋体"/>
          <w:bCs/>
          <w:sz w:val="24"/>
        </w:rPr>
        <w:fldChar w:fldCharType="separate"/>
      </w:r>
      <w:r>
        <w:rPr>
          <w:rFonts w:hint="eastAsia" w:ascii="宋体" w:hAnsi="宋体" w:cs="宋体"/>
          <w:bCs/>
          <w:sz w:val="24"/>
        </w:rPr>
        <w:t>⑸</w:t>
      </w:r>
      <w:r>
        <w:rPr>
          <w:rFonts w:hint="eastAsia" w:ascii="宋体" w:hAnsi="宋体" w:cs="宋体"/>
          <w:bCs/>
          <w:sz w:val="24"/>
        </w:rPr>
        <w:fldChar w:fldCharType="end"/>
      </w:r>
      <w:r>
        <w:rPr>
          <w:rFonts w:hint="eastAsia" w:ascii="宋体" w:hAnsi="宋体" w:cs="宋体"/>
          <w:bCs/>
          <w:sz w:val="24"/>
        </w:rPr>
        <w:t>同时出现两种以上不一致的，按上述顺序修正；</w:t>
      </w:r>
    </w:p>
    <w:p>
      <w:pPr>
        <w:spacing w:line="360" w:lineRule="auto"/>
        <w:ind w:left="840" w:leftChars="400" w:firstLine="120" w:firstLineChars="50"/>
        <w:rPr>
          <w:rFonts w:ascii="宋体" w:hAnsi="宋体" w:cs="宋体"/>
          <w:bCs/>
          <w:sz w:val="24"/>
        </w:rPr>
      </w:pPr>
      <w:r>
        <w:rPr>
          <w:rFonts w:hint="eastAsia" w:ascii="宋体" w:hAnsi="宋体" w:cs="宋体"/>
          <w:bCs/>
          <w:sz w:val="24"/>
        </w:rPr>
        <w:fldChar w:fldCharType="begin"/>
      </w:r>
      <w:r>
        <w:rPr>
          <w:rFonts w:hint="eastAsia" w:ascii="宋体" w:hAnsi="宋体" w:cs="宋体"/>
          <w:bCs/>
          <w:sz w:val="24"/>
        </w:rPr>
        <w:instrText xml:space="preserve"> = 6 \* GB2 </w:instrText>
      </w:r>
      <w:r>
        <w:rPr>
          <w:rFonts w:hint="eastAsia" w:ascii="宋体" w:hAnsi="宋体" w:cs="宋体"/>
          <w:bCs/>
          <w:sz w:val="24"/>
        </w:rPr>
        <w:fldChar w:fldCharType="separate"/>
      </w:r>
      <w:r>
        <w:rPr>
          <w:rFonts w:hint="eastAsia" w:ascii="宋体" w:hAnsi="宋体" w:cs="宋体"/>
          <w:bCs/>
          <w:sz w:val="24"/>
        </w:rPr>
        <w:t>⑹</w:t>
      </w:r>
      <w:r>
        <w:rPr>
          <w:rFonts w:hint="eastAsia" w:ascii="宋体" w:hAnsi="宋体" w:cs="宋体"/>
          <w:bCs/>
          <w:sz w:val="24"/>
        </w:rPr>
        <w:fldChar w:fldCharType="end"/>
      </w:r>
      <w:r>
        <w:rPr>
          <w:rFonts w:hint="eastAsia" w:ascii="宋体" w:hAnsi="宋体" w:cs="宋体"/>
          <w:bCs/>
          <w:sz w:val="24"/>
        </w:rPr>
        <w:t>对不同文字文本</w:t>
      </w:r>
      <w:r>
        <w:rPr>
          <w:rFonts w:hint="eastAsia" w:ascii="宋体" w:hAnsi="宋体" w:cs="宋体"/>
          <w:kern w:val="0"/>
          <w:sz w:val="24"/>
        </w:rPr>
        <w:t>投标文件</w:t>
      </w:r>
      <w:r>
        <w:rPr>
          <w:rFonts w:hint="eastAsia" w:ascii="宋体" w:hAnsi="宋体" w:cs="宋体"/>
          <w:bCs/>
          <w:sz w:val="24"/>
        </w:rPr>
        <w:t>的解释发生异议的，以中文文本为准；</w:t>
      </w:r>
    </w:p>
    <w:p>
      <w:pPr>
        <w:spacing w:line="360" w:lineRule="auto"/>
        <w:ind w:left="1185" w:leftChars="450" w:hanging="240" w:hangingChars="100"/>
        <w:rPr>
          <w:rFonts w:ascii="宋体" w:hAnsi="宋体" w:cs="宋体"/>
          <w:sz w:val="24"/>
        </w:rPr>
      </w:pPr>
      <w:r>
        <w:rPr>
          <w:rFonts w:hint="eastAsia" w:ascii="宋体" w:hAnsi="宋体" w:cs="宋体"/>
          <w:bCs/>
          <w:sz w:val="24"/>
        </w:rPr>
        <w:fldChar w:fldCharType="begin"/>
      </w:r>
      <w:r>
        <w:rPr>
          <w:rFonts w:hint="eastAsia" w:ascii="宋体" w:hAnsi="宋体" w:cs="宋体"/>
          <w:bCs/>
          <w:sz w:val="24"/>
        </w:rPr>
        <w:instrText xml:space="preserve"> = 7 \* GB2 </w:instrText>
      </w:r>
      <w:r>
        <w:rPr>
          <w:rFonts w:hint="eastAsia" w:ascii="宋体" w:hAnsi="宋体" w:cs="宋体"/>
          <w:bCs/>
          <w:sz w:val="24"/>
        </w:rPr>
        <w:fldChar w:fldCharType="separate"/>
      </w:r>
      <w:r>
        <w:rPr>
          <w:rFonts w:hint="eastAsia" w:ascii="宋体" w:hAnsi="宋体" w:cs="宋体"/>
          <w:bCs/>
          <w:sz w:val="24"/>
        </w:rPr>
        <w:t>⑺</w:t>
      </w:r>
      <w:r>
        <w:rPr>
          <w:rFonts w:hint="eastAsia" w:ascii="宋体" w:hAnsi="宋体" w:cs="宋体"/>
          <w:bCs/>
          <w:sz w:val="24"/>
        </w:rPr>
        <w:fldChar w:fldCharType="end"/>
      </w:r>
      <w:r>
        <w:rPr>
          <w:rFonts w:hint="eastAsia" w:ascii="宋体" w:hAnsi="宋体" w:cs="宋体"/>
          <w:sz w:val="24"/>
        </w:rPr>
        <w:t>修正错误的投标报价，经供应商在线签章确认后产生约束力。调整后的投标报价对供应商具有约束作用。若供应商不接受修正后的投标报价，则其投标无效。</w:t>
      </w:r>
    </w:p>
    <w:p>
      <w:pPr>
        <w:pStyle w:val="234"/>
        <w:rPr>
          <w:rFonts w:ascii="宋体" w:eastAsia="宋体"/>
        </w:rPr>
      </w:pPr>
      <w:bookmarkStart w:id="174" w:name="_Toc34895568"/>
      <w:bookmarkStart w:id="175" w:name="_Toc531359024"/>
      <w:r>
        <w:rPr>
          <w:rFonts w:hint="eastAsia" w:ascii="宋体" w:eastAsia="宋体"/>
        </w:rPr>
        <w:t>6.6     评标报告</w:t>
      </w:r>
      <w:bookmarkEnd w:id="174"/>
      <w:bookmarkEnd w:id="175"/>
    </w:p>
    <w:p>
      <w:pPr>
        <w:spacing w:line="360" w:lineRule="auto"/>
        <w:ind w:left="960" w:hanging="960" w:hangingChars="400"/>
        <w:rPr>
          <w:rFonts w:ascii="宋体" w:hAnsi="宋体" w:cs="宋体"/>
          <w:sz w:val="24"/>
        </w:rPr>
      </w:pPr>
      <w:r>
        <w:rPr>
          <w:rFonts w:hint="eastAsia" w:ascii="宋体" w:hAnsi="宋体" w:cs="宋体"/>
          <w:sz w:val="24"/>
        </w:rPr>
        <w:t>6.6.1   评审结果汇总，同品牌供应商的确定，供应商结果排序；</w:t>
      </w:r>
    </w:p>
    <w:p>
      <w:pPr>
        <w:spacing w:line="360" w:lineRule="auto"/>
        <w:ind w:left="960" w:hanging="960" w:hangingChars="400"/>
        <w:rPr>
          <w:rFonts w:ascii="宋体" w:hAnsi="宋体" w:cs="宋体"/>
          <w:sz w:val="24"/>
        </w:rPr>
      </w:pPr>
      <w:r>
        <w:rPr>
          <w:rFonts w:hint="eastAsia" w:ascii="宋体" w:hAnsi="宋体" w:cs="宋体"/>
          <w:sz w:val="24"/>
        </w:rPr>
        <w:t>6.6.2   评标委员会根据全体评审成员签字的原始评审记录和评审结果编写评标报告，并推荐中标候选人或确定中标人；</w:t>
      </w:r>
    </w:p>
    <w:p>
      <w:pPr>
        <w:spacing w:line="360" w:lineRule="auto"/>
        <w:ind w:left="960" w:hanging="960" w:hangingChars="400"/>
        <w:rPr>
          <w:rFonts w:ascii="宋体" w:hAnsi="宋体" w:cs="宋体"/>
          <w:sz w:val="24"/>
        </w:rPr>
      </w:pPr>
      <w:r>
        <w:rPr>
          <w:rFonts w:hint="eastAsia" w:ascii="宋体" w:hAnsi="宋体" w:cs="宋体"/>
          <w:sz w:val="24"/>
        </w:rPr>
        <w:t>6.6.3   评标报告由评标委员会成员签字确认生效，持不同意见的评标委员会成员应当在评标报告上签署不同意见及理由，否则视为同意评标报告；</w:t>
      </w:r>
    </w:p>
    <w:p>
      <w:pPr>
        <w:spacing w:line="360" w:lineRule="auto"/>
        <w:ind w:left="960" w:hanging="960" w:hangingChars="400"/>
        <w:rPr>
          <w:rFonts w:ascii="宋体" w:hAnsi="宋体" w:cs="宋体"/>
          <w:sz w:val="24"/>
        </w:rPr>
      </w:pPr>
      <w:r>
        <w:rPr>
          <w:rFonts w:hint="eastAsia" w:ascii="宋体" w:hAnsi="宋体" w:cs="宋体"/>
          <w:sz w:val="24"/>
        </w:rPr>
        <w:t>6.6.4   评标结束后，采购代理机构通过中标公告的形式宣布评标结果。</w:t>
      </w:r>
    </w:p>
    <w:p>
      <w:pPr>
        <w:pStyle w:val="44"/>
        <w:spacing w:beforeLines="100" w:after="240" w:afterLines="100"/>
        <w:jc w:val="left"/>
        <w:outlineLvl w:val="1"/>
        <w:rPr>
          <w:rFonts w:ascii="宋体" w:hAnsi="宋体" w:cs="宋体"/>
          <w:sz w:val="30"/>
          <w:szCs w:val="30"/>
        </w:rPr>
      </w:pPr>
      <w:bookmarkStart w:id="176" w:name="_Toc531359025"/>
      <w:bookmarkStart w:id="177" w:name="_Toc34895569"/>
      <w:bookmarkStart w:id="178" w:name="_Toc523398512"/>
      <w:r>
        <w:rPr>
          <w:rFonts w:hint="eastAsia" w:ascii="宋体" w:hAnsi="宋体" w:cs="宋体"/>
          <w:sz w:val="30"/>
          <w:szCs w:val="30"/>
        </w:rPr>
        <w:t xml:space="preserve">七    </w:t>
      </w:r>
      <w:r>
        <w:rPr>
          <w:rFonts w:hint="eastAsia" w:ascii="宋体" w:hAnsi="宋体" w:cs="宋体"/>
          <w:sz w:val="24"/>
          <w:szCs w:val="24"/>
        </w:rPr>
        <w:t>▲</w:t>
      </w:r>
      <w:r>
        <w:rPr>
          <w:rFonts w:hint="eastAsia" w:ascii="宋体" w:hAnsi="宋体" w:cs="宋体"/>
          <w:sz w:val="30"/>
          <w:szCs w:val="30"/>
        </w:rPr>
        <w:t>投标无效的情形</w:t>
      </w:r>
      <w:bookmarkEnd w:id="176"/>
      <w:bookmarkEnd w:id="177"/>
      <w:bookmarkEnd w:id="178"/>
    </w:p>
    <w:p>
      <w:pPr>
        <w:pStyle w:val="234"/>
        <w:rPr>
          <w:rFonts w:ascii="宋体" w:eastAsia="宋体"/>
        </w:rPr>
      </w:pPr>
      <w:bookmarkStart w:id="179" w:name="_Toc34895570"/>
      <w:r>
        <w:rPr>
          <w:rFonts w:hint="eastAsia" w:ascii="宋体" w:eastAsia="宋体"/>
        </w:rPr>
        <w:t>7.1     在开标时，如发现有以下情形之一的，其投标无效</w:t>
      </w:r>
      <w:bookmarkEnd w:id="179"/>
    </w:p>
    <w:p>
      <w:pPr>
        <w:spacing w:line="360" w:lineRule="auto"/>
        <w:ind w:left="840" w:leftChars="400" w:firstLine="120" w:firstLineChars="50"/>
        <w:rPr>
          <w:rFonts w:ascii="宋体" w:hAnsi="宋体" w:cs="宋体"/>
          <w:bCs/>
          <w:sz w:val="24"/>
        </w:rPr>
      </w:pPr>
      <w:r>
        <w:rPr>
          <w:rFonts w:hint="eastAsia" w:ascii="宋体" w:hAnsi="宋体" w:cs="宋体"/>
          <w:bCs/>
          <w:sz w:val="24"/>
        </w:rPr>
        <w:fldChar w:fldCharType="begin"/>
      </w:r>
      <w:r>
        <w:rPr>
          <w:rFonts w:hint="eastAsia" w:ascii="宋体" w:hAnsi="宋体" w:cs="宋体"/>
          <w:bCs/>
          <w:sz w:val="24"/>
        </w:rPr>
        <w:instrText xml:space="preserve"> = 1 \* GB2 </w:instrText>
      </w:r>
      <w:r>
        <w:rPr>
          <w:rFonts w:hint="eastAsia" w:ascii="宋体" w:hAnsi="宋体" w:cs="宋体"/>
          <w:bCs/>
          <w:sz w:val="24"/>
        </w:rPr>
        <w:fldChar w:fldCharType="separate"/>
      </w:r>
      <w:r>
        <w:rPr>
          <w:rFonts w:hint="eastAsia" w:ascii="宋体" w:hAnsi="宋体" w:cs="宋体"/>
          <w:bCs/>
          <w:sz w:val="24"/>
        </w:rPr>
        <w:t>⑴</w:t>
      </w:r>
      <w:r>
        <w:rPr>
          <w:rFonts w:hint="eastAsia" w:ascii="宋体" w:hAnsi="宋体" w:cs="宋体"/>
          <w:bCs/>
          <w:sz w:val="24"/>
        </w:rPr>
        <w:fldChar w:fldCharType="end"/>
      </w:r>
      <w:r>
        <w:rPr>
          <w:rFonts w:hint="eastAsia" w:ascii="宋体" w:hAnsi="宋体" w:cs="宋体"/>
          <w:bCs/>
          <w:sz w:val="24"/>
        </w:rPr>
        <w:t>未按要求提交电子加密投标文件的；</w:t>
      </w:r>
    </w:p>
    <w:p>
      <w:pPr>
        <w:spacing w:line="360" w:lineRule="auto"/>
        <w:ind w:left="840" w:leftChars="400" w:firstLine="120" w:firstLineChars="50"/>
        <w:rPr>
          <w:rFonts w:ascii="宋体" w:hAnsi="宋体" w:cs="宋体"/>
          <w:bCs/>
          <w:sz w:val="24"/>
        </w:rPr>
      </w:pPr>
      <w:r>
        <w:rPr>
          <w:rFonts w:hint="eastAsia" w:ascii="宋体" w:hAnsi="宋体" w:cs="宋体"/>
          <w:bCs/>
          <w:sz w:val="24"/>
        </w:rPr>
        <w:fldChar w:fldCharType="begin"/>
      </w:r>
      <w:r>
        <w:rPr>
          <w:rFonts w:hint="eastAsia" w:ascii="宋体" w:hAnsi="宋体" w:cs="宋体"/>
          <w:bCs/>
          <w:sz w:val="24"/>
        </w:rPr>
        <w:instrText xml:space="preserve"> = 2 \* GB2 </w:instrText>
      </w:r>
      <w:r>
        <w:rPr>
          <w:rFonts w:hint="eastAsia" w:ascii="宋体" w:hAnsi="宋体" w:cs="宋体"/>
          <w:bCs/>
          <w:sz w:val="24"/>
        </w:rPr>
        <w:fldChar w:fldCharType="separate"/>
      </w:r>
      <w:r>
        <w:rPr>
          <w:rFonts w:hint="eastAsia" w:ascii="宋体" w:hAnsi="宋体" w:cs="宋体"/>
          <w:bCs/>
          <w:sz w:val="24"/>
        </w:rPr>
        <w:t>⑵</w:t>
      </w:r>
      <w:r>
        <w:rPr>
          <w:rFonts w:hint="eastAsia" w:ascii="宋体" w:hAnsi="宋体" w:cs="宋体"/>
          <w:bCs/>
          <w:sz w:val="24"/>
        </w:rPr>
        <w:fldChar w:fldCharType="end"/>
      </w:r>
      <w:r>
        <w:rPr>
          <w:rFonts w:hint="eastAsia" w:ascii="宋体" w:hAnsi="宋体" w:cs="宋体"/>
          <w:sz w:val="24"/>
        </w:rPr>
        <w:t>在规定时间内未解密电子加密投标文件；</w:t>
      </w:r>
    </w:p>
    <w:p>
      <w:pPr>
        <w:spacing w:line="360" w:lineRule="auto"/>
        <w:ind w:left="1185" w:leftChars="450" w:hanging="240" w:hangingChars="1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GB2 </w:instrText>
      </w:r>
      <w:r>
        <w:rPr>
          <w:rFonts w:hint="eastAsia" w:ascii="宋体" w:hAnsi="宋体" w:cs="宋体"/>
          <w:sz w:val="24"/>
        </w:rPr>
        <w:fldChar w:fldCharType="separate"/>
      </w:r>
      <w:r>
        <w:rPr>
          <w:rFonts w:hint="eastAsia" w:ascii="宋体" w:hAnsi="宋体" w:cs="宋体"/>
          <w:sz w:val="24"/>
        </w:rPr>
        <w:t>⑶</w:t>
      </w:r>
      <w:r>
        <w:rPr>
          <w:rFonts w:hint="eastAsia" w:ascii="宋体" w:hAnsi="宋体" w:cs="宋体"/>
          <w:sz w:val="24"/>
        </w:rPr>
        <w:fldChar w:fldCharType="end"/>
      </w:r>
      <w:r>
        <w:rPr>
          <w:rFonts w:hint="eastAsia" w:ascii="宋体" w:hAnsi="宋体" w:cs="宋体"/>
          <w:bCs/>
          <w:sz w:val="24"/>
        </w:rPr>
        <w:t>提交电子加密投标文件无法解密，且未提交备份投标文件</w:t>
      </w:r>
      <w:r>
        <w:rPr>
          <w:rFonts w:hint="eastAsia" w:ascii="宋体" w:hAnsi="宋体" w:cs="宋体"/>
          <w:sz w:val="24"/>
          <w:szCs w:val="24"/>
        </w:rPr>
        <w:t>（包括提交备份投标文件未按规定时间内提供解密密码或密码错误的）</w:t>
      </w:r>
      <w:r>
        <w:rPr>
          <w:rFonts w:hint="eastAsia" w:ascii="宋体" w:hAnsi="宋体" w:cs="宋体"/>
          <w:bCs/>
          <w:sz w:val="24"/>
        </w:rPr>
        <w:t>。</w:t>
      </w:r>
    </w:p>
    <w:p>
      <w:pPr>
        <w:pStyle w:val="234"/>
        <w:rPr>
          <w:rFonts w:ascii="宋体" w:eastAsia="宋体"/>
        </w:rPr>
      </w:pPr>
      <w:bookmarkStart w:id="180" w:name="_Toc34895571"/>
      <w:r>
        <w:rPr>
          <w:rFonts w:hint="eastAsia" w:ascii="宋体" w:eastAsia="宋体"/>
        </w:rPr>
        <w:t>7.2     在符合性审查时，如发现下列情形之一的，其投标无效</w:t>
      </w:r>
      <w:bookmarkEnd w:id="180"/>
    </w:p>
    <w:p>
      <w:pPr>
        <w:spacing w:line="360" w:lineRule="auto"/>
        <w:ind w:left="840" w:leftChars="400" w:firstLine="120" w:firstLineChars="50"/>
        <w:rPr>
          <w:rFonts w:ascii="宋体" w:hAnsi="宋体" w:cs="宋体"/>
          <w:bCs/>
          <w:sz w:val="24"/>
        </w:rPr>
      </w:pPr>
      <w:r>
        <w:rPr>
          <w:rFonts w:hint="eastAsia" w:ascii="宋体" w:hAnsi="宋体" w:cs="宋体"/>
          <w:bCs/>
          <w:sz w:val="24"/>
        </w:rPr>
        <w:fldChar w:fldCharType="begin"/>
      </w:r>
      <w:r>
        <w:rPr>
          <w:rFonts w:hint="eastAsia" w:ascii="宋体" w:hAnsi="宋体" w:cs="宋体"/>
          <w:bCs/>
          <w:sz w:val="24"/>
        </w:rPr>
        <w:instrText xml:space="preserve"> = 1 \* GB2 </w:instrText>
      </w:r>
      <w:r>
        <w:rPr>
          <w:rFonts w:hint="eastAsia" w:ascii="宋体" w:hAnsi="宋体" w:cs="宋体"/>
          <w:bCs/>
          <w:sz w:val="24"/>
        </w:rPr>
        <w:fldChar w:fldCharType="separate"/>
      </w:r>
      <w:r>
        <w:rPr>
          <w:rFonts w:hint="eastAsia" w:ascii="宋体" w:hAnsi="宋体" w:cs="宋体"/>
          <w:bCs/>
          <w:sz w:val="24"/>
        </w:rPr>
        <w:t>⑴</w:t>
      </w:r>
      <w:r>
        <w:rPr>
          <w:rFonts w:hint="eastAsia" w:ascii="宋体" w:hAnsi="宋体" w:cs="宋体"/>
          <w:bCs/>
          <w:sz w:val="24"/>
        </w:rPr>
        <w:fldChar w:fldCharType="end"/>
      </w:r>
      <w:r>
        <w:rPr>
          <w:rFonts w:hint="eastAsia" w:ascii="宋体" w:hAnsi="宋体" w:cs="宋体"/>
          <w:bCs/>
          <w:sz w:val="24"/>
        </w:rPr>
        <w:t>未按招标文件规定进行盖章的；</w:t>
      </w:r>
    </w:p>
    <w:p>
      <w:pPr>
        <w:spacing w:line="360" w:lineRule="auto"/>
        <w:ind w:left="840" w:leftChars="400" w:firstLine="120" w:firstLineChars="50"/>
        <w:rPr>
          <w:rFonts w:ascii="宋体" w:hAnsi="宋体" w:cs="宋体"/>
          <w:bCs/>
          <w:sz w:val="24"/>
        </w:rPr>
      </w:pPr>
      <w:r>
        <w:rPr>
          <w:rFonts w:hint="eastAsia" w:ascii="宋体" w:hAnsi="宋体" w:cs="宋体"/>
          <w:bCs/>
          <w:sz w:val="24"/>
        </w:rPr>
        <w:fldChar w:fldCharType="begin"/>
      </w:r>
      <w:r>
        <w:rPr>
          <w:rFonts w:hint="eastAsia" w:ascii="宋体" w:hAnsi="宋体" w:cs="宋体"/>
          <w:bCs/>
          <w:sz w:val="24"/>
        </w:rPr>
        <w:instrText xml:space="preserve"> = 2 \* GB2 </w:instrText>
      </w:r>
      <w:r>
        <w:rPr>
          <w:rFonts w:hint="eastAsia" w:ascii="宋体" w:hAnsi="宋体" w:cs="宋体"/>
          <w:bCs/>
          <w:sz w:val="24"/>
        </w:rPr>
        <w:fldChar w:fldCharType="separate"/>
      </w:r>
      <w:r>
        <w:rPr>
          <w:rFonts w:hint="eastAsia" w:ascii="宋体" w:hAnsi="宋体" w:cs="宋体"/>
          <w:bCs/>
          <w:sz w:val="24"/>
        </w:rPr>
        <w:t>⑵</w:t>
      </w:r>
      <w:r>
        <w:rPr>
          <w:rFonts w:hint="eastAsia" w:ascii="宋体" w:hAnsi="宋体" w:cs="宋体"/>
          <w:bCs/>
          <w:sz w:val="24"/>
        </w:rPr>
        <w:fldChar w:fldCharType="end"/>
      </w:r>
      <w:r>
        <w:rPr>
          <w:rFonts w:hint="eastAsia" w:ascii="宋体" w:hAnsi="宋体" w:cs="宋体"/>
          <w:sz w:val="24"/>
        </w:rPr>
        <w:t>未实质响应招标文件中带“</w:t>
      </w:r>
      <w:r>
        <w:rPr>
          <w:rFonts w:hint="eastAsia" w:ascii="宋体" w:hAnsi="宋体" w:cs="宋体"/>
          <w:bCs/>
          <w:sz w:val="24"/>
          <w:szCs w:val="24"/>
        </w:rPr>
        <w:t>▲</w:t>
      </w:r>
      <w:r>
        <w:rPr>
          <w:rFonts w:hint="eastAsia" w:ascii="宋体" w:hAnsi="宋体" w:cs="宋体"/>
          <w:sz w:val="24"/>
        </w:rPr>
        <w:t>”条款要求的投标文件</w:t>
      </w:r>
      <w:r>
        <w:rPr>
          <w:rFonts w:hint="eastAsia" w:ascii="宋体" w:hAnsi="宋体" w:cs="宋体"/>
          <w:bCs/>
          <w:sz w:val="24"/>
        </w:rPr>
        <w:t>；</w:t>
      </w:r>
    </w:p>
    <w:p>
      <w:pPr>
        <w:spacing w:line="360" w:lineRule="auto"/>
        <w:ind w:left="840" w:leftChars="400" w:firstLine="120" w:firstLineChars="50"/>
        <w:rPr>
          <w:rFonts w:ascii="宋体" w:hAnsi="宋体" w:cs="宋体"/>
          <w:sz w:val="24"/>
        </w:rPr>
      </w:pPr>
      <w:r>
        <w:rPr>
          <w:rFonts w:hint="eastAsia" w:ascii="宋体" w:hAnsi="宋体" w:cs="宋体"/>
          <w:bCs/>
          <w:sz w:val="24"/>
        </w:rPr>
        <w:fldChar w:fldCharType="begin"/>
      </w:r>
      <w:r>
        <w:rPr>
          <w:rFonts w:hint="eastAsia" w:ascii="宋体" w:hAnsi="宋体" w:cs="宋体"/>
          <w:bCs/>
          <w:sz w:val="24"/>
        </w:rPr>
        <w:instrText xml:space="preserve"> = 3 \* GB2 </w:instrText>
      </w:r>
      <w:r>
        <w:rPr>
          <w:rFonts w:hint="eastAsia" w:ascii="宋体" w:hAnsi="宋体" w:cs="宋体"/>
          <w:bCs/>
          <w:sz w:val="24"/>
        </w:rPr>
        <w:fldChar w:fldCharType="separate"/>
      </w:r>
      <w:r>
        <w:rPr>
          <w:rFonts w:hint="eastAsia" w:ascii="宋体" w:hAnsi="宋体" w:cs="宋体"/>
          <w:bCs/>
          <w:sz w:val="24"/>
        </w:rPr>
        <w:t>⑶</w:t>
      </w:r>
      <w:r>
        <w:rPr>
          <w:rFonts w:hint="eastAsia" w:ascii="宋体" w:hAnsi="宋体" w:cs="宋体"/>
          <w:bCs/>
          <w:sz w:val="24"/>
        </w:rPr>
        <w:fldChar w:fldCharType="end"/>
      </w:r>
      <w:r>
        <w:rPr>
          <w:rFonts w:hint="eastAsia" w:ascii="宋体" w:hAnsi="宋体" w:cs="宋体"/>
          <w:sz w:val="24"/>
        </w:rPr>
        <w:t>存在一个或一个以上备选（替代）投标方案的；</w:t>
      </w:r>
    </w:p>
    <w:p>
      <w:pPr>
        <w:spacing w:line="360" w:lineRule="auto"/>
        <w:ind w:left="840" w:leftChars="400" w:firstLine="120" w:firstLineChars="5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GB2 </w:instrText>
      </w:r>
      <w:r>
        <w:rPr>
          <w:rFonts w:hint="eastAsia" w:ascii="宋体" w:hAnsi="宋体" w:cs="宋体"/>
          <w:sz w:val="24"/>
        </w:rPr>
        <w:fldChar w:fldCharType="separate"/>
      </w:r>
      <w:r>
        <w:rPr>
          <w:rFonts w:hint="eastAsia" w:ascii="宋体" w:hAnsi="宋体" w:cs="宋体"/>
          <w:sz w:val="24"/>
        </w:rPr>
        <w:t>⑷</w:t>
      </w:r>
      <w:r>
        <w:rPr>
          <w:rFonts w:hint="eastAsia" w:ascii="宋体" w:hAnsi="宋体" w:cs="宋体"/>
          <w:sz w:val="24"/>
        </w:rPr>
        <w:fldChar w:fldCharType="end"/>
      </w:r>
      <w:r>
        <w:rPr>
          <w:rFonts w:hint="eastAsia" w:ascii="宋体" w:hAnsi="宋体" w:cs="宋体"/>
          <w:sz w:val="24"/>
        </w:rPr>
        <w:t>供应商提交两份或两份以上内容不同的投标文件，未声明哪一份有效的。</w:t>
      </w:r>
    </w:p>
    <w:p>
      <w:pPr>
        <w:pStyle w:val="4"/>
        <w:spacing w:before="0" w:after="0"/>
        <w:ind w:left="964" w:hanging="964" w:hangingChars="400"/>
        <w:rPr>
          <w:rFonts w:ascii="宋体" w:hAnsi="宋体" w:eastAsia="宋体" w:cs="宋体"/>
          <w:sz w:val="24"/>
          <w:szCs w:val="24"/>
        </w:rPr>
      </w:pPr>
      <w:bookmarkStart w:id="181" w:name="_Toc34895572"/>
      <w:r>
        <w:rPr>
          <w:rFonts w:hint="eastAsia" w:ascii="宋体" w:hAnsi="宋体" w:eastAsia="宋体" w:cs="宋体"/>
          <w:sz w:val="24"/>
          <w:szCs w:val="24"/>
        </w:rPr>
        <w:t>7.3     在资信商务技术评审时，如发现下列情形之一的，其投标无效</w:t>
      </w:r>
      <w:bookmarkEnd w:id="181"/>
    </w:p>
    <w:p>
      <w:pPr>
        <w:spacing w:line="360" w:lineRule="auto"/>
        <w:ind w:left="1185" w:leftChars="450" w:hanging="240" w:hangingChars="100"/>
        <w:rPr>
          <w:rFonts w:ascii="宋体" w:hAnsi="宋体" w:cs="宋体"/>
          <w:bCs/>
          <w:sz w:val="24"/>
        </w:rPr>
      </w:pPr>
      <w:r>
        <w:rPr>
          <w:rFonts w:hint="eastAsia" w:ascii="宋体" w:hAnsi="宋体" w:cs="宋体"/>
          <w:bCs/>
          <w:sz w:val="24"/>
        </w:rPr>
        <w:fldChar w:fldCharType="begin"/>
      </w:r>
      <w:r>
        <w:rPr>
          <w:rFonts w:hint="eastAsia" w:ascii="宋体" w:hAnsi="宋体" w:cs="宋体"/>
          <w:bCs/>
          <w:sz w:val="24"/>
        </w:rPr>
        <w:instrText xml:space="preserve"> = 1 \* GB2 </w:instrText>
      </w:r>
      <w:r>
        <w:rPr>
          <w:rFonts w:hint="eastAsia" w:ascii="宋体" w:hAnsi="宋体" w:cs="宋体"/>
          <w:bCs/>
          <w:sz w:val="24"/>
        </w:rPr>
        <w:fldChar w:fldCharType="separate"/>
      </w:r>
      <w:r>
        <w:rPr>
          <w:rFonts w:hint="eastAsia" w:ascii="宋体" w:hAnsi="宋体" w:cs="宋体"/>
          <w:bCs/>
          <w:sz w:val="24"/>
        </w:rPr>
        <w:t>⑴</w:t>
      </w:r>
      <w:r>
        <w:rPr>
          <w:rFonts w:hint="eastAsia" w:ascii="宋体" w:hAnsi="宋体" w:cs="宋体"/>
          <w:bCs/>
          <w:sz w:val="24"/>
        </w:rPr>
        <w:fldChar w:fldCharType="end"/>
      </w:r>
      <w:r>
        <w:rPr>
          <w:rFonts w:hint="eastAsia" w:ascii="宋体" w:hAnsi="宋体" w:cs="宋体"/>
          <w:sz w:val="24"/>
        </w:rPr>
        <w:t>投标文件含有采购人不能接受的附加条款的；</w:t>
      </w:r>
    </w:p>
    <w:p>
      <w:pPr>
        <w:spacing w:line="360" w:lineRule="auto"/>
        <w:ind w:left="840" w:leftChars="400" w:firstLine="120" w:firstLineChars="50"/>
        <w:rPr>
          <w:rFonts w:ascii="宋体" w:hAnsi="宋体" w:cs="宋体"/>
          <w:bCs/>
          <w:sz w:val="24"/>
        </w:rPr>
      </w:pPr>
      <w:r>
        <w:rPr>
          <w:rFonts w:hint="eastAsia" w:ascii="宋体" w:hAnsi="宋体" w:cs="宋体"/>
          <w:bCs/>
          <w:sz w:val="24"/>
        </w:rPr>
        <w:fldChar w:fldCharType="begin"/>
      </w:r>
      <w:r>
        <w:rPr>
          <w:rFonts w:hint="eastAsia" w:ascii="宋体" w:hAnsi="宋体" w:cs="宋体"/>
          <w:bCs/>
          <w:sz w:val="24"/>
        </w:rPr>
        <w:instrText xml:space="preserve"> = 2 \* GB2 </w:instrText>
      </w:r>
      <w:r>
        <w:rPr>
          <w:rFonts w:hint="eastAsia" w:ascii="宋体" w:hAnsi="宋体" w:cs="宋体"/>
          <w:bCs/>
          <w:sz w:val="24"/>
        </w:rPr>
        <w:fldChar w:fldCharType="separate"/>
      </w:r>
      <w:r>
        <w:rPr>
          <w:rFonts w:hint="eastAsia" w:ascii="宋体" w:hAnsi="宋体" w:cs="宋体"/>
          <w:bCs/>
          <w:sz w:val="24"/>
        </w:rPr>
        <w:t>⑵</w:t>
      </w:r>
      <w:r>
        <w:rPr>
          <w:rFonts w:hint="eastAsia" w:ascii="宋体" w:hAnsi="宋体" w:cs="宋体"/>
          <w:bCs/>
          <w:sz w:val="24"/>
        </w:rPr>
        <w:fldChar w:fldCharType="end"/>
      </w:r>
      <w:r>
        <w:rPr>
          <w:rFonts w:hint="eastAsia" w:ascii="宋体" w:hAnsi="宋体" w:cs="宋体"/>
          <w:sz w:val="24"/>
        </w:rPr>
        <w:t>投标文件中提供赠品、回扣或者与采购无关的其他商品、服务的；</w:t>
      </w:r>
    </w:p>
    <w:p>
      <w:pPr>
        <w:spacing w:line="360" w:lineRule="auto"/>
        <w:ind w:left="1185" w:leftChars="450" w:hanging="240" w:hangingChars="100"/>
        <w:rPr>
          <w:rFonts w:ascii="宋体" w:hAnsi="宋体" w:cs="宋体"/>
          <w:sz w:val="24"/>
        </w:rPr>
      </w:pPr>
      <w:r>
        <w:rPr>
          <w:rFonts w:hint="eastAsia" w:ascii="宋体" w:hAnsi="宋体" w:cs="宋体"/>
          <w:bCs/>
          <w:sz w:val="24"/>
        </w:rPr>
        <w:fldChar w:fldCharType="begin"/>
      </w:r>
      <w:r>
        <w:rPr>
          <w:rFonts w:hint="eastAsia" w:ascii="宋体" w:hAnsi="宋体" w:cs="宋体"/>
          <w:bCs/>
          <w:sz w:val="24"/>
        </w:rPr>
        <w:instrText xml:space="preserve"> = 3 \* GB2 </w:instrText>
      </w:r>
      <w:r>
        <w:rPr>
          <w:rFonts w:hint="eastAsia" w:ascii="宋体" w:hAnsi="宋体" w:cs="宋体"/>
          <w:bCs/>
          <w:sz w:val="24"/>
        </w:rPr>
        <w:fldChar w:fldCharType="separate"/>
      </w:r>
      <w:r>
        <w:rPr>
          <w:rFonts w:hint="eastAsia" w:ascii="宋体" w:hAnsi="宋体" w:cs="宋体"/>
          <w:bCs/>
          <w:sz w:val="24"/>
        </w:rPr>
        <w:t>⑶</w:t>
      </w:r>
      <w:r>
        <w:rPr>
          <w:rFonts w:hint="eastAsia" w:ascii="宋体" w:hAnsi="宋体" w:cs="宋体"/>
          <w:bCs/>
          <w:sz w:val="24"/>
        </w:rPr>
        <w:fldChar w:fldCharType="end"/>
      </w:r>
      <w:r>
        <w:rPr>
          <w:rFonts w:hint="eastAsia" w:ascii="宋体" w:hAnsi="宋体" w:cs="宋体"/>
          <w:sz w:val="24"/>
        </w:rPr>
        <w:t>评标委员会评定有非实质性条款负偏离超过招标文件规定项数的，项数要求见供应商须知前附表（一）；</w:t>
      </w:r>
    </w:p>
    <w:p>
      <w:pPr>
        <w:spacing w:line="360" w:lineRule="auto"/>
        <w:ind w:left="1185" w:leftChars="450" w:hanging="240" w:hangingChars="1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GB2 </w:instrText>
      </w:r>
      <w:r>
        <w:rPr>
          <w:rFonts w:hint="eastAsia" w:ascii="宋体" w:hAnsi="宋体" w:cs="宋体"/>
          <w:sz w:val="24"/>
        </w:rPr>
        <w:fldChar w:fldCharType="separate"/>
      </w:r>
      <w:r>
        <w:rPr>
          <w:rFonts w:hint="eastAsia" w:ascii="宋体" w:hAnsi="宋体" w:cs="宋体"/>
          <w:sz w:val="24"/>
        </w:rPr>
        <w:t>⑷</w:t>
      </w:r>
      <w:r>
        <w:rPr>
          <w:rFonts w:hint="eastAsia" w:ascii="宋体" w:hAnsi="宋体" w:cs="宋体"/>
          <w:sz w:val="24"/>
        </w:rPr>
        <w:fldChar w:fldCharType="end"/>
      </w:r>
      <w:r>
        <w:rPr>
          <w:rFonts w:hint="eastAsia" w:ascii="宋体" w:hAnsi="宋体" w:cs="宋体"/>
          <w:bCs/>
          <w:sz w:val="24"/>
        </w:rPr>
        <w:t>供应商已明知采购期间或之后企业将发生兼并改制，或提供的产品将停产、淘汰，或必须有偿使用专供的备品备件和试剂耗材的，及其他应当告知采购人可能影响采购项目实施或损害采购人利益的信息，不在投标文件中予以特别说明的；</w:t>
      </w:r>
    </w:p>
    <w:p>
      <w:pPr>
        <w:spacing w:line="360" w:lineRule="auto"/>
        <w:ind w:left="1185" w:leftChars="450" w:hanging="240" w:hangingChars="100"/>
        <w:rPr>
          <w:rFonts w:ascii="宋体" w:hAnsi="宋体" w:cs="宋体"/>
          <w:bCs/>
          <w:sz w:val="24"/>
        </w:rPr>
      </w:pPr>
      <w:r>
        <w:rPr>
          <w:rFonts w:hint="eastAsia" w:ascii="宋体" w:hAnsi="宋体" w:cs="宋体"/>
          <w:bCs/>
          <w:sz w:val="24"/>
        </w:rPr>
        <w:fldChar w:fldCharType="begin"/>
      </w:r>
      <w:r>
        <w:rPr>
          <w:rFonts w:hint="eastAsia" w:ascii="宋体" w:hAnsi="宋体" w:cs="宋体"/>
          <w:bCs/>
          <w:sz w:val="24"/>
        </w:rPr>
        <w:instrText xml:space="preserve"> = 5 \* GB2 </w:instrText>
      </w:r>
      <w:r>
        <w:rPr>
          <w:rFonts w:hint="eastAsia" w:ascii="宋体" w:hAnsi="宋体" w:cs="宋体"/>
          <w:bCs/>
          <w:sz w:val="24"/>
        </w:rPr>
        <w:fldChar w:fldCharType="separate"/>
      </w:r>
      <w:r>
        <w:rPr>
          <w:rFonts w:hint="eastAsia" w:ascii="宋体" w:hAnsi="宋体" w:cs="宋体"/>
          <w:bCs/>
          <w:sz w:val="24"/>
        </w:rPr>
        <w:t>⑸</w:t>
      </w:r>
      <w:r>
        <w:rPr>
          <w:rFonts w:hint="eastAsia" w:ascii="宋体" w:hAnsi="宋体" w:cs="宋体"/>
          <w:bCs/>
          <w:sz w:val="24"/>
        </w:rPr>
        <w:fldChar w:fldCharType="end"/>
      </w:r>
      <w:r>
        <w:rPr>
          <w:rFonts w:hint="eastAsia" w:ascii="宋体" w:hAnsi="宋体" w:cs="宋体"/>
          <w:bCs/>
          <w:sz w:val="24"/>
        </w:rPr>
        <w:t>采购产品为政府强制采购的节能产品，供应商未提供节能产品认证证书的；</w:t>
      </w:r>
    </w:p>
    <w:p>
      <w:pPr>
        <w:spacing w:line="360" w:lineRule="auto"/>
        <w:ind w:left="1185" w:leftChars="450" w:hanging="240" w:hangingChars="100"/>
        <w:rPr>
          <w:rFonts w:ascii="宋体" w:hAnsi="宋体" w:cs="宋体"/>
          <w:bCs/>
          <w:sz w:val="24"/>
        </w:rPr>
      </w:pPr>
      <w:r>
        <w:rPr>
          <w:rFonts w:hint="eastAsia" w:ascii="宋体" w:hAnsi="宋体" w:cs="宋体"/>
          <w:bCs/>
          <w:sz w:val="24"/>
        </w:rPr>
        <w:fldChar w:fldCharType="begin"/>
      </w:r>
      <w:r>
        <w:rPr>
          <w:rFonts w:hint="eastAsia" w:ascii="宋体" w:hAnsi="宋体" w:cs="宋体"/>
          <w:bCs/>
          <w:sz w:val="24"/>
        </w:rPr>
        <w:instrText xml:space="preserve"> = 6 \* GB2 </w:instrText>
      </w:r>
      <w:r>
        <w:rPr>
          <w:rFonts w:hint="eastAsia" w:ascii="宋体" w:hAnsi="宋体" w:cs="宋体"/>
          <w:bCs/>
          <w:sz w:val="24"/>
        </w:rPr>
        <w:fldChar w:fldCharType="separate"/>
      </w:r>
      <w:r>
        <w:rPr>
          <w:rFonts w:hint="eastAsia" w:ascii="宋体" w:hAnsi="宋体" w:cs="宋体"/>
          <w:bCs/>
          <w:sz w:val="24"/>
        </w:rPr>
        <w:t>⑹</w:t>
      </w:r>
      <w:r>
        <w:rPr>
          <w:rFonts w:hint="eastAsia" w:ascii="宋体" w:hAnsi="宋体" w:cs="宋体"/>
          <w:bCs/>
          <w:sz w:val="24"/>
        </w:rPr>
        <w:fldChar w:fldCharType="end"/>
      </w:r>
      <w:r>
        <w:rPr>
          <w:rFonts w:hint="eastAsia" w:ascii="宋体" w:hAnsi="宋体" w:cs="宋体"/>
          <w:bCs/>
          <w:sz w:val="24"/>
        </w:rPr>
        <w:t>投标文件内容不全或内容字迹模糊辨认不清的而导致评标无法正常进行（经评标委员会认定并允许其当场更正的笔误除外的）；</w:t>
      </w:r>
    </w:p>
    <w:p>
      <w:pPr>
        <w:spacing w:line="360" w:lineRule="auto"/>
        <w:ind w:left="1185" w:leftChars="450" w:hanging="240" w:hangingChars="100"/>
        <w:rPr>
          <w:rFonts w:ascii="宋体" w:hAnsi="宋体" w:cs="宋体"/>
          <w:bCs/>
          <w:sz w:val="24"/>
        </w:rPr>
      </w:pPr>
      <w:r>
        <w:rPr>
          <w:rFonts w:hint="eastAsia" w:ascii="宋体" w:hAnsi="宋体" w:cs="宋体"/>
          <w:sz w:val="24"/>
        </w:rPr>
        <w:fldChar w:fldCharType="begin"/>
      </w:r>
      <w:r>
        <w:rPr>
          <w:rFonts w:hint="eastAsia" w:ascii="宋体" w:hAnsi="宋体" w:cs="宋体"/>
          <w:sz w:val="24"/>
        </w:rPr>
        <w:instrText xml:space="preserve"> = 7 \* GB2 </w:instrText>
      </w:r>
      <w:r>
        <w:rPr>
          <w:rFonts w:hint="eastAsia" w:ascii="宋体" w:hAnsi="宋体" w:cs="宋体"/>
          <w:sz w:val="24"/>
        </w:rPr>
        <w:fldChar w:fldCharType="separate"/>
      </w:r>
      <w:r>
        <w:rPr>
          <w:rFonts w:hint="eastAsia" w:ascii="宋体" w:hAnsi="宋体" w:cs="宋体"/>
          <w:sz w:val="24"/>
        </w:rPr>
        <w:t>⑺</w:t>
      </w:r>
      <w:r>
        <w:rPr>
          <w:rFonts w:hint="eastAsia" w:ascii="宋体" w:hAnsi="宋体" w:cs="宋体"/>
          <w:sz w:val="24"/>
        </w:rPr>
        <w:fldChar w:fldCharType="end"/>
      </w:r>
      <w:r>
        <w:rPr>
          <w:rFonts w:hint="eastAsia" w:ascii="宋体" w:hAnsi="宋体" w:cs="宋体"/>
          <w:sz w:val="24"/>
        </w:rPr>
        <w:t>违反国家及政府部门相关法律、法规、文件规定或经评标委员认定的其他属于重大偏离的。</w:t>
      </w:r>
    </w:p>
    <w:p>
      <w:pPr>
        <w:pStyle w:val="4"/>
        <w:spacing w:before="0" w:after="0"/>
        <w:ind w:left="964" w:hanging="964" w:hangingChars="400"/>
        <w:rPr>
          <w:rFonts w:ascii="宋体" w:hAnsi="宋体" w:eastAsia="宋体" w:cs="宋体"/>
          <w:sz w:val="24"/>
          <w:szCs w:val="24"/>
        </w:rPr>
      </w:pPr>
      <w:bookmarkStart w:id="182" w:name="_Toc34895573"/>
      <w:r>
        <w:rPr>
          <w:rFonts w:hint="eastAsia" w:ascii="宋体" w:hAnsi="宋体" w:eastAsia="宋体" w:cs="宋体"/>
          <w:sz w:val="24"/>
          <w:szCs w:val="24"/>
        </w:rPr>
        <w:t>7.4     在报价评审时，如发现下列情形之一的，其投标无效</w:t>
      </w:r>
      <w:bookmarkEnd w:id="182"/>
    </w:p>
    <w:p>
      <w:pPr>
        <w:spacing w:line="360" w:lineRule="auto"/>
        <w:ind w:left="945" w:leftChars="450"/>
        <w:rPr>
          <w:rFonts w:ascii="宋体" w:hAnsi="宋体" w:cs="宋体"/>
          <w:b/>
          <w:bCs/>
          <w:sz w:val="24"/>
        </w:rPr>
      </w:pPr>
      <w:r>
        <w:rPr>
          <w:rFonts w:hint="eastAsia" w:ascii="宋体" w:hAnsi="宋体" w:cs="宋体"/>
          <w:sz w:val="24"/>
        </w:rPr>
        <w:fldChar w:fldCharType="begin"/>
      </w:r>
      <w:r>
        <w:rPr>
          <w:rFonts w:hint="eastAsia" w:ascii="宋体" w:hAnsi="宋体" w:cs="宋体"/>
          <w:sz w:val="24"/>
        </w:rPr>
        <w:instrText xml:space="preserve"> = 1 \* GB2 </w:instrText>
      </w:r>
      <w:r>
        <w:rPr>
          <w:rFonts w:hint="eastAsia" w:ascii="宋体" w:hAnsi="宋体" w:cs="宋体"/>
          <w:sz w:val="24"/>
        </w:rPr>
        <w:fldChar w:fldCharType="separate"/>
      </w:r>
      <w:r>
        <w:rPr>
          <w:rFonts w:hint="eastAsia" w:ascii="宋体" w:hAnsi="宋体" w:cs="宋体"/>
          <w:sz w:val="24"/>
        </w:rPr>
        <w:t>⑴</w:t>
      </w:r>
      <w:r>
        <w:rPr>
          <w:rFonts w:hint="eastAsia" w:ascii="宋体" w:hAnsi="宋体" w:cs="宋体"/>
          <w:sz w:val="24"/>
        </w:rPr>
        <w:fldChar w:fldCharType="end"/>
      </w:r>
      <w:r>
        <w:rPr>
          <w:rFonts w:hint="eastAsia" w:ascii="宋体" w:hAnsi="宋体" w:cs="宋体"/>
          <w:sz w:val="24"/>
        </w:rPr>
        <w:t>报价超过招标文件中规定的最高限价的；</w:t>
      </w:r>
    </w:p>
    <w:p>
      <w:pPr>
        <w:spacing w:line="360" w:lineRule="auto"/>
        <w:ind w:left="1185" w:leftChars="450" w:hanging="240" w:hangingChars="1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GB2 </w:instrText>
      </w:r>
      <w:r>
        <w:rPr>
          <w:rFonts w:hint="eastAsia" w:ascii="宋体" w:hAnsi="宋体" w:cs="宋体"/>
          <w:sz w:val="24"/>
        </w:rPr>
        <w:fldChar w:fldCharType="separate"/>
      </w:r>
      <w:r>
        <w:rPr>
          <w:rFonts w:hint="eastAsia" w:ascii="宋体" w:hAnsi="宋体" w:cs="宋体"/>
          <w:sz w:val="24"/>
        </w:rPr>
        <w:t>⑵</w:t>
      </w:r>
      <w:r>
        <w:rPr>
          <w:rFonts w:hint="eastAsia" w:ascii="宋体" w:hAnsi="宋体" w:cs="宋体"/>
          <w:sz w:val="24"/>
        </w:rPr>
        <w:fldChar w:fldCharType="end"/>
      </w:r>
      <w:r>
        <w:rPr>
          <w:rFonts w:hint="eastAsia" w:ascii="宋体" w:hAnsi="宋体" w:cs="宋体"/>
          <w:sz w:val="24"/>
        </w:rPr>
        <w:t>投标报价存在漏项或报价数量少于采购要求的，报价文件内容与对应资信商务及技术文件内容不一致的；</w:t>
      </w:r>
    </w:p>
    <w:p>
      <w:pPr>
        <w:spacing w:line="360" w:lineRule="auto"/>
        <w:ind w:left="1185" w:leftChars="450" w:hanging="240" w:hangingChars="100"/>
        <w:rPr>
          <w:rFonts w:ascii="宋体" w:hAnsi="宋体" w:cs="宋体"/>
          <w:sz w:val="24"/>
        </w:rPr>
      </w:pPr>
      <w:r>
        <w:rPr>
          <w:rFonts w:hint="eastAsia" w:ascii="宋体" w:hAnsi="宋体" w:cs="宋体"/>
          <w:sz w:val="24"/>
        </w:rPr>
        <w:t>⑶评标委员会评定其投标的报价明显不合理或低于成本，有可能影响产品质量或者不能诚信履约的，在评标现场合理的时间内不能合理说明原因和提供证明材料的来证明其报价合理性的；</w:t>
      </w:r>
    </w:p>
    <w:p>
      <w:pPr>
        <w:spacing w:line="360" w:lineRule="auto"/>
        <w:ind w:left="1185" w:leftChars="450" w:hanging="240" w:hangingChars="1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GB2 </w:instrText>
      </w:r>
      <w:r>
        <w:rPr>
          <w:rFonts w:hint="eastAsia" w:ascii="宋体" w:hAnsi="宋体" w:cs="宋体"/>
          <w:sz w:val="24"/>
        </w:rPr>
        <w:fldChar w:fldCharType="separate"/>
      </w:r>
      <w:r>
        <w:rPr>
          <w:rFonts w:hint="eastAsia" w:ascii="宋体" w:hAnsi="宋体" w:cs="宋体"/>
          <w:sz w:val="24"/>
        </w:rPr>
        <w:t>⑷</w:t>
      </w:r>
      <w:r>
        <w:rPr>
          <w:rFonts w:hint="eastAsia" w:ascii="宋体" w:hAnsi="宋体" w:cs="宋体"/>
          <w:sz w:val="24"/>
        </w:rPr>
        <w:fldChar w:fldCharType="end"/>
      </w:r>
      <w:r>
        <w:rPr>
          <w:rFonts w:hint="eastAsia" w:ascii="宋体" w:hAnsi="宋体" w:cs="宋体"/>
          <w:sz w:val="24"/>
        </w:rPr>
        <w:t>拒不接受报价错误修正或报价错误修正后未盖章确认的。</w:t>
      </w:r>
    </w:p>
    <w:p>
      <w:pPr>
        <w:pStyle w:val="4"/>
        <w:spacing w:before="0" w:after="0"/>
        <w:ind w:left="964" w:hanging="964" w:hangingChars="400"/>
        <w:rPr>
          <w:rFonts w:ascii="宋体" w:hAnsi="宋体" w:eastAsia="宋体" w:cs="宋体"/>
          <w:sz w:val="24"/>
          <w:szCs w:val="24"/>
        </w:rPr>
      </w:pPr>
      <w:bookmarkStart w:id="183" w:name="_Toc34895574"/>
      <w:r>
        <w:rPr>
          <w:rFonts w:hint="eastAsia" w:ascii="宋体" w:hAnsi="宋体" w:eastAsia="宋体" w:cs="宋体"/>
          <w:sz w:val="24"/>
          <w:szCs w:val="24"/>
        </w:rPr>
        <w:t>7.5     如有下列情形之一的，其投标无效</w:t>
      </w:r>
      <w:bookmarkEnd w:id="183"/>
    </w:p>
    <w:p>
      <w:pPr>
        <w:spacing w:line="360" w:lineRule="auto"/>
        <w:ind w:left="1185" w:leftChars="450" w:hanging="240" w:hangingChars="1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GB2 </w:instrText>
      </w:r>
      <w:r>
        <w:rPr>
          <w:rFonts w:hint="eastAsia" w:ascii="宋体" w:hAnsi="宋体" w:cs="宋体"/>
          <w:sz w:val="24"/>
        </w:rPr>
        <w:fldChar w:fldCharType="separate"/>
      </w:r>
      <w:r>
        <w:rPr>
          <w:rFonts w:hint="eastAsia" w:ascii="宋体" w:hAnsi="宋体" w:cs="宋体"/>
          <w:sz w:val="24"/>
        </w:rPr>
        <w:t>⑴</w:t>
      </w:r>
      <w:r>
        <w:rPr>
          <w:rFonts w:hint="eastAsia" w:ascii="宋体" w:hAnsi="宋体" w:cs="宋体"/>
          <w:sz w:val="24"/>
        </w:rPr>
        <w:fldChar w:fldCharType="end"/>
      </w:r>
      <w:r>
        <w:rPr>
          <w:rFonts w:hint="eastAsia" w:ascii="宋体" w:hAnsi="宋体" w:cs="宋体"/>
          <w:sz w:val="24"/>
        </w:rPr>
        <w:t>供应商直接或者间接从采购人或者采购代理机构处获得其他供应商的相关情况并修改其投标文件；</w:t>
      </w:r>
    </w:p>
    <w:p>
      <w:pPr>
        <w:spacing w:line="360" w:lineRule="auto"/>
        <w:ind w:left="945" w:leftChars="45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GB2 </w:instrText>
      </w:r>
      <w:r>
        <w:rPr>
          <w:rFonts w:hint="eastAsia" w:ascii="宋体" w:hAnsi="宋体" w:cs="宋体"/>
          <w:sz w:val="24"/>
        </w:rPr>
        <w:fldChar w:fldCharType="separate"/>
      </w:r>
      <w:r>
        <w:rPr>
          <w:rFonts w:hint="eastAsia" w:ascii="宋体" w:hAnsi="宋体" w:cs="宋体"/>
          <w:sz w:val="24"/>
        </w:rPr>
        <w:t>⑵</w:t>
      </w:r>
      <w:r>
        <w:rPr>
          <w:rFonts w:hint="eastAsia" w:ascii="宋体" w:hAnsi="宋体" w:cs="宋体"/>
          <w:sz w:val="24"/>
        </w:rPr>
        <w:fldChar w:fldCharType="end"/>
      </w:r>
      <w:r>
        <w:rPr>
          <w:rFonts w:hint="eastAsia" w:ascii="宋体" w:hAnsi="宋体" w:cs="宋体"/>
          <w:sz w:val="24"/>
        </w:rPr>
        <w:t>供应商按照采购人或者采购代理机构的授意撤换、修改投标文件；</w:t>
      </w:r>
    </w:p>
    <w:p>
      <w:pPr>
        <w:spacing w:line="360" w:lineRule="auto"/>
        <w:ind w:left="945" w:leftChars="45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GB2 </w:instrText>
      </w:r>
      <w:r>
        <w:rPr>
          <w:rFonts w:hint="eastAsia" w:ascii="宋体" w:hAnsi="宋体" w:cs="宋体"/>
          <w:sz w:val="24"/>
        </w:rPr>
        <w:fldChar w:fldCharType="separate"/>
      </w:r>
      <w:r>
        <w:rPr>
          <w:rFonts w:hint="eastAsia" w:ascii="宋体" w:hAnsi="宋体" w:cs="宋体"/>
          <w:sz w:val="24"/>
        </w:rPr>
        <w:t>⑶</w:t>
      </w:r>
      <w:r>
        <w:rPr>
          <w:rFonts w:hint="eastAsia" w:ascii="宋体" w:hAnsi="宋体" w:cs="宋体"/>
          <w:sz w:val="24"/>
        </w:rPr>
        <w:fldChar w:fldCharType="end"/>
      </w:r>
      <w:r>
        <w:rPr>
          <w:rFonts w:hint="eastAsia" w:ascii="宋体" w:hAnsi="宋体" w:cs="宋体"/>
          <w:sz w:val="24"/>
        </w:rPr>
        <w:t>供应商之间协商投标文件的实质性内容；</w:t>
      </w:r>
    </w:p>
    <w:p>
      <w:pPr>
        <w:spacing w:line="360" w:lineRule="auto"/>
        <w:ind w:left="1185" w:leftChars="450" w:hanging="240" w:hangingChars="1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GB2 </w:instrText>
      </w:r>
      <w:r>
        <w:rPr>
          <w:rFonts w:hint="eastAsia" w:ascii="宋体" w:hAnsi="宋体" w:cs="宋体"/>
          <w:sz w:val="24"/>
        </w:rPr>
        <w:fldChar w:fldCharType="separate"/>
      </w:r>
      <w:r>
        <w:rPr>
          <w:rFonts w:hint="eastAsia" w:ascii="宋体" w:hAnsi="宋体" w:cs="宋体"/>
          <w:sz w:val="24"/>
        </w:rPr>
        <w:t>⑷</w:t>
      </w:r>
      <w:r>
        <w:rPr>
          <w:rFonts w:hint="eastAsia" w:ascii="宋体" w:hAnsi="宋体" w:cs="宋体"/>
          <w:sz w:val="24"/>
        </w:rPr>
        <w:fldChar w:fldCharType="end"/>
      </w:r>
      <w:r>
        <w:rPr>
          <w:rFonts w:hint="eastAsia" w:ascii="宋体" w:hAnsi="宋体" w:cs="宋体"/>
          <w:sz w:val="24"/>
        </w:rPr>
        <w:t>属于同一集团、协会、商会等组织成员的供应商按照该组织要求协同参加采购活动；</w:t>
      </w:r>
    </w:p>
    <w:p>
      <w:pPr>
        <w:spacing w:line="360" w:lineRule="auto"/>
        <w:ind w:left="945" w:leftChars="45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GB2 </w:instrText>
      </w:r>
      <w:r>
        <w:rPr>
          <w:rFonts w:hint="eastAsia" w:ascii="宋体" w:hAnsi="宋体" w:cs="宋体"/>
          <w:sz w:val="24"/>
        </w:rPr>
        <w:fldChar w:fldCharType="separate"/>
      </w:r>
      <w:r>
        <w:rPr>
          <w:rFonts w:hint="eastAsia" w:ascii="宋体" w:hAnsi="宋体" w:cs="宋体"/>
          <w:sz w:val="24"/>
        </w:rPr>
        <w:t>⑸</w:t>
      </w:r>
      <w:r>
        <w:rPr>
          <w:rFonts w:hint="eastAsia" w:ascii="宋体" w:hAnsi="宋体" w:cs="宋体"/>
          <w:sz w:val="24"/>
        </w:rPr>
        <w:fldChar w:fldCharType="end"/>
      </w:r>
      <w:r>
        <w:rPr>
          <w:rFonts w:hint="eastAsia" w:ascii="宋体" w:hAnsi="宋体" w:cs="宋体"/>
          <w:sz w:val="24"/>
        </w:rPr>
        <w:t>供应商之间事先约定由某一特定供应商中标、成交；</w:t>
      </w:r>
    </w:p>
    <w:p>
      <w:pPr>
        <w:spacing w:line="360" w:lineRule="auto"/>
        <w:ind w:left="945" w:leftChars="45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6 \* GB2 </w:instrText>
      </w:r>
      <w:r>
        <w:rPr>
          <w:rFonts w:hint="eastAsia" w:ascii="宋体" w:hAnsi="宋体" w:cs="宋体"/>
          <w:sz w:val="24"/>
        </w:rPr>
        <w:fldChar w:fldCharType="separate"/>
      </w:r>
      <w:r>
        <w:rPr>
          <w:rFonts w:hint="eastAsia" w:ascii="宋体" w:hAnsi="宋体" w:cs="宋体"/>
          <w:sz w:val="24"/>
        </w:rPr>
        <w:t>⑹</w:t>
      </w:r>
      <w:r>
        <w:rPr>
          <w:rFonts w:hint="eastAsia" w:ascii="宋体" w:hAnsi="宋体" w:cs="宋体"/>
          <w:sz w:val="24"/>
        </w:rPr>
        <w:fldChar w:fldCharType="end"/>
      </w:r>
      <w:r>
        <w:rPr>
          <w:rFonts w:hint="eastAsia" w:ascii="宋体" w:hAnsi="宋体" w:cs="宋体"/>
          <w:sz w:val="24"/>
        </w:rPr>
        <w:t>供应商之间商定部分供应商放弃参加采购活动或者放弃中标、成交；</w:t>
      </w:r>
    </w:p>
    <w:p>
      <w:pPr>
        <w:spacing w:line="360" w:lineRule="auto"/>
        <w:ind w:left="1185" w:leftChars="450" w:hanging="240" w:hangingChars="1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7 \* GB2 </w:instrText>
      </w:r>
      <w:r>
        <w:rPr>
          <w:rFonts w:hint="eastAsia" w:ascii="宋体" w:hAnsi="宋体" w:cs="宋体"/>
          <w:sz w:val="24"/>
        </w:rPr>
        <w:fldChar w:fldCharType="separate"/>
      </w:r>
      <w:r>
        <w:rPr>
          <w:rFonts w:hint="eastAsia" w:ascii="宋体" w:hAnsi="宋体" w:cs="宋体"/>
          <w:sz w:val="24"/>
        </w:rPr>
        <w:t>⑺</w:t>
      </w:r>
      <w:r>
        <w:rPr>
          <w:rFonts w:hint="eastAsia" w:ascii="宋体" w:hAnsi="宋体" w:cs="宋体"/>
          <w:sz w:val="24"/>
        </w:rPr>
        <w:fldChar w:fldCharType="end"/>
      </w:r>
      <w:r>
        <w:rPr>
          <w:rFonts w:hint="eastAsia" w:ascii="宋体" w:hAnsi="宋体" w:cs="宋体"/>
          <w:sz w:val="24"/>
        </w:rPr>
        <w:t>供应商与采购人或者采购代理机构之间、供应商相互之间，为谋求特定供应商中标、成交或者排斥其他供应商的其他串通行为；</w:t>
      </w:r>
    </w:p>
    <w:p>
      <w:pPr>
        <w:spacing w:line="360" w:lineRule="auto"/>
        <w:ind w:left="945" w:leftChars="45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8 \* GB2 </w:instrText>
      </w:r>
      <w:r>
        <w:rPr>
          <w:rFonts w:hint="eastAsia" w:ascii="宋体" w:hAnsi="宋体" w:cs="宋体"/>
          <w:sz w:val="24"/>
        </w:rPr>
        <w:fldChar w:fldCharType="separate"/>
      </w:r>
      <w:r>
        <w:rPr>
          <w:rFonts w:hint="eastAsia" w:ascii="宋体" w:hAnsi="宋体" w:cs="宋体"/>
          <w:sz w:val="24"/>
        </w:rPr>
        <w:t>⑻</w:t>
      </w:r>
      <w:r>
        <w:rPr>
          <w:rFonts w:hint="eastAsia" w:ascii="宋体" w:hAnsi="宋体" w:cs="宋体"/>
          <w:sz w:val="24"/>
        </w:rPr>
        <w:fldChar w:fldCharType="end"/>
      </w:r>
      <w:r>
        <w:rPr>
          <w:rFonts w:hint="eastAsia" w:ascii="宋体" w:hAnsi="宋体" w:cs="宋体"/>
          <w:sz w:val="24"/>
        </w:rPr>
        <w:t>不同供应商的投标文件由同一单位或者个人编制；</w:t>
      </w:r>
    </w:p>
    <w:p>
      <w:pPr>
        <w:spacing w:line="360" w:lineRule="auto"/>
        <w:ind w:left="945" w:leftChars="45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9 \* GB2 </w:instrText>
      </w:r>
      <w:r>
        <w:rPr>
          <w:rFonts w:hint="eastAsia" w:ascii="宋体" w:hAnsi="宋体" w:cs="宋体"/>
          <w:sz w:val="24"/>
        </w:rPr>
        <w:fldChar w:fldCharType="separate"/>
      </w:r>
      <w:r>
        <w:rPr>
          <w:rFonts w:hint="eastAsia" w:ascii="宋体" w:hAnsi="宋体" w:cs="宋体"/>
          <w:sz w:val="24"/>
        </w:rPr>
        <w:t>⑼</w:t>
      </w:r>
      <w:r>
        <w:rPr>
          <w:rFonts w:hint="eastAsia" w:ascii="宋体" w:hAnsi="宋体" w:cs="宋体"/>
          <w:sz w:val="24"/>
        </w:rPr>
        <w:fldChar w:fldCharType="end"/>
      </w:r>
      <w:r>
        <w:rPr>
          <w:rFonts w:hint="eastAsia" w:ascii="宋体" w:hAnsi="宋体" w:cs="宋体"/>
          <w:sz w:val="24"/>
        </w:rPr>
        <w:t>不同供应商委托同一单位或者个人办理投标事宜；</w:t>
      </w:r>
    </w:p>
    <w:p>
      <w:pPr>
        <w:spacing w:line="360" w:lineRule="auto"/>
        <w:ind w:left="945" w:leftChars="45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10 \* GB2 </w:instrText>
      </w:r>
      <w:r>
        <w:rPr>
          <w:rFonts w:hint="eastAsia" w:ascii="宋体" w:hAnsi="宋体" w:cs="宋体"/>
          <w:sz w:val="24"/>
        </w:rPr>
        <w:fldChar w:fldCharType="separate"/>
      </w:r>
      <w:r>
        <w:rPr>
          <w:rFonts w:hint="eastAsia" w:ascii="宋体" w:hAnsi="宋体" w:cs="宋体"/>
          <w:sz w:val="24"/>
        </w:rPr>
        <w:t>⑽</w:t>
      </w:r>
      <w:r>
        <w:rPr>
          <w:rFonts w:hint="eastAsia" w:ascii="宋体" w:hAnsi="宋体" w:cs="宋体"/>
          <w:sz w:val="24"/>
        </w:rPr>
        <w:fldChar w:fldCharType="end"/>
      </w:r>
      <w:r>
        <w:rPr>
          <w:rFonts w:hint="eastAsia" w:ascii="宋体" w:hAnsi="宋体" w:cs="宋体"/>
          <w:sz w:val="24"/>
        </w:rPr>
        <w:t>不同供应商的投标文件载明的项目管理成员或者联系人员为同一人；</w:t>
      </w:r>
    </w:p>
    <w:p>
      <w:pPr>
        <w:spacing w:line="360" w:lineRule="auto"/>
        <w:ind w:left="945" w:leftChars="45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11 \* GB2 </w:instrText>
      </w:r>
      <w:r>
        <w:rPr>
          <w:rFonts w:hint="eastAsia" w:ascii="宋体" w:hAnsi="宋体" w:cs="宋体"/>
          <w:sz w:val="24"/>
        </w:rPr>
        <w:fldChar w:fldCharType="separate"/>
      </w:r>
      <w:r>
        <w:rPr>
          <w:rFonts w:hint="eastAsia" w:ascii="宋体" w:hAnsi="宋体" w:cs="宋体"/>
          <w:sz w:val="24"/>
        </w:rPr>
        <w:t>⑾</w:t>
      </w:r>
      <w:r>
        <w:rPr>
          <w:rFonts w:hint="eastAsia" w:ascii="宋体" w:hAnsi="宋体" w:cs="宋体"/>
          <w:sz w:val="24"/>
        </w:rPr>
        <w:fldChar w:fldCharType="end"/>
      </w:r>
      <w:r>
        <w:rPr>
          <w:rFonts w:hint="eastAsia" w:ascii="宋体" w:hAnsi="宋体" w:cs="宋体"/>
          <w:sz w:val="24"/>
        </w:rPr>
        <w:t>不同供应商的投标文件异常一致或者投标报价呈规律性差异；</w:t>
      </w:r>
    </w:p>
    <w:p>
      <w:pPr>
        <w:spacing w:line="360" w:lineRule="auto"/>
        <w:ind w:left="945" w:leftChars="45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12 \* GB2 </w:instrText>
      </w:r>
      <w:r>
        <w:rPr>
          <w:rFonts w:hint="eastAsia" w:ascii="宋体" w:hAnsi="宋体" w:cs="宋体"/>
          <w:sz w:val="24"/>
        </w:rPr>
        <w:fldChar w:fldCharType="separate"/>
      </w:r>
      <w:r>
        <w:rPr>
          <w:rFonts w:hint="eastAsia" w:ascii="宋体" w:hAnsi="宋体" w:cs="宋体"/>
          <w:sz w:val="24"/>
        </w:rPr>
        <w:t>⑿</w:t>
      </w:r>
      <w:r>
        <w:rPr>
          <w:rFonts w:hint="eastAsia" w:ascii="宋体" w:hAnsi="宋体" w:cs="宋体"/>
          <w:sz w:val="24"/>
        </w:rPr>
        <w:fldChar w:fldCharType="end"/>
      </w:r>
      <w:r>
        <w:rPr>
          <w:rFonts w:hint="eastAsia" w:ascii="宋体" w:hAnsi="宋体" w:cs="宋体"/>
          <w:sz w:val="24"/>
        </w:rPr>
        <w:t>提供虚假材料谋取中标的。</w:t>
      </w:r>
    </w:p>
    <w:p>
      <w:pPr>
        <w:spacing w:line="360" w:lineRule="auto"/>
        <w:ind w:left="945" w:leftChars="45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13 \* GB2 \* MERGEFORMAT </w:instrText>
      </w:r>
      <w:r>
        <w:rPr>
          <w:rFonts w:hint="eastAsia" w:ascii="宋体" w:hAnsi="宋体" w:cs="宋体"/>
          <w:sz w:val="24"/>
        </w:rPr>
        <w:fldChar w:fldCharType="separate"/>
      </w:r>
      <w:r>
        <w:rPr>
          <w:rFonts w:hint="eastAsia" w:ascii="宋体" w:hAnsi="宋体" w:cs="宋体"/>
          <w:sz w:val="24"/>
        </w:rPr>
        <w:t>⒀</w:t>
      </w:r>
      <w:r>
        <w:rPr>
          <w:rFonts w:hint="eastAsia" w:ascii="宋体" w:hAnsi="宋体" w:cs="宋体"/>
          <w:sz w:val="24"/>
        </w:rPr>
        <w:fldChar w:fldCharType="end"/>
      </w:r>
      <w:r>
        <w:rPr>
          <w:rFonts w:hint="eastAsia" w:ascii="宋体" w:hAnsi="宋体" w:cs="宋体"/>
          <w:sz w:val="24"/>
        </w:rPr>
        <w:t>不同供应商的电子投标（响应）文件上传计算机的网卡MAC地址或硬盘序列号等硬件信息相同且无法合理解释的；</w:t>
      </w:r>
    </w:p>
    <w:p>
      <w:pPr>
        <w:spacing w:line="360" w:lineRule="auto"/>
        <w:ind w:left="945" w:leftChars="45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14 \* GB2 \* MERGEFORMAT </w:instrText>
      </w:r>
      <w:r>
        <w:rPr>
          <w:rFonts w:hint="eastAsia" w:ascii="宋体" w:hAnsi="宋体" w:cs="宋体"/>
          <w:sz w:val="24"/>
        </w:rPr>
        <w:fldChar w:fldCharType="separate"/>
      </w:r>
      <w:r>
        <w:rPr>
          <w:rFonts w:hint="eastAsia" w:ascii="宋体" w:hAnsi="宋体" w:cs="宋体"/>
          <w:sz w:val="24"/>
        </w:rPr>
        <w:t>⒁</w:t>
      </w:r>
      <w:r>
        <w:rPr>
          <w:rFonts w:hint="eastAsia" w:ascii="宋体" w:hAnsi="宋体" w:cs="宋体"/>
          <w:sz w:val="24"/>
        </w:rPr>
        <w:fldChar w:fldCharType="end"/>
      </w:r>
      <w:r>
        <w:rPr>
          <w:rFonts w:hint="eastAsia" w:ascii="宋体" w:hAnsi="宋体" w:cs="宋体"/>
          <w:sz w:val="24"/>
        </w:rPr>
        <w:t>上传的电子投标（响应）文件若出现使用本项目其他投标（响应）供应商的数字证书加密的，或者加盖本项目其他投标（响应）供应商的电子印章且无法合理解释的；</w:t>
      </w:r>
    </w:p>
    <w:p>
      <w:pPr>
        <w:spacing w:line="360" w:lineRule="auto"/>
        <w:ind w:left="945" w:leftChars="45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15 \* GB2 \* MERGEFORMAT </w:instrText>
      </w:r>
      <w:r>
        <w:rPr>
          <w:rFonts w:hint="eastAsia" w:ascii="宋体" w:hAnsi="宋体" w:cs="宋体"/>
          <w:sz w:val="24"/>
        </w:rPr>
        <w:fldChar w:fldCharType="separate"/>
      </w:r>
      <w:r>
        <w:rPr>
          <w:rFonts w:hint="eastAsia" w:ascii="宋体" w:hAnsi="宋体" w:cs="宋体"/>
          <w:sz w:val="24"/>
        </w:rPr>
        <w:t>⒂</w:t>
      </w:r>
      <w:r>
        <w:rPr>
          <w:rFonts w:hint="eastAsia" w:ascii="宋体" w:hAnsi="宋体" w:cs="宋体"/>
          <w:sz w:val="24"/>
        </w:rPr>
        <w:fldChar w:fldCharType="end"/>
      </w:r>
      <w:r>
        <w:rPr>
          <w:rFonts w:hint="eastAsia" w:ascii="宋体" w:hAnsi="宋体" w:cs="宋体"/>
          <w:sz w:val="24"/>
        </w:rPr>
        <w:t>不同供应商的投标（响应）文件的内容存在3处（含）以上错误一致且无法合理解释的；</w:t>
      </w:r>
    </w:p>
    <w:p>
      <w:pPr>
        <w:spacing w:line="360" w:lineRule="auto"/>
        <w:ind w:left="945" w:leftChars="45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16 \* GB2 \* MERGEFORMAT </w:instrText>
      </w:r>
      <w:r>
        <w:rPr>
          <w:rFonts w:hint="eastAsia" w:ascii="宋体" w:hAnsi="宋体" w:cs="宋体"/>
          <w:sz w:val="24"/>
        </w:rPr>
        <w:fldChar w:fldCharType="separate"/>
      </w:r>
      <w:r>
        <w:rPr>
          <w:rFonts w:hint="eastAsia" w:ascii="宋体" w:hAnsi="宋体" w:cs="宋体"/>
          <w:sz w:val="24"/>
        </w:rPr>
        <w:t>⒃</w:t>
      </w:r>
      <w:r>
        <w:rPr>
          <w:rFonts w:hint="eastAsia" w:ascii="宋体" w:hAnsi="宋体" w:cs="宋体"/>
          <w:sz w:val="24"/>
        </w:rPr>
        <w:fldChar w:fldCharType="end"/>
      </w:r>
      <w:r>
        <w:rPr>
          <w:rFonts w:hint="eastAsia" w:ascii="宋体" w:hAnsi="宋体" w:cs="宋体"/>
          <w:sz w:val="24"/>
        </w:rPr>
        <w:t>不同供应商联系人为同一人或不同联系人的联系电话一致且无法合理解释的。</w:t>
      </w:r>
    </w:p>
    <w:p>
      <w:pPr>
        <w:pStyle w:val="4"/>
        <w:spacing w:before="0" w:after="0"/>
        <w:ind w:left="964" w:hanging="964" w:hangingChars="400"/>
        <w:rPr>
          <w:rFonts w:ascii="宋体" w:hAnsi="宋体" w:eastAsia="宋体" w:cs="宋体"/>
          <w:sz w:val="24"/>
          <w:szCs w:val="24"/>
        </w:rPr>
      </w:pPr>
      <w:bookmarkStart w:id="184" w:name="_Toc34895575"/>
      <w:r>
        <w:rPr>
          <w:rFonts w:hint="eastAsia" w:ascii="宋体" w:hAnsi="宋体" w:eastAsia="宋体" w:cs="宋体"/>
          <w:sz w:val="24"/>
          <w:szCs w:val="24"/>
        </w:rPr>
        <w:t>7.6     如有下列情形之一的，可中止电子交易活动的情形</w:t>
      </w:r>
      <w:bookmarkEnd w:id="184"/>
    </w:p>
    <w:p>
      <w:pPr>
        <w:spacing w:line="360" w:lineRule="auto"/>
        <w:ind w:left="960" w:hanging="960" w:hangingChars="400"/>
        <w:jc w:val="left"/>
        <w:rPr>
          <w:rFonts w:ascii="宋体" w:hAnsi="宋体" w:cs="宋体"/>
          <w:sz w:val="24"/>
        </w:rPr>
      </w:pPr>
      <w:r>
        <w:rPr>
          <w:rFonts w:hint="eastAsia" w:ascii="宋体" w:hAnsi="宋体" w:cs="宋体"/>
          <w:sz w:val="24"/>
        </w:rPr>
        <w:t>7.6.1   招标过程中出现以下情形，导致乐采云平台无法正常运行，或者无法保证电子交易的公平、公正和安全时，采购代理机构将中止电子交易活动：</w:t>
      </w:r>
    </w:p>
    <w:p>
      <w:pPr>
        <w:spacing w:line="360" w:lineRule="auto"/>
        <w:ind w:left="960" w:hanging="960" w:hangingChars="400"/>
        <w:jc w:val="left"/>
        <w:rPr>
          <w:rFonts w:ascii="宋体" w:hAnsi="宋体" w:cs="宋体"/>
          <w:sz w:val="24"/>
        </w:rPr>
      </w:pPr>
      <w:r>
        <w:rPr>
          <w:rFonts w:hint="eastAsia" w:ascii="宋体" w:hAnsi="宋体" w:cs="宋体"/>
          <w:sz w:val="24"/>
        </w:rPr>
        <w:t xml:space="preserve">        ⑴电子交易平台发生故障而无法登录访问的；</w:t>
      </w:r>
    </w:p>
    <w:p>
      <w:pPr>
        <w:spacing w:line="360" w:lineRule="auto"/>
        <w:ind w:left="840" w:leftChars="400" w:firstLine="120" w:firstLineChars="50"/>
        <w:jc w:val="left"/>
        <w:rPr>
          <w:rFonts w:ascii="宋体" w:hAnsi="宋体" w:cs="宋体"/>
          <w:sz w:val="24"/>
        </w:rPr>
      </w:pPr>
      <w:r>
        <w:rPr>
          <w:rFonts w:hint="eastAsia" w:ascii="宋体" w:hAnsi="宋体" w:cs="宋体"/>
          <w:sz w:val="24"/>
        </w:rPr>
        <w:t>⑵电子交易平台应用或数据库出现错误，不能进行正常操作的；</w:t>
      </w:r>
    </w:p>
    <w:p>
      <w:pPr>
        <w:spacing w:line="360" w:lineRule="auto"/>
        <w:ind w:left="945" w:leftChars="450"/>
        <w:rPr>
          <w:rFonts w:ascii="宋体" w:hAnsi="宋体" w:cs="宋体"/>
          <w:sz w:val="24"/>
        </w:rPr>
      </w:pPr>
      <w:r>
        <w:rPr>
          <w:rFonts w:hint="eastAsia" w:ascii="宋体" w:hAnsi="宋体" w:cs="宋体"/>
          <w:sz w:val="24"/>
        </w:rPr>
        <w:t>⑶电子交易平台发现严重安全漏洞，有潜在泄密危险的；</w:t>
      </w:r>
    </w:p>
    <w:p>
      <w:pPr>
        <w:spacing w:line="360" w:lineRule="auto"/>
        <w:ind w:left="945" w:leftChars="450"/>
        <w:rPr>
          <w:rFonts w:ascii="宋体" w:hAnsi="宋体" w:cs="宋体"/>
          <w:sz w:val="24"/>
        </w:rPr>
      </w:pPr>
      <w:r>
        <w:rPr>
          <w:rFonts w:hint="eastAsia" w:ascii="宋体" w:hAnsi="宋体" w:cs="宋体"/>
          <w:sz w:val="24"/>
        </w:rPr>
        <w:t xml:space="preserve">⑷病毒发作导致不能进行正常操作的； </w:t>
      </w:r>
    </w:p>
    <w:p>
      <w:pPr>
        <w:spacing w:line="360" w:lineRule="auto"/>
        <w:ind w:left="945" w:leftChars="450"/>
        <w:rPr>
          <w:rFonts w:ascii="宋体" w:hAnsi="宋体" w:cs="宋体"/>
          <w:sz w:val="24"/>
        </w:rPr>
      </w:pPr>
      <w:r>
        <w:rPr>
          <w:rFonts w:hint="eastAsia" w:ascii="宋体" w:hAnsi="宋体" w:cs="宋体"/>
          <w:sz w:val="24"/>
        </w:rPr>
        <w:t>⑸其他无法保证电子交易的公平、公正和安全的情况</w:t>
      </w:r>
    </w:p>
    <w:p>
      <w:pPr>
        <w:spacing w:line="360" w:lineRule="auto"/>
        <w:ind w:left="945" w:leftChars="450"/>
        <w:rPr>
          <w:rFonts w:ascii="宋体" w:hAnsi="宋体" w:cs="宋体"/>
          <w:sz w:val="24"/>
        </w:rPr>
      </w:pPr>
      <w:r>
        <w:rPr>
          <w:rFonts w:hint="eastAsia" w:ascii="宋体" w:hAnsi="宋体" w:cs="宋体"/>
          <w:sz w:val="24"/>
        </w:rPr>
        <w:t>出现上述规定情形，不影响采购公平、公正性的，采购代理机构可以待上述情形消除后继续组织电子交易活动；影响或可能影响采购公平、公正性的，应当重新组织采购。</w:t>
      </w:r>
    </w:p>
    <w:p>
      <w:pPr>
        <w:pStyle w:val="44"/>
        <w:spacing w:beforeLines="100" w:after="240" w:afterLines="100"/>
        <w:jc w:val="left"/>
        <w:outlineLvl w:val="1"/>
        <w:rPr>
          <w:rFonts w:ascii="宋体" w:hAnsi="宋体" w:cs="宋体"/>
          <w:sz w:val="30"/>
          <w:szCs w:val="30"/>
        </w:rPr>
      </w:pPr>
      <w:bookmarkStart w:id="185" w:name="_Toc515526193"/>
      <w:bookmarkStart w:id="186" w:name="_Toc303756400"/>
      <w:bookmarkStart w:id="187" w:name="_Toc359934597"/>
      <w:bookmarkStart w:id="188" w:name="_Toc34895576"/>
      <w:bookmarkStart w:id="189" w:name="_Toc531359026"/>
      <w:bookmarkStart w:id="190" w:name="_Toc301187772"/>
      <w:r>
        <w:rPr>
          <w:rFonts w:hint="eastAsia" w:ascii="宋体" w:hAnsi="宋体" w:cs="宋体"/>
          <w:sz w:val="30"/>
          <w:szCs w:val="30"/>
        </w:rPr>
        <w:t>八    中标和合同</w:t>
      </w:r>
      <w:bookmarkEnd w:id="185"/>
      <w:bookmarkEnd w:id="186"/>
      <w:bookmarkEnd w:id="187"/>
      <w:bookmarkEnd w:id="188"/>
      <w:bookmarkEnd w:id="189"/>
      <w:bookmarkEnd w:id="190"/>
    </w:p>
    <w:p>
      <w:pPr>
        <w:pStyle w:val="234"/>
        <w:rPr>
          <w:rFonts w:ascii="宋体" w:eastAsia="宋体"/>
        </w:rPr>
      </w:pPr>
      <w:bookmarkStart w:id="191" w:name="_Toc301187776"/>
      <w:bookmarkStart w:id="192" w:name="_Toc359934599"/>
      <w:bookmarkStart w:id="193" w:name="_Toc303756402"/>
      <w:bookmarkStart w:id="194" w:name="_Toc515526194"/>
      <w:bookmarkStart w:id="195" w:name="_Toc531359027"/>
      <w:bookmarkStart w:id="196" w:name="_Toc34895577"/>
      <w:r>
        <w:rPr>
          <w:rFonts w:hint="eastAsia" w:ascii="宋体" w:eastAsia="宋体"/>
        </w:rPr>
        <w:t>8.1</w:t>
      </w:r>
      <w:bookmarkEnd w:id="191"/>
      <w:bookmarkEnd w:id="192"/>
      <w:bookmarkEnd w:id="193"/>
      <w:r>
        <w:rPr>
          <w:rFonts w:hint="eastAsia" w:ascii="宋体" w:eastAsia="宋体"/>
        </w:rPr>
        <w:t xml:space="preserve">     中标</w:t>
      </w:r>
      <w:bookmarkEnd w:id="194"/>
      <w:bookmarkEnd w:id="195"/>
      <w:bookmarkEnd w:id="196"/>
    </w:p>
    <w:p>
      <w:pPr>
        <w:spacing w:line="360" w:lineRule="auto"/>
        <w:ind w:left="960" w:hanging="960" w:hangingChars="400"/>
        <w:rPr>
          <w:rFonts w:ascii="宋体" w:hAnsi="宋体" w:cs="宋体"/>
          <w:sz w:val="24"/>
        </w:rPr>
      </w:pPr>
      <w:r>
        <w:rPr>
          <w:rFonts w:hint="eastAsia" w:ascii="宋体" w:hAnsi="宋体" w:cs="宋体"/>
          <w:sz w:val="24"/>
        </w:rPr>
        <w:t>8.1.1   采购代理机构在评标结束后2个工作日内将评标报告提交采购人确认；</w:t>
      </w:r>
    </w:p>
    <w:p>
      <w:pPr>
        <w:spacing w:line="360" w:lineRule="auto"/>
        <w:ind w:left="960" w:hanging="960" w:hangingChars="400"/>
        <w:rPr>
          <w:rFonts w:ascii="宋体" w:hAnsi="宋体" w:cs="宋体"/>
          <w:sz w:val="24"/>
        </w:rPr>
      </w:pPr>
      <w:r>
        <w:rPr>
          <w:rFonts w:hint="eastAsia" w:ascii="宋体" w:hAnsi="宋体" w:cs="宋体"/>
          <w:sz w:val="24"/>
        </w:rPr>
        <w:t>8.1.2   采购人应当自收到评标报告之日起5个工作日内，在评标报告确定的中标候选人名单中按顺序确定中标人；</w:t>
      </w:r>
    </w:p>
    <w:p>
      <w:pPr>
        <w:spacing w:line="360" w:lineRule="auto"/>
        <w:ind w:left="960" w:hanging="960" w:hangingChars="400"/>
        <w:rPr>
          <w:rFonts w:ascii="宋体" w:hAnsi="宋体" w:cs="宋体"/>
          <w:sz w:val="24"/>
        </w:rPr>
      </w:pPr>
      <w:r>
        <w:rPr>
          <w:rFonts w:hint="eastAsia" w:ascii="宋体" w:hAnsi="宋体" w:cs="宋体"/>
          <w:sz w:val="24"/>
        </w:rPr>
        <w:t>8.1.3   采购人在收到评标报告5个工作日内未按评标报告推荐的中标候选人顺序确定中标人，又不能说明合法理由的，视同按评标报告推荐的顺序确定排名第一的中标候选人为中标人；</w:t>
      </w:r>
    </w:p>
    <w:p>
      <w:pPr>
        <w:spacing w:line="360" w:lineRule="auto"/>
        <w:ind w:left="960" w:hanging="960" w:hangingChars="400"/>
        <w:rPr>
          <w:rFonts w:ascii="宋体" w:hAnsi="宋体" w:cs="宋体"/>
          <w:sz w:val="24"/>
        </w:rPr>
      </w:pPr>
      <w:r>
        <w:rPr>
          <w:rFonts w:hint="eastAsia" w:ascii="宋体" w:hAnsi="宋体" w:cs="宋体"/>
          <w:sz w:val="24"/>
        </w:rPr>
        <w:t>8.1.4   中标人拒绝与采购人签订合同的，采购人可以按照评标报告推荐的中标人名单排序，确定下一候选人为中标人，也可以重新开展采购活动。</w:t>
      </w:r>
    </w:p>
    <w:p>
      <w:pPr>
        <w:pStyle w:val="234"/>
        <w:rPr>
          <w:rFonts w:ascii="宋体" w:eastAsia="宋体"/>
        </w:rPr>
      </w:pPr>
      <w:bookmarkStart w:id="197" w:name="_Toc531359028"/>
      <w:bookmarkStart w:id="198" w:name="_Toc34895578"/>
      <w:r>
        <w:rPr>
          <w:rFonts w:hint="eastAsia" w:ascii="宋体" w:eastAsia="宋体"/>
        </w:rPr>
        <w:t>8.2     中标公告和中标通知书</w:t>
      </w:r>
      <w:bookmarkEnd w:id="197"/>
      <w:bookmarkEnd w:id="198"/>
    </w:p>
    <w:p>
      <w:pPr>
        <w:spacing w:line="360" w:lineRule="auto"/>
        <w:ind w:left="960" w:hanging="960" w:hangingChars="400"/>
        <w:rPr>
          <w:rFonts w:ascii="宋体" w:hAnsi="宋体" w:cs="宋体"/>
          <w:sz w:val="24"/>
        </w:rPr>
      </w:pPr>
      <w:r>
        <w:rPr>
          <w:rFonts w:hint="eastAsia" w:ascii="宋体" w:hAnsi="宋体" w:cs="宋体"/>
          <w:sz w:val="24"/>
        </w:rPr>
        <w:t>8.2.1   采购代理机构应当自中标人确定之日起2个工作日内，在供应商须知前附表（一）规定的网址发布中标结果；</w:t>
      </w:r>
    </w:p>
    <w:p>
      <w:pPr>
        <w:spacing w:line="360" w:lineRule="auto"/>
        <w:ind w:left="960" w:hanging="960" w:hangingChars="400"/>
        <w:rPr>
          <w:rFonts w:ascii="宋体" w:hAnsi="宋体" w:cs="宋体"/>
          <w:sz w:val="24"/>
        </w:rPr>
      </w:pPr>
      <w:r>
        <w:rPr>
          <w:rFonts w:hint="eastAsia" w:ascii="宋体" w:hAnsi="宋体" w:cs="宋体"/>
          <w:sz w:val="24"/>
        </w:rPr>
        <w:t>8.2.2   中标结果公告内容包括采购人和采购代理机构的名称、地址、联系方式，项目名称和项目编号，中标人名称、地址和中标金额，主要中标标的的名称、规格型号、数量、单价、服务要求，中标公告期限以及评审专家名单，但不包括国家秘密或商业秘密；</w:t>
      </w:r>
    </w:p>
    <w:p>
      <w:pPr>
        <w:spacing w:line="360" w:lineRule="auto"/>
        <w:ind w:left="960" w:hanging="960" w:hangingChars="400"/>
        <w:rPr>
          <w:rFonts w:ascii="宋体" w:hAnsi="宋体" w:cs="宋体"/>
          <w:sz w:val="24"/>
        </w:rPr>
      </w:pPr>
      <w:r>
        <w:rPr>
          <w:rFonts w:hint="eastAsia" w:ascii="宋体" w:hAnsi="宋体" w:cs="宋体"/>
          <w:sz w:val="24"/>
        </w:rPr>
        <w:t>8.2.3   中标公告期限为1个工作日；</w:t>
      </w:r>
    </w:p>
    <w:p>
      <w:pPr>
        <w:spacing w:line="360" w:lineRule="auto"/>
        <w:ind w:left="960" w:hanging="960" w:hangingChars="400"/>
        <w:rPr>
          <w:rFonts w:ascii="宋体" w:hAnsi="宋体" w:cs="宋体"/>
          <w:sz w:val="24"/>
        </w:rPr>
      </w:pPr>
      <w:r>
        <w:rPr>
          <w:rFonts w:hint="eastAsia" w:ascii="宋体" w:hAnsi="宋体" w:cs="宋体"/>
          <w:sz w:val="24"/>
        </w:rPr>
        <w:t>8.2.4   采购代理机构将在中标结果公告中附中标通知书，视同向中标人发出中标通知书，同时中标人应在中标结果公告发布后签订合同前，赴采购代理机构项目负责人处领取书面中标通知书；</w:t>
      </w:r>
    </w:p>
    <w:p>
      <w:pPr>
        <w:spacing w:line="360" w:lineRule="auto"/>
        <w:ind w:left="960" w:hanging="960" w:hangingChars="400"/>
        <w:rPr>
          <w:rFonts w:ascii="宋体" w:hAnsi="宋体" w:cs="宋体"/>
          <w:sz w:val="24"/>
        </w:rPr>
      </w:pPr>
      <w:r>
        <w:rPr>
          <w:rFonts w:hint="eastAsia" w:ascii="宋体" w:hAnsi="宋体" w:cs="宋体"/>
          <w:sz w:val="24"/>
        </w:rPr>
        <w:t>8.2.5   中标通知书发出后，采购人不得改变中标结果，中标人无正当理由不得放弃中标。否则将作为不良行为记录上报财政部门，由财政部门按相关法律法规给予处理。</w:t>
      </w:r>
    </w:p>
    <w:p>
      <w:pPr>
        <w:pStyle w:val="234"/>
        <w:rPr>
          <w:rFonts w:ascii="宋体" w:eastAsia="宋体"/>
        </w:rPr>
      </w:pPr>
      <w:bookmarkStart w:id="199" w:name="_Toc531359029"/>
      <w:bookmarkStart w:id="200" w:name="_Toc34895579"/>
      <w:r>
        <w:rPr>
          <w:rFonts w:hint="eastAsia" w:ascii="宋体" w:eastAsia="宋体"/>
        </w:rPr>
        <w:t>8.3     履约保证金</w:t>
      </w:r>
      <w:bookmarkEnd w:id="199"/>
      <w:bookmarkEnd w:id="200"/>
    </w:p>
    <w:p>
      <w:pPr>
        <w:spacing w:line="360" w:lineRule="auto"/>
        <w:ind w:left="960" w:hanging="960" w:hangingChars="400"/>
        <w:rPr>
          <w:rFonts w:ascii="宋体" w:hAnsi="宋体" w:cs="宋体"/>
          <w:sz w:val="24"/>
        </w:rPr>
      </w:pPr>
      <w:r>
        <w:rPr>
          <w:rFonts w:hint="eastAsia" w:ascii="宋体" w:hAnsi="宋体" w:cs="宋体"/>
          <w:sz w:val="24"/>
        </w:rPr>
        <w:t>8.3.1   履约保证金：见供应商须知前附表（一）。</w:t>
      </w:r>
    </w:p>
    <w:p>
      <w:pPr>
        <w:spacing w:line="360" w:lineRule="auto"/>
        <w:ind w:left="960" w:hanging="960" w:hangingChars="400"/>
        <w:rPr>
          <w:rFonts w:ascii="宋体" w:hAnsi="宋体" w:cs="宋体"/>
          <w:sz w:val="24"/>
        </w:rPr>
      </w:pPr>
      <w:r>
        <w:rPr>
          <w:rFonts w:hint="eastAsia" w:ascii="宋体" w:hAnsi="宋体" w:cs="宋体"/>
          <w:sz w:val="24"/>
        </w:rPr>
        <w:t>8.3.2   中标人提供的货物质量和服务符合合同约定并经验收合格的，其履约保证金按规定要求由采购人无息退还。</w:t>
      </w:r>
    </w:p>
    <w:p>
      <w:pPr>
        <w:pStyle w:val="234"/>
        <w:rPr>
          <w:rFonts w:ascii="宋体" w:eastAsia="宋体"/>
        </w:rPr>
      </w:pPr>
      <w:bookmarkStart w:id="201" w:name="_Toc34895580"/>
      <w:bookmarkStart w:id="202" w:name="_Toc531359030"/>
      <w:r>
        <w:rPr>
          <w:rFonts w:hint="eastAsia" w:ascii="宋体" w:eastAsia="宋体"/>
        </w:rPr>
        <w:t>8.4     合同</w:t>
      </w:r>
      <w:bookmarkEnd w:id="201"/>
      <w:bookmarkEnd w:id="202"/>
    </w:p>
    <w:p>
      <w:pPr>
        <w:spacing w:line="360" w:lineRule="auto"/>
        <w:ind w:left="960" w:hanging="960" w:hangingChars="400"/>
        <w:rPr>
          <w:rFonts w:ascii="宋体" w:hAnsi="宋体" w:cs="宋体"/>
          <w:sz w:val="24"/>
        </w:rPr>
      </w:pPr>
      <w:r>
        <w:rPr>
          <w:rFonts w:hint="eastAsia" w:ascii="宋体" w:hAnsi="宋体" w:cs="宋体"/>
          <w:sz w:val="24"/>
        </w:rPr>
        <w:t>8.4.1   采购人应当自中标通知书发出之日起30日内，按照招标文件和中标人投标文件的规定，与中标人签订书面合同。所签订的合同不得对招标文件确定的事项和中标人投标文件作实质性修改。</w:t>
      </w:r>
    </w:p>
    <w:p>
      <w:pPr>
        <w:spacing w:line="360" w:lineRule="auto"/>
        <w:ind w:left="960" w:hanging="960" w:hangingChars="400"/>
        <w:rPr>
          <w:rFonts w:ascii="宋体" w:hAnsi="宋体" w:cs="宋体"/>
          <w:sz w:val="24"/>
        </w:rPr>
      </w:pPr>
      <w:r>
        <w:rPr>
          <w:rFonts w:hint="eastAsia" w:ascii="宋体" w:hAnsi="宋体" w:cs="宋体"/>
          <w:sz w:val="24"/>
        </w:rPr>
        <w:t>8.4.2   询问或者质疑事项可能影响中标（成交）结果的，采购人应当暂停签订合同，已经签订合同的，应当中止履行合同。</w:t>
      </w:r>
    </w:p>
    <w:p>
      <w:pPr>
        <w:pStyle w:val="44"/>
        <w:spacing w:beforeLines="100" w:after="240" w:afterLines="100"/>
        <w:jc w:val="left"/>
        <w:outlineLvl w:val="1"/>
        <w:rPr>
          <w:rFonts w:ascii="宋体" w:hAnsi="宋体" w:cs="宋体"/>
          <w:sz w:val="30"/>
          <w:szCs w:val="30"/>
        </w:rPr>
      </w:pPr>
      <w:bookmarkStart w:id="203" w:name="_Toc493956048"/>
      <w:bookmarkStart w:id="204" w:name="_Toc530551873"/>
      <w:bookmarkStart w:id="205" w:name="_Toc15805937"/>
      <w:bookmarkStart w:id="206" w:name="_Toc45506731"/>
      <w:bookmarkStart w:id="207" w:name="_Toc107820052"/>
      <w:bookmarkStart w:id="208" w:name="_Toc335664282"/>
      <w:bookmarkStart w:id="209" w:name="_Toc531359032"/>
      <w:bookmarkStart w:id="210" w:name="_Toc15813254"/>
      <w:bookmarkStart w:id="211" w:name="_Toc47756031"/>
      <w:bookmarkStart w:id="212" w:name="_Toc34895581"/>
      <w:bookmarkStart w:id="213" w:name="_Toc334087240"/>
      <w:r>
        <w:rPr>
          <w:rFonts w:hint="eastAsia" w:ascii="宋体" w:hAnsi="宋体" w:cs="宋体"/>
          <w:sz w:val="30"/>
          <w:szCs w:val="30"/>
        </w:rPr>
        <w:t>九    其他事项</w:t>
      </w:r>
      <w:bookmarkEnd w:id="203"/>
      <w:bookmarkEnd w:id="204"/>
      <w:bookmarkEnd w:id="205"/>
      <w:bookmarkEnd w:id="206"/>
      <w:bookmarkEnd w:id="207"/>
      <w:bookmarkEnd w:id="208"/>
      <w:bookmarkEnd w:id="209"/>
      <w:bookmarkEnd w:id="210"/>
      <w:bookmarkEnd w:id="211"/>
      <w:bookmarkEnd w:id="212"/>
      <w:bookmarkEnd w:id="213"/>
    </w:p>
    <w:p>
      <w:pPr>
        <w:pStyle w:val="234"/>
        <w:rPr>
          <w:rFonts w:ascii="宋体" w:eastAsia="宋体"/>
        </w:rPr>
      </w:pPr>
      <w:bookmarkStart w:id="214" w:name="_Toc531359033"/>
      <w:bookmarkStart w:id="215" w:name="_Toc34895582"/>
      <w:r>
        <w:rPr>
          <w:rFonts w:hint="eastAsia" w:ascii="宋体" w:eastAsia="宋体"/>
        </w:rPr>
        <w:t>9.1     解释权</w:t>
      </w:r>
      <w:bookmarkEnd w:id="214"/>
      <w:bookmarkEnd w:id="215"/>
      <w:r>
        <w:rPr>
          <w:rFonts w:hint="eastAsia" w:ascii="宋体" w:eastAsia="宋体"/>
        </w:rPr>
        <w:t xml:space="preserve"> </w:t>
      </w:r>
    </w:p>
    <w:p>
      <w:pPr>
        <w:spacing w:line="360" w:lineRule="auto"/>
        <w:ind w:left="960" w:hanging="960" w:hangingChars="400"/>
        <w:rPr>
          <w:rFonts w:ascii="宋体" w:hAnsi="宋体" w:cs="宋体"/>
          <w:sz w:val="24"/>
        </w:rPr>
      </w:pPr>
      <w:r>
        <w:rPr>
          <w:rFonts w:hint="eastAsia" w:ascii="宋体" w:hAnsi="宋体" w:cs="宋体"/>
          <w:sz w:val="24"/>
        </w:rPr>
        <w:t>9.1.1   本招标文件解释权属采购代理机构；</w:t>
      </w:r>
    </w:p>
    <w:p>
      <w:pPr>
        <w:spacing w:line="360" w:lineRule="auto"/>
        <w:ind w:left="960" w:hanging="960" w:hangingChars="400"/>
        <w:rPr>
          <w:rFonts w:ascii="宋体" w:hAnsi="宋体" w:cs="宋体"/>
          <w:sz w:val="24"/>
        </w:rPr>
      </w:pPr>
      <w:r>
        <w:rPr>
          <w:rFonts w:hint="eastAsia" w:ascii="宋体" w:hAnsi="宋体" w:cs="宋体"/>
          <w:sz w:val="24"/>
        </w:rPr>
        <w:t>9.1.2   采购代理机构对决标结果不负责解释。</w:t>
      </w:r>
    </w:p>
    <w:p>
      <w:pPr>
        <w:spacing w:line="360" w:lineRule="auto"/>
        <w:ind w:firstLine="840" w:firstLineChars="400"/>
        <w:rPr>
          <w:rFonts w:ascii="宋体" w:hAnsi="宋体" w:cs="宋体"/>
        </w:rPr>
        <w:sectPr>
          <w:pgSz w:w="11905" w:h="16838"/>
          <w:pgMar w:top="1440" w:right="1083" w:bottom="1440" w:left="1083" w:header="850" w:footer="850" w:gutter="0"/>
          <w:cols w:space="720" w:num="1"/>
          <w:titlePg/>
          <w:docGrid w:linePitch="312" w:charSpace="0"/>
        </w:sectPr>
      </w:pPr>
    </w:p>
    <w:p>
      <w:pPr>
        <w:spacing w:before="48" w:beforeLines="20" w:line="360" w:lineRule="auto"/>
        <w:ind w:firstLine="2891" w:firstLineChars="900"/>
        <w:outlineLvl w:val="0"/>
        <w:rPr>
          <w:b/>
          <w:bCs/>
          <w:sz w:val="32"/>
        </w:rPr>
      </w:pPr>
      <w:bookmarkStart w:id="216" w:name="_Toc493956049"/>
      <w:bookmarkStart w:id="217" w:name="_Toc34895583"/>
      <w:bookmarkStart w:id="218" w:name="_Toc531359036"/>
      <w:bookmarkStart w:id="219" w:name="_Toc530551874"/>
      <w:r>
        <w:rPr>
          <w:rFonts w:hint="eastAsia" w:ascii="宋体" w:hAnsi="宋体" w:cs="宋体"/>
          <w:b/>
          <w:bCs/>
          <w:sz w:val="32"/>
          <w:szCs w:val="32"/>
        </w:rPr>
        <w:t>第四章</w:t>
      </w:r>
      <w:r>
        <w:rPr>
          <w:rFonts w:hint="eastAsia" w:ascii="宋体" w:hAnsi="宋体" w:cs="宋体"/>
          <w:sz w:val="36"/>
          <w:szCs w:val="36"/>
        </w:rPr>
        <w:t xml:space="preserve">  </w:t>
      </w:r>
      <w:bookmarkEnd w:id="216"/>
      <w:bookmarkEnd w:id="217"/>
      <w:bookmarkEnd w:id="218"/>
      <w:bookmarkEnd w:id="219"/>
      <w:bookmarkStart w:id="220" w:name="_Toc29189"/>
      <w:r>
        <w:rPr>
          <w:b/>
          <w:sz w:val="32"/>
          <w:szCs w:val="32"/>
        </w:rPr>
        <w:t>合同格式</w:t>
      </w:r>
      <w:bookmarkEnd w:id="220"/>
    </w:p>
    <w:p>
      <w:pPr>
        <w:pStyle w:val="25"/>
        <w:tabs>
          <w:tab w:val="right" w:leader="dot" w:pos="9060"/>
        </w:tabs>
        <w:ind w:left="0" w:leftChars="0" w:firstLine="2891" w:firstLineChars="900"/>
        <w:rPr>
          <w:rFonts w:ascii="Times New Roman" w:hAnsi="Times New Roman" w:eastAsia="宋体"/>
          <w:b/>
          <w:bCs/>
          <w:sz w:val="32"/>
        </w:rPr>
      </w:pPr>
    </w:p>
    <w:p/>
    <w:p>
      <w:r>
        <w:t xml:space="preserve">                  </w:t>
      </w:r>
    </w:p>
    <w:p>
      <w:pPr>
        <w:tabs>
          <w:tab w:val="left" w:pos="2592"/>
          <w:tab w:val="center" w:pos="4465"/>
        </w:tabs>
        <w:spacing w:line="360" w:lineRule="auto"/>
        <w:jc w:val="right"/>
        <w:rPr>
          <w:b/>
          <w:kern w:val="0"/>
          <w:sz w:val="22"/>
        </w:rPr>
      </w:pPr>
      <w:r>
        <w:rPr>
          <w:b/>
          <w:sz w:val="24"/>
        </w:rPr>
        <w:t xml:space="preserve">                </w:t>
      </w:r>
      <w:r>
        <w:rPr>
          <w:b/>
          <w:kern w:val="0"/>
          <w:sz w:val="24"/>
        </w:rPr>
        <w:t>（合同编号：</w:t>
      </w:r>
      <w:r>
        <w:rPr>
          <w:b/>
          <w:kern w:val="0"/>
          <w:sz w:val="24"/>
          <w:u w:val="single"/>
        </w:rPr>
        <w:t xml:space="preserve">           </w:t>
      </w:r>
      <w:r>
        <w:rPr>
          <w:b/>
          <w:kern w:val="0"/>
          <w:sz w:val="24"/>
        </w:rPr>
        <w:t>）</w:t>
      </w:r>
    </w:p>
    <w:p>
      <w:pPr>
        <w:rPr>
          <w:sz w:val="24"/>
          <w:szCs w:val="21"/>
        </w:rPr>
      </w:pPr>
      <w:r>
        <w:rPr>
          <w:b/>
          <w:sz w:val="24"/>
          <w:szCs w:val="21"/>
        </w:rPr>
        <w:t xml:space="preserve">                   </w:t>
      </w:r>
    </w:p>
    <w:p>
      <w:pPr>
        <w:spacing w:line="600" w:lineRule="exact"/>
        <w:ind w:left="2158" w:leftChars="456" w:hanging="1200" w:hangingChars="500"/>
        <w:rPr>
          <w:sz w:val="24"/>
          <w:szCs w:val="21"/>
          <w:u w:val="single"/>
        </w:rPr>
      </w:pPr>
      <w:r>
        <w:rPr>
          <w:sz w:val="24"/>
          <w:szCs w:val="21"/>
        </w:rPr>
        <w:t>项目名称：</w:t>
      </w:r>
      <w:r>
        <w:rPr>
          <w:rFonts w:hint="eastAsia"/>
          <w:sz w:val="24"/>
          <w:szCs w:val="21"/>
          <w:u w:val="single"/>
        </w:rPr>
        <w:t>缙云县建筑固废物综合利用项目劳务外包采购</w:t>
      </w:r>
      <w:r>
        <w:rPr>
          <w:sz w:val="24"/>
          <w:szCs w:val="21"/>
          <w:u w:val="single"/>
        </w:rPr>
        <w:t xml:space="preserve">       </w:t>
      </w:r>
      <w:r>
        <w:rPr>
          <w:sz w:val="24"/>
          <w:szCs w:val="21"/>
        </w:rPr>
        <w:t xml:space="preserve">     </w:t>
      </w:r>
    </w:p>
    <w:p>
      <w:pPr>
        <w:snapToGrid w:val="0"/>
        <w:spacing w:before="119" w:line="600" w:lineRule="exact"/>
        <w:ind w:left="958"/>
        <w:rPr>
          <w:sz w:val="24"/>
          <w:szCs w:val="21"/>
        </w:rPr>
      </w:pPr>
      <w:r>
        <w:rPr>
          <w:sz w:val="24"/>
          <w:szCs w:val="21"/>
        </w:rPr>
        <w:t xml:space="preserve"> </w:t>
      </w:r>
    </w:p>
    <w:p>
      <w:pPr>
        <w:pStyle w:val="32"/>
      </w:pPr>
    </w:p>
    <w:p>
      <w:pPr>
        <w:pStyle w:val="32"/>
      </w:pPr>
    </w:p>
    <w:p>
      <w:pPr>
        <w:snapToGrid w:val="0"/>
        <w:spacing w:before="119" w:line="600" w:lineRule="exact"/>
        <w:ind w:left="958"/>
        <w:rPr>
          <w:sz w:val="24"/>
          <w:szCs w:val="21"/>
        </w:rPr>
      </w:pPr>
      <w:r>
        <w:rPr>
          <w:sz w:val="24"/>
          <w:szCs w:val="21"/>
        </w:rPr>
        <w:t>甲　　方：</w:t>
      </w:r>
      <w:r>
        <w:rPr>
          <w:sz w:val="24"/>
          <w:szCs w:val="21"/>
          <w:u w:val="single"/>
        </w:rPr>
        <w:t xml:space="preserve">                                                     </w:t>
      </w:r>
    </w:p>
    <w:p>
      <w:pPr>
        <w:snapToGrid w:val="0"/>
        <w:spacing w:before="119" w:line="600" w:lineRule="exact"/>
        <w:ind w:left="958"/>
        <w:rPr>
          <w:sz w:val="24"/>
          <w:szCs w:val="21"/>
        </w:rPr>
      </w:pPr>
      <w:r>
        <w:rPr>
          <w:sz w:val="24"/>
          <w:szCs w:val="21"/>
        </w:rPr>
        <w:t xml:space="preserve">  </w:t>
      </w:r>
    </w:p>
    <w:p>
      <w:pPr>
        <w:pStyle w:val="32"/>
      </w:pPr>
    </w:p>
    <w:p>
      <w:pPr>
        <w:pStyle w:val="32"/>
      </w:pPr>
    </w:p>
    <w:p>
      <w:pPr>
        <w:pStyle w:val="32"/>
      </w:pPr>
    </w:p>
    <w:p>
      <w:pPr>
        <w:snapToGrid w:val="0"/>
        <w:spacing w:before="119" w:line="600" w:lineRule="exact"/>
        <w:ind w:left="958"/>
        <w:rPr>
          <w:sz w:val="24"/>
          <w:szCs w:val="21"/>
        </w:rPr>
      </w:pPr>
      <w:r>
        <w:rPr>
          <w:sz w:val="24"/>
          <w:szCs w:val="21"/>
        </w:rPr>
        <w:t>乙　　方：</w:t>
      </w:r>
      <w:r>
        <w:rPr>
          <w:sz w:val="24"/>
          <w:szCs w:val="21"/>
          <w:u w:val="single"/>
        </w:rPr>
        <w:t xml:space="preserve">                                                     </w:t>
      </w:r>
      <w:r>
        <w:rPr>
          <w:sz w:val="24"/>
          <w:szCs w:val="21"/>
        </w:rPr>
        <w:t xml:space="preserve"> </w:t>
      </w:r>
    </w:p>
    <w:p>
      <w:pPr>
        <w:snapToGrid w:val="0"/>
        <w:spacing w:before="119" w:line="600" w:lineRule="exact"/>
        <w:rPr>
          <w:sz w:val="24"/>
          <w:szCs w:val="21"/>
        </w:rPr>
      </w:pPr>
      <w:r>
        <w:rPr>
          <w:sz w:val="24"/>
          <w:szCs w:val="21"/>
        </w:rPr>
        <w:t xml:space="preserve"> </w:t>
      </w:r>
    </w:p>
    <w:p>
      <w:pPr>
        <w:pStyle w:val="32"/>
        <w:rPr>
          <w:sz w:val="24"/>
          <w:szCs w:val="21"/>
        </w:rPr>
      </w:pPr>
    </w:p>
    <w:p>
      <w:pPr>
        <w:pStyle w:val="32"/>
        <w:rPr>
          <w:sz w:val="24"/>
          <w:szCs w:val="21"/>
        </w:rPr>
      </w:pPr>
    </w:p>
    <w:p>
      <w:pPr>
        <w:pStyle w:val="32"/>
      </w:pPr>
    </w:p>
    <w:p>
      <w:pPr>
        <w:snapToGrid w:val="0"/>
        <w:spacing w:before="119" w:line="600" w:lineRule="exact"/>
        <w:ind w:left="958"/>
        <w:rPr>
          <w:sz w:val="24"/>
          <w:szCs w:val="21"/>
        </w:rPr>
      </w:pPr>
      <w:r>
        <w:rPr>
          <w:sz w:val="24"/>
          <w:szCs w:val="21"/>
        </w:rPr>
        <w:t>签署地点：</w:t>
      </w:r>
      <w:r>
        <w:rPr>
          <w:sz w:val="24"/>
          <w:szCs w:val="21"/>
          <w:u w:val="single"/>
        </w:rPr>
        <w:t xml:space="preserve">                                                       </w:t>
      </w:r>
    </w:p>
    <w:p>
      <w:pPr>
        <w:snapToGrid w:val="0"/>
        <w:spacing w:before="119" w:line="600" w:lineRule="exact"/>
        <w:ind w:left="958"/>
        <w:rPr>
          <w:sz w:val="24"/>
          <w:szCs w:val="21"/>
        </w:rPr>
      </w:pPr>
    </w:p>
    <w:p>
      <w:pPr>
        <w:pStyle w:val="32"/>
        <w:rPr>
          <w:sz w:val="24"/>
          <w:szCs w:val="21"/>
        </w:rPr>
      </w:pPr>
    </w:p>
    <w:p>
      <w:pPr>
        <w:pStyle w:val="32"/>
        <w:rPr>
          <w:sz w:val="24"/>
          <w:szCs w:val="21"/>
        </w:rPr>
      </w:pPr>
    </w:p>
    <w:p>
      <w:pPr>
        <w:snapToGrid w:val="0"/>
        <w:spacing w:before="119" w:line="600" w:lineRule="exact"/>
        <w:ind w:left="958"/>
        <w:rPr>
          <w:sz w:val="24"/>
          <w:szCs w:val="21"/>
        </w:rPr>
      </w:pPr>
      <w:r>
        <w:rPr>
          <w:sz w:val="24"/>
          <w:szCs w:val="21"/>
        </w:rPr>
        <w:t>签署日期：</w:t>
      </w:r>
      <w:r>
        <w:rPr>
          <w:sz w:val="24"/>
          <w:szCs w:val="21"/>
          <w:u w:val="single"/>
        </w:rPr>
        <w:t xml:space="preserve">                                                        </w:t>
      </w:r>
    </w:p>
    <w:p>
      <w:pPr>
        <w:snapToGrid w:val="0"/>
        <w:spacing w:before="119" w:line="600" w:lineRule="exact"/>
        <w:ind w:left="958"/>
        <w:rPr>
          <w:sz w:val="24"/>
          <w:szCs w:val="21"/>
        </w:rPr>
      </w:pPr>
      <w:r>
        <w:rPr>
          <w:sz w:val="24"/>
          <w:szCs w:val="21"/>
        </w:rPr>
        <w:t xml:space="preserve">            </w:t>
      </w:r>
    </w:p>
    <w:p>
      <w:pPr>
        <w:snapToGrid w:val="0"/>
        <w:spacing w:before="119" w:line="600" w:lineRule="exact"/>
        <w:ind w:left="958"/>
        <w:rPr>
          <w:sz w:val="24"/>
          <w:szCs w:val="21"/>
        </w:rPr>
      </w:pPr>
      <w:r>
        <w:rPr>
          <w:sz w:val="24"/>
          <w:szCs w:val="21"/>
        </w:rPr>
        <w:t xml:space="preserve">                 </w:t>
      </w:r>
    </w:p>
    <w:p>
      <w:pPr>
        <w:rPr>
          <w:rFonts w:ascii="宋体" w:hAnsi="宋体" w:cs="宋体"/>
          <w:caps/>
          <w:spacing w:val="20"/>
          <w:kern w:val="0"/>
          <w:sz w:val="24"/>
        </w:rPr>
      </w:pPr>
      <w:r>
        <w:rPr>
          <w:rFonts w:hint="eastAsia" w:ascii="宋体" w:hAnsi="宋体" w:cs="宋体"/>
          <w:caps/>
          <w:spacing w:val="20"/>
          <w:kern w:val="0"/>
          <w:sz w:val="24"/>
        </w:rPr>
        <w:br w:type="page"/>
      </w:r>
    </w:p>
    <w:p>
      <w:pPr>
        <w:spacing w:line="360" w:lineRule="auto"/>
        <w:rPr>
          <w:rFonts w:ascii="宋体" w:hAnsi="宋体" w:cs="宋体"/>
          <w:caps/>
          <w:spacing w:val="20"/>
          <w:kern w:val="0"/>
          <w:sz w:val="24"/>
        </w:rPr>
      </w:pPr>
      <w:r>
        <w:rPr>
          <w:rFonts w:hint="eastAsia" w:ascii="宋体" w:hAnsi="宋体" w:cs="宋体"/>
          <w:caps/>
          <w:spacing w:val="20"/>
          <w:kern w:val="0"/>
          <w:sz w:val="24"/>
        </w:rPr>
        <w:t>甲方（采购人）：___________________________________</w:t>
      </w:r>
    </w:p>
    <w:p>
      <w:pPr>
        <w:spacing w:line="360" w:lineRule="auto"/>
        <w:rPr>
          <w:rFonts w:ascii="宋体" w:hAnsi="宋体" w:cs="宋体"/>
          <w:caps/>
          <w:spacing w:val="20"/>
          <w:kern w:val="0"/>
          <w:sz w:val="24"/>
        </w:rPr>
      </w:pPr>
      <w:r>
        <w:rPr>
          <w:rFonts w:hint="eastAsia" w:ascii="宋体" w:hAnsi="宋体" w:cs="宋体"/>
          <w:caps/>
          <w:spacing w:val="20"/>
          <w:kern w:val="0"/>
          <w:sz w:val="24"/>
        </w:rPr>
        <w:t>乙方（供应商）：___________________________________</w:t>
      </w:r>
    </w:p>
    <w:p>
      <w:pPr>
        <w:spacing w:line="360" w:lineRule="auto"/>
        <w:ind w:firstLine="554" w:firstLineChars="198"/>
        <w:jc w:val="left"/>
        <w:rPr>
          <w:rFonts w:ascii="宋体" w:hAnsi="宋体" w:cs="宋体"/>
          <w:caps/>
          <w:spacing w:val="20"/>
          <w:kern w:val="0"/>
          <w:sz w:val="24"/>
        </w:rPr>
      </w:pPr>
    </w:p>
    <w:p>
      <w:pPr>
        <w:snapToGrid w:val="0"/>
        <w:spacing w:line="360" w:lineRule="auto"/>
        <w:ind w:firstLine="560" w:firstLineChars="200"/>
        <w:rPr>
          <w:rFonts w:ascii="宋体" w:hAnsi="宋体"/>
          <w:sz w:val="24"/>
        </w:rPr>
      </w:pPr>
      <w:r>
        <w:rPr>
          <w:rFonts w:hint="eastAsia" w:ascii="宋体" w:hAnsi="宋体" w:cs="宋体"/>
          <w:caps/>
          <w:spacing w:val="20"/>
          <w:kern w:val="0"/>
          <w:sz w:val="24"/>
        </w:rPr>
        <w:t xml:space="preserve"> </w:t>
      </w:r>
      <w:r>
        <w:rPr>
          <w:rFonts w:hint="eastAsia" w:ascii="宋体" w:hAnsi="宋体"/>
          <w:sz w:val="24"/>
        </w:rPr>
        <w:t>参照《中华人民共和国政府采购法》、《中华人民共和国政府采购法实施条例》以及《中华人民共和国民法典》等法律及有关规定，经公开招标后，确定乙方为中标单位，甲、乙双方遵循平等、自愿和诚实信用的原则，为方便双方履行义务，特签订本合同。</w:t>
      </w:r>
    </w:p>
    <w:p>
      <w:pPr>
        <w:spacing w:line="360" w:lineRule="auto"/>
        <w:ind w:firstLine="482" w:firstLineChars="200"/>
        <w:rPr>
          <w:rFonts w:ascii="宋体"/>
          <w:b/>
          <w:sz w:val="24"/>
          <w:lang w:val="zh-CN"/>
        </w:rPr>
      </w:pPr>
      <w:r>
        <w:rPr>
          <w:rFonts w:hint="eastAsia" w:ascii="宋体"/>
          <w:b/>
          <w:sz w:val="24"/>
          <w:lang w:val="zh-CN"/>
        </w:rPr>
        <w:t xml:space="preserve">一、合同文件： </w:t>
      </w:r>
    </w:p>
    <w:p>
      <w:pPr>
        <w:spacing w:line="360" w:lineRule="auto"/>
        <w:ind w:firstLine="480" w:firstLineChars="200"/>
        <w:rPr>
          <w:rFonts w:ascii="宋体"/>
          <w:sz w:val="24"/>
          <w:lang w:val="zh-CN"/>
        </w:rPr>
      </w:pPr>
      <w:r>
        <w:rPr>
          <w:rFonts w:hint="eastAsia" w:ascii="宋体"/>
          <w:sz w:val="24"/>
          <w:lang w:val="zh-CN"/>
        </w:rPr>
        <w:t>1、合同条款。</w:t>
      </w:r>
    </w:p>
    <w:p>
      <w:pPr>
        <w:spacing w:line="360" w:lineRule="auto"/>
        <w:ind w:firstLine="480" w:firstLineChars="200"/>
        <w:rPr>
          <w:rFonts w:ascii="宋体"/>
          <w:sz w:val="24"/>
          <w:lang w:val="zh-CN"/>
        </w:rPr>
      </w:pPr>
      <w:r>
        <w:rPr>
          <w:rFonts w:hint="eastAsia" w:ascii="宋体"/>
          <w:sz w:val="24"/>
          <w:lang w:val="zh-CN"/>
        </w:rPr>
        <w:t>2、成交通知书。</w:t>
      </w:r>
    </w:p>
    <w:p>
      <w:pPr>
        <w:spacing w:line="360" w:lineRule="auto"/>
        <w:ind w:firstLine="480" w:firstLineChars="200"/>
        <w:rPr>
          <w:rFonts w:ascii="宋体"/>
          <w:sz w:val="24"/>
          <w:lang w:val="zh-CN"/>
        </w:rPr>
      </w:pPr>
      <w:r>
        <w:rPr>
          <w:rFonts w:hint="eastAsia" w:ascii="宋体"/>
          <w:sz w:val="24"/>
          <w:lang w:val="zh-CN"/>
        </w:rPr>
        <w:t>3、更正补充文件。</w:t>
      </w:r>
    </w:p>
    <w:p>
      <w:pPr>
        <w:spacing w:line="360" w:lineRule="auto"/>
        <w:ind w:firstLine="480" w:firstLineChars="200"/>
        <w:rPr>
          <w:rFonts w:ascii="宋体"/>
          <w:sz w:val="24"/>
          <w:lang w:val="zh-CN"/>
        </w:rPr>
      </w:pPr>
      <w:r>
        <w:rPr>
          <w:rFonts w:hint="eastAsia" w:ascii="宋体"/>
          <w:sz w:val="24"/>
          <w:lang w:val="zh-CN"/>
        </w:rPr>
        <w:t>4、</w:t>
      </w:r>
      <w:r>
        <w:rPr>
          <w:rFonts w:hint="eastAsia" w:ascii="宋体" w:hAnsi="宋体"/>
          <w:sz w:val="24"/>
        </w:rPr>
        <w:t>采购文件</w:t>
      </w:r>
      <w:r>
        <w:rPr>
          <w:rFonts w:hint="eastAsia" w:ascii="宋体"/>
          <w:sz w:val="24"/>
          <w:lang w:val="zh-CN"/>
        </w:rPr>
        <w:t>。</w:t>
      </w:r>
    </w:p>
    <w:p>
      <w:pPr>
        <w:spacing w:line="360" w:lineRule="auto"/>
        <w:ind w:firstLine="480" w:firstLineChars="200"/>
        <w:rPr>
          <w:rFonts w:ascii="宋体"/>
          <w:sz w:val="24"/>
          <w:lang w:val="zh-CN"/>
        </w:rPr>
      </w:pPr>
      <w:r>
        <w:rPr>
          <w:rFonts w:hint="eastAsia" w:ascii="宋体"/>
          <w:sz w:val="24"/>
          <w:lang w:val="zh-CN"/>
        </w:rPr>
        <w:t>5、成交供应商响应文件。</w:t>
      </w:r>
    </w:p>
    <w:p>
      <w:pPr>
        <w:spacing w:line="360" w:lineRule="auto"/>
        <w:ind w:firstLine="480" w:firstLineChars="200"/>
        <w:rPr>
          <w:rFonts w:ascii="宋体"/>
          <w:sz w:val="24"/>
          <w:lang w:val="zh-CN"/>
        </w:rPr>
      </w:pPr>
      <w:r>
        <w:rPr>
          <w:rFonts w:hint="eastAsia" w:ascii="宋体"/>
          <w:sz w:val="24"/>
          <w:lang w:val="zh-CN"/>
        </w:rPr>
        <w:t>6、其他。</w:t>
      </w:r>
    </w:p>
    <w:p>
      <w:pPr>
        <w:pStyle w:val="26"/>
        <w:snapToGrid w:val="0"/>
        <w:spacing w:line="360" w:lineRule="auto"/>
        <w:ind w:firstLine="480" w:firstLineChars="200"/>
        <w:rPr>
          <w:sz w:val="24"/>
          <w:szCs w:val="24"/>
          <w:lang w:val="zh-CN"/>
        </w:rPr>
      </w:pPr>
      <w:r>
        <w:rPr>
          <w:rFonts w:hint="eastAsia"/>
          <w:sz w:val="24"/>
          <w:szCs w:val="24"/>
          <w:lang w:val="zh-CN"/>
        </w:rPr>
        <w:t>上述所指合同文件应认为是互相补充和解释的，但是有模棱两可或互相矛盾之处，以其所列内容顺序为准。</w:t>
      </w:r>
    </w:p>
    <w:p>
      <w:pPr>
        <w:pStyle w:val="26"/>
        <w:snapToGrid w:val="0"/>
        <w:spacing w:line="360" w:lineRule="auto"/>
        <w:ind w:firstLine="482" w:firstLineChars="200"/>
        <w:rPr>
          <w:rFonts w:hAnsi="宋体"/>
          <w:b/>
          <w:sz w:val="24"/>
          <w:szCs w:val="24"/>
        </w:rPr>
      </w:pPr>
      <w:r>
        <w:rPr>
          <w:rFonts w:hint="eastAsia" w:hAnsi="宋体"/>
          <w:b/>
          <w:sz w:val="24"/>
          <w:szCs w:val="24"/>
        </w:rPr>
        <w:t>二、服务地点、内容、期限等</w:t>
      </w:r>
    </w:p>
    <w:p>
      <w:pPr>
        <w:pStyle w:val="26"/>
        <w:snapToGrid w:val="0"/>
        <w:spacing w:line="360" w:lineRule="auto"/>
        <w:ind w:firstLine="480" w:firstLineChars="200"/>
        <w:rPr>
          <w:rFonts w:hAnsi="宋体"/>
          <w:color w:val="auto"/>
          <w:sz w:val="24"/>
          <w:szCs w:val="24"/>
        </w:rPr>
      </w:pPr>
      <w:r>
        <w:rPr>
          <w:rFonts w:hint="eastAsia" w:hAnsi="宋体"/>
          <w:sz w:val="24"/>
          <w:szCs w:val="24"/>
        </w:rPr>
        <w:t>1、</w:t>
      </w:r>
      <w:r>
        <w:rPr>
          <w:rFonts w:hint="eastAsia" w:hAnsi="宋体"/>
          <w:color w:val="auto"/>
          <w:sz w:val="24"/>
          <w:szCs w:val="24"/>
        </w:rPr>
        <w:t>服务地点：</w:t>
      </w:r>
      <w:r>
        <w:rPr>
          <w:rFonts w:hint="eastAsia" w:ascii="Times New Roman" w:hAnsi="Times New Roman" w:cs="宋体"/>
          <w:color w:val="auto"/>
          <w:sz w:val="24"/>
          <w:szCs w:val="24"/>
        </w:rPr>
        <w:t>缙云建筑固废物综合利用场</w:t>
      </w:r>
    </w:p>
    <w:p>
      <w:pPr>
        <w:spacing w:line="360" w:lineRule="auto"/>
        <w:ind w:firstLine="480" w:firstLineChars="200"/>
        <w:rPr>
          <w:rFonts w:cs="宋体"/>
          <w:color w:val="auto"/>
          <w:sz w:val="24"/>
          <w:szCs w:val="24"/>
        </w:rPr>
      </w:pPr>
      <w:r>
        <w:rPr>
          <w:rFonts w:hint="eastAsia" w:hAnsi="宋体"/>
          <w:color w:val="auto"/>
          <w:sz w:val="24"/>
          <w:szCs w:val="24"/>
        </w:rPr>
        <w:t>2、服务内容：</w:t>
      </w:r>
      <w:r>
        <w:rPr>
          <w:rFonts w:hint="eastAsia" w:cs="宋体"/>
          <w:color w:val="auto"/>
          <w:sz w:val="24"/>
          <w:szCs w:val="24"/>
        </w:rPr>
        <w:t>乙方负责提供建筑固废移动筛分处理设备至少一套(具有分选、磁选功能），需自行配备5台50型的铲车（其中长臂的2台）、2台（型号200）以上挖机、炮头机1台，驾驶员由供应商自配，视加工情况需要适时增减，并自行负责安装、调试；负责接收采购人原料，对进入堆场内的建筑垃圾进行分选、破碎筛分、轻物质分拣、除铁、原料分类堆放、平整推高及二次搬运装卸、破碎加工、产品分类堆放、产品装车、场地卫生、污水处理、压滤后产生的淤泥、建筑垃圾分拣后剩余建筑垃圾处置等；增加设备需经甲方同意，费用由乙方承担；配合甲方办理相关生产、环保等相关手续。分拣后剩余建筑垃圾、淤泥出厂弃方点由甲方提供，装卸搬运平整由乙方负责，并保证符合行政管理部门和当地政府要求，否则，由此产生的一切法律责任和经济责任由乙方负责。</w:t>
      </w:r>
    </w:p>
    <w:p>
      <w:pPr>
        <w:spacing w:line="360" w:lineRule="auto"/>
        <w:ind w:firstLine="480" w:firstLineChars="200"/>
        <w:rPr>
          <w:rFonts w:hAnsi="宋体"/>
          <w:color w:val="auto"/>
          <w:kern w:val="0"/>
          <w:sz w:val="24"/>
          <w:szCs w:val="24"/>
        </w:rPr>
      </w:pPr>
      <w:r>
        <w:rPr>
          <w:rFonts w:hint="eastAsia"/>
          <w:bCs/>
          <w:color w:val="auto"/>
          <w:sz w:val="24"/>
          <w:szCs w:val="24"/>
        </w:rPr>
        <w:t>3、服务期</w:t>
      </w:r>
      <w:r>
        <w:rPr>
          <w:rFonts w:hint="eastAsia" w:hAnsi="宋体"/>
          <w:color w:val="auto"/>
          <w:sz w:val="24"/>
          <w:szCs w:val="24"/>
        </w:rPr>
        <w:t>限</w:t>
      </w:r>
      <w:r>
        <w:rPr>
          <w:rFonts w:hint="eastAsia"/>
          <w:bCs/>
          <w:color w:val="auto"/>
          <w:sz w:val="24"/>
          <w:szCs w:val="24"/>
        </w:rPr>
        <w:t>：</w:t>
      </w:r>
      <w:r>
        <w:rPr>
          <w:rFonts w:hint="eastAsia" w:ascii="宋体" w:hAnsi="宋体" w:cs="宋体"/>
          <w:color w:val="auto"/>
          <w:sz w:val="24"/>
          <w:szCs w:val="24"/>
        </w:rPr>
        <w:t>加工服务期限 36个月，月生产成品总量不小于</w:t>
      </w:r>
      <w:r>
        <w:rPr>
          <w:rFonts w:hint="eastAsia" w:hAnsi="宋体" w:cs="宋体"/>
          <w:color w:val="auto"/>
          <w:sz w:val="24"/>
          <w:szCs w:val="24"/>
        </w:rPr>
        <w:t>5</w:t>
      </w:r>
      <w:r>
        <w:rPr>
          <w:rFonts w:hint="eastAsia" w:ascii="宋体" w:hAnsi="宋体" w:cs="宋体"/>
          <w:color w:val="auto"/>
          <w:sz w:val="24"/>
          <w:szCs w:val="24"/>
        </w:rPr>
        <w:t>万吨，年生产成品总量不小于100万吨。以</w:t>
      </w:r>
      <w:r>
        <w:rPr>
          <w:rFonts w:hint="eastAsia" w:hAnsi="宋体" w:cs="宋体"/>
          <w:color w:val="auto"/>
          <w:sz w:val="24"/>
          <w:szCs w:val="24"/>
        </w:rPr>
        <w:t>甲方</w:t>
      </w:r>
      <w:r>
        <w:rPr>
          <w:rFonts w:hint="eastAsia" w:ascii="宋体" w:hAnsi="宋体" w:cs="宋体"/>
          <w:color w:val="auto"/>
          <w:sz w:val="24"/>
          <w:szCs w:val="24"/>
        </w:rPr>
        <w:t>发出开工通知之日开始计算，并在7日内完成设备交付工作，在15日内投入生产。若由于</w:t>
      </w:r>
      <w:r>
        <w:rPr>
          <w:rFonts w:hint="eastAsia" w:hAnsi="宋体" w:cs="宋体"/>
          <w:color w:val="auto"/>
          <w:sz w:val="24"/>
          <w:szCs w:val="24"/>
        </w:rPr>
        <w:t>乙方</w:t>
      </w:r>
      <w:r>
        <w:rPr>
          <w:rFonts w:hint="eastAsia" w:ascii="宋体" w:hAnsi="宋体" w:cs="宋体"/>
          <w:color w:val="auto"/>
          <w:sz w:val="24"/>
          <w:szCs w:val="24"/>
        </w:rPr>
        <w:t>原因未按时投入生产的，罚款20000元/天在次月加工费中扣除。若产品出现滞销情况的，根据市场需求，每月调整生产方案，</w:t>
      </w:r>
      <w:r>
        <w:rPr>
          <w:rFonts w:hint="eastAsia" w:hAnsi="宋体" w:cs="宋体"/>
          <w:color w:val="auto"/>
          <w:sz w:val="24"/>
          <w:szCs w:val="24"/>
        </w:rPr>
        <w:t>乙方</w:t>
      </w:r>
      <w:r>
        <w:rPr>
          <w:rFonts w:hint="eastAsia" w:ascii="宋体" w:hAnsi="宋体" w:cs="宋体"/>
          <w:color w:val="auto"/>
          <w:sz w:val="24"/>
          <w:szCs w:val="24"/>
        </w:rPr>
        <w:t>须按</w:t>
      </w:r>
      <w:r>
        <w:rPr>
          <w:rFonts w:hint="eastAsia" w:hAnsi="宋体" w:cs="宋体"/>
          <w:color w:val="auto"/>
          <w:sz w:val="24"/>
          <w:szCs w:val="24"/>
        </w:rPr>
        <w:t>甲方</w:t>
      </w:r>
      <w:r>
        <w:rPr>
          <w:rFonts w:hint="eastAsia" w:ascii="宋体" w:hAnsi="宋体" w:cs="宋体"/>
          <w:color w:val="auto"/>
          <w:sz w:val="24"/>
          <w:szCs w:val="24"/>
        </w:rPr>
        <w:t>要求和生产方案进行生产。</w:t>
      </w:r>
    </w:p>
    <w:p>
      <w:pPr>
        <w:autoSpaceDE w:val="0"/>
        <w:autoSpaceDN w:val="0"/>
        <w:adjustRightInd w:val="0"/>
        <w:snapToGrid w:val="0"/>
        <w:spacing w:line="360" w:lineRule="auto"/>
        <w:ind w:left="482"/>
        <w:textAlignment w:val="bottom"/>
        <w:rPr>
          <w:rFonts w:ascii="宋体" w:hAnsi="宋体"/>
          <w:b/>
          <w:color w:val="auto"/>
          <w:sz w:val="24"/>
        </w:rPr>
      </w:pPr>
      <w:r>
        <w:rPr>
          <w:rFonts w:hint="eastAsia" w:ascii="宋体" w:hAnsi="宋体"/>
          <w:b/>
          <w:color w:val="auto"/>
          <w:sz w:val="24"/>
          <w:lang w:val="zh-CN"/>
        </w:rPr>
        <w:t>三、</w:t>
      </w:r>
      <w:r>
        <w:rPr>
          <w:rFonts w:hint="eastAsia" w:ascii="宋体" w:hAnsi="宋体"/>
          <w:b/>
          <w:color w:val="auto"/>
          <w:sz w:val="24"/>
        </w:rPr>
        <w:t>合同金额</w:t>
      </w:r>
    </w:p>
    <w:p>
      <w:pPr>
        <w:snapToGrid w:val="0"/>
        <w:spacing w:line="360" w:lineRule="auto"/>
        <w:ind w:firstLine="480" w:firstLineChars="200"/>
        <w:rPr>
          <w:rFonts w:ascii="宋体" w:hAnsi="宋体"/>
          <w:color w:val="auto"/>
          <w:sz w:val="24"/>
        </w:rPr>
      </w:pPr>
      <w:r>
        <w:rPr>
          <w:rFonts w:hint="eastAsia" w:ascii="宋体" w:hAnsi="宋体"/>
          <w:color w:val="auto"/>
          <w:sz w:val="24"/>
        </w:rPr>
        <w:t>1、</w:t>
      </w:r>
      <w:r>
        <w:rPr>
          <w:rFonts w:hint="eastAsia" w:ascii="宋体" w:hAnsi="宋体" w:cs="宋体"/>
          <w:color w:val="auto"/>
          <w:kern w:val="0"/>
          <w:sz w:val="24"/>
          <w:szCs w:val="24"/>
        </w:rPr>
        <w:t>建筑垃圾筛分服务</w:t>
      </w:r>
      <w:r>
        <w:rPr>
          <w:rFonts w:hint="eastAsia" w:ascii="宋体" w:hAnsi="宋体"/>
          <w:color w:val="auto"/>
          <w:sz w:val="24"/>
          <w:lang w:val="zh-CN"/>
        </w:rPr>
        <w:t>综合单价</w:t>
      </w:r>
      <w:r>
        <w:rPr>
          <w:rFonts w:hint="eastAsia" w:ascii="宋体" w:hAnsi="宋体"/>
          <w:color w:val="auto"/>
          <w:sz w:val="24"/>
          <w:u w:val="single"/>
          <w:lang w:val="zh-CN"/>
        </w:rPr>
        <w:t xml:space="preserve">  </w:t>
      </w:r>
      <w:r>
        <w:rPr>
          <w:rFonts w:hint="eastAsia" w:ascii="宋体" w:hAnsi="宋体"/>
          <w:color w:val="auto"/>
          <w:sz w:val="24"/>
          <w:u w:val="single"/>
        </w:rPr>
        <w:t xml:space="preserve"> </w:t>
      </w:r>
      <w:r>
        <w:rPr>
          <w:rFonts w:hint="eastAsia" w:ascii="宋体" w:hAnsi="宋体"/>
          <w:color w:val="auto"/>
          <w:sz w:val="24"/>
          <w:u w:val="single"/>
          <w:lang w:val="zh-CN"/>
        </w:rPr>
        <w:t xml:space="preserve"> </w:t>
      </w:r>
      <w:r>
        <w:rPr>
          <w:rFonts w:hint="eastAsia" w:ascii="宋体" w:hAnsi="宋体"/>
          <w:color w:val="auto"/>
          <w:sz w:val="24"/>
          <w:lang w:val="zh-CN"/>
        </w:rPr>
        <w:t>元/吨；</w:t>
      </w:r>
      <w:r>
        <w:rPr>
          <w:rFonts w:hint="eastAsia" w:ascii="宋体" w:hAnsi="宋体"/>
          <w:color w:val="auto"/>
          <w:sz w:val="24"/>
        </w:rPr>
        <w:t>骨料加工服务（无需整形）</w:t>
      </w:r>
      <w:r>
        <w:rPr>
          <w:rFonts w:hint="eastAsia" w:ascii="宋体" w:hAnsi="宋体"/>
          <w:color w:val="auto"/>
          <w:sz w:val="24"/>
          <w:lang w:val="zh-CN"/>
        </w:rPr>
        <w:t>综合单价</w:t>
      </w:r>
      <w:r>
        <w:rPr>
          <w:rFonts w:hint="eastAsia" w:ascii="宋体" w:hAnsi="宋体"/>
          <w:color w:val="auto"/>
          <w:sz w:val="24"/>
          <w:u w:val="single"/>
          <w:lang w:val="zh-CN"/>
        </w:rPr>
        <w:t xml:space="preserve">     </w:t>
      </w:r>
      <w:r>
        <w:rPr>
          <w:rFonts w:hint="eastAsia" w:ascii="宋体" w:hAnsi="宋体"/>
          <w:color w:val="auto"/>
          <w:sz w:val="24"/>
          <w:lang w:val="zh-CN"/>
        </w:rPr>
        <w:t>元/吨；</w:t>
      </w:r>
      <w:r>
        <w:rPr>
          <w:rFonts w:hint="eastAsia" w:ascii="宋体" w:hAnsi="宋体"/>
          <w:color w:val="auto"/>
          <w:sz w:val="24"/>
        </w:rPr>
        <w:t>骨料加工服务（需整形）</w:t>
      </w:r>
      <w:r>
        <w:rPr>
          <w:rFonts w:hint="eastAsia" w:ascii="宋体" w:hAnsi="宋体"/>
          <w:color w:val="auto"/>
          <w:sz w:val="24"/>
          <w:lang w:val="zh-CN"/>
        </w:rPr>
        <w:t>综合单价</w:t>
      </w:r>
      <w:r>
        <w:rPr>
          <w:rFonts w:hint="eastAsia" w:ascii="宋体" w:hAnsi="宋体"/>
          <w:color w:val="auto"/>
          <w:sz w:val="24"/>
          <w:u w:val="single"/>
          <w:lang w:val="zh-CN"/>
        </w:rPr>
        <w:t xml:space="preserve">  </w:t>
      </w:r>
      <w:r>
        <w:rPr>
          <w:rFonts w:hint="eastAsia" w:ascii="宋体" w:hAnsi="宋体"/>
          <w:color w:val="auto"/>
          <w:sz w:val="24"/>
          <w:u w:val="single"/>
        </w:rPr>
        <w:t xml:space="preserve"> </w:t>
      </w:r>
      <w:r>
        <w:rPr>
          <w:rFonts w:hint="eastAsia" w:ascii="宋体" w:hAnsi="宋体"/>
          <w:color w:val="auto"/>
          <w:sz w:val="24"/>
          <w:u w:val="single"/>
          <w:lang w:val="zh-CN"/>
        </w:rPr>
        <w:t xml:space="preserve"> </w:t>
      </w:r>
      <w:r>
        <w:rPr>
          <w:rFonts w:hint="eastAsia" w:ascii="宋体" w:hAnsi="宋体"/>
          <w:color w:val="auto"/>
          <w:sz w:val="24"/>
          <w:lang w:val="zh-CN"/>
        </w:rPr>
        <w:t>元/吨。</w:t>
      </w:r>
    </w:p>
    <w:p>
      <w:pPr>
        <w:snapToGrid w:val="0"/>
        <w:spacing w:line="360" w:lineRule="auto"/>
        <w:ind w:firstLine="480" w:firstLineChars="200"/>
        <w:rPr>
          <w:rFonts w:hAnsi="宋体"/>
          <w:color w:val="auto"/>
          <w:sz w:val="24"/>
        </w:rPr>
      </w:pPr>
      <w:r>
        <w:rPr>
          <w:rFonts w:hint="eastAsia" w:ascii="宋体" w:hAnsi="宋体"/>
          <w:color w:val="auto"/>
          <w:sz w:val="24"/>
        </w:rPr>
        <w:t>2、</w:t>
      </w:r>
      <w:r>
        <w:rPr>
          <w:rFonts w:hint="eastAsia" w:hAnsi="宋体"/>
          <w:color w:val="auto"/>
          <w:sz w:val="24"/>
        </w:rPr>
        <w:t>本合同为单价合同，</w:t>
      </w:r>
      <w:r>
        <w:rPr>
          <w:rFonts w:hint="eastAsia" w:ascii="宋体" w:hAnsi="宋体"/>
          <w:color w:val="auto"/>
          <w:sz w:val="24"/>
        </w:rPr>
        <w:t>一次性包死，合同期内</w:t>
      </w:r>
      <w:r>
        <w:rPr>
          <w:rFonts w:hint="eastAsia" w:hAnsi="宋体"/>
          <w:color w:val="auto"/>
          <w:sz w:val="24"/>
        </w:rPr>
        <w:t>不作任何</w:t>
      </w:r>
      <w:r>
        <w:rPr>
          <w:rFonts w:hint="eastAsia" w:ascii="宋体" w:hAnsi="宋体"/>
          <w:color w:val="auto"/>
          <w:sz w:val="24"/>
        </w:rPr>
        <w:t>调整。</w:t>
      </w:r>
      <w:r>
        <w:rPr>
          <w:rFonts w:hint="eastAsia" w:hAnsi="宋体"/>
          <w:color w:val="auto"/>
          <w:sz w:val="24"/>
        </w:rPr>
        <w:t>制砂、石子数量</w:t>
      </w:r>
      <w:r>
        <w:rPr>
          <w:rFonts w:hint="eastAsia" w:ascii="宋体" w:hAnsi="宋体"/>
          <w:color w:val="auto"/>
          <w:sz w:val="24"/>
        </w:rPr>
        <w:t>以合同有效期内实际结算数量为准</w:t>
      </w:r>
      <w:r>
        <w:rPr>
          <w:rFonts w:hint="eastAsia" w:hAnsi="宋体"/>
          <w:color w:val="auto"/>
          <w:sz w:val="24"/>
        </w:rPr>
        <w:t>。</w:t>
      </w:r>
    </w:p>
    <w:p>
      <w:pPr>
        <w:autoSpaceDE w:val="0"/>
        <w:autoSpaceDN w:val="0"/>
        <w:adjustRightInd w:val="0"/>
        <w:snapToGrid w:val="0"/>
        <w:spacing w:line="360" w:lineRule="auto"/>
        <w:ind w:left="482"/>
        <w:textAlignment w:val="bottom"/>
        <w:rPr>
          <w:rFonts w:ascii="宋体" w:hAnsi="宋体"/>
          <w:b/>
          <w:color w:val="auto"/>
          <w:sz w:val="24"/>
        </w:rPr>
      </w:pPr>
      <w:r>
        <w:rPr>
          <w:rFonts w:hint="eastAsia" w:ascii="宋体" w:hAnsi="宋体"/>
          <w:b/>
          <w:color w:val="auto"/>
          <w:sz w:val="24"/>
          <w:lang w:val="zh-CN"/>
        </w:rPr>
        <w:t>四、</w:t>
      </w:r>
      <w:r>
        <w:rPr>
          <w:rFonts w:hint="eastAsia" w:ascii="宋体" w:hAnsi="宋体"/>
          <w:b/>
          <w:color w:val="auto"/>
          <w:sz w:val="24"/>
        </w:rPr>
        <w:t>履约保证金</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本项目需缴纳1％履约保证金。</w:t>
      </w:r>
    </w:p>
    <w:p>
      <w:pPr>
        <w:spacing w:line="360" w:lineRule="auto"/>
        <w:ind w:firstLine="480" w:firstLineChars="200"/>
        <w:rPr>
          <w:rFonts w:ascii="宋体" w:hAnsi="宋体"/>
          <w:b/>
          <w:color w:val="auto"/>
          <w:szCs w:val="24"/>
        </w:rPr>
      </w:pPr>
      <w:r>
        <w:rPr>
          <w:rFonts w:hint="eastAsia" w:ascii="宋体" w:hAnsi="宋体" w:cs="宋体"/>
          <w:color w:val="auto"/>
          <w:sz w:val="24"/>
          <w:szCs w:val="24"/>
        </w:rPr>
        <w:t>缴纳方式：</w:t>
      </w:r>
      <w:r>
        <w:rPr>
          <w:rFonts w:hint="eastAsia" w:ascii="宋体" w:hAnsi="宋体" w:cs="宋体"/>
          <w:color w:val="auto"/>
          <w:sz w:val="24"/>
          <w:szCs w:val="24"/>
          <w:lang w:eastAsia="zh-CN"/>
        </w:rPr>
        <w:t>采用</w:t>
      </w:r>
      <w:r>
        <w:rPr>
          <w:rFonts w:hint="eastAsia" w:ascii="宋体" w:hAnsi="宋体" w:cs="宋体"/>
          <w:color w:val="auto"/>
          <w:sz w:val="24"/>
          <w:szCs w:val="24"/>
        </w:rPr>
        <w:t>转账</w:t>
      </w:r>
      <w:r>
        <w:rPr>
          <w:rFonts w:hint="eastAsia" w:ascii="宋体" w:hAnsi="宋体" w:cs="宋体"/>
          <w:color w:val="auto"/>
          <w:sz w:val="24"/>
          <w:szCs w:val="24"/>
          <w:lang w:eastAsia="zh-CN"/>
        </w:rPr>
        <w:t>、</w:t>
      </w:r>
      <w:r>
        <w:rPr>
          <w:rFonts w:hint="eastAsia" w:ascii="宋体" w:hAnsi="宋体" w:cs="宋体"/>
          <w:color w:val="auto"/>
          <w:sz w:val="24"/>
          <w:szCs w:val="24"/>
        </w:rPr>
        <w:t>银行</w:t>
      </w:r>
      <w:r>
        <w:rPr>
          <w:rFonts w:hint="eastAsia" w:ascii="宋体" w:hAnsi="宋体" w:cs="宋体"/>
          <w:color w:val="auto"/>
          <w:sz w:val="24"/>
          <w:szCs w:val="24"/>
          <w:lang w:eastAsia="zh-CN"/>
        </w:rPr>
        <w:t>、</w:t>
      </w:r>
      <w:r>
        <w:rPr>
          <w:rFonts w:hint="eastAsia" w:ascii="宋体" w:hAnsi="宋体" w:cs="宋体"/>
          <w:color w:val="auto"/>
          <w:sz w:val="24"/>
          <w:szCs w:val="24"/>
        </w:rPr>
        <w:t>保险公司或第三方出具履约保函形式缴纳。</w:t>
      </w:r>
    </w:p>
    <w:p>
      <w:pPr>
        <w:pStyle w:val="14"/>
        <w:numPr>
          <w:ilvl w:val="0"/>
          <w:numId w:val="3"/>
        </w:numPr>
        <w:spacing w:line="360" w:lineRule="auto"/>
        <w:ind w:firstLine="422" w:firstLineChars="200"/>
        <w:rPr>
          <w:rFonts w:ascii="宋体" w:hAnsi="宋体"/>
          <w:b/>
          <w:color w:val="auto"/>
          <w:kern w:val="28"/>
          <w:szCs w:val="24"/>
        </w:rPr>
      </w:pPr>
      <w:r>
        <w:rPr>
          <w:rFonts w:hint="eastAsia" w:ascii="宋体" w:hAnsi="宋体"/>
          <w:b/>
          <w:color w:val="auto"/>
          <w:kern w:val="28"/>
          <w:szCs w:val="24"/>
        </w:rPr>
        <w:t>结算、付款方式</w:t>
      </w:r>
    </w:p>
    <w:p>
      <w:pPr>
        <w:spacing w:line="360" w:lineRule="auto"/>
        <w:ind w:firstLine="480" w:firstLineChars="200"/>
        <w:rPr>
          <w:color w:val="auto"/>
        </w:rPr>
      </w:pPr>
      <w:r>
        <w:rPr>
          <w:rFonts w:hint="eastAsia" w:ascii="宋体" w:hAnsi="宋体" w:cs="宋体"/>
          <w:color w:val="auto"/>
          <w:sz w:val="24"/>
          <w:szCs w:val="24"/>
        </w:rPr>
        <w:t>1、建筑垃圾筛分服务费：乙方每月凭实际筛分后符合原料标准的数量，按双方订立的单价进行结算，每月20号为结算日，乙方向甲方提供有效的增值税专用发票后，甲方从中标人取得有效的增值税专用发票后，10日内付清当月的加工服务费。</w:t>
      </w:r>
    </w:p>
    <w:p>
      <w:pPr>
        <w:spacing w:line="360" w:lineRule="auto"/>
        <w:ind w:firstLine="480" w:firstLineChars="200"/>
        <w:rPr>
          <w:rFonts w:ascii="宋体" w:hAnsi="宋体" w:cs="宋体"/>
          <w:color w:val="auto"/>
          <w:sz w:val="24"/>
          <w:szCs w:val="24"/>
        </w:rPr>
      </w:pPr>
      <w:r>
        <w:rPr>
          <w:rFonts w:hint="eastAsia" w:ascii="宋体" w:hAnsi="宋体"/>
          <w:color w:val="auto"/>
          <w:sz w:val="24"/>
        </w:rPr>
        <w:t>2、骨料加工服务费：乙方</w:t>
      </w:r>
      <w:r>
        <w:rPr>
          <w:rFonts w:hint="eastAsia" w:ascii="宋体" w:hAnsi="宋体" w:cs="宋体"/>
          <w:color w:val="auto"/>
          <w:sz w:val="24"/>
          <w:szCs w:val="24"/>
        </w:rPr>
        <w:t>每月凭甲方实际销售的骨料产品数量，按双方订立的单价进行结算，每月20号为结算日，乙方向甲方提供有效的增值税专用发票后，甲方从乙方取得有效的增值税专用发票后，10日内付清当月的加工服务费。</w:t>
      </w:r>
    </w:p>
    <w:p>
      <w:pPr>
        <w:spacing w:line="360" w:lineRule="auto"/>
        <w:ind w:firstLine="480" w:firstLineChars="200"/>
        <w:rPr>
          <w:rFonts w:cs="宋体"/>
          <w:color w:val="auto"/>
          <w:sz w:val="24"/>
          <w:szCs w:val="24"/>
        </w:rPr>
      </w:pPr>
      <w:r>
        <w:rPr>
          <w:rFonts w:hint="eastAsia" w:cs="宋体"/>
          <w:color w:val="auto"/>
          <w:sz w:val="24"/>
          <w:szCs w:val="24"/>
        </w:rPr>
        <w:t>3、乙方在合同期满前5日内，书面通知甲方对整套设备的生产运行状况及产能进行动态验收。动态验收通过并合同期满后，乙方根据设备设施交付清单将完好可生产的设备设施交付甲方，并经甲方验收确认后退还履约保证金。如甲方交付给乙方前的设备设施是损坏的，由乙方进行维修或更换，维修或更换后交付甲方，若乙方拒不维修或更换的，甲方有权从履约保证金中扣除相应部分费用用于维修或更换此类设备设施。</w:t>
      </w:r>
    </w:p>
    <w:p>
      <w:pPr>
        <w:spacing w:line="360" w:lineRule="auto"/>
        <w:ind w:firstLine="480" w:firstLineChars="200"/>
        <w:rPr>
          <w:color w:val="auto"/>
        </w:rPr>
      </w:pPr>
      <w:r>
        <w:rPr>
          <w:rFonts w:hint="eastAsia" w:cs="宋体"/>
          <w:color w:val="auto"/>
          <w:sz w:val="24"/>
          <w:szCs w:val="24"/>
        </w:rPr>
        <w:t>4、税率为</w:t>
      </w:r>
      <w:r>
        <w:rPr>
          <w:rFonts w:hint="eastAsia" w:ascii="宋体" w:hAnsi="宋体" w:cs="宋体"/>
          <w:color w:val="auto"/>
          <w:sz w:val="24"/>
          <w:szCs w:val="24"/>
        </w:rPr>
        <w:t>____</w:t>
      </w:r>
      <w:r>
        <w:rPr>
          <w:rFonts w:hint="eastAsia" w:ascii="宋体" w:hAnsi="宋体" w:cs="宋体"/>
          <w:color w:val="auto"/>
          <w:sz w:val="24"/>
          <w:szCs w:val="24"/>
          <w:lang w:val="zh-CN"/>
        </w:rPr>
        <w:t>%</w:t>
      </w:r>
      <w:r>
        <w:rPr>
          <w:rFonts w:hint="eastAsia" w:cs="宋体"/>
          <w:color w:val="auto"/>
          <w:sz w:val="24"/>
          <w:szCs w:val="24"/>
        </w:rPr>
        <w:t>。</w:t>
      </w:r>
    </w:p>
    <w:p>
      <w:pPr>
        <w:spacing w:line="360" w:lineRule="auto"/>
        <w:ind w:firstLine="480" w:firstLineChars="200"/>
        <w:rPr>
          <w:rFonts w:cs="宋体"/>
          <w:color w:val="auto"/>
          <w:sz w:val="24"/>
          <w:szCs w:val="24"/>
        </w:rPr>
      </w:pPr>
      <w:r>
        <w:rPr>
          <w:rFonts w:hint="eastAsia" w:cs="宋体"/>
          <w:color w:val="auto"/>
          <w:sz w:val="24"/>
          <w:szCs w:val="24"/>
        </w:rPr>
        <w:t>5、本合同执行到期后，甲方在30日内结算出乙方所有加工服务费用，30天内甲方付清余款和退还履约保证金。</w:t>
      </w:r>
    </w:p>
    <w:p>
      <w:pPr>
        <w:pStyle w:val="367"/>
        <w:spacing w:line="360" w:lineRule="auto"/>
        <w:ind w:firstLine="482" w:firstLineChars="200"/>
        <w:rPr>
          <w:rFonts w:ascii="宋体" w:hAnsi="宋体"/>
          <w:b/>
          <w:color w:val="auto"/>
          <w:kern w:val="28"/>
          <w:sz w:val="24"/>
          <w:szCs w:val="24"/>
        </w:rPr>
      </w:pPr>
      <w:r>
        <w:rPr>
          <w:rFonts w:hint="eastAsia" w:ascii="宋体" w:hAnsi="宋体"/>
          <w:b/>
          <w:color w:val="auto"/>
          <w:kern w:val="28"/>
          <w:sz w:val="24"/>
          <w:szCs w:val="24"/>
        </w:rPr>
        <w:t>六、转包和分包</w:t>
      </w:r>
    </w:p>
    <w:p>
      <w:pPr>
        <w:pStyle w:val="367"/>
        <w:spacing w:line="360" w:lineRule="auto"/>
        <w:ind w:firstLine="480" w:firstLineChars="200"/>
        <w:rPr>
          <w:rFonts w:ascii="宋体" w:hAnsi="宋体"/>
          <w:color w:val="auto"/>
          <w:kern w:val="2"/>
          <w:sz w:val="24"/>
          <w:szCs w:val="24"/>
        </w:rPr>
      </w:pPr>
      <w:r>
        <w:rPr>
          <w:rFonts w:hint="eastAsia" w:ascii="宋体" w:hAnsi="宋体"/>
          <w:color w:val="auto"/>
          <w:kern w:val="2"/>
          <w:sz w:val="24"/>
          <w:szCs w:val="24"/>
        </w:rPr>
        <w:t>本项目禁止转包和分包。</w:t>
      </w:r>
    </w:p>
    <w:p>
      <w:pPr>
        <w:pStyle w:val="14"/>
        <w:spacing w:line="360" w:lineRule="auto"/>
        <w:ind w:firstLine="482"/>
        <w:rPr>
          <w:rFonts w:ascii="宋体" w:hAnsi="宋体"/>
          <w:b/>
          <w:bCs/>
          <w:color w:val="auto"/>
          <w:kern w:val="28"/>
          <w:szCs w:val="24"/>
        </w:rPr>
      </w:pPr>
      <w:r>
        <w:rPr>
          <w:rFonts w:hint="eastAsia" w:ascii="宋体" w:hAnsi="宋体"/>
          <w:b/>
          <w:color w:val="auto"/>
          <w:szCs w:val="24"/>
        </w:rPr>
        <w:t>七、</w:t>
      </w:r>
      <w:r>
        <w:rPr>
          <w:rFonts w:hint="eastAsia" w:ascii="宋体" w:hAnsi="宋体"/>
          <w:b/>
          <w:color w:val="auto"/>
          <w:kern w:val="28"/>
          <w:szCs w:val="24"/>
        </w:rPr>
        <w:t>税费</w:t>
      </w:r>
    </w:p>
    <w:p>
      <w:pPr>
        <w:snapToGrid w:val="0"/>
        <w:spacing w:line="360" w:lineRule="auto"/>
        <w:ind w:firstLine="240" w:firstLineChars="100"/>
        <w:rPr>
          <w:rFonts w:ascii="宋体" w:hAnsi="宋体"/>
          <w:color w:val="auto"/>
          <w:sz w:val="24"/>
        </w:rPr>
      </w:pPr>
      <w:r>
        <w:rPr>
          <w:rFonts w:hint="eastAsia" w:ascii="宋体" w:hAnsi="宋体"/>
          <w:color w:val="auto"/>
          <w:sz w:val="24"/>
        </w:rPr>
        <w:t>　本合同执行中相关的一切税费均由乙方承担。</w:t>
      </w:r>
    </w:p>
    <w:p>
      <w:pPr>
        <w:pStyle w:val="14"/>
        <w:spacing w:line="360" w:lineRule="auto"/>
        <w:ind w:firstLine="482"/>
        <w:rPr>
          <w:rFonts w:ascii="宋体" w:hAnsi="宋体"/>
          <w:b/>
          <w:color w:val="auto"/>
          <w:szCs w:val="24"/>
        </w:rPr>
      </w:pPr>
      <w:r>
        <w:rPr>
          <w:rFonts w:hint="eastAsia" w:ascii="宋体" w:hAnsi="宋体"/>
          <w:b/>
          <w:color w:val="auto"/>
          <w:szCs w:val="24"/>
        </w:rPr>
        <w:t>八、调试和验收</w:t>
      </w:r>
    </w:p>
    <w:p>
      <w:pPr>
        <w:snapToGrid w:val="0"/>
        <w:spacing w:line="360" w:lineRule="auto"/>
        <w:ind w:firstLine="480" w:firstLineChars="200"/>
        <w:rPr>
          <w:rFonts w:ascii="宋体" w:hAnsi="宋体"/>
          <w:color w:val="auto"/>
          <w:sz w:val="24"/>
        </w:rPr>
      </w:pPr>
      <w:r>
        <w:rPr>
          <w:rFonts w:hint="eastAsia" w:ascii="宋体" w:hAnsi="宋体"/>
          <w:color w:val="auto"/>
          <w:sz w:val="24"/>
        </w:rPr>
        <w:t>甲方对乙方提供的设备在使用前依据投标文件上的技术规格和国家有关质量标准进行调试和现场验收，月产能达到5万吨，产品质量经第三方检测合格的，验收通过并投入生产。若产能和质量不符合标准要求的不予认可，直到甲方最终验收通过方可生产。</w:t>
      </w:r>
    </w:p>
    <w:p>
      <w:pPr>
        <w:snapToGrid w:val="0"/>
        <w:spacing w:line="360" w:lineRule="auto"/>
        <w:ind w:firstLine="482" w:firstLineChars="200"/>
        <w:rPr>
          <w:rFonts w:ascii="宋体" w:hAnsi="宋体"/>
          <w:b/>
          <w:color w:val="auto"/>
          <w:sz w:val="24"/>
        </w:rPr>
      </w:pPr>
      <w:r>
        <w:rPr>
          <w:rFonts w:hint="eastAsia" w:ascii="宋体" w:hAnsi="宋体"/>
          <w:b/>
          <w:color w:val="auto"/>
          <w:sz w:val="24"/>
        </w:rPr>
        <w:t>九、安装工期奖罚</w:t>
      </w:r>
    </w:p>
    <w:p>
      <w:pPr>
        <w:snapToGrid w:val="0"/>
        <w:spacing w:line="360" w:lineRule="auto"/>
        <w:ind w:firstLine="480" w:firstLineChars="200"/>
        <w:rPr>
          <w:rFonts w:ascii="宋体" w:hAnsi="宋体"/>
          <w:color w:val="auto"/>
          <w:sz w:val="24"/>
        </w:rPr>
      </w:pPr>
      <w:r>
        <w:rPr>
          <w:rFonts w:hint="eastAsia" w:ascii="宋体" w:hAnsi="宋体"/>
          <w:color w:val="auto"/>
          <w:sz w:val="24"/>
        </w:rPr>
        <w:t>按合同约定工期安装工期，每推迟1天的，罚款人民币2000元，累加计算。</w:t>
      </w:r>
    </w:p>
    <w:p>
      <w:pPr>
        <w:snapToGrid w:val="0"/>
        <w:spacing w:line="360" w:lineRule="auto"/>
        <w:ind w:firstLine="482" w:firstLineChars="200"/>
        <w:rPr>
          <w:rFonts w:ascii="宋体" w:hAnsi="宋体"/>
          <w:b/>
          <w:bCs/>
          <w:color w:val="auto"/>
          <w:sz w:val="24"/>
          <w:lang w:val="zh-CN"/>
        </w:rPr>
      </w:pPr>
      <w:r>
        <w:rPr>
          <w:rFonts w:hint="eastAsia" w:ascii="宋体" w:hAnsi="宋体"/>
          <w:b/>
          <w:bCs/>
          <w:color w:val="auto"/>
          <w:sz w:val="24"/>
          <w:lang w:val="zh-CN"/>
        </w:rPr>
        <w:t>十、产品规格要求</w:t>
      </w:r>
    </w:p>
    <w:p>
      <w:pPr>
        <w:snapToGrid w:val="0"/>
        <w:spacing w:line="360" w:lineRule="auto"/>
        <w:ind w:firstLine="480" w:firstLineChars="200"/>
        <w:rPr>
          <w:color w:val="auto"/>
          <w:sz w:val="24"/>
        </w:rPr>
      </w:pPr>
      <w:r>
        <w:rPr>
          <w:rFonts w:hint="eastAsia" w:ascii="宋体" w:hAnsi="宋体"/>
          <w:color w:val="auto"/>
          <w:sz w:val="24"/>
        </w:rPr>
        <w:t>要求乙方生产的砂、石子规格为：天然砂0</w:t>
      </w:r>
      <w:r>
        <w:rPr>
          <w:rFonts w:hint="eastAsia"/>
          <w:bCs/>
          <w:color w:val="auto"/>
          <w:sz w:val="24"/>
        </w:rPr>
        <w:t>~</w:t>
      </w:r>
      <w:r>
        <w:rPr>
          <w:rFonts w:hint="eastAsia" w:ascii="宋体" w:hAnsi="宋体"/>
          <w:color w:val="auto"/>
          <w:sz w:val="24"/>
        </w:rPr>
        <w:t>3mm 、机制砂0</w:t>
      </w:r>
      <w:r>
        <w:rPr>
          <w:rFonts w:hint="eastAsia"/>
          <w:bCs/>
          <w:color w:val="auto"/>
          <w:sz w:val="24"/>
        </w:rPr>
        <w:t>~</w:t>
      </w:r>
      <w:r>
        <w:rPr>
          <w:rFonts w:hint="eastAsia" w:ascii="宋体" w:hAnsi="宋体"/>
          <w:color w:val="auto"/>
          <w:sz w:val="24"/>
        </w:rPr>
        <w:t>4mm、制石子5</w:t>
      </w:r>
      <w:r>
        <w:rPr>
          <w:rFonts w:hint="eastAsia"/>
          <w:bCs/>
          <w:color w:val="auto"/>
          <w:sz w:val="24"/>
        </w:rPr>
        <w:t>~30</w:t>
      </w:r>
      <w:r>
        <w:rPr>
          <w:rFonts w:hint="eastAsia" w:ascii="宋体" w:hAnsi="宋体"/>
          <w:color w:val="auto"/>
          <w:sz w:val="24"/>
        </w:rPr>
        <w:t>mm的各种规格（骨料规格须根据甲方需求进行调整）；制砂、石子比例为4:6（根据入库原材料情况可相应调整）</w:t>
      </w:r>
      <w:r>
        <w:rPr>
          <w:rFonts w:hint="eastAsia"/>
          <w:color w:val="auto"/>
          <w:sz w:val="24"/>
        </w:rPr>
        <w:t>。</w:t>
      </w:r>
    </w:p>
    <w:p>
      <w:pPr>
        <w:snapToGrid w:val="0"/>
        <w:spacing w:line="360" w:lineRule="auto"/>
        <w:ind w:firstLine="482" w:firstLineChars="200"/>
        <w:rPr>
          <w:rFonts w:ascii="宋体" w:hAnsi="宋体"/>
          <w:b/>
          <w:bCs/>
          <w:color w:val="auto"/>
          <w:sz w:val="24"/>
          <w:lang w:val="zh-CN"/>
        </w:rPr>
      </w:pPr>
      <w:r>
        <w:rPr>
          <w:rFonts w:hint="eastAsia" w:ascii="宋体" w:hAnsi="宋体"/>
          <w:b/>
          <w:bCs/>
          <w:color w:val="auto"/>
          <w:sz w:val="24"/>
          <w:lang w:val="zh-CN"/>
        </w:rPr>
        <w:t>十一、产品质量标准</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1、要求乙方生产的砂、石子规格为：0-6mm骨料、6mm-12mm骨料、12mm-30mm骨料三种成品骨料的各种规格（骨料规格须根据甲方需求进行调整）；制砂、石子比例为4:6（根据入库原材料情况可相应调整）。</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2、生产的骨料产品须符合国家《建设用砂》GB/T 14684-2011、《建设用卵石、碎石》GB/T 14685-2011规定的质量标准，河砂达到Ⅱ类标准，机制砂、石子Ⅲ类标准，达到不符合要求的须返工重做，并自行承担由此造成的一切损失。</w:t>
      </w:r>
    </w:p>
    <w:p>
      <w:pPr>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rPr>
        <w:t>3、污水排放须达到相关部门规定的要求标准，否则一切后果由乙方负责。</w:t>
      </w:r>
    </w:p>
    <w:p>
      <w:pPr>
        <w:pStyle w:val="26"/>
        <w:snapToGrid w:val="0"/>
        <w:spacing w:line="360" w:lineRule="auto"/>
        <w:ind w:firstLine="482" w:firstLineChars="200"/>
        <w:rPr>
          <w:rFonts w:hAnsi="Times New Roman"/>
          <w:b/>
          <w:color w:val="auto"/>
          <w:sz w:val="24"/>
          <w:szCs w:val="24"/>
          <w:lang w:val="zh-CN"/>
        </w:rPr>
      </w:pPr>
      <w:r>
        <w:rPr>
          <w:rFonts w:hint="eastAsia" w:hAnsi="Times New Roman"/>
          <w:b/>
          <w:color w:val="auto"/>
          <w:sz w:val="24"/>
          <w:szCs w:val="24"/>
          <w:lang w:val="zh-CN"/>
        </w:rPr>
        <w:t>十二、甲方责任与义务</w:t>
      </w:r>
    </w:p>
    <w:p>
      <w:pPr>
        <w:spacing w:line="360" w:lineRule="auto"/>
        <w:ind w:firstLine="480" w:firstLineChars="200"/>
        <w:rPr>
          <w:rFonts w:cs="宋体"/>
          <w:color w:val="auto"/>
          <w:sz w:val="24"/>
          <w:szCs w:val="24"/>
        </w:rPr>
      </w:pPr>
      <w:r>
        <w:rPr>
          <w:rFonts w:hint="eastAsia"/>
          <w:color w:val="auto"/>
          <w:sz w:val="24"/>
          <w:lang w:val="zh-CN"/>
        </w:rPr>
        <w:t>1、</w:t>
      </w:r>
      <w:r>
        <w:rPr>
          <w:rFonts w:hint="eastAsia"/>
          <w:color w:val="auto"/>
          <w:sz w:val="24"/>
        </w:rPr>
        <w:t>甲方</w:t>
      </w:r>
      <w:r>
        <w:rPr>
          <w:rFonts w:hint="eastAsia"/>
          <w:color w:val="auto"/>
          <w:sz w:val="24"/>
          <w:lang w:val="zh-CN"/>
        </w:rPr>
        <w:t>提供加工所需的场地、地磅设备、生产生活用水管网、变压器、高低压配电及配电房、整套洗车设施</w:t>
      </w:r>
      <w:r>
        <w:rPr>
          <w:rFonts w:hint="eastAsia"/>
          <w:color w:val="auto"/>
          <w:sz w:val="24"/>
        </w:rPr>
        <w:t>、</w:t>
      </w:r>
      <w:r>
        <w:rPr>
          <w:rFonts w:hint="eastAsia" w:cs="宋体"/>
          <w:color w:val="auto"/>
          <w:sz w:val="24"/>
          <w:szCs w:val="24"/>
        </w:rPr>
        <w:t>砂石料生产线（重型棒条给料机、</w:t>
      </w:r>
      <w:r>
        <w:rPr>
          <w:rFonts w:cs="宋体"/>
          <w:color w:val="auto"/>
          <w:sz w:val="24"/>
          <w:szCs w:val="24"/>
        </w:rPr>
        <w:t>颚式破碎机</w:t>
      </w:r>
      <w:r>
        <w:rPr>
          <w:rFonts w:hint="eastAsia" w:cs="宋体"/>
          <w:color w:val="auto"/>
          <w:sz w:val="24"/>
          <w:szCs w:val="24"/>
        </w:rPr>
        <w:t>、地仓储料仓、地仓给料机、单缸圆锥破碎机、圆锥破碎机、振动筛、立轴式冲击破、高位料仓（3m*3m）、高位料仓给料机、洗砂机、脱水筛、清水泵300立方带变频、液下细沙回收泵37千瓦、旋流器400、压滤机入料泵、喷淋系统、除铁器）等，提供原料，运入加工厂内（建筑固废、各类矿石、工地弃渣、河道清淤废料、砂卵石、宕渣等）运入加工场内，并负责产品销售。</w:t>
      </w:r>
    </w:p>
    <w:p>
      <w:pPr>
        <w:pStyle w:val="26"/>
        <w:snapToGrid w:val="0"/>
        <w:spacing w:line="360" w:lineRule="auto"/>
        <w:ind w:firstLine="480" w:firstLineChars="200"/>
        <w:jc w:val="left"/>
        <w:rPr>
          <w:rFonts w:hAnsi="Times New Roman"/>
          <w:color w:val="auto"/>
          <w:sz w:val="24"/>
          <w:szCs w:val="24"/>
          <w:lang w:val="zh-CN"/>
        </w:rPr>
      </w:pPr>
      <w:r>
        <w:rPr>
          <w:rFonts w:hint="eastAsia" w:hAnsi="Times New Roman"/>
          <w:color w:val="auto"/>
          <w:sz w:val="24"/>
          <w:szCs w:val="24"/>
        </w:rPr>
        <w:t>2</w:t>
      </w:r>
      <w:r>
        <w:rPr>
          <w:rFonts w:hint="eastAsia" w:hAnsi="Times New Roman"/>
          <w:color w:val="auto"/>
          <w:sz w:val="24"/>
          <w:szCs w:val="24"/>
          <w:lang w:val="zh-CN"/>
        </w:rPr>
        <w:t>、甲方委派人员协调工作，协助生产、供应及其他相关事项的安排与处理。甲方有权制止乙方的违法行为，有权对乙方生产进行安全检查，提出安全整改指令。</w:t>
      </w:r>
    </w:p>
    <w:p>
      <w:pPr>
        <w:pStyle w:val="26"/>
        <w:snapToGrid w:val="0"/>
        <w:spacing w:line="360" w:lineRule="auto"/>
        <w:ind w:firstLine="480" w:firstLineChars="200"/>
        <w:jc w:val="left"/>
        <w:rPr>
          <w:rFonts w:hAnsi="Times New Roman"/>
          <w:color w:val="auto"/>
          <w:sz w:val="24"/>
          <w:szCs w:val="24"/>
          <w:lang w:val="zh-CN"/>
        </w:rPr>
      </w:pPr>
      <w:r>
        <w:rPr>
          <w:rFonts w:hint="eastAsia" w:hAnsi="Times New Roman"/>
          <w:color w:val="auto"/>
          <w:sz w:val="24"/>
          <w:szCs w:val="24"/>
        </w:rPr>
        <w:t>3、</w:t>
      </w:r>
      <w:r>
        <w:rPr>
          <w:rFonts w:hint="eastAsia" w:hAnsi="Times New Roman"/>
          <w:color w:val="auto"/>
          <w:sz w:val="24"/>
          <w:szCs w:val="24"/>
          <w:lang w:val="zh-CN"/>
        </w:rPr>
        <w:t>甲方负责管理实施产品销售工作的各项事项。</w:t>
      </w:r>
    </w:p>
    <w:p>
      <w:pPr>
        <w:pStyle w:val="26"/>
        <w:snapToGrid w:val="0"/>
        <w:spacing w:line="360" w:lineRule="auto"/>
        <w:ind w:firstLine="480" w:firstLineChars="200"/>
        <w:jc w:val="left"/>
        <w:rPr>
          <w:rFonts w:hAnsi="Times New Roman"/>
          <w:color w:val="auto"/>
          <w:sz w:val="24"/>
          <w:szCs w:val="24"/>
          <w:lang w:val="zh-CN"/>
        </w:rPr>
      </w:pPr>
      <w:r>
        <w:rPr>
          <w:rFonts w:hint="eastAsia" w:hAnsi="Times New Roman"/>
          <w:color w:val="auto"/>
          <w:sz w:val="24"/>
          <w:szCs w:val="24"/>
        </w:rPr>
        <w:t>4</w:t>
      </w:r>
      <w:r>
        <w:rPr>
          <w:rFonts w:hint="eastAsia" w:hAnsi="Times New Roman"/>
          <w:color w:val="auto"/>
          <w:sz w:val="24"/>
          <w:szCs w:val="24"/>
          <w:lang w:val="zh-CN"/>
        </w:rPr>
        <w:t>、甲方安排工作人员统计每天销售情况，并须经双方人员</w:t>
      </w:r>
      <w:r>
        <w:rPr>
          <w:rFonts w:hint="eastAsia" w:hAnsi="宋体"/>
          <w:color w:val="auto"/>
          <w:sz w:val="24"/>
          <w:szCs w:val="24"/>
          <w:lang w:val="zh-CN"/>
        </w:rPr>
        <w:t>签字确认</w:t>
      </w:r>
      <w:r>
        <w:rPr>
          <w:rFonts w:hint="eastAsia" w:hAnsi="Times New Roman"/>
          <w:color w:val="auto"/>
          <w:sz w:val="24"/>
          <w:szCs w:val="24"/>
          <w:lang w:val="zh-CN"/>
        </w:rPr>
        <w:t>。</w:t>
      </w:r>
    </w:p>
    <w:p>
      <w:pPr>
        <w:pStyle w:val="26"/>
        <w:snapToGrid w:val="0"/>
        <w:spacing w:line="360" w:lineRule="auto"/>
        <w:ind w:firstLine="240" w:firstLineChars="100"/>
        <w:jc w:val="left"/>
        <w:rPr>
          <w:rFonts w:hAnsi="Times New Roman"/>
          <w:b/>
          <w:color w:val="auto"/>
          <w:sz w:val="24"/>
          <w:szCs w:val="24"/>
          <w:lang w:val="zh-CN"/>
        </w:rPr>
      </w:pPr>
      <w:r>
        <w:rPr>
          <w:rFonts w:hint="eastAsia" w:hAnsi="Times New Roman"/>
          <w:color w:val="auto"/>
          <w:sz w:val="24"/>
          <w:szCs w:val="24"/>
          <w:lang w:val="zh-CN"/>
        </w:rPr>
        <w:t xml:space="preserve">  </w:t>
      </w:r>
      <w:r>
        <w:rPr>
          <w:rFonts w:hint="eastAsia" w:hAnsi="Times New Roman"/>
          <w:b/>
          <w:color w:val="auto"/>
          <w:sz w:val="24"/>
          <w:szCs w:val="24"/>
          <w:lang w:val="zh-CN"/>
        </w:rPr>
        <w:t>十三、乙方责任与义务</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1、乙方负责加工团队的招聘组建，加工团队有从业经验并能满足生产要求。</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2、乙方应按照采购人安排的计划任务及产品规格要求组织生产，并且应按时、保质、保量完成任务，不得私自调整。</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3、乙方自行负责场内所有设备设施（含甲方提供的设备设施）的定期维护保养、维修更换、易损件更换、所需燃料、水电等费用。砂石料</w:t>
      </w:r>
      <w:r>
        <w:rPr>
          <w:rFonts w:hint="eastAsia" w:cs="宋体"/>
          <w:color w:val="auto"/>
          <w:sz w:val="24"/>
          <w:szCs w:val="24"/>
        </w:rPr>
        <w:t>生产线</w:t>
      </w:r>
      <w:r>
        <w:rPr>
          <w:rFonts w:hint="eastAsia" w:ascii="宋体" w:hAnsi="宋体" w:cs="宋体"/>
          <w:color w:val="auto"/>
          <w:sz w:val="24"/>
          <w:szCs w:val="24"/>
        </w:rPr>
        <w:t>按厂家要求进行保养，及时更换配件。</w:t>
      </w:r>
      <w:r>
        <w:rPr>
          <w:rFonts w:hint="eastAsia" w:hAnsi="宋体" w:cs="宋体"/>
          <w:color w:val="auto"/>
          <w:sz w:val="24"/>
          <w:szCs w:val="24"/>
          <w:lang w:val="zh-CN"/>
        </w:rPr>
        <w:t>（</w:t>
      </w:r>
      <w:r>
        <w:rPr>
          <w:rFonts w:hint="eastAsia" w:hAnsi="宋体" w:cs="宋体"/>
          <w:color w:val="auto"/>
          <w:sz w:val="24"/>
          <w:szCs w:val="24"/>
        </w:rPr>
        <w:t>注：易损件要求及时更换，如因更换不及时导致设备损坏的，由乙方进行维修或更换，若乙方拒不维修或更换的，甲方有权扣除履约保证金用于设备的更换</w:t>
      </w:r>
      <w:r>
        <w:rPr>
          <w:rFonts w:hint="eastAsia" w:hAnsi="宋体" w:cs="宋体"/>
          <w:color w:val="auto"/>
          <w:sz w:val="24"/>
          <w:szCs w:val="24"/>
          <w:lang w:val="zh-CN"/>
        </w:rPr>
        <w:t>）。</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4、乙方自行采购的筛网生产的骨料产品应符合国家《建设用砂》GB/T 14684-2011、《建设用卵石、碎石》GB/T 14685-2011规定的规格标准，筛网要经甲方验收合格、确认签名后方可使用。</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5、乙方应设专人负责生产场地的管理，负责场地内（包括地磅）的清洁卫生、道路场地防扬尘、以及冲洗、维护、等工作，标准达到环保及相关部门要求，为确保产品质量，乙方应设专人负责料仓口原料进仓的垃圾清理工作，否则由此产生的后果由乙方自行负责。</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6、乙方收到甲方通知后，应及时对场地内的原料和成品料进行环保土工布（含采购）的覆盖，相关费用包含在投标报价中，乙方自行考虑。</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7、污水排放、除尘措施、生产时间等必须符合国家环保等相关规定的标准，否则一切后果由乙方负责。</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8、压滤后泥饼的含水率按照甲方提供的污水处理设备技术参数不高于33%，甲方将委托第三方进行不定期抽查。</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9、教育劳务人员遵纪守法，严格执行国家政策，遵守甲方各项规章制度。如乙方及其雇佣的员工违反法律、法规及相关规定，所造成的后果由乙方及其雇佣的员工自行承担。</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10、乙方应严格执行《中华人民共和国劳动法》、《中华人民共和国民法典》以及政府、部门有关职工劳动保护、劳动保障等规定。负责为所有人员建立个人档案，签订劳动合同，发放工资及奖励补助等，办理和缴纳各种社会保险，保障员工各项劳动权益。</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11、乙方须抓好日常的安全教育工作，定期召开安全会议，分析影响安全生产的各类问题和事故隐患，并提出防患措施和处理意见，防止自身人员伤害和财产损失。负责劳务人员在发生工伤或工亡等情况下，按国家和缙云县有关规定承担相关费用的报销、赔付工作。</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12、乙方须做好人身意外伤害险、工伤保险和机械设备的投保工作，要求所有生产人员和管理人员每人进行保险，职业病体检，并将投保凭证，体检报告报送采购人备案，经甲方确认后，方可开工。若有人员变动，须及时办理各项保险手续，如发现没有办理的，敦促乙方及时办理，如若在提醒后还未及时办理的，甲方将以每人每次5000元</w:t>
      </w:r>
      <w:r>
        <w:rPr>
          <w:rFonts w:hint="eastAsia" w:hAnsi="宋体" w:cs="宋体"/>
          <w:color w:val="auto"/>
          <w:sz w:val="24"/>
          <w:szCs w:val="24"/>
        </w:rPr>
        <w:t>在次月加工费中扣除</w:t>
      </w:r>
      <w:r>
        <w:rPr>
          <w:rFonts w:hint="eastAsia" w:ascii="宋体" w:hAnsi="宋体" w:cs="宋体"/>
          <w:color w:val="auto"/>
          <w:sz w:val="24"/>
          <w:szCs w:val="24"/>
        </w:rPr>
        <w:t>，完成办理后人员方可上岗。</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13、</w:t>
      </w:r>
      <w:r>
        <w:rPr>
          <w:rFonts w:hint="eastAsia" w:ascii="宋体" w:hAnsi="宋体" w:cs="宋体"/>
          <w:color w:val="auto"/>
          <w:sz w:val="24"/>
          <w:szCs w:val="24"/>
          <w:lang w:val="zh-CN"/>
        </w:rPr>
        <w:t>如果发生各项安全事故、人员伤害（含第三人）和机械设备的损坏，概由</w:t>
      </w:r>
      <w:r>
        <w:rPr>
          <w:rFonts w:hint="eastAsia" w:ascii="宋体" w:hAnsi="宋体" w:cs="宋体"/>
          <w:color w:val="auto"/>
          <w:sz w:val="24"/>
          <w:szCs w:val="24"/>
        </w:rPr>
        <w:t>乙方</w:t>
      </w:r>
      <w:r>
        <w:rPr>
          <w:rFonts w:hint="eastAsia" w:ascii="宋体" w:hAnsi="宋体" w:cs="宋体"/>
          <w:color w:val="auto"/>
          <w:sz w:val="24"/>
          <w:szCs w:val="24"/>
          <w:lang w:val="zh-CN"/>
        </w:rPr>
        <w:t>自行负责处理，并承担所有经济和法律责任，</w:t>
      </w:r>
      <w:r>
        <w:rPr>
          <w:rFonts w:hint="eastAsia" w:ascii="宋体" w:hAnsi="宋体" w:cs="宋体"/>
          <w:color w:val="auto"/>
          <w:sz w:val="24"/>
          <w:szCs w:val="24"/>
        </w:rPr>
        <w:t>乙方</w:t>
      </w:r>
      <w:r>
        <w:rPr>
          <w:rFonts w:hint="eastAsia" w:ascii="宋体" w:hAnsi="宋体" w:cs="宋体"/>
          <w:color w:val="auto"/>
          <w:sz w:val="24"/>
          <w:szCs w:val="24"/>
          <w:lang w:val="zh-CN"/>
        </w:rPr>
        <w:t>必须马上采取措施补救并及时报告</w:t>
      </w:r>
      <w:r>
        <w:rPr>
          <w:rFonts w:hint="eastAsia" w:ascii="宋体" w:hAnsi="宋体" w:cs="宋体"/>
          <w:color w:val="auto"/>
          <w:sz w:val="24"/>
          <w:szCs w:val="24"/>
        </w:rPr>
        <w:t>采购人</w:t>
      </w:r>
      <w:r>
        <w:rPr>
          <w:rFonts w:hint="eastAsia" w:ascii="宋体" w:hAnsi="宋体" w:cs="宋体"/>
          <w:color w:val="auto"/>
          <w:sz w:val="24"/>
          <w:szCs w:val="24"/>
          <w:lang w:val="zh-CN"/>
        </w:rPr>
        <w:t>。</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14、乙方负责处理与劳务人员发生的劳动争议纠纷，并根据当地劳动仲裁、人民法院等机构调解、裁决、判决结果，履行义务、承担相关费用。</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15、乙方必须建立规范的管理制度和各种安全管理体系，保证在加工期间设备正常运行，确保料场内道路畅通和过往车辆及人身安全。</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16、加工劳务人员，经采购人核查认可后上岗；如发现在实践操作中不能胜任该项工作，甲方有权要求随时更换。由此产生的停工停产或产品质量不符合要求造成的损失由乙方承担。</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17、乙方必须自觉接受甲方及其各级行政主管部门的管理、监督和检查，根据需要提供相关的文件和资料，并配合检查工作。</w:t>
      </w:r>
    </w:p>
    <w:p>
      <w:pPr>
        <w:pStyle w:val="26"/>
        <w:snapToGrid w:val="0"/>
        <w:spacing w:line="360" w:lineRule="auto"/>
        <w:ind w:firstLine="480" w:firstLineChars="200"/>
        <w:rPr>
          <w:rFonts w:hAnsi="宋体" w:cs="宋体"/>
          <w:color w:val="auto"/>
          <w:sz w:val="24"/>
          <w:szCs w:val="24"/>
        </w:rPr>
      </w:pPr>
      <w:r>
        <w:rPr>
          <w:rFonts w:hint="eastAsia" w:hAnsi="宋体" w:cs="宋体"/>
          <w:color w:val="auto"/>
          <w:sz w:val="24"/>
          <w:szCs w:val="24"/>
        </w:rPr>
        <w:t>18、压滤后产生的淤泥堆放点由甲方提供，淤泥</w:t>
      </w:r>
      <w:r>
        <w:rPr>
          <w:rFonts w:hint="eastAsia" w:cs="宋体"/>
          <w:color w:val="auto"/>
          <w:sz w:val="24"/>
          <w:szCs w:val="24"/>
        </w:rPr>
        <w:t>装卸搬运平整</w:t>
      </w:r>
      <w:r>
        <w:rPr>
          <w:rFonts w:hint="eastAsia" w:hAnsi="宋体" w:cs="宋体"/>
          <w:color w:val="auto"/>
          <w:sz w:val="24"/>
          <w:szCs w:val="24"/>
        </w:rPr>
        <w:t>由乙方负责，并保证符合行政管理部门和当地政府要求。否则，</w:t>
      </w:r>
      <w:r>
        <w:rPr>
          <w:rFonts w:hint="eastAsia" w:hAnsi="宋体" w:cs="宋体"/>
          <w:color w:val="auto"/>
          <w:sz w:val="24"/>
          <w:szCs w:val="24"/>
          <w:lang w:val="zh-CN"/>
        </w:rPr>
        <w:t>由此产生的一切</w:t>
      </w:r>
      <w:r>
        <w:rPr>
          <w:rFonts w:hint="eastAsia" w:hAnsi="宋体" w:cs="宋体"/>
          <w:color w:val="auto"/>
          <w:sz w:val="24"/>
          <w:szCs w:val="24"/>
        </w:rPr>
        <w:t>法律责任和经济责任</w:t>
      </w:r>
      <w:r>
        <w:rPr>
          <w:rFonts w:hint="eastAsia" w:hAnsi="宋体" w:cs="宋体"/>
          <w:color w:val="auto"/>
          <w:sz w:val="24"/>
          <w:szCs w:val="24"/>
          <w:lang w:val="zh-CN"/>
        </w:rPr>
        <w:t>由</w:t>
      </w:r>
      <w:r>
        <w:rPr>
          <w:rFonts w:hint="eastAsia" w:hAnsi="宋体" w:cs="宋体"/>
          <w:color w:val="auto"/>
          <w:sz w:val="24"/>
          <w:szCs w:val="24"/>
        </w:rPr>
        <w:t>乙方</w:t>
      </w:r>
      <w:r>
        <w:rPr>
          <w:rFonts w:hint="eastAsia" w:hAnsi="宋体" w:cs="宋体"/>
          <w:color w:val="auto"/>
          <w:sz w:val="24"/>
          <w:szCs w:val="24"/>
          <w:lang w:val="zh-CN"/>
        </w:rPr>
        <w:t>负责</w:t>
      </w:r>
      <w:r>
        <w:rPr>
          <w:rFonts w:hint="eastAsia" w:hAnsi="宋体" w:cs="宋体"/>
          <w:color w:val="auto"/>
          <w:sz w:val="24"/>
          <w:szCs w:val="24"/>
        </w:rPr>
        <w:t>，费用已包含在骨料加工报价中。</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19、建筑垃圾分拣产生有价值的物品由甲方处置。</w:t>
      </w:r>
    </w:p>
    <w:p>
      <w:pPr>
        <w:pStyle w:val="2"/>
        <w:rPr>
          <w:rFonts w:ascii="宋体" w:hAnsi="宋体" w:eastAsia="宋体" w:cs="宋体"/>
          <w:b w:val="0"/>
          <w:bCs/>
          <w:color w:val="auto"/>
          <w:sz w:val="24"/>
          <w:szCs w:val="24"/>
        </w:rPr>
      </w:pPr>
      <w:r>
        <w:rPr>
          <w:rFonts w:hint="eastAsia" w:asciiTheme="minorEastAsia" w:hAnsiTheme="minorEastAsia" w:eastAsiaTheme="minorEastAsia" w:cstheme="minorEastAsia"/>
          <w:b w:val="0"/>
          <w:bCs/>
          <w:color w:val="auto"/>
          <w:sz w:val="24"/>
          <w:szCs w:val="24"/>
        </w:rPr>
        <w:t xml:space="preserve"> 20、</w:t>
      </w:r>
      <w:r>
        <w:rPr>
          <w:rFonts w:hint="eastAsia" w:ascii="宋体" w:hAnsi="宋体" w:eastAsia="宋体" w:cs="宋体"/>
          <w:b w:val="0"/>
          <w:bCs/>
          <w:color w:val="auto"/>
          <w:sz w:val="24"/>
          <w:szCs w:val="24"/>
        </w:rPr>
        <w:t>如机械设备损坏维修，供应商需自行调度机械设备，不得怠工，影响日常生产。</w:t>
      </w:r>
    </w:p>
    <w:p>
      <w:pPr>
        <w:pStyle w:val="2"/>
        <w:ind w:firstLine="480" w:firstLineChars="200"/>
        <w:jc w:val="both"/>
        <w:rPr>
          <w:color w:val="auto"/>
        </w:rPr>
      </w:pPr>
      <w:r>
        <w:rPr>
          <w:rFonts w:hint="eastAsia" w:ascii="宋体" w:hAnsi="宋体" w:eastAsia="宋体" w:cs="宋体"/>
          <w:b w:val="0"/>
          <w:bCs/>
          <w:color w:val="auto"/>
          <w:sz w:val="24"/>
          <w:szCs w:val="24"/>
        </w:rPr>
        <w:t>21、增加设备需经业主同意，费用由乙方承担。</w:t>
      </w:r>
    </w:p>
    <w:p>
      <w:pPr>
        <w:pStyle w:val="26"/>
        <w:snapToGrid w:val="0"/>
        <w:spacing w:line="360" w:lineRule="auto"/>
        <w:ind w:firstLine="241" w:firstLineChars="100"/>
        <w:rPr>
          <w:rFonts w:hAnsi="Times New Roman"/>
          <w:b/>
          <w:color w:val="auto"/>
          <w:sz w:val="24"/>
          <w:szCs w:val="24"/>
          <w:lang w:val="zh-CN"/>
        </w:rPr>
      </w:pPr>
      <w:r>
        <w:rPr>
          <w:rFonts w:hint="eastAsia" w:hAnsi="Times New Roman"/>
          <w:b/>
          <w:color w:val="auto"/>
          <w:sz w:val="24"/>
          <w:szCs w:val="24"/>
          <w:lang w:val="zh-CN"/>
        </w:rPr>
        <w:t>十四、违约责任</w:t>
      </w:r>
    </w:p>
    <w:p>
      <w:pPr>
        <w:pStyle w:val="26"/>
        <w:snapToGrid w:val="0"/>
        <w:spacing w:line="360" w:lineRule="auto"/>
        <w:ind w:firstLine="480" w:firstLineChars="200"/>
        <w:rPr>
          <w:rFonts w:hAnsi="Times New Roman"/>
          <w:color w:val="auto"/>
          <w:sz w:val="24"/>
          <w:szCs w:val="24"/>
          <w:lang w:val="zh-CN"/>
        </w:rPr>
      </w:pPr>
      <w:r>
        <w:rPr>
          <w:rFonts w:hint="eastAsia" w:hAnsi="Times New Roman"/>
          <w:color w:val="auto"/>
          <w:sz w:val="24"/>
          <w:szCs w:val="24"/>
          <w:lang w:val="zh-CN"/>
        </w:rPr>
        <w:t>1、甲方无正当理由拒收接受服务的，甲方向乙方偿付合同款</w:t>
      </w:r>
      <w:r>
        <w:rPr>
          <w:rFonts w:hint="eastAsia" w:hAnsi="Times New Roman"/>
          <w:color w:val="auto"/>
          <w:sz w:val="24"/>
          <w:szCs w:val="24"/>
        </w:rPr>
        <w:t>5％</w:t>
      </w:r>
      <w:r>
        <w:rPr>
          <w:rFonts w:hint="eastAsia" w:hAnsi="Times New Roman"/>
          <w:color w:val="auto"/>
          <w:sz w:val="24"/>
          <w:szCs w:val="24"/>
          <w:lang w:val="zh-CN"/>
        </w:rPr>
        <w:t>违约金，如造成乙方损失超过违约金的，超出部分由甲方继续承担赔偿责任。</w:t>
      </w:r>
    </w:p>
    <w:p>
      <w:pPr>
        <w:pStyle w:val="26"/>
        <w:snapToGrid w:val="0"/>
        <w:spacing w:line="360" w:lineRule="auto"/>
        <w:ind w:firstLine="480" w:firstLineChars="200"/>
        <w:rPr>
          <w:rFonts w:hAnsi="Times New Roman"/>
          <w:color w:val="auto"/>
          <w:sz w:val="24"/>
          <w:szCs w:val="24"/>
          <w:lang w:val="zh-CN"/>
        </w:rPr>
      </w:pPr>
      <w:r>
        <w:rPr>
          <w:rFonts w:hint="eastAsia" w:hAnsi="Times New Roman"/>
          <w:color w:val="auto"/>
          <w:sz w:val="24"/>
          <w:szCs w:val="24"/>
          <w:lang w:val="zh-CN"/>
        </w:rPr>
        <w:t>2、甲方无故逾期办理款项支付手续的,甲方应按逾期付款总额每日</w:t>
      </w:r>
      <w:r>
        <w:rPr>
          <w:rFonts w:hint="eastAsia" w:hAnsi="Times New Roman"/>
          <w:color w:val="auto"/>
          <w:sz w:val="24"/>
          <w:szCs w:val="24"/>
        </w:rPr>
        <w:t>0.05％</w:t>
      </w:r>
      <w:r>
        <w:rPr>
          <w:rFonts w:hint="eastAsia" w:hAnsi="Times New Roman"/>
          <w:color w:val="auto"/>
          <w:sz w:val="24"/>
          <w:szCs w:val="24"/>
          <w:lang w:val="zh-CN"/>
        </w:rPr>
        <w:t>向乙方支付违约金。</w:t>
      </w:r>
    </w:p>
    <w:p>
      <w:pPr>
        <w:pStyle w:val="26"/>
        <w:snapToGrid w:val="0"/>
        <w:spacing w:line="360" w:lineRule="auto"/>
        <w:ind w:firstLine="480" w:firstLineChars="200"/>
        <w:rPr>
          <w:rFonts w:hAnsi="Times New Roman"/>
          <w:color w:val="auto"/>
          <w:sz w:val="24"/>
          <w:szCs w:val="24"/>
          <w:lang w:val="zh-CN"/>
        </w:rPr>
      </w:pPr>
      <w:r>
        <w:rPr>
          <w:rFonts w:hint="eastAsia" w:hAnsi="Times New Roman"/>
          <w:color w:val="auto"/>
          <w:sz w:val="24"/>
          <w:szCs w:val="24"/>
          <w:lang w:val="zh-CN"/>
        </w:rPr>
        <w:t>3、乙方因逾期未能如期提供服务或因其他违约行为导致甲方解除合同的，乙方应向甲方偿付合同款5%的违约金，如造成甲方损失超过违约金的，超出部分由乙方继续承担赔偿责任。</w:t>
      </w:r>
    </w:p>
    <w:p>
      <w:pPr>
        <w:pStyle w:val="26"/>
        <w:snapToGrid w:val="0"/>
        <w:spacing w:line="360" w:lineRule="auto"/>
        <w:ind w:firstLine="480" w:firstLineChars="200"/>
        <w:rPr>
          <w:rFonts w:hAnsi="Times New Roman"/>
          <w:color w:val="auto"/>
          <w:sz w:val="24"/>
          <w:szCs w:val="24"/>
          <w:lang w:val="zh-CN"/>
        </w:rPr>
      </w:pPr>
      <w:r>
        <w:rPr>
          <w:rFonts w:hint="eastAsia" w:hAnsi="Times New Roman"/>
          <w:color w:val="auto"/>
          <w:sz w:val="24"/>
          <w:szCs w:val="24"/>
        </w:rPr>
        <w:t>4</w:t>
      </w:r>
      <w:r>
        <w:rPr>
          <w:rFonts w:hint="eastAsia" w:hAnsi="Times New Roman"/>
          <w:color w:val="auto"/>
          <w:sz w:val="24"/>
          <w:szCs w:val="24"/>
          <w:lang w:val="zh-CN"/>
        </w:rPr>
        <w:t>、乙方的生产和安装的主要人员未能按投标文件承诺到位（除甲方同意变更外），且影响生产和安全的，扣除履约保证金的</w:t>
      </w:r>
      <w:r>
        <w:rPr>
          <w:rFonts w:hint="eastAsia" w:hAnsi="Times New Roman"/>
          <w:color w:val="auto"/>
          <w:sz w:val="24"/>
          <w:szCs w:val="24"/>
        </w:rPr>
        <w:t>15</w:t>
      </w:r>
      <w:r>
        <w:rPr>
          <w:rFonts w:hint="eastAsia" w:hAnsi="Times New Roman"/>
          <w:color w:val="auto"/>
          <w:sz w:val="24"/>
          <w:szCs w:val="24"/>
          <w:lang w:val="zh-CN"/>
        </w:rPr>
        <w:t>%。</w:t>
      </w:r>
    </w:p>
    <w:p>
      <w:pPr>
        <w:pStyle w:val="26"/>
        <w:snapToGrid w:val="0"/>
        <w:spacing w:line="360" w:lineRule="auto"/>
        <w:ind w:firstLine="480" w:firstLineChars="200"/>
        <w:rPr>
          <w:rFonts w:hAnsi="Times New Roman"/>
          <w:bCs/>
          <w:color w:val="auto"/>
          <w:sz w:val="24"/>
          <w:szCs w:val="24"/>
        </w:rPr>
      </w:pPr>
      <w:r>
        <w:rPr>
          <w:rFonts w:hint="eastAsia" w:hAnsi="Times New Roman"/>
          <w:bCs/>
          <w:color w:val="auto"/>
          <w:sz w:val="24"/>
          <w:szCs w:val="24"/>
        </w:rPr>
        <w:t>5、乙方在本合同执行完成后，一个月内不拆除搬移生产机械设备设施及人员退场</w:t>
      </w:r>
      <w:r>
        <w:rPr>
          <w:rFonts w:hint="eastAsia" w:hAnsi="Times New Roman"/>
          <w:color w:val="auto"/>
          <w:sz w:val="24"/>
          <w:szCs w:val="24"/>
        </w:rPr>
        <w:t>。</w:t>
      </w:r>
      <w:r>
        <w:rPr>
          <w:rFonts w:hint="eastAsia" w:hAnsi="Times New Roman"/>
          <w:bCs/>
          <w:color w:val="auto"/>
          <w:sz w:val="24"/>
          <w:szCs w:val="24"/>
        </w:rPr>
        <w:t>扣除乙方全额履约保证金，乙方设备作无主处理，拆除费用由乙方承担。</w:t>
      </w:r>
    </w:p>
    <w:p>
      <w:pPr>
        <w:pStyle w:val="26"/>
        <w:snapToGrid w:val="0"/>
        <w:spacing w:line="360" w:lineRule="auto"/>
        <w:ind w:firstLine="480" w:firstLineChars="200"/>
        <w:rPr>
          <w:rFonts w:hAnsi="Times New Roman"/>
          <w:color w:val="auto"/>
          <w:sz w:val="24"/>
          <w:szCs w:val="24"/>
          <w:lang w:val="zh-CN"/>
        </w:rPr>
      </w:pPr>
      <w:r>
        <w:rPr>
          <w:rFonts w:hint="eastAsia" w:hAnsi="Times New Roman"/>
          <w:color w:val="auto"/>
          <w:sz w:val="24"/>
          <w:szCs w:val="24"/>
        </w:rPr>
        <w:t>6</w:t>
      </w:r>
      <w:r>
        <w:rPr>
          <w:rFonts w:hint="eastAsia" w:hAnsi="Times New Roman"/>
          <w:color w:val="auto"/>
          <w:sz w:val="24"/>
          <w:szCs w:val="24"/>
          <w:lang w:val="zh-CN"/>
        </w:rPr>
        <w:t>、如因乙方自身原因造成不能正常生产或停产的，甲方有权终止合同，并没收履约保证金，造成的损失由乙方负责赔偿。</w:t>
      </w:r>
    </w:p>
    <w:p>
      <w:pPr>
        <w:pStyle w:val="26"/>
        <w:snapToGrid w:val="0"/>
        <w:spacing w:line="360" w:lineRule="auto"/>
        <w:ind w:firstLine="480" w:firstLineChars="200"/>
        <w:rPr>
          <w:rFonts w:hAnsi="宋体"/>
          <w:color w:val="auto"/>
          <w:sz w:val="24"/>
          <w:szCs w:val="24"/>
        </w:rPr>
      </w:pPr>
      <w:r>
        <w:rPr>
          <w:rFonts w:hint="eastAsia" w:hAnsi="Times New Roman"/>
          <w:color w:val="auto"/>
          <w:sz w:val="24"/>
          <w:szCs w:val="24"/>
        </w:rPr>
        <w:t>7、</w:t>
      </w:r>
      <w:r>
        <w:rPr>
          <w:rFonts w:hint="eastAsia" w:hAnsi="宋体"/>
          <w:color w:val="auto"/>
          <w:sz w:val="24"/>
          <w:szCs w:val="24"/>
        </w:rPr>
        <w:t>在生产过程中，因管理不当，发生各类事故、人身伤害事故、机械设备严重损坏、骨料失窃行为等，由乙方负责赔偿一切损失，甲方可视情节轻重有权单方面终止合同，同时扣除履约保证金的10%。</w:t>
      </w:r>
    </w:p>
    <w:p>
      <w:pPr>
        <w:pStyle w:val="26"/>
        <w:snapToGrid w:val="0"/>
        <w:spacing w:line="360" w:lineRule="auto"/>
        <w:ind w:firstLine="480" w:firstLineChars="200"/>
        <w:rPr>
          <w:rFonts w:hAnsi="宋体"/>
          <w:color w:val="auto"/>
          <w:sz w:val="24"/>
          <w:szCs w:val="24"/>
          <w:lang w:val="zh-CN"/>
        </w:rPr>
      </w:pPr>
      <w:r>
        <w:rPr>
          <w:rFonts w:hint="eastAsia" w:hAnsi="宋体"/>
          <w:color w:val="auto"/>
          <w:sz w:val="24"/>
          <w:szCs w:val="24"/>
        </w:rPr>
        <w:t>8、</w:t>
      </w:r>
      <w:r>
        <w:rPr>
          <w:rFonts w:hint="eastAsia" w:hAnsi="宋体"/>
          <w:color w:val="auto"/>
          <w:sz w:val="24"/>
          <w:szCs w:val="24"/>
          <w:lang w:val="zh-CN"/>
        </w:rPr>
        <w:t>如发现无甲方发货单乙方私自卖</w:t>
      </w:r>
      <w:r>
        <w:rPr>
          <w:rFonts w:hint="eastAsia" w:hAnsi="宋体"/>
          <w:color w:val="auto"/>
          <w:sz w:val="24"/>
          <w:szCs w:val="24"/>
        </w:rPr>
        <w:t>骨料</w:t>
      </w:r>
      <w:r>
        <w:rPr>
          <w:rFonts w:hint="eastAsia" w:hAnsi="宋体" w:cs="宋体"/>
          <w:color w:val="auto"/>
          <w:sz w:val="24"/>
          <w:szCs w:val="24"/>
          <w:lang w:val="zh-CN"/>
        </w:rPr>
        <w:t>、建筑垃圾分拣出来有价值的物品</w:t>
      </w:r>
      <w:r>
        <w:rPr>
          <w:rFonts w:hint="eastAsia" w:hAnsi="宋体"/>
          <w:color w:val="auto"/>
          <w:sz w:val="24"/>
          <w:szCs w:val="24"/>
          <w:lang w:val="zh-CN"/>
        </w:rPr>
        <w:t>，则视作偷盗行为，甲方有权没收乙方履约保证金，终止合同，并移交公安机关处理。</w:t>
      </w:r>
    </w:p>
    <w:p>
      <w:pPr>
        <w:pStyle w:val="26"/>
        <w:snapToGrid w:val="0"/>
        <w:spacing w:line="360" w:lineRule="auto"/>
        <w:ind w:firstLine="480" w:firstLineChars="200"/>
        <w:rPr>
          <w:rFonts w:hAnsi="Times New Roman"/>
          <w:color w:val="auto"/>
          <w:sz w:val="24"/>
          <w:lang w:val="zh-CN"/>
        </w:rPr>
      </w:pPr>
      <w:r>
        <w:rPr>
          <w:rFonts w:hint="eastAsia" w:hAnsi="宋体"/>
          <w:color w:val="auto"/>
          <w:sz w:val="24"/>
          <w:szCs w:val="24"/>
        </w:rPr>
        <w:t>9、</w:t>
      </w:r>
      <w:r>
        <w:rPr>
          <w:rFonts w:hint="eastAsia" w:hAnsi="Times New Roman"/>
          <w:color w:val="auto"/>
          <w:sz w:val="24"/>
          <w:lang w:val="zh-CN"/>
        </w:rPr>
        <w:t>合同期内由于乙方原因在合同期内</w:t>
      </w:r>
      <w:r>
        <w:rPr>
          <w:rFonts w:hint="eastAsia" w:hAnsi="Times New Roman"/>
          <w:color w:val="auto"/>
          <w:sz w:val="24"/>
        </w:rPr>
        <w:t>每年骨料</w:t>
      </w:r>
      <w:r>
        <w:rPr>
          <w:rFonts w:hint="eastAsia" w:hAnsi="Times New Roman"/>
          <w:color w:val="auto"/>
          <w:sz w:val="24"/>
          <w:lang w:val="zh-CN"/>
        </w:rPr>
        <w:t>产量不能完成</w:t>
      </w:r>
      <w:r>
        <w:rPr>
          <w:rFonts w:hint="eastAsia" w:hAnsi="Times New Roman"/>
          <w:color w:val="auto"/>
          <w:sz w:val="24"/>
        </w:rPr>
        <w:t>100</w:t>
      </w:r>
      <w:r>
        <w:rPr>
          <w:rFonts w:hint="eastAsia" w:hAnsi="Times New Roman"/>
          <w:color w:val="auto"/>
          <w:sz w:val="24"/>
          <w:lang w:val="zh-CN"/>
        </w:rPr>
        <w:t>万吨的（</w:t>
      </w:r>
      <w:r>
        <w:rPr>
          <w:rFonts w:hint="eastAsia" w:hAnsi="Times New Roman"/>
          <w:color w:val="auto"/>
          <w:sz w:val="24"/>
        </w:rPr>
        <w:t>以销售数量为核准依据</w:t>
      </w:r>
      <w:r>
        <w:rPr>
          <w:rFonts w:hint="eastAsia" w:hAnsi="Times New Roman"/>
          <w:color w:val="auto"/>
          <w:sz w:val="24"/>
          <w:lang w:val="zh-CN"/>
        </w:rPr>
        <w:t>），</w:t>
      </w:r>
      <w:r>
        <w:rPr>
          <w:rFonts w:hint="eastAsia" w:hAnsi="Times New Roman"/>
          <w:color w:val="auto"/>
          <w:sz w:val="24"/>
        </w:rPr>
        <w:t>甲方按50000元/年对乙方进行扣除违约金</w:t>
      </w:r>
      <w:r>
        <w:rPr>
          <w:rFonts w:hint="eastAsia" w:hAnsi="Times New Roman"/>
          <w:color w:val="auto"/>
          <w:sz w:val="24"/>
          <w:lang w:val="zh-CN"/>
        </w:rPr>
        <w:t>。</w:t>
      </w:r>
    </w:p>
    <w:p>
      <w:pPr>
        <w:pStyle w:val="26"/>
        <w:snapToGrid w:val="0"/>
        <w:spacing w:line="360" w:lineRule="auto"/>
        <w:ind w:firstLine="480" w:firstLineChars="200"/>
        <w:rPr>
          <w:rFonts w:hAnsi="Times New Roman"/>
          <w:color w:val="auto"/>
          <w:sz w:val="24"/>
        </w:rPr>
      </w:pPr>
      <w:r>
        <w:rPr>
          <w:rFonts w:hint="eastAsia" w:hAnsi="Times New Roman"/>
          <w:color w:val="auto"/>
          <w:sz w:val="24"/>
        </w:rPr>
        <w:t>10、甲方委托第三方检测机构对成品料的颗粒级配、含水率、含泥率等</w:t>
      </w:r>
      <w:r>
        <w:rPr>
          <w:rFonts w:hint="eastAsia" w:hAnsi="Times New Roman"/>
          <w:color w:val="auto"/>
          <w:sz w:val="24"/>
          <w:lang w:val="zh-CN"/>
        </w:rPr>
        <w:t>情况</w:t>
      </w:r>
      <w:r>
        <w:rPr>
          <w:rFonts w:hint="eastAsia" w:hAnsi="Times New Roman"/>
          <w:color w:val="auto"/>
          <w:sz w:val="24"/>
        </w:rPr>
        <w:t>进行抽检，如因乙方生产工艺、生产设备原因造成检测不合格，每次扣除违约金人民币30000元。</w:t>
      </w:r>
    </w:p>
    <w:p>
      <w:pPr>
        <w:pStyle w:val="26"/>
        <w:snapToGrid w:val="0"/>
        <w:spacing w:line="360" w:lineRule="auto"/>
        <w:ind w:firstLine="480" w:firstLineChars="200"/>
        <w:rPr>
          <w:color w:val="auto"/>
        </w:rPr>
      </w:pPr>
      <w:r>
        <w:rPr>
          <w:rFonts w:hint="eastAsia" w:hAnsi="Times New Roman" w:cs="Courier New"/>
          <w:color w:val="auto"/>
          <w:sz w:val="24"/>
          <w:lang w:val="zh-CN"/>
        </w:rPr>
        <w:t>11、在合同有效期（三年服务期）内，因</w:t>
      </w:r>
      <w:r>
        <w:rPr>
          <w:rFonts w:hint="eastAsia" w:hAnsi="Times New Roman" w:cs="Courier New"/>
          <w:color w:val="auto"/>
          <w:sz w:val="24"/>
        </w:rPr>
        <w:t>上级</w:t>
      </w:r>
      <w:r>
        <w:rPr>
          <w:rFonts w:hint="eastAsia" w:hAnsi="Times New Roman" w:cs="Courier New"/>
          <w:color w:val="auto"/>
          <w:sz w:val="24"/>
          <w:lang w:val="zh-CN"/>
        </w:rPr>
        <w:t>政策法规、土地用途、</w:t>
      </w:r>
      <w:r>
        <w:rPr>
          <w:rFonts w:hint="eastAsia" w:hAnsi="Times New Roman" w:cs="Courier New"/>
          <w:color w:val="auto"/>
          <w:sz w:val="24"/>
        </w:rPr>
        <w:t>重大思路</w:t>
      </w:r>
      <w:r>
        <w:rPr>
          <w:rFonts w:hint="eastAsia" w:hAnsi="Times New Roman" w:cs="Courier New"/>
          <w:color w:val="auto"/>
          <w:sz w:val="24"/>
          <w:lang w:val="zh-CN"/>
        </w:rPr>
        <w:t>等调整变化（如加工场地县里</w:t>
      </w:r>
      <w:r>
        <w:rPr>
          <w:rFonts w:hint="eastAsia" w:hAnsi="Times New Roman" w:cs="Courier New"/>
          <w:color w:val="auto"/>
          <w:sz w:val="24"/>
        </w:rPr>
        <w:t>提前</w:t>
      </w:r>
      <w:r>
        <w:rPr>
          <w:rFonts w:hint="eastAsia" w:hAnsi="Times New Roman" w:cs="Courier New"/>
          <w:color w:val="auto"/>
          <w:sz w:val="24"/>
          <w:lang w:val="zh-CN"/>
        </w:rPr>
        <w:t>收回等），甲方有权提前终止合同。</w:t>
      </w:r>
    </w:p>
    <w:p>
      <w:pPr>
        <w:pStyle w:val="26"/>
        <w:snapToGrid w:val="0"/>
        <w:spacing w:line="360" w:lineRule="auto"/>
        <w:ind w:firstLine="482" w:firstLineChars="200"/>
        <w:rPr>
          <w:rFonts w:hAnsi="Times New Roman"/>
          <w:b/>
          <w:color w:val="auto"/>
          <w:sz w:val="24"/>
          <w:szCs w:val="24"/>
          <w:lang w:val="zh-CN"/>
        </w:rPr>
      </w:pPr>
      <w:r>
        <w:rPr>
          <w:rFonts w:hint="eastAsia" w:hAnsi="Times New Roman"/>
          <w:b/>
          <w:color w:val="auto"/>
          <w:sz w:val="24"/>
          <w:szCs w:val="24"/>
          <w:lang w:val="zh-CN"/>
        </w:rPr>
        <w:t>十</w:t>
      </w:r>
      <w:r>
        <w:rPr>
          <w:rFonts w:hint="eastAsia"/>
          <w:b/>
          <w:color w:val="auto"/>
          <w:sz w:val="24"/>
          <w:szCs w:val="24"/>
          <w:lang w:val="zh-CN"/>
        </w:rPr>
        <w:t>五</w:t>
      </w:r>
      <w:r>
        <w:rPr>
          <w:rFonts w:hint="eastAsia" w:hAnsi="Times New Roman"/>
          <w:b/>
          <w:color w:val="auto"/>
          <w:sz w:val="24"/>
          <w:szCs w:val="24"/>
          <w:lang w:val="zh-CN"/>
        </w:rPr>
        <w:t>、不可抗力事件处理</w:t>
      </w:r>
    </w:p>
    <w:p>
      <w:pPr>
        <w:pStyle w:val="26"/>
        <w:snapToGrid w:val="0"/>
        <w:spacing w:line="360" w:lineRule="auto"/>
        <w:ind w:firstLine="480" w:firstLineChars="200"/>
        <w:rPr>
          <w:rFonts w:hAnsi="Times New Roman"/>
          <w:color w:val="auto"/>
          <w:sz w:val="24"/>
          <w:szCs w:val="24"/>
          <w:lang w:val="zh-CN"/>
        </w:rPr>
      </w:pPr>
      <w:r>
        <w:rPr>
          <w:rFonts w:hint="eastAsia" w:hAnsi="Times New Roman"/>
          <w:color w:val="auto"/>
          <w:sz w:val="24"/>
          <w:szCs w:val="24"/>
          <w:lang w:val="zh-CN"/>
        </w:rPr>
        <w:t>1、在合同有效期内，任何一方因不可抗力事件导致不能履行合同，则合同履行期可延长，其延长期与不可抗力影响期相同。</w:t>
      </w:r>
    </w:p>
    <w:p>
      <w:pPr>
        <w:pStyle w:val="26"/>
        <w:snapToGrid w:val="0"/>
        <w:spacing w:line="360" w:lineRule="auto"/>
        <w:ind w:firstLine="480" w:firstLineChars="200"/>
        <w:rPr>
          <w:rFonts w:hAnsi="Times New Roman"/>
          <w:color w:val="auto"/>
          <w:sz w:val="24"/>
          <w:szCs w:val="24"/>
          <w:lang w:val="zh-CN"/>
        </w:rPr>
      </w:pPr>
      <w:r>
        <w:rPr>
          <w:rFonts w:hint="eastAsia" w:hAnsi="Times New Roman"/>
          <w:color w:val="auto"/>
          <w:sz w:val="24"/>
          <w:szCs w:val="24"/>
          <w:lang w:val="zh-CN"/>
        </w:rPr>
        <w:t>2、不可抗力事件发生后，应立即通知对方，并寄送有关权威机构出具的证明。</w:t>
      </w:r>
    </w:p>
    <w:p>
      <w:pPr>
        <w:pStyle w:val="26"/>
        <w:snapToGrid w:val="0"/>
        <w:spacing w:line="360" w:lineRule="auto"/>
        <w:ind w:firstLine="480" w:firstLineChars="200"/>
        <w:rPr>
          <w:rFonts w:hAnsi="Times New Roman"/>
          <w:color w:val="auto"/>
          <w:sz w:val="24"/>
          <w:szCs w:val="24"/>
          <w:lang w:val="zh-CN"/>
        </w:rPr>
      </w:pPr>
      <w:r>
        <w:rPr>
          <w:rFonts w:hint="eastAsia" w:hAnsi="Times New Roman"/>
          <w:color w:val="auto"/>
          <w:sz w:val="24"/>
          <w:szCs w:val="24"/>
          <w:lang w:val="zh-CN"/>
        </w:rPr>
        <w:t>3、不可抗力事件延续120天以上，双方应通过友好协商，确定是否继续履行合同。</w:t>
      </w:r>
    </w:p>
    <w:p>
      <w:pPr>
        <w:pStyle w:val="26"/>
        <w:snapToGrid w:val="0"/>
        <w:spacing w:line="360" w:lineRule="auto"/>
        <w:ind w:firstLine="482" w:firstLineChars="200"/>
        <w:rPr>
          <w:b/>
          <w:color w:val="auto"/>
          <w:sz w:val="24"/>
          <w:szCs w:val="24"/>
          <w:lang w:val="zh-CN"/>
        </w:rPr>
      </w:pPr>
      <w:r>
        <w:rPr>
          <w:rFonts w:hint="eastAsia"/>
          <w:b/>
          <w:color w:val="auto"/>
          <w:sz w:val="24"/>
          <w:szCs w:val="24"/>
          <w:lang w:val="zh-CN"/>
        </w:rPr>
        <w:t>十六、诉讼</w:t>
      </w:r>
    </w:p>
    <w:p>
      <w:pPr>
        <w:pStyle w:val="26"/>
        <w:snapToGrid w:val="0"/>
        <w:spacing w:line="360" w:lineRule="auto"/>
        <w:ind w:firstLine="480" w:firstLineChars="200"/>
        <w:rPr>
          <w:rFonts w:hAnsi="Times New Roman"/>
          <w:color w:val="auto"/>
          <w:sz w:val="24"/>
          <w:szCs w:val="24"/>
          <w:lang w:val="zh-CN"/>
        </w:rPr>
      </w:pPr>
      <w:r>
        <w:rPr>
          <w:rFonts w:hint="eastAsia" w:hAnsi="Times New Roman"/>
          <w:color w:val="auto"/>
          <w:sz w:val="24"/>
          <w:szCs w:val="24"/>
          <w:lang w:val="zh-CN"/>
        </w:rPr>
        <w:t>双方在执行合同中所发生的一切争议，应通过协商解决。如协商不成，可向甲方所在地法院起诉。</w:t>
      </w:r>
    </w:p>
    <w:p>
      <w:pPr>
        <w:pStyle w:val="26"/>
        <w:snapToGrid w:val="0"/>
        <w:spacing w:line="360" w:lineRule="auto"/>
        <w:ind w:firstLine="482" w:firstLineChars="200"/>
        <w:rPr>
          <w:b/>
          <w:color w:val="auto"/>
          <w:sz w:val="24"/>
          <w:szCs w:val="24"/>
          <w:lang w:val="zh-CN"/>
        </w:rPr>
      </w:pPr>
      <w:r>
        <w:rPr>
          <w:rFonts w:hint="eastAsia"/>
          <w:b/>
          <w:color w:val="auto"/>
          <w:sz w:val="24"/>
          <w:szCs w:val="24"/>
          <w:lang w:val="zh-CN"/>
        </w:rPr>
        <w:t>十七、合同生效及其它</w:t>
      </w:r>
    </w:p>
    <w:p>
      <w:pPr>
        <w:pStyle w:val="26"/>
        <w:snapToGrid w:val="0"/>
        <w:spacing w:line="360" w:lineRule="auto"/>
        <w:ind w:firstLine="480" w:firstLineChars="200"/>
        <w:rPr>
          <w:rFonts w:hAnsi="Times New Roman"/>
          <w:color w:val="auto"/>
          <w:sz w:val="24"/>
          <w:szCs w:val="24"/>
          <w:lang w:val="zh-CN"/>
        </w:rPr>
      </w:pPr>
      <w:r>
        <w:rPr>
          <w:rFonts w:hint="eastAsia" w:hAnsi="Times New Roman"/>
          <w:color w:val="auto"/>
          <w:sz w:val="24"/>
          <w:szCs w:val="24"/>
          <w:lang w:val="zh-CN"/>
        </w:rPr>
        <w:t>1、合同经双方法定代表人或授权代表签字并加盖单位公章后生效。</w:t>
      </w:r>
    </w:p>
    <w:p>
      <w:pPr>
        <w:pStyle w:val="26"/>
        <w:snapToGrid w:val="0"/>
        <w:spacing w:line="360" w:lineRule="auto"/>
        <w:ind w:firstLine="480" w:firstLineChars="200"/>
        <w:rPr>
          <w:rFonts w:hAnsi="Times New Roman"/>
          <w:color w:val="auto"/>
          <w:sz w:val="24"/>
          <w:szCs w:val="24"/>
          <w:lang w:val="zh-CN"/>
        </w:rPr>
      </w:pPr>
      <w:r>
        <w:rPr>
          <w:rFonts w:hint="eastAsia" w:hAnsi="Times New Roman"/>
          <w:color w:val="auto"/>
          <w:sz w:val="24"/>
          <w:szCs w:val="24"/>
          <w:lang w:val="zh-CN"/>
        </w:rPr>
        <w:t>2、在甲乙双方的责任期即合同的有效期，经双方协商，如双方因国家政策、法规调整导致工作难以继续的，双方应重新约定，并视调整情况决定是否履行合同。</w:t>
      </w:r>
    </w:p>
    <w:p>
      <w:pPr>
        <w:pStyle w:val="26"/>
        <w:snapToGrid w:val="0"/>
        <w:spacing w:line="360" w:lineRule="auto"/>
        <w:ind w:firstLine="480" w:firstLineChars="200"/>
        <w:rPr>
          <w:rFonts w:hAnsi="Times New Roman"/>
          <w:color w:val="auto"/>
          <w:sz w:val="24"/>
          <w:szCs w:val="24"/>
          <w:lang w:val="zh-CN"/>
        </w:rPr>
      </w:pPr>
      <w:r>
        <w:rPr>
          <w:rFonts w:hint="eastAsia" w:hAnsi="Times New Roman"/>
          <w:color w:val="auto"/>
          <w:sz w:val="24"/>
          <w:szCs w:val="24"/>
          <w:lang w:val="zh-CN"/>
        </w:rPr>
        <w:t>3、在合同签订后，实际情况发生变化，使得乙方不能全部或部分执行项目时，乙方应当立即通知甲方，该项目的履约时间应调整。当乙方恢复执行能力时，是否由乙方重新承担甲方项目，由双方协商确定。</w:t>
      </w:r>
    </w:p>
    <w:p>
      <w:pPr>
        <w:pStyle w:val="26"/>
        <w:snapToGrid w:val="0"/>
        <w:spacing w:line="360" w:lineRule="auto"/>
        <w:ind w:firstLine="480" w:firstLineChars="200"/>
        <w:rPr>
          <w:color w:val="auto"/>
          <w:sz w:val="24"/>
          <w:szCs w:val="24"/>
        </w:rPr>
      </w:pPr>
      <w:r>
        <w:rPr>
          <w:rFonts w:hint="eastAsia" w:hAnsi="Times New Roman"/>
          <w:color w:val="auto"/>
          <w:sz w:val="24"/>
          <w:szCs w:val="24"/>
          <w:lang w:val="zh-CN"/>
        </w:rPr>
        <w:t>4、当事人一方要求变更或解除合同时，应当在30天前通知对方，因变更或解除合同使一方遭受损失的，除依法可以免除责任的外，应由责任方负责赔偿。变更或解除合同的通知或协议应当采取书面形式，协议未达成之前，原合同仍然有效。</w:t>
      </w:r>
    </w:p>
    <w:p>
      <w:pPr>
        <w:pStyle w:val="26"/>
        <w:snapToGrid w:val="0"/>
        <w:spacing w:line="360" w:lineRule="auto"/>
        <w:ind w:firstLine="480" w:firstLineChars="200"/>
        <w:rPr>
          <w:rFonts w:hAnsi="Times New Roman"/>
          <w:color w:val="auto"/>
          <w:sz w:val="24"/>
          <w:szCs w:val="24"/>
          <w:lang w:val="zh-CN"/>
        </w:rPr>
      </w:pPr>
      <w:r>
        <w:rPr>
          <w:rFonts w:hint="eastAsia" w:hAnsi="Times New Roman"/>
          <w:color w:val="auto"/>
          <w:sz w:val="24"/>
          <w:szCs w:val="24"/>
        </w:rPr>
        <w:t>5</w:t>
      </w:r>
      <w:r>
        <w:rPr>
          <w:rFonts w:hint="eastAsia" w:hAnsi="Times New Roman"/>
          <w:color w:val="auto"/>
          <w:sz w:val="24"/>
          <w:szCs w:val="24"/>
          <w:lang w:val="zh-CN"/>
        </w:rPr>
        <w:t>、本合同未尽事宜，遵照《中华人民共和国民法典》有关条文执行。</w:t>
      </w:r>
    </w:p>
    <w:p>
      <w:pPr>
        <w:pStyle w:val="26"/>
        <w:snapToGrid w:val="0"/>
        <w:spacing w:line="360" w:lineRule="auto"/>
        <w:ind w:firstLine="480" w:firstLineChars="200"/>
        <w:rPr>
          <w:rFonts w:hAnsi="Times New Roman"/>
          <w:color w:val="auto"/>
          <w:sz w:val="24"/>
          <w:szCs w:val="24"/>
          <w:lang w:val="zh-CN"/>
        </w:rPr>
      </w:pPr>
      <w:r>
        <w:rPr>
          <w:rFonts w:hint="eastAsia" w:hAnsi="Times New Roman"/>
          <w:color w:val="auto"/>
          <w:sz w:val="24"/>
          <w:szCs w:val="24"/>
        </w:rPr>
        <w:t>6</w:t>
      </w:r>
      <w:r>
        <w:rPr>
          <w:rFonts w:hint="eastAsia" w:hAnsi="Times New Roman"/>
          <w:color w:val="auto"/>
          <w:sz w:val="24"/>
          <w:szCs w:val="24"/>
          <w:lang w:val="zh-CN"/>
        </w:rPr>
        <w:t>、本合同一式</w:t>
      </w:r>
      <w:r>
        <w:rPr>
          <w:rFonts w:hint="eastAsia" w:hAnsi="Times New Roman"/>
          <w:color w:val="auto"/>
          <w:sz w:val="24"/>
          <w:szCs w:val="24"/>
          <w:u w:val="single"/>
          <w:lang w:val="zh-CN"/>
        </w:rPr>
        <w:t xml:space="preserve">    </w:t>
      </w:r>
      <w:r>
        <w:rPr>
          <w:rFonts w:hint="eastAsia" w:hAnsi="Times New Roman"/>
          <w:color w:val="auto"/>
          <w:sz w:val="24"/>
          <w:szCs w:val="24"/>
          <w:lang w:val="zh-CN"/>
        </w:rPr>
        <w:t>份，具有同等法律效力，甲乙双方各执</w:t>
      </w:r>
      <w:r>
        <w:rPr>
          <w:rFonts w:hint="eastAsia" w:hAnsi="Times New Roman"/>
          <w:color w:val="auto"/>
          <w:sz w:val="24"/>
          <w:szCs w:val="24"/>
          <w:u w:val="single"/>
          <w:lang w:val="zh-CN"/>
        </w:rPr>
        <w:t xml:space="preserve">    </w:t>
      </w:r>
      <w:r>
        <w:rPr>
          <w:rFonts w:hint="eastAsia" w:hAnsi="Times New Roman"/>
          <w:color w:val="auto"/>
          <w:sz w:val="24"/>
          <w:szCs w:val="24"/>
          <w:lang w:val="zh-CN"/>
        </w:rPr>
        <w:t>份；采购招标代理</w:t>
      </w:r>
      <w:r>
        <w:rPr>
          <w:rFonts w:hint="eastAsia" w:hAnsi="Times New Roman"/>
          <w:color w:val="auto"/>
          <w:sz w:val="24"/>
          <w:szCs w:val="24"/>
        </w:rPr>
        <w:t>壹</w:t>
      </w:r>
      <w:r>
        <w:rPr>
          <w:rFonts w:hint="eastAsia" w:hAnsi="Times New Roman"/>
          <w:color w:val="auto"/>
          <w:sz w:val="24"/>
          <w:szCs w:val="24"/>
          <w:lang w:val="zh-CN"/>
        </w:rPr>
        <w:t>份。</w:t>
      </w:r>
    </w:p>
    <w:p>
      <w:pPr>
        <w:pStyle w:val="27"/>
        <w:rPr>
          <w:color w:val="auto"/>
          <w:sz w:val="24"/>
          <w:szCs w:val="24"/>
          <w:lang w:val="zh-CN"/>
        </w:rPr>
      </w:pPr>
    </w:p>
    <w:p>
      <w:pPr>
        <w:rPr>
          <w:color w:val="auto"/>
        </w:rPr>
      </w:pPr>
    </w:p>
    <w:p>
      <w:pPr>
        <w:pStyle w:val="146"/>
        <w:snapToGrid w:val="0"/>
        <w:spacing w:line="360" w:lineRule="auto"/>
        <w:rPr>
          <w:rFonts w:ascii="宋体" w:hAnsi="宋体" w:cs="宋体"/>
          <w:caps/>
          <w:color w:val="auto"/>
          <w:spacing w:val="20"/>
          <w:kern w:val="0"/>
          <w:sz w:val="24"/>
          <w:szCs w:val="20"/>
        </w:rPr>
      </w:pPr>
      <w:r>
        <w:rPr>
          <w:rFonts w:hint="eastAsia" w:ascii="宋体" w:hAnsi="宋体" w:cs="宋体"/>
          <w:caps/>
          <w:color w:val="auto"/>
          <w:spacing w:val="20"/>
          <w:kern w:val="0"/>
          <w:sz w:val="24"/>
          <w:szCs w:val="20"/>
        </w:rPr>
        <w:t xml:space="preserve">甲　方：             </w:t>
      </w:r>
      <w:r>
        <w:rPr>
          <w:rFonts w:hint="eastAsia" w:ascii="宋体" w:hAnsi="宋体" w:cs="宋体"/>
          <w:caps/>
          <w:color w:val="auto"/>
          <w:spacing w:val="20"/>
          <w:kern w:val="0"/>
          <w:sz w:val="24"/>
          <w:szCs w:val="20"/>
        </w:rPr>
        <w:tab/>
      </w:r>
      <w:r>
        <w:rPr>
          <w:rFonts w:hint="eastAsia" w:ascii="宋体" w:hAnsi="宋体" w:cs="宋体"/>
          <w:caps/>
          <w:color w:val="auto"/>
          <w:spacing w:val="20"/>
          <w:kern w:val="0"/>
          <w:sz w:val="24"/>
          <w:szCs w:val="20"/>
        </w:rPr>
        <w:t xml:space="preserve">              乙　方：                 </w:t>
      </w:r>
    </w:p>
    <w:p>
      <w:pPr>
        <w:pStyle w:val="146"/>
        <w:snapToGrid w:val="0"/>
        <w:spacing w:line="360" w:lineRule="auto"/>
        <w:rPr>
          <w:rFonts w:ascii="宋体" w:hAnsi="宋体" w:cs="宋体"/>
          <w:caps/>
          <w:color w:val="auto"/>
          <w:spacing w:val="20"/>
          <w:kern w:val="0"/>
          <w:sz w:val="24"/>
          <w:szCs w:val="20"/>
        </w:rPr>
      </w:pPr>
      <w:r>
        <w:rPr>
          <w:rFonts w:hint="eastAsia" w:ascii="宋体" w:hAnsi="宋体" w:cs="宋体"/>
          <w:caps/>
          <w:color w:val="auto"/>
          <w:spacing w:val="20"/>
          <w:kern w:val="0"/>
          <w:sz w:val="24"/>
          <w:szCs w:val="20"/>
        </w:rPr>
        <w:t xml:space="preserve">名　称：(印章)　　　       </w:t>
      </w:r>
      <w:r>
        <w:rPr>
          <w:rFonts w:hint="eastAsia" w:ascii="宋体" w:hAnsi="宋体" w:cs="宋体"/>
          <w:caps/>
          <w:color w:val="auto"/>
          <w:spacing w:val="20"/>
          <w:kern w:val="0"/>
          <w:sz w:val="24"/>
          <w:szCs w:val="20"/>
        </w:rPr>
        <w:tab/>
      </w:r>
      <w:r>
        <w:rPr>
          <w:rFonts w:hint="eastAsia" w:ascii="宋体" w:hAnsi="宋体" w:cs="宋体"/>
          <w:caps/>
          <w:color w:val="auto"/>
          <w:spacing w:val="20"/>
          <w:kern w:val="0"/>
          <w:sz w:val="24"/>
          <w:szCs w:val="20"/>
        </w:rPr>
        <w:t xml:space="preserve">         名　称：(印章)            </w:t>
      </w:r>
    </w:p>
    <w:p>
      <w:pPr>
        <w:pStyle w:val="146"/>
        <w:snapToGrid w:val="0"/>
        <w:spacing w:line="360" w:lineRule="auto"/>
        <w:rPr>
          <w:rFonts w:ascii="宋体" w:hAnsi="宋体" w:cs="宋体"/>
          <w:caps/>
          <w:color w:val="auto"/>
          <w:spacing w:val="20"/>
          <w:kern w:val="0"/>
          <w:sz w:val="24"/>
          <w:szCs w:val="20"/>
        </w:rPr>
      </w:pPr>
      <w:r>
        <w:rPr>
          <w:rFonts w:hint="eastAsia" w:ascii="宋体" w:hAnsi="宋体" w:cs="宋体"/>
          <w:caps/>
          <w:color w:val="auto"/>
          <w:spacing w:val="20"/>
          <w:kern w:val="0"/>
          <w:sz w:val="24"/>
          <w:szCs w:val="20"/>
        </w:rPr>
        <w:t xml:space="preserve">年　 月　 日　　　　　　             年　 月 　日 </w:t>
      </w:r>
    </w:p>
    <w:p>
      <w:pPr>
        <w:pStyle w:val="146"/>
        <w:snapToGrid w:val="0"/>
        <w:spacing w:line="360" w:lineRule="auto"/>
        <w:rPr>
          <w:rFonts w:ascii="宋体" w:hAnsi="宋体" w:cs="宋体"/>
          <w:caps/>
          <w:color w:val="auto"/>
          <w:spacing w:val="20"/>
          <w:kern w:val="0"/>
          <w:sz w:val="24"/>
          <w:szCs w:val="20"/>
        </w:rPr>
      </w:pPr>
      <w:r>
        <w:rPr>
          <w:rFonts w:hint="eastAsia" w:ascii="宋体" w:hAnsi="宋体" w:cs="宋体"/>
          <w:caps/>
          <w:color w:val="auto"/>
          <w:spacing w:val="20"/>
          <w:kern w:val="0"/>
          <w:sz w:val="24"/>
          <w:szCs w:val="20"/>
        </w:rPr>
        <w:t>负责人 (签字或盖章)：                负责人(签字或盖章)：</w:t>
      </w:r>
    </w:p>
    <w:p>
      <w:pPr>
        <w:pStyle w:val="146"/>
        <w:snapToGrid w:val="0"/>
        <w:spacing w:line="360" w:lineRule="auto"/>
        <w:rPr>
          <w:rFonts w:ascii="宋体" w:hAnsi="宋体" w:cs="宋体"/>
          <w:caps/>
          <w:color w:val="auto"/>
          <w:spacing w:val="20"/>
          <w:kern w:val="0"/>
          <w:sz w:val="24"/>
          <w:szCs w:val="20"/>
        </w:rPr>
      </w:pPr>
      <w:r>
        <w:rPr>
          <w:rFonts w:hint="eastAsia" w:ascii="宋体" w:hAnsi="宋体" w:cs="宋体"/>
          <w:caps/>
          <w:color w:val="auto"/>
          <w:spacing w:val="20"/>
          <w:kern w:val="0"/>
          <w:sz w:val="24"/>
          <w:szCs w:val="20"/>
        </w:rPr>
        <w:t xml:space="preserve">委托代理人(签字或盖章)：             委托代理人(签字或盖章)：             </w:t>
      </w:r>
    </w:p>
    <w:p>
      <w:pPr>
        <w:pStyle w:val="146"/>
        <w:snapToGrid w:val="0"/>
        <w:spacing w:line="360" w:lineRule="auto"/>
        <w:rPr>
          <w:rFonts w:ascii="宋体" w:hAnsi="宋体" w:cs="宋体"/>
          <w:caps/>
          <w:color w:val="auto"/>
          <w:spacing w:val="20"/>
          <w:kern w:val="0"/>
          <w:sz w:val="24"/>
          <w:szCs w:val="20"/>
        </w:rPr>
      </w:pPr>
      <w:r>
        <w:rPr>
          <w:rFonts w:hint="eastAsia" w:ascii="宋体" w:hAnsi="宋体" w:cs="宋体"/>
          <w:caps/>
          <w:color w:val="auto"/>
          <w:spacing w:val="20"/>
          <w:kern w:val="0"/>
          <w:sz w:val="24"/>
          <w:szCs w:val="20"/>
        </w:rPr>
        <w:t>地　　址：</w:t>
      </w:r>
      <w:r>
        <w:rPr>
          <w:rFonts w:hint="eastAsia" w:ascii="宋体" w:hAnsi="宋体" w:cs="宋体"/>
          <w:caps/>
          <w:color w:val="auto"/>
          <w:spacing w:val="20"/>
          <w:kern w:val="0"/>
          <w:sz w:val="24"/>
          <w:szCs w:val="20"/>
        </w:rPr>
        <w:tab/>
      </w:r>
      <w:r>
        <w:rPr>
          <w:rFonts w:hint="eastAsia" w:ascii="宋体" w:hAnsi="宋体" w:cs="宋体"/>
          <w:caps/>
          <w:color w:val="auto"/>
          <w:spacing w:val="20"/>
          <w:kern w:val="0"/>
          <w:sz w:val="24"/>
          <w:szCs w:val="20"/>
        </w:rPr>
        <w:tab/>
      </w:r>
      <w:r>
        <w:rPr>
          <w:rFonts w:hint="eastAsia" w:ascii="宋体" w:hAnsi="宋体" w:cs="宋体"/>
          <w:caps/>
          <w:color w:val="auto"/>
          <w:spacing w:val="20"/>
          <w:kern w:val="0"/>
          <w:sz w:val="24"/>
          <w:szCs w:val="20"/>
        </w:rPr>
        <w:tab/>
      </w:r>
      <w:r>
        <w:rPr>
          <w:rFonts w:hint="eastAsia" w:ascii="宋体" w:hAnsi="宋体" w:cs="宋体"/>
          <w:caps/>
          <w:color w:val="auto"/>
          <w:spacing w:val="20"/>
          <w:kern w:val="0"/>
          <w:sz w:val="24"/>
          <w:szCs w:val="20"/>
        </w:rPr>
        <w:tab/>
      </w:r>
      <w:r>
        <w:rPr>
          <w:rFonts w:hint="eastAsia" w:ascii="宋体" w:hAnsi="宋体" w:cs="宋体"/>
          <w:caps/>
          <w:color w:val="auto"/>
          <w:spacing w:val="20"/>
          <w:kern w:val="0"/>
          <w:sz w:val="24"/>
          <w:szCs w:val="20"/>
        </w:rPr>
        <w:t xml:space="preserve">                地　　址：</w:t>
      </w:r>
      <w:r>
        <w:rPr>
          <w:rFonts w:hint="eastAsia" w:ascii="宋体" w:hAnsi="宋体" w:cs="宋体"/>
          <w:caps/>
          <w:color w:val="auto"/>
          <w:spacing w:val="20"/>
          <w:kern w:val="0"/>
          <w:sz w:val="24"/>
          <w:szCs w:val="20"/>
        </w:rPr>
        <w:tab/>
      </w:r>
      <w:r>
        <w:rPr>
          <w:rFonts w:hint="eastAsia" w:ascii="宋体" w:hAnsi="宋体" w:cs="宋体"/>
          <w:caps/>
          <w:color w:val="auto"/>
          <w:spacing w:val="20"/>
          <w:kern w:val="0"/>
          <w:sz w:val="24"/>
          <w:szCs w:val="20"/>
        </w:rPr>
        <w:tab/>
      </w:r>
      <w:r>
        <w:rPr>
          <w:rFonts w:hint="eastAsia" w:ascii="宋体" w:hAnsi="宋体" w:cs="宋体"/>
          <w:caps/>
          <w:color w:val="auto"/>
          <w:spacing w:val="20"/>
          <w:kern w:val="0"/>
          <w:sz w:val="24"/>
          <w:szCs w:val="20"/>
        </w:rPr>
        <w:tab/>
      </w:r>
    </w:p>
    <w:p>
      <w:pPr>
        <w:pStyle w:val="146"/>
        <w:snapToGrid w:val="0"/>
        <w:spacing w:line="360" w:lineRule="auto"/>
        <w:rPr>
          <w:rFonts w:ascii="宋体" w:hAnsi="宋体" w:cs="宋体"/>
          <w:caps/>
          <w:color w:val="auto"/>
          <w:spacing w:val="20"/>
          <w:kern w:val="0"/>
          <w:sz w:val="24"/>
          <w:szCs w:val="20"/>
        </w:rPr>
      </w:pPr>
      <w:r>
        <w:rPr>
          <w:rFonts w:hint="eastAsia" w:ascii="宋体" w:hAnsi="宋体" w:cs="宋体"/>
          <w:caps/>
          <w:color w:val="auto"/>
          <w:spacing w:val="20"/>
          <w:kern w:val="0"/>
          <w:sz w:val="24"/>
          <w:szCs w:val="20"/>
        </w:rPr>
        <w:t>邮政编码：</w:t>
      </w:r>
      <w:r>
        <w:rPr>
          <w:rFonts w:hint="eastAsia" w:ascii="宋体" w:hAnsi="宋体" w:cs="宋体"/>
          <w:caps/>
          <w:color w:val="auto"/>
          <w:spacing w:val="20"/>
          <w:kern w:val="0"/>
          <w:sz w:val="24"/>
          <w:szCs w:val="20"/>
        </w:rPr>
        <w:tab/>
      </w:r>
      <w:r>
        <w:rPr>
          <w:rFonts w:hint="eastAsia" w:ascii="宋体" w:hAnsi="宋体" w:cs="宋体"/>
          <w:caps/>
          <w:color w:val="auto"/>
          <w:spacing w:val="20"/>
          <w:kern w:val="0"/>
          <w:sz w:val="24"/>
          <w:szCs w:val="20"/>
        </w:rPr>
        <w:tab/>
      </w:r>
      <w:r>
        <w:rPr>
          <w:rFonts w:hint="eastAsia" w:ascii="宋体" w:hAnsi="宋体" w:cs="宋体"/>
          <w:caps/>
          <w:color w:val="auto"/>
          <w:spacing w:val="20"/>
          <w:kern w:val="0"/>
          <w:sz w:val="24"/>
          <w:szCs w:val="20"/>
        </w:rPr>
        <w:tab/>
      </w:r>
      <w:r>
        <w:rPr>
          <w:rFonts w:hint="eastAsia" w:ascii="宋体" w:hAnsi="宋体" w:cs="宋体"/>
          <w:caps/>
          <w:color w:val="auto"/>
          <w:spacing w:val="20"/>
          <w:kern w:val="0"/>
          <w:sz w:val="24"/>
          <w:szCs w:val="20"/>
        </w:rPr>
        <w:tab/>
      </w:r>
      <w:r>
        <w:rPr>
          <w:rFonts w:hint="eastAsia" w:ascii="宋体" w:hAnsi="宋体" w:cs="宋体"/>
          <w:caps/>
          <w:color w:val="auto"/>
          <w:spacing w:val="20"/>
          <w:kern w:val="0"/>
          <w:sz w:val="24"/>
          <w:szCs w:val="20"/>
        </w:rPr>
        <w:t xml:space="preserve">                邮政编码：</w:t>
      </w:r>
      <w:r>
        <w:rPr>
          <w:rFonts w:hint="eastAsia" w:ascii="宋体" w:hAnsi="宋体" w:cs="宋体"/>
          <w:caps/>
          <w:color w:val="auto"/>
          <w:spacing w:val="20"/>
          <w:kern w:val="0"/>
          <w:sz w:val="24"/>
          <w:szCs w:val="20"/>
        </w:rPr>
        <w:tab/>
      </w:r>
      <w:r>
        <w:rPr>
          <w:rFonts w:hint="eastAsia" w:ascii="宋体" w:hAnsi="宋体" w:cs="宋体"/>
          <w:caps/>
          <w:color w:val="auto"/>
          <w:spacing w:val="20"/>
          <w:kern w:val="0"/>
          <w:sz w:val="24"/>
          <w:szCs w:val="20"/>
        </w:rPr>
        <w:tab/>
      </w:r>
      <w:r>
        <w:rPr>
          <w:rFonts w:hint="eastAsia" w:ascii="宋体" w:hAnsi="宋体" w:cs="宋体"/>
          <w:caps/>
          <w:color w:val="auto"/>
          <w:spacing w:val="20"/>
          <w:kern w:val="0"/>
          <w:sz w:val="24"/>
          <w:szCs w:val="20"/>
        </w:rPr>
        <w:tab/>
      </w:r>
    </w:p>
    <w:p>
      <w:pPr>
        <w:pStyle w:val="146"/>
        <w:snapToGrid w:val="0"/>
        <w:spacing w:line="360" w:lineRule="auto"/>
        <w:rPr>
          <w:rFonts w:ascii="宋体" w:hAnsi="宋体" w:cs="宋体"/>
          <w:caps/>
          <w:color w:val="auto"/>
          <w:spacing w:val="20"/>
          <w:kern w:val="0"/>
          <w:sz w:val="24"/>
          <w:szCs w:val="20"/>
        </w:rPr>
      </w:pPr>
      <w:r>
        <w:rPr>
          <w:rFonts w:hint="eastAsia" w:ascii="宋体" w:hAnsi="宋体" w:cs="宋体"/>
          <w:caps/>
          <w:color w:val="auto"/>
          <w:spacing w:val="20"/>
          <w:kern w:val="0"/>
          <w:sz w:val="24"/>
          <w:szCs w:val="20"/>
        </w:rPr>
        <w:t>电　　话：</w:t>
      </w:r>
      <w:r>
        <w:rPr>
          <w:rFonts w:hint="eastAsia" w:ascii="宋体" w:hAnsi="宋体" w:cs="宋体"/>
          <w:caps/>
          <w:color w:val="auto"/>
          <w:spacing w:val="20"/>
          <w:kern w:val="0"/>
          <w:sz w:val="24"/>
          <w:szCs w:val="20"/>
        </w:rPr>
        <w:tab/>
      </w:r>
      <w:r>
        <w:rPr>
          <w:rFonts w:hint="eastAsia" w:ascii="宋体" w:hAnsi="宋体" w:cs="宋体"/>
          <w:caps/>
          <w:color w:val="auto"/>
          <w:spacing w:val="20"/>
          <w:kern w:val="0"/>
          <w:sz w:val="24"/>
          <w:szCs w:val="20"/>
        </w:rPr>
        <w:tab/>
      </w:r>
      <w:r>
        <w:rPr>
          <w:rFonts w:hint="eastAsia" w:ascii="宋体" w:hAnsi="宋体" w:cs="宋体"/>
          <w:caps/>
          <w:color w:val="auto"/>
          <w:spacing w:val="20"/>
          <w:kern w:val="0"/>
          <w:sz w:val="24"/>
          <w:szCs w:val="20"/>
        </w:rPr>
        <w:tab/>
      </w:r>
      <w:r>
        <w:rPr>
          <w:rFonts w:hint="eastAsia" w:ascii="宋体" w:hAnsi="宋体" w:cs="宋体"/>
          <w:caps/>
          <w:color w:val="auto"/>
          <w:spacing w:val="20"/>
          <w:kern w:val="0"/>
          <w:sz w:val="24"/>
          <w:szCs w:val="20"/>
        </w:rPr>
        <w:tab/>
      </w:r>
      <w:r>
        <w:rPr>
          <w:rFonts w:hint="eastAsia" w:ascii="宋体" w:hAnsi="宋体" w:cs="宋体"/>
          <w:caps/>
          <w:color w:val="auto"/>
          <w:spacing w:val="20"/>
          <w:kern w:val="0"/>
          <w:sz w:val="24"/>
          <w:szCs w:val="20"/>
        </w:rPr>
        <w:t xml:space="preserve">                电　　话：</w:t>
      </w:r>
      <w:r>
        <w:rPr>
          <w:rFonts w:hint="eastAsia" w:ascii="宋体" w:hAnsi="宋体" w:cs="宋体"/>
          <w:caps/>
          <w:color w:val="auto"/>
          <w:spacing w:val="20"/>
          <w:kern w:val="0"/>
          <w:sz w:val="24"/>
          <w:szCs w:val="20"/>
        </w:rPr>
        <w:tab/>
      </w:r>
      <w:r>
        <w:rPr>
          <w:rFonts w:hint="eastAsia" w:ascii="宋体" w:hAnsi="宋体" w:cs="宋体"/>
          <w:caps/>
          <w:color w:val="auto"/>
          <w:spacing w:val="20"/>
          <w:kern w:val="0"/>
          <w:sz w:val="24"/>
          <w:szCs w:val="20"/>
        </w:rPr>
        <w:tab/>
      </w:r>
    </w:p>
    <w:p>
      <w:pPr>
        <w:pStyle w:val="146"/>
        <w:snapToGrid w:val="0"/>
        <w:spacing w:line="360" w:lineRule="auto"/>
        <w:rPr>
          <w:rFonts w:ascii="宋体" w:hAnsi="宋体" w:cs="宋体"/>
          <w:caps/>
          <w:color w:val="auto"/>
          <w:spacing w:val="20"/>
          <w:kern w:val="0"/>
          <w:sz w:val="24"/>
          <w:szCs w:val="20"/>
        </w:rPr>
      </w:pPr>
      <w:r>
        <w:rPr>
          <w:rFonts w:hint="eastAsia" w:ascii="宋体" w:hAnsi="宋体" w:cs="宋体"/>
          <w:caps/>
          <w:color w:val="auto"/>
          <w:spacing w:val="20"/>
          <w:kern w:val="0"/>
          <w:sz w:val="24"/>
          <w:szCs w:val="20"/>
        </w:rPr>
        <w:t>开户银行：</w:t>
      </w:r>
      <w:r>
        <w:rPr>
          <w:rFonts w:hint="eastAsia" w:ascii="宋体" w:hAnsi="宋体" w:cs="宋体"/>
          <w:caps/>
          <w:color w:val="auto"/>
          <w:spacing w:val="20"/>
          <w:kern w:val="0"/>
          <w:sz w:val="24"/>
          <w:szCs w:val="20"/>
        </w:rPr>
        <w:tab/>
      </w:r>
      <w:r>
        <w:rPr>
          <w:rFonts w:hint="eastAsia" w:ascii="宋体" w:hAnsi="宋体" w:cs="宋体"/>
          <w:caps/>
          <w:color w:val="auto"/>
          <w:spacing w:val="20"/>
          <w:kern w:val="0"/>
          <w:sz w:val="24"/>
          <w:szCs w:val="20"/>
        </w:rPr>
        <w:tab/>
      </w:r>
      <w:r>
        <w:rPr>
          <w:rFonts w:hint="eastAsia" w:ascii="宋体" w:hAnsi="宋体" w:cs="宋体"/>
          <w:caps/>
          <w:color w:val="auto"/>
          <w:spacing w:val="20"/>
          <w:kern w:val="0"/>
          <w:sz w:val="24"/>
          <w:szCs w:val="20"/>
        </w:rPr>
        <w:tab/>
      </w:r>
      <w:r>
        <w:rPr>
          <w:rFonts w:hint="eastAsia" w:ascii="宋体" w:hAnsi="宋体" w:cs="宋体"/>
          <w:caps/>
          <w:color w:val="auto"/>
          <w:spacing w:val="20"/>
          <w:kern w:val="0"/>
          <w:sz w:val="24"/>
          <w:szCs w:val="20"/>
        </w:rPr>
        <w:tab/>
      </w:r>
      <w:r>
        <w:rPr>
          <w:rFonts w:hint="eastAsia" w:ascii="宋体" w:hAnsi="宋体" w:cs="宋体"/>
          <w:caps/>
          <w:color w:val="auto"/>
          <w:spacing w:val="20"/>
          <w:kern w:val="0"/>
          <w:sz w:val="24"/>
          <w:szCs w:val="20"/>
        </w:rPr>
        <w:t xml:space="preserve">                开户银行：</w:t>
      </w:r>
      <w:r>
        <w:rPr>
          <w:rFonts w:hint="eastAsia" w:ascii="宋体" w:hAnsi="宋体" w:cs="宋体"/>
          <w:caps/>
          <w:color w:val="auto"/>
          <w:spacing w:val="20"/>
          <w:kern w:val="0"/>
          <w:sz w:val="24"/>
          <w:szCs w:val="20"/>
        </w:rPr>
        <w:tab/>
      </w:r>
      <w:r>
        <w:rPr>
          <w:rFonts w:hint="eastAsia" w:ascii="宋体" w:hAnsi="宋体" w:cs="宋体"/>
          <w:caps/>
          <w:color w:val="auto"/>
          <w:spacing w:val="20"/>
          <w:kern w:val="0"/>
          <w:sz w:val="24"/>
          <w:szCs w:val="20"/>
        </w:rPr>
        <w:tab/>
      </w:r>
    </w:p>
    <w:p>
      <w:pPr>
        <w:pStyle w:val="146"/>
        <w:snapToGrid w:val="0"/>
        <w:spacing w:line="360" w:lineRule="auto"/>
        <w:rPr>
          <w:rFonts w:ascii="宋体" w:hAnsi="宋体" w:cs="宋体"/>
          <w:sz w:val="24"/>
        </w:rPr>
      </w:pPr>
      <w:r>
        <w:rPr>
          <w:rFonts w:hint="eastAsia" w:ascii="宋体" w:hAnsi="宋体" w:cs="宋体"/>
          <w:caps/>
          <w:color w:val="auto"/>
          <w:spacing w:val="20"/>
          <w:kern w:val="0"/>
          <w:sz w:val="24"/>
          <w:szCs w:val="20"/>
        </w:rPr>
        <w:t>账　　号：</w:t>
      </w:r>
      <w:r>
        <w:rPr>
          <w:rFonts w:hint="eastAsia" w:ascii="宋体" w:hAnsi="宋体" w:cs="宋体"/>
          <w:caps/>
          <w:color w:val="auto"/>
          <w:spacing w:val="20"/>
          <w:kern w:val="0"/>
          <w:sz w:val="24"/>
          <w:szCs w:val="20"/>
        </w:rPr>
        <w:tab/>
      </w:r>
      <w:r>
        <w:rPr>
          <w:rFonts w:hint="eastAsia" w:ascii="宋体" w:hAnsi="宋体" w:cs="宋体"/>
          <w:caps/>
          <w:color w:val="auto"/>
          <w:spacing w:val="20"/>
          <w:kern w:val="0"/>
          <w:sz w:val="24"/>
          <w:szCs w:val="20"/>
        </w:rPr>
        <w:tab/>
      </w:r>
      <w:r>
        <w:rPr>
          <w:rFonts w:hint="eastAsia" w:ascii="宋体" w:hAnsi="宋体" w:cs="宋体"/>
          <w:caps/>
          <w:color w:val="auto"/>
          <w:spacing w:val="20"/>
          <w:kern w:val="0"/>
          <w:sz w:val="24"/>
          <w:szCs w:val="20"/>
        </w:rPr>
        <w:tab/>
      </w:r>
      <w:r>
        <w:rPr>
          <w:rFonts w:hint="eastAsia" w:ascii="宋体" w:hAnsi="宋体" w:cs="宋体"/>
          <w:caps/>
          <w:color w:val="auto"/>
          <w:spacing w:val="20"/>
          <w:kern w:val="0"/>
          <w:sz w:val="24"/>
          <w:szCs w:val="20"/>
        </w:rPr>
        <w:tab/>
      </w:r>
      <w:r>
        <w:rPr>
          <w:rFonts w:hint="eastAsia" w:ascii="宋体" w:hAnsi="宋体" w:cs="宋体"/>
          <w:caps/>
          <w:color w:val="auto"/>
          <w:spacing w:val="20"/>
          <w:kern w:val="0"/>
          <w:sz w:val="24"/>
          <w:szCs w:val="20"/>
        </w:rPr>
        <w:t xml:space="preserve">      </w:t>
      </w:r>
      <w:r>
        <w:rPr>
          <w:rFonts w:hint="eastAsia" w:ascii="宋体" w:hAnsi="宋体" w:cs="宋体"/>
          <w:caps/>
          <w:spacing w:val="20"/>
          <w:kern w:val="0"/>
          <w:sz w:val="24"/>
          <w:szCs w:val="20"/>
        </w:rPr>
        <w:t xml:space="preserve">          账　　号：</w:t>
      </w:r>
      <w:r>
        <w:rPr>
          <w:rFonts w:hint="eastAsia" w:ascii="宋体" w:hAnsi="宋体" w:cs="宋体"/>
          <w:caps/>
          <w:spacing w:val="20"/>
          <w:kern w:val="0"/>
          <w:sz w:val="24"/>
          <w:szCs w:val="20"/>
        </w:rPr>
        <w:tab/>
      </w:r>
      <w:r>
        <w:rPr>
          <w:rFonts w:hint="eastAsia" w:ascii="宋体" w:hAnsi="宋体" w:cs="宋体"/>
          <w:caps/>
          <w:spacing w:val="20"/>
          <w:kern w:val="0"/>
          <w:sz w:val="24"/>
          <w:szCs w:val="20"/>
        </w:rPr>
        <w:tab/>
      </w:r>
    </w:p>
    <w:p>
      <w:pPr>
        <w:pStyle w:val="44"/>
        <w:spacing w:before="0" w:after="0" w:line="360" w:lineRule="auto"/>
        <w:jc w:val="both"/>
        <w:rPr>
          <w:rFonts w:ascii="宋体" w:hAnsi="宋体" w:cs="宋体"/>
          <w:sz w:val="24"/>
        </w:rPr>
        <w:sectPr>
          <w:pgSz w:w="11905" w:h="16838"/>
          <w:pgMar w:top="1440" w:right="1083" w:bottom="1440" w:left="1083" w:header="850" w:footer="850" w:gutter="0"/>
          <w:cols w:space="720" w:num="1"/>
          <w:titlePg/>
          <w:docGrid w:linePitch="312" w:charSpace="0"/>
        </w:sectPr>
      </w:pPr>
    </w:p>
    <w:p>
      <w:pPr>
        <w:pStyle w:val="44"/>
        <w:spacing w:before="0" w:after="0" w:line="360" w:lineRule="auto"/>
        <w:rPr>
          <w:rFonts w:ascii="宋体" w:hAnsi="宋体" w:cs="宋体"/>
          <w:sz w:val="36"/>
          <w:szCs w:val="36"/>
        </w:rPr>
      </w:pPr>
      <w:bookmarkStart w:id="221" w:name="_Toc34895584"/>
      <w:bookmarkStart w:id="222" w:name="_Toc493956050"/>
      <w:bookmarkStart w:id="223" w:name="_Toc530551875"/>
      <w:bookmarkStart w:id="224" w:name="_Toc531359037"/>
      <w:r>
        <w:rPr>
          <w:rFonts w:hint="eastAsia" w:ascii="宋体" w:hAnsi="宋体" w:cs="宋体"/>
          <w:sz w:val="36"/>
          <w:szCs w:val="36"/>
        </w:rPr>
        <w:t>第五章  投标文件格式</w:t>
      </w:r>
      <w:bookmarkEnd w:id="221"/>
      <w:bookmarkEnd w:id="222"/>
      <w:bookmarkEnd w:id="223"/>
      <w:bookmarkEnd w:id="224"/>
      <w:bookmarkStart w:id="225" w:name="_Toc15805942"/>
    </w:p>
    <w:p>
      <w:pPr>
        <w:pStyle w:val="44"/>
        <w:spacing w:beforeLines="100" w:after="240" w:afterLines="100"/>
        <w:outlineLvl w:val="1"/>
        <w:rPr>
          <w:rFonts w:ascii="宋体" w:hAnsi="宋体" w:cs="宋体"/>
          <w:sz w:val="44"/>
          <w:szCs w:val="44"/>
        </w:rPr>
      </w:pPr>
      <w:bookmarkStart w:id="226" w:name="_Toc531359038"/>
      <w:bookmarkStart w:id="227" w:name="_Toc493956051"/>
      <w:bookmarkStart w:id="228" w:name="_Toc530551876"/>
      <w:bookmarkStart w:id="229" w:name="_Toc34895585"/>
      <w:r>
        <w:rPr>
          <w:rFonts w:hint="eastAsia" w:ascii="宋体" w:hAnsi="宋体" w:cs="宋体"/>
          <w:sz w:val="44"/>
          <w:szCs w:val="44"/>
        </w:rPr>
        <w:t>一  资格审查文件格式</w:t>
      </w:r>
      <w:bookmarkEnd w:id="226"/>
      <w:bookmarkEnd w:id="227"/>
      <w:bookmarkEnd w:id="228"/>
      <w:bookmarkEnd w:id="229"/>
    </w:p>
    <w:p>
      <w:pPr>
        <w:spacing w:line="360" w:lineRule="auto"/>
        <w:rPr>
          <w:rFonts w:ascii="宋体" w:hAnsi="宋体" w:cs="宋体"/>
          <w:sz w:val="24"/>
          <w:szCs w:val="24"/>
        </w:rPr>
      </w:pPr>
    </w:p>
    <w:p>
      <w:pPr>
        <w:pStyle w:val="4"/>
        <w:spacing w:before="0" w:after="0"/>
        <w:ind w:firstLine="0" w:firstLineChars="0"/>
        <w:jc w:val="left"/>
        <w:rPr>
          <w:rFonts w:ascii="宋体" w:hAnsi="宋体" w:eastAsia="宋体" w:cs="宋体"/>
          <w:sz w:val="24"/>
          <w:szCs w:val="24"/>
        </w:rPr>
      </w:pPr>
      <w:bookmarkStart w:id="230" w:name="_Toc531359039"/>
      <w:bookmarkStart w:id="231" w:name="_Toc34895586"/>
      <w:r>
        <w:rPr>
          <w:rFonts w:hint="eastAsia" w:ascii="宋体" w:hAnsi="宋体" w:eastAsia="宋体" w:cs="宋体"/>
          <w:sz w:val="24"/>
          <w:szCs w:val="24"/>
        </w:rPr>
        <w:t xml:space="preserve">1.1   </w:t>
      </w:r>
      <w:bookmarkEnd w:id="230"/>
      <w:bookmarkStart w:id="232" w:name="_Toc531359040"/>
      <w:r>
        <w:rPr>
          <w:rFonts w:hint="eastAsia" w:ascii="宋体" w:hAnsi="宋体" w:eastAsia="宋体" w:cs="宋体"/>
          <w:sz w:val="24"/>
          <w:szCs w:val="24"/>
        </w:rPr>
        <w:t>资格审查文件封面</w:t>
      </w:r>
      <w:bookmarkEnd w:id="232"/>
      <w:r>
        <w:rPr>
          <w:rFonts w:hint="eastAsia" w:ascii="宋体" w:hAnsi="宋体" w:eastAsia="宋体" w:cs="宋体"/>
          <w:sz w:val="24"/>
          <w:szCs w:val="24"/>
        </w:rPr>
        <w:t>格式</w:t>
      </w:r>
      <w:bookmarkEnd w:id="231"/>
    </w:p>
    <w:p>
      <w:pPr>
        <w:pStyle w:val="14"/>
        <w:spacing w:line="360" w:lineRule="auto"/>
        <w:ind w:firstLine="0"/>
        <w:jc w:val="left"/>
        <w:rPr>
          <w:rFonts w:ascii="宋体" w:hAnsi="宋体" w:cs="宋体"/>
        </w:rPr>
      </w:pPr>
    </w:p>
    <w:p>
      <w:pPr>
        <w:pStyle w:val="14"/>
        <w:spacing w:line="600" w:lineRule="auto"/>
        <w:ind w:firstLine="0"/>
        <w:jc w:val="center"/>
        <w:rPr>
          <w:rFonts w:ascii="宋体" w:hAnsi="宋体" w:cs="宋体"/>
          <w:b/>
          <w:sz w:val="32"/>
          <w:szCs w:val="32"/>
        </w:rPr>
      </w:pPr>
      <w:r>
        <w:rPr>
          <w:rFonts w:hint="eastAsia" w:ascii="宋体" w:hAnsi="宋体" w:cs="宋体"/>
          <w:b/>
          <w:sz w:val="32"/>
          <w:szCs w:val="32"/>
        </w:rPr>
        <w:t>投标文件</w:t>
      </w:r>
    </w:p>
    <w:tbl>
      <w:tblPr>
        <w:tblStyle w:val="48"/>
        <w:tblW w:w="0" w:type="auto"/>
        <w:jc w:val="center"/>
        <w:tblLayout w:type="autofit"/>
        <w:tblCellMar>
          <w:top w:w="0" w:type="dxa"/>
          <w:left w:w="108" w:type="dxa"/>
          <w:bottom w:w="0" w:type="dxa"/>
          <w:right w:w="108" w:type="dxa"/>
        </w:tblCellMar>
      </w:tblPr>
      <w:tblGrid>
        <w:gridCol w:w="3078"/>
        <w:gridCol w:w="4536"/>
      </w:tblGrid>
      <w:tr>
        <w:trPr>
          <w:trHeight w:val="397" w:hRule="atLeast"/>
          <w:jc w:val="center"/>
        </w:trPr>
        <w:tc>
          <w:tcPr>
            <w:tcW w:w="3078" w:type="dxa"/>
            <w:vAlign w:val="center"/>
          </w:tcPr>
          <w:p>
            <w:pPr>
              <w:spacing w:line="600" w:lineRule="auto"/>
              <w:jc w:val="distribute"/>
              <w:rPr>
                <w:rFonts w:ascii="宋体" w:hAnsi="宋体" w:cs="宋体"/>
                <w:sz w:val="24"/>
                <w:szCs w:val="24"/>
              </w:rPr>
            </w:pPr>
            <w:r>
              <w:rPr>
                <w:rFonts w:hint="eastAsia" w:ascii="宋体" w:hAnsi="宋体" w:cs="宋体"/>
                <w:sz w:val="24"/>
                <w:szCs w:val="24"/>
              </w:rPr>
              <w:t>投标文件名称：</w:t>
            </w:r>
          </w:p>
        </w:tc>
        <w:tc>
          <w:tcPr>
            <w:tcW w:w="4536" w:type="dxa"/>
            <w:vAlign w:val="center"/>
          </w:tcPr>
          <w:p>
            <w:pPr>
              <w:spacing w:line="600" w:lineRule="auto"/>
              <w:jc w:val="left"/>
              <w:rPr>
                <w:rFonts w:ascii="宋体" w:hAnsi="宋体" w:cs="宋体"/>
                <w:sz w:val="24"/>
                <w:szCs w:val="24"/>
              </w:rPr>
            </w:pPr>
            <w:r>
              <w:rPr>
                <w:rFonts w:hint="eastAsia" w:ascii="宋体" w:hAnsi="宋体" w:cs="宋体"/>
                <w:sz w:val="24"/>
                <w:szCs w:val="24"/>
                <w:u w:val="single"/>
              </w:rPr>
              <w:t xml:space="preserve"> 资格审查文件           </w:t>
            </w:r>
          </w:p>
        </w:tc>
      </w:tr>
      <w:tr>
        <w:tblPrEx>
          <w:tblCellMar>
            <w:top w:w="0" w:type="dxa"/>
            <w:left w:w="108" w:type="dxa"/>
            <w:bottom w:w="0" w:type="dxa"/>
            <w:right w:w="108" w:type="dxa"/>
          </w:tblCellMar>
        </w:tblPrEx>
        <w:trPr>
          <w:trHeight w:val="397" w:hRule="atLeast"/>
          <w:jc w:val="center"/>
        </w:trPr>
        <w:tc>
          <w:tcPr>
            <w:tcW w:w="3078" w:type="dxa"/>
            <w:vAlign w:val="center"/>
          </w:tcPr>
          <w:p>
            <w:pPr>
              <w:spacing w:line="600" w:lineRule="auto"/>
              <w:jc w:val="distribute"/>
              <w:rPr>
                <w:rFonts w:ascii="宋体" w:hAnsi="宋体" w:cs="宋体"/>
                <w:sz w:val="24"/>
                <w:szCs w:val="24"/>
              </w:rPr>
            </w:pPr>
            <w:r>
              <w:rPr>
                <w:rFonts w:hint="eastAsia" w:ascii="宋体" w:hAnsi="宋体" w:cs="宋体"/>
                <w:sz w:val="24"/>
                <w:szCs w:val="24"/>
              </w:rPr>
              <w:t>采 购 编 号：</w:t>
            </w:r>
          </w:p>
        </w:tc>
        <w:tc>
          <w:tcPr>
            <w:tcW w:w="4536" w:type="dxa"/>
            <w:vAlign w:val="center"/>
          </w:tcPr>
          <w:p>
            <w:pPr>
              <w:spacing w:line="600" w:lineRule="auto"/>
              <w:jc w:val="left"/>
              <w:rPr>
                <w:rFonts w:ascii="宋体" w:hAnsi="宋体" w:cs="宋体"/>
                <w:sz w:val="24"/>
                <w:szCs w:val="24"/>
              </w:rPr>
            </w:pPr>
            <w:r>
              <w:rPr>
                <w:rFonts w:hint="eastAsia" w:ascii="宋体" w:hAnsi="宋体" w:cs="宋体"/>
                <w:sz w:val="24"/>
                <w:szCs w:val="24"/>
                <w:u w:val="single"/>
              </w:rPr>
              <w:t xml:space="preserve">                                    </w:t>
            </w:r>
          </w:p>
        </w:tc>
      </w:tr>
      <w:tr>
        <w:tblPrEx>
          <w:tblCellMar>
            <w:top w:w="0" w:type="dxa"/>
            <w:left w:w="108" w:type="dxa"/>
            <w:bottom w:w="0" w:type="dxa"/>
            <w:right w:w="108" w:type="dxa"/>
          </w:tblCellMar>
        </w:tblPrEx>
        <w:trPr>
          <w:trHeight w:val="397" w:hRule="atLeast"/>
          <w:jc w:val="center"/>
        </w:trPr>
        <w:tc>
          <w:tcPr>
            <w:tcW w:w="3078" w:type="dxa"/>
            <w:vAlign w:val="center"/>
          </w:tcPr>
          <w:p>
            <w:pPr>
              <w:spacing w:line="600" w:lineRule="auto"/>
              <w:jc w:val="distribute"/>
              <w:rPr>
                <w:rFonts w:ascii="宋体" w:hAnsi="宋体" w:cs="宋体"/>
                <w:sz w:val="24"/>
                <w:szCs w:val="24"/>
              </w:rPr>
            </w:pPr>
            <w:r>
              <w:rPr>
                <w:rFonts w:hint="eastAsia" w:ascii="宋体" w:hAnsi="宋体" w:cs="宋体"/>
                <w:sz w:val="24"/>
                <w:szCs w:val="24"/>
              </w:rPr>
              <w:t>项 目 名 称：</w:t>
            </w:r>
          </w:p>
        </w:tc>
        <w:tc>
          <w:tcPr>
            <w:tcW w:w="4536" w:type="dxa"/>
            <w:vAlign w:val="center"/>
          </w:tcPr>
          <w:p>
            <w:pPr>
              <w:spacing w:line="600" w:lineRule="auto"/>
              <w:jc w:val="left"/>
              <w:rPr>
                <w:rFonts w:ascii="宋体" w:hAnsi="宋体" w:cs="宋体"/>
                <w:sz w:val="24"/>
                <w:szCs w:val="24"/>
              </w:rPr>
            </w:pPr>
            <w:r>
              <w:rPr>
                <w:rFonts w:hint="eastAsia" w:ascii="宋体" w:hAnsi="宋体" w:cs="宋体"/>
                <w:sz w:val="24"/>
                <w:szCs w:val="24"/>
                <w:u w:val="single"/>
              </w:rPr>
              <w:t xml:space="preserve">                                    </w:t>
            </w:r>
          </w:p>
        </w:tc>
      </w:tr>
      <w:tr>
        <w:tblPrEx>
          <w:tblCellMar>
            <w:top w:w="0" w:type="dxa"/>
            <w:left w:w="108" w:type="dxa"/>
            <w:bottom w:w="0" w:type="dxa"/>
            <w:right w:w="108" w:type="dxa"/>
          </w:tblCellMar>
        </w:tblPrEx>
        <w:trPr>
          <w:trHeight w:val="397" w:hRule="atLeast"/>
          <w:jc w:val="center"/>
        </w:trPr>
        <w:tc>
          <w:tcPr>
            <w:tcW w:w="3078" w:type="dxa"/>
            <w:vAlign w:val="center"/>
          </w:tcPr>
          <w:p>
            <w:pPr>
              <w:spacing w:line="600" w:lineRule="auto"/>
              <w:jc w:val="distribute"/>
              <w:rPr>
                <w:rFonts w:ascii="宋体" w:hAnsi="宋体" w:cs="宋体"/>
                <w:sz w:val="24"/>
                <w:szCs w:val="24"/>
              </w:rPr>
            </w:pPr>
            <w:r>
              <w:rPr>
                <w:rFonts w:hint="eastAsia" w:ascii="宋体" w:hAnsi="宋体" w:cs="宋体"/>
                <w:sz w:val="24"/>
                <w:szCs w:val="24"/>
              </w:rPr>
              <w:t>标      项：</w:t>
            </w:r>
          </w:p>
        </w:tc>
        <w:tc>
          <w:tcPr>
            <w:tcW w:w="4536" w:type="dxa"/>
            <w:vAlign w:val="center"/>
          </w:tcPr>
          <w:p>
            <w:pPr>
              <w:spacing w:line="600" w:lineRule="auto"/>
              <w:jc w:val="left"/>
              <w:rPr>
                <w:rFonts w:ascii="宋体" w:hAnsi="宋体" w:cs="宋体"/>
                <w:sz w:val="24"/>
                <w:szCs w:val="24"/>
              </w:rPr>
            </w:pPr>
            <w:r>
              <w:rPr>
                <w:rFonts w:hint="eastAsia" w:ascii="宋体" w:hAnsi="宋体" w:cs="宋体"/>
                <w:sz w:val="24"/>
                <w:szCs w:val="24"/>
                <w:u w:val="single"/>
              </w:rPr>
              <w:t xml:space="preserve">（若有）                            </w:t>
            </w:r>
          </w:p>
        </w:tc>
      </w:tr>
      <w:tr>
        <w:tblPrEx>
          <w:tblCellMar>
            <w:top w:w="0" w:type="dxa"/>
            <w:left w:w="108" w:type="dxa"/>
            <w:bottom w:w="0" w:type="dxa"/>
            <w:right w:w="108" w:type="dxa"/>
          </w:tblCellMar>
        </w:tblPrEx>
        <w:trPr>
          <w:trHeight w:val="397" w:hRule="atLeast"/>
          <w:jc w:val="center"/>
        </w:trPr>
        <w:tc>
          <w:tcPr>
            <w:tcW w:w="3078" w:type="dxa"/>
            <w:vAlign w:val="center"/>
          </w:tcPr>
          <w:p>
            <w:pPr>
              <w:spacing w:line="600" w:lineRule="auto"/>
              <w:jc w:val="distribute"/>
              <w:rPr>
                <w:rFonts w:ascii="宋体" w:hAnsi="宋体" w:cs="宋体"/>
                <w:sz w:val="24"/>
                <w:szCs w:val="24"/>
              </w:rPr>
            </w:pPr>
          </w:p>
        </w:tc>
        <w:tc>
          <w:tcPr>
            <w:tcW w:w="4536" w:type="dxa"/>
            <w:vAlign w:val="center"/>
          </w:tcPr>
          <w:p>
            <w:pPr>
              <w:spacing w:line="600" w:lineRule="auto"/>
              <w:jc w:val="left"/>
              <w:rPr>
                <w:rFonts w:ascii="宋体" w:hAnsi="宋体" w:cs="宋体"/>
                <w:sz w:val="24"/>
                <w:szCs w:val="24"/>
              </w:rPr>
            </w:pPr>
          </w:p>
        </w:tc>
      </w:tr>
      <w:tr>
        <w:tblPrEx>
          <w:tblCellMar>
            <w:top w:w="0" w:type="dxa"/>
            <w:left w:w="108" w:type="dxa"/>
            <w:bottom w:w="0" w:type="dxa"/>
            <w:right w:w="108" w:type="dxa"/>
          </w:tblCellMar>
        </w:tblPrEx>
        <w:trPr>
          <w:trHeight w:val="397" w:hRule="atLeast"/>
          <w:jc w:val="center"/>
        </w:trPr>
        <w:tc>
          <w:tcPr>
            <w:tcW w:w="3078" w:type="dxa"/>
            <w:vAlign w:val="center"/>
          </w:tcPr>
          <w:p>
            <w:pPr>
              <w:spacing w:line="600" w:lineRule="auto"/>
              <w:rPr>
                <w:rFonts w:ascii="宋体" w:hAnsi="宋体" w:cs="宋体"/>
                <w:sz w:val="24"/>
                <w:szCs w:val="24"/>
              </w:rPr>
            </w:pPr>
            <w:r>
              <w:rPr>
                <w:rFonts w:hint="eastAsia" w:ascii="宋体" w:hAnsi="宋体" w:cs="宋体"/>
                <w:sz w:val="24"/>
                <w:szCs w:val="24"/>
              </w:rPr>
              <w:t>供应商全称</w:t>
            </w:r>
            <w:r>
              <w:rPr>
                <w:rFonts w:hint="eastAsia" w:ascii="宋体" w:hAnsi="宋体" w:cs="宋体"/>
                <w:spacing w:val="20"/>
                <w:sz w:val="24"/>
                <w:szCs w:val="21"/>
              </w:rPr>
              <w:t>(电子签章)</w:t>
            </w:r>
            <w:r>
              <w:rPr>
                <w:rFonts w:hint="eastAsia" w:ascii="宋体" w:hAnsi="宋体" w:cs="宋体"/>
                <w:sz w:val="24"/>
                <w:szCs w:val="24"/>
              </w:rPr>
              <w:t>：</w:t>
            </w:r>
          </w:p>
        </w:tc>
        <w:tc>
          <w:tcPr>
            <w:tcW w:w="4536" w:type="dxa"/>
            <w:vAlign w:val="center"/>
          </w:tcPr>
          <w:p>
            <w:pPr>
              <w:spacing w:line="600" w:lineRule="auto"/>
              <w:jc w:val="left"/>
              <w:rPr>
                <w:rFonts w:ascii="宋体" w:hAnsi="宋体" w:cs="宋体"/>
                <w:sz w:val="24"/>
                <w:szCs w:val="24"/>
              </w:rPr>
            </w:pPr>
            <w:r>
              <w:rPr>
                <w:rFonts w:hint="eastAsia" w:ascii="宋体" w:hAnsi="宋体" w:cs="宋体"/>
                <w:sz w:val="24"/>
                <w:szCs w:val="24"/>
                <w:u w:val="single"/>
              </w:rPr>
              <w:t xml:space="preserve">                                    </w:t>
            </w:r>
          </w:p>
        </w:tc>
      </w:tr>
      <w:tr>
        <w:trPr>
          <w:trHeight w:val="397" w:hRule="atLeast"/>
          <w:jc w:val="center"/>
        </w:trPr>
        <w:tc>
          <w:tcPr>
            <w:tcW w:w="3078" w:type="dxa"/>
            <w:vAlign w:val="center"/>
          </w:tcPr>
          <w:p>
            <w:pPr>
              <w:spacing w:line="600" w:lineRule="auto"/>
              <w:jc w:val="distribute"/>
              <w:rPr>
                <w:rFonts w:ascii="宋体" w:hAnsi="宋体" w:cs="宋体"/>
                <w:sz w:val="24"/>
                <w:szCs w:val="24"/>
              </w:rPr>
            </w:pPr>
            <w:r>
              <w:rPr>
                <w:rFonts w:hint="eastAsia" w:ascii="宋体" w:hAnsi="宋体" w:cs="宋体"/>
                <w:sz w:val="24"/>
                <w:szCs w:val="24"/>
              </w:rPr>
              <w:t>供应商地址：</w:t>
            </w:r>
          </w:p>
        </w:tc>
        <w:tc>
          <w:tcPr>
            <w:tcW w:w="4536" w:type="dxa"/>
            <w:vAlign w:val="center"/>
          </w:tcPr>
          <w:p>
            <w:pPr>
              <w:spacing w:line="600" w:lineRule="auto"/>
              <w:jc w:val="left"/>
              <w:rPr>
                <w:rFonts w:ascii="宋体" w:hAnsi="宋体" w:cs="宋体"/>
                <w:sz w:val="24"/>
                <w:szCs w:val="24"/>
              </w:rPr>
            </w:pPr>
            <w:r>
              <w:rPr>
                <w:rFonts w:hint="eastAsia" w:ascii="宋体" w:hAnsi="宋体" w:cs="宋体"/>
                <w:sz w:val="24"/>
                <w:szCs w:val="24"/>
                <w:u w:val="single"/>
              </w:rPr>
              <w:t xml:space="preserve">                                    </w:t>
            </w:r>
          </w:p>
        </w:tc>
      </w:tr>
      <w:tr>
        <w:tblPrEx>
          <w:tblCellMar>
            <w:top w:w="0" w:type="dxa"/>
            <w:left w:w="108" w:type="dxa"/>
            <w:bottom w:w="0" w:type="dxa"/>
            <w:right w:w="108" w:type="dxa"/>
          </w:tblCellMar>
        </w:tblPrEx>
        <w:trPr>
          <w:trHeight w:val="397" w:hRule="atLeast"/>
          <w:jc w:val="center"/>
        </w:trPr>
        <w:tc>
          <w:tcPr>
            <w:tcW w:w="7614" w:type="dxa"/>
            <w:gridSpan w:val="2"/>
            <w:vAlign w:val="center"/>
          </w:tcPr>
          <w:p>
            <w:pPr>
              <w:spacing w:line="600" w:lineRule="auto"/>
              <w:jc w:val="left"/>
              <w:rPr>
                <w:rFonts w:ascii="宋体" w:hAnsi="宋体" w:cs="宋体"/>
                <w:sz w:val="24"/>
                <w:szCs w:val="24"/>
                <w:u w:val="single"/>
              </w:rPr>
            </w:pPr>
          </w:p>
        </w:tc>
      </w:tr>
      <w:tr>
        <w:tblPrEx>
          <w:tblCellMar>
            <w:top w:w="0" w:type="dxa"/>
            <w:left w:w="108" w:type="dxa"/>
            <w:bottom w:w="0" w:type="dxa"/>
            <w:right w:w="108" w:type="dxa"/>
          </w:tblCellMar>
        </w:tblPrEx>
        <w:trPr>
          <w:trHeight w:val="397" w:hRule="atLeast"/>
          <w:jc w:val="center"/>
        </w:trPr>
        <w:tc>
          <w:tcPr>
            <w:tcW w:w="7614" w:type="dxa"/>
            <w:gridSpan w:val="2"/>
            <w:vAlign w:val="center"/>
          </w:tcPr>
          <w:p>
            <w:pPr>
              <w:spacing w:line="600" w:lineRule="auto"/>
              <w:jc w:val="center"/>
              <w:rPr>
                <w:rFonts w:ascii="宋体" w:hAnsi="宋体" w:cs="宋体"/>
                <w:sz w:val="24"/>
                <w:szCs w:val="24"/>
              </w:rPr>
            </w:pPr>
            <w:r>
              <w:rPr>
                <w:rFonts w:hint="eastAsia" w:ascii="宋体" w:hAnsi="宋体" w:cs="宋体"/>
                <w:sz w:val="24"/>
                <w:szCs w:val="24"/>
              </w:rPr>
              <w:t>年  月  日</w:t>
            </w:r>
          </w:p>
        </w:tc>
      </w:tr>
    </w:tbl>
    <w:p>
      <w:pPr>
        <w:pStyle w:val="14"/>
        <w:spacing w:line="360" w:lineRule="auto"/>
        <w:ind w:firstLine="0"/>
        <w:jc w:val="left"/>
        <w:rPr>
          <w:rFonts w:ascii="宋体" w:hAnsi="宋体" w:cs="宋体"/>
          <w:sz w:val="24"/>
          <w:szCs w:val="24"/>
        </w:rPr>
      </w:pPr>
      <w:bookmarkStart w:id="233" w:name="_Toc531359041"/>
      <w:bookmarkStart w:id="234" w:name="_Toc493956052"/>
      <w:bookmarkStart w:id="235" w:name="_Toc523398524"/>
      <w:bookmarkStart w:id="236" w:name="_Toc493956053"/>
      <w:bookmarkStart w:id="237" w:name="_Toc530551878"/>
    </w:p>
    <w:p>
      <w:pPr>
        <w:pStyle w:val="14"/>
        <w:spacing w:line="360" w:lineRule="auto"/>
        <w:ind w:firstLine="0"/>
        <w:jc w:val="left"/>
        <w:rPr>
          <w:rFonts w:ascii="宋体" w:hAnsi="宋体" w:cs="宋体"/>
          <w:sz w:val="24"/>
          <w:szCs w:val="24"/>
        </w:rPr>
      </w:pPr>
    </w:p>
    <w:p>
      <w:pPr>
        <w:pStyle w:val="14"/>
        <w:spacing w:line="360" w:lineRule="auto"/>
        <w:ind w:firstLine="0"/>
        <w:jc w:val="left"/>
        <w:rPr>
          <w:rFonts w:ascii="宋体" w:hAnsi="宋体" w:cs="宋体"/>
          <w:sz w:val="24"/>
          <w:szCs w:val="24"/>
        </w:rPr>
      </w:pPr>
    </w:p>
    <w:p>
      <w:pPr>
        <w:pStyle w:val="14"/>
        <w:spacing w:line="360" w:lineRule="auto"/>
        <w:ind w:firstLine="0"/>
        <w:jc w:val="left"/>
        <w:rPr>
          <w:rFonts w:ascii="宋体" w:hAnsi="宋体" w:cs="宋体"/>
          <w:sz w:val="24"/>
          <w:szCs w:val="24"/>
        </w:rPr>
      </w:pPr>
    </w:p>
    <w:p>
      <w:pPr>
        <w:pStyle w:val="14"/>
        <w:spacing w:line="360" w:lineRule="auto"/>
        <w:ind w:firstLine="0"/>
        <w:jc w:val="left"/>
        <w:rPr>
          <w:rFonts w:ascii="宋体" w:hAnsi="宋体" w:cs="宋体"/>
          <w:sz w:val="24"/>
          <w:szCs w:val="24"/>
        </w:rPr>
      </w:pPr>
    </w:p>
    <w:p>
      <w:pPr>
        <w:pStyle w:val="4"/>
        <w:spacing w:before="0" w:after="0"/>
        <w:ind w:firstLine="0" w:firstLineChars="0"/>
        <w:jc w:val="left"/>
        <w:rPr>
          <w:rFonts w:ascii="宋体" w:hAnsi="宋体" w:eastAsia="宋体" w:cs="宋体"/>
          <w:sz w:val="24"/>
          <w:szCs w:val="24"/>
        </w:rPr>
      </w:pPr>
      <w:bookmarkStart w:id="238" w:name="_Toc34895587"/>
      <w:r>
        <w:rPr>
          <w:rFonts w:hint="eastAsia" w:ascii="宋体" w:hAnsi="宋体" w:eastAsia="宋体" w:cs="宋体"/>
          <w:sz w:val="24"/>
          <w:szCs w:val="24"/>
        </w:rPr>
        <w:t>1.2    资格审查文件目录</w:t>
      </w:r>
      <w:bookmarkEnd w:id="233"/>
      <w:bookmarkEnd w:id="238"/>
    </w:p>
    <w:p>
      <w:pPr>
        <w:pStyle w:val="14"/>
        <w:jc w:val="center"/>
        <w:rPr>
          <w:rFonts w:ascii="宋体" w:hAnsi="宋体" w:cs="宋体"/>
          <w:sz w:val="39"/>
        </w:rPr>
      </w:pPr>
      <w:r>
        <w:rPr>
          <w:rFonts w:hint="eastAsia" w:ascii="宋体" w:hAnsi="宋体" w:cs="宋体"/>
          <w:sz w:val="39"/>
        </w:rPr>
        <w:t>目  录</w:t>
      </w:r>
    </w:p>
    <w:p>
      <w:pPr>
        <w:pStyle w:val="14"/>
        <w:spacing w:line="600" w:lineRule="auto"/>
        <w:ind w:firstLine="0"/>
        <w:rPr>
          <w:rFonts w:ascii="宋体" w:hAnsi="宋体" w:cs="宋体"/>
          <w:sz w:val="39"/>
        </w:rPr>
      </w:pPr>
    </w:p>
    <w:p>
      <w:pPr>
        <w:spacing w:line="480" w:lineRule="auto"/>
        <w:rPr>
          <w:rFonts w:ascii="宋体" w:hAnsi="宋体" w:cs="宋体"/>
          <w:sz w:val="24"/>
        </w:rPr>
      </w:pPr>
      <w:r>
        <w:rPr>
          <w:rFonts w:hint="eastAsia" w:ascii="宋体" w:hAnsi="宋体" w:cs="宋体"/>
          <w:sz w:val="24"/>
        </w:rPr>
        <w:t>1.有效的营业执照电子文档；</w:t>
      </w:r>
    </w:p>
    <w:p>
      <w:pPr>
        <w:spacing w:line="480" w:lineRule="auto"/>
        <w:rPr>
          <w:rFonts w:ascii="宋体" w:hAnsi="宋体" w:cs="宋体"/>
          <w:sz w:val="24"/>
        </w:rPr>
      </w:pPr>
      <w:r>
        <w:rPr>
          <w:rFonts w:hint="eastAsia" w:ascii="宋体" w:hAnsi="宋体" w:cs="宋体"/>
          <w:sz w:val="24"/>
        </w:rPr>
        <w:t>2.负责人身份证电子文档；</w:t>
      </w:r>
    </w:p>
    <w:p>
      <w:pPr>
        <w:spacing w:line="480" w:lineRule="auto"/>
        <w:rPr>
          <w:rFonts w:ascii="宋体" w:hAnsi="宋体" w:cs="宋体"/>
          <w:sz w:val="24"/>
        </w:rPr>
      </w:pPr>
      <w:r>
        <w:rPr>
          <w:rFonts w:hint="eastAsia" w:ascii="宋体" w:hAnsi="宋体" w:cs="宋体"/>
          <w:sz w:val="24"/>
        </w:rPr>
        <w:t xml:space="preserve">3.若有委托代理人的，则还应当提供授权委托书及委托代理人的身份证电子文档； </w:t>
      </w:r>
    </w:p>
    <w:p>
      <w:pPr>
        <w:spacing w:line="480" w:lineRule="auto"/>
        <w:rPr>
          <w:rFonts w:ascii="宋体" w:hAnsi="宋体" w:cs="宋体"/>
          <w:sz w:val="24"/>
        </w:rPr>
      </w:pPr>
      <w:r>
        <w:rPr>
          <w:rFonts w:hint="eastAsia" w:ascii="宋体" w:hAnsi="宋体" w:cs="宋体"/>
          <w:sz w:val="24"/>
        </w:rPr>
        <w:t>4.</w:t>
      </w:r>
      <w:r>
        <w:rPr>
          <w:rFonts w:hint="eastAsia" w:ascii="宋体" w:hAnsi="宋体" w:cs="宋体"/>
          <w:caps/>
          <w:spacing w:val="20"/>
          <w:kern w:val="0"/>
          <w:sz w:val="24"/>
        </w:rPr>
        <w:t>具有</w:t>
      </w:r>
      <w:r>
        <w:rPr>
          <w:rFonts w:hint="eastAsia" w:ascii="宋体" w:hAnsi="宋体" w:cs="宋体"/>
          <w:bCs/>
          <w:caps/>
          <w:spacing w:val="20"/>
          <w:kern w:val="0"/>
          <w:sz w:val="24"/>
        </w:rPr>
        <w:t>良好的财务会计制度、依法缴纳税收和社会保障资金的承诺函；</w:t>
      </w:r>
    </w:p>
    <w:p>
      <w:pPr>
        <w:spacing w:line="480" w:lineRule="auto"/>
        <w:rPr>
          <w:rFonts w:ascii="宋体" w:hAnsi="宋体" w:cs="宋体"/>
          <w:sz w:val="24"/>
        </w:rPr>
      </w:pPr>
      <w:r>
        <w:rPr>
          <w:rFonts w:hint="eastAsia" w:ascii="宋体" w:hAnsi="宋体" w:cs="宋体"/>
          <w:sz w:val="24"/>
        </w:rPr>
        <w:t>5.</w:t>
      </w:r>
      <w:r>
        <w:rPr>
          <w:rFonts w:hint="eastAsia" w:ascii="宋体" w:hAnsi="宋体" w:cs="宋体"/>
          <w:caps/>
          <w:spacing w:val="20"/>
          <w:kern w:val="0"/>
          <w:sz w:val="24"/>
        </w:rPr>
        <w:t>具有履行合同所必需设备和专业技术能力的承诺函；</w:t>
      </w:r>
    </w:p>
    <w:p>
      <w:pPr>
        <w:spacing w:line="480" w:lineRule="auto"/>
        <w:rPr>
          <w:rFonts w:ascii="宋体" w:hAnsi="宋体" w:cs="宋体"/>
          <w:sz w:val="24"/>
        </w:rPr>
      </w:pPr>
      <w:r>
        <w:rPr>
          <w:rFonts w:hint="eastAsia" w:ascii="宋体" w:hAnsi="宋体" w:cs="宋体"/>
          <w:sz w:val="24"/>
        </w:rPr>
        <w:t>6.无重大违法记录声明书；</w:t>
      </w:r>
    </w:p>
    <w:p>
      <w:pPr>
        <w:spacing w:line="480" w:lineRule="auto"/>
        <w:rPr>
          <w:rFonts w:ascii="宋体" w:hAnsi="宋体" w:cs="宋体"/>
          <w:sz w:val="24"/>
        </w:rPr>
      </w:pPr>
      <w:r>
        <w:rPr>
          <w:rFonts w:hint="eastAsia" w:ascii="宋体" w:hAnsi="宋体" w:cs="宋体"/>
          <w:sz w:val="24"/>
        </w:rPr>
        <w:t>7.其他。</w:t>
      </w:r>
    </w:p>
    <w:p>
      <w:pPr>
        <w:spacing w:line="600" w:lineRule="auto"/>
        <w:rPr>
          <w:rFonts w:ascii="宋体" w:hAnsi="宋体" w:cs="宋体"/>
          <w:sz w:val="24"/>
        </w:rPr>
      </w:pPr>
    </w:p>
    <w:p>
      <w:pPr>
        <w:spacing w:line="600" w:lineRule="auto"/>
        <w:rPr>
          <w:rFonts w:ascii="宋体" w:hAnsi="宋体" w:cs="宋体"/>
          <w:sz w:val="24"/>
        </w:rPr>
      </w:pPr>
    </w:p>
    <w:p>
      <w:pPr>
        <w:spacing w:line="600" w:lineRule="auto"/>
        <w:rPr>
          <w:rFonts w:ascii="宋体" w:hAnsi="宋体" w:cs="宋体"/>
          <w:sz w:val="24"/>
        </w:rPr>
      </w:pPr>
    </w:p>
    <w:p>
      <w:pPr>
        <w:spacing w:line="600" w:lineRule="auto"/>
        <w:rPr>
          <w:rFonts w:ascii="宋体" w:hAnsi="宋体" w:cs="宋体"/>
          <w:sz w:val="24"/>
        </w:rPr>
      </w:pPr>
    </w:p>
    <w:p>
      <w:pPr>
        <w:spacing w:line="600" w:lineRule="auto"/>
        <w:rPr>
          <w:rFonts w:ascii="宋体" w:hAnsi="宋体" w:cs="宋体"/>
          <w:sz w:val="24"/>
        </w:rPr>
      </w:pPr>
    </w:p>
    <w:p>
      <w:pPr>
        <w:spacing w:line="600" w:lineRule="auto"/>
        <w:rPr>
          <w:rFonts w:ascii="宋体" w:hAnsi="宋体" w:cs="宋体"/>
          <w:sz w:val="24"/>
        </w:rPr>
      </w:pPr>
    </w:p>
    <w:p>
      <w:pPr>
        <w:spacing w:line="600" w:lineRule="auto"/>
        <w:rPr>
          <w:rFonts w:ascii="宋体" w:hAnsi="宋体" w:cs="宋体"/>
          <w:sz w:val="24"/>
        </w:rPr>
      </w:pPr>
    </w:p>
    <w:p>
      <w:pPr>
        <w:spacing w:line="600" w:lineRule="auto"/>
        <w:rPr>
          <w:rFonts w:ascii="宋体" w:hAnsi="宋体" w:cs="宋体"/>
          <w:sz w:val="24"/>
        </w:rPr>
      </w:pPr>
    </w:p>
    <w:p>
      <w:pPr>
        <w:pStyle w:val="238"/>
        <w:rPr>
          <w:rFonts w:hAnsi="宋体" w:cs="宋体"/>
          <w:color w:val="auto"/>
        </w:rPr>
      </w:pPr>
      <w:bookmarkStart w:id="239" w:name="_Toc34895588"/>
      <w:bookmarkStart w:id="240" w:name="_Toc531359042"/>
    </w:p>
    <w:p>
      <w:pPr>
        <w:pStyle w:val="4"/>
        <w:spacing w:before="0" w:after="0"/>
        <w:ind w:firstLine="0" w:firstLineChars="0"/>
        <w:jc w:val="left"/>
        <w:rPr>
          <w:rFonts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sz w:val="24"/>
          <w:szCs w:val="24"/>
        </w:rPr>
        <w:t>1.3    有效营业执照电子文档</w:t>
      </w:r>
      <w:bookmarkEnd w:id="234"/>
      <w:bookmarkEnd w:id="235"/>
      <w:bookmarkEnd w:id="239"/>
      <w:bookmarkEnd w:id="240"/>
    </w:p>
    <w:p>
      <w:pPr>
        <w:pStyle w:val="14"/>
        <w:spacing w:line="360" w:lineRule="auto"/>
        <w:ind w:firstLine="0"/>
        <w:jc w:val="left"/>
        <w:rPr>
          <w:rFonts w:ascii="宋体" w:hAnsi="宋体" w:cs="宋体"/>
        </w:rPr>
      </w:pPr>
    </w:p>
    <w:p>
      <w:pPr>
        <w:spacing w:line="360" w:lineRule="auto"/>
        <w:rPr>
          <w:rFonts w:ascii="宋体" w:hAnsi="宋体" w:cs="宋体"/>
          <w:sz w:val="24"/>
        </w:rPr>
      </w:pPr>
      <w:r>
        <w:rPr>
          <w:rFonts w:hint="eastAsia" w:ascii="宋体" w:hAnsi="宋体" w:cs="宋体"/>
          <w:sz w:val="24"/>
          <w:szCs w:val="24"/>
        </w:rPr>
        <w:t>内容要求：</w:t>
      </w:r>
      <w:r>
        <w:rPr>
          <w:rFonts w:hint="eastAsia" w:ascii="宋体" w:hAnsi="宋体" w:cs="宋体"/>
          <w:sz w:val="24"/>
        </w:rPr>
        <w:t>提供有效的营业执照电子文档并加盖公司公章</w:t>
      </w:r>
      <w:r>
        <w:rPr>
          <w:rFonts w:hint="eastAsia" w:ascii="宋体" w:hAnsi="宋体" w:cs="宋体"/>
          <w:spacing w:val="20"/>
          <w:sz w:val="24"/>
          <w:szCs w:val="21"/>
        </w:rPr>
        <w:t>(电子签章)</w:t>
      </w:r>
      <w:r>
        <w:rPr>
          <w:rFonts w:hint="eastAsia" w:ascii="宋体" w:hAnsi="宋体" w:cs="宋体"/>
          <w:sz w:val="24"/>
        </w:rPr>
        <w:t xml:space="preserve">； </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pStyle w:val="4"/>
        <w:spacing w:before="0" w:after="0"/>
        <w:ind w:firstLine="0" w:firstLineChars="0"/>
        <w:jc w:val="left"/>
        <w:rPr>
          <w:rFonts w:ascii="宋体" w:hAnsi="宋体" w:eastAsia="宋体" w:cs="宋体"/>
          <w:sz w:val="24"/>
          <w:szCs w:val="24"/>
        </w:rPr>
      </w:pPr>
      <w:bookmarkStart w:id="241" w:name="_Toc34895589"/>
      <w:bookmarkStart w:id="242" w:name="_Toc531359043"/>
      <w:r>
        <w:rPr>
          <w:rFonts w:hint="eastAsia" w:ascii="宋体" w:hAnsi="宋体" w:eastAsia="宋体" w:cs="宋体"/>
          <w:sz w:val="24"/>
          <w:szCs w:val="24"/>
        </w:rPr>
        <w:t>1.</w:t>
      </w:r>
      <w:bookmarkEnd w:id="236"/>
      <w:bookmarkEnd w:id="237"/>
      <w:r>
        <w:rPr>
          <w:rFonts w:hint="eastAsia" w:ascii="宋体" w:hAnsi="宋体" w:eastAsia="宋体" w:cs="宋体"/>
          <w:sz w:val="24"/>
          <w:szCs w:val="24"/>
        </w:rPr>
        <w:t>4    负责人身份证电子文档</w:t>
      </w:r>
      <w:bookmarkEnd w:id="241"/>
      <w:bookmarkEnd w:id="242"/>
    </w:p>
    <w:p>
      <w:pPr>
        <w:pStyle w:val="14"/>
        <w:ind w:firstLine="0"/>
        <w:rPr>
          <w:rFonts w:ascii="宋体" w:hAnsi="宋体" w:cs="宋体"/>
        </w:rPr>
      </w:pPr>
    </w:p>
    <w:p>
      <w:pPr>
        <w:spacing w:line="360" w:lineRule="auto"/>
        <w:rPr>
          <w:rFonts w:ascii="宋体" w:hAnsi="宋体" w:cs="宋体"/>
          <w:sz w:val="24"/>
          <w:szCs w:val="24"/>
        </w:rPr>
      </w:pPr>
      <w:r>
        <w:rPr>
          <w:rFonts w:hint="eastAsia" w:ascii="宋体" w:hAnsi="宋体" w:cs="宋体"/>
          <w:sz w:val="24"/>
          <w:szCs w:val="24"/>
        </w:rPr>
        <w:t>内容要求：</w:t>
      </w:r>
    </w:p>
    <w:p>
      <w:pPr>
        <w:spacing w:line="360" w:lineRule="auto"/>
        <w:ind w:firstLine="480"/>
        <w:rPr>
          <w:rFonts w:ascii="宋体" w:hAnsi="宋体" w:cs="宋体"/>
          <w:sz w:val="24"/>
          <w:szCs w:val="24"/>
        </w:rPr>
      </w:pPr>
      <w:r>
        <w:rPr>
          <w:rFonts w:hint="eastAsia" w:ascii="宋体" w:hAnsi="宋体" w:cs="宋体"/>
          <w:sz w:val="24"/>
          <w:szCs w:val="24"/>
        </w:rPr>
        <w:t>1、负责人身份证正、反面电子文档；</w:t>
      </w:r>
    </w:p>
    <w:p>
      <w:pPr>
        <w:spacing w:line="360" w:lineRule="auto"/>
        <w:ind w:firstLine="480" w:firstLineChars="200"/>
        <w:rPr>
          <w:rFonts w:ascii="宋体" w:hAnsi="宋体" w:cs="宋体"/>
          <w:sz w:val="24"/>
        </w:rPr>
      </w:pPr>
      <w:r>
        <w:rPr>
          <w:rFonts w:hint="eastAsia" w:ascii="宋体" w:hAnsi="宋体" w:cs="宋体"/>
          <w:sz w:val="24"/>
        </w:rPr>
        <w:t>2、若有委托代理人的，则还应当提供授权委托书及委托代理人的身份证电子文档。</w:t>
      </w:r>
    </w:p>
    <w:p>
      <w:pPr>
        <w:pStyle w:val="14"/>
        <w:rPr>
          <w:rFonts w:ascii="宋体" w:hAnsi="宋体" w:cs="宋体"/>
        </w:rPr>
      </w:pPr>
    </w:p>
    <w:p>
      <w:pPr>
        <w:pStyle w:val="14"/>
        <w:rPr>
          <w:rFonts w:ascii="宋体" w:hAnsi="宋体" w:cs="宋体"/>
        </w:rPr>
        <w:sectPr>
          <w:pgSz w:w="11905" w:h="16838"/>
          <w:pgMar w:top="1440" w:right="1083" w:bottom="1440" w:left="1083" w:header="850" w:footer="850" w:gutter="0"/>
          <w:cols w:space="720" w:num="1"/>
          <w:titlePg/>
          <w:docGrid w:linePitch="312" w:charSpace="0"/>
        </w:sectPr>
      </w:pPr>
    </w:p>
    <w:p>
      <w:pPr>
        <w:pStyle w:val="4"/>
        <w:spacing w:before="0" w:after="0"/>
        <w:ind w:firstLine="0" w:firstLineChars="0"/>
        <w:jc w:val="left"/>
        <w:rPr>
          <w:rFonts w:ascii="宋体" w:hAnsi="宋体" w:eastAsia="宋体" w:cs="宋体"/>
          <w:sz w:val="24"/>
          <w:szCs w:val="24"/>
        </w:rPr>
      </w:pPr>
      <w:bookmarkStart w:id="243" w:name="_Toc531359044"/>
      <w:bookmarkStart w:id="244" w:name="_Toc34895590"/>
      <w:r>
        <w:rPr>
          <w:rFonts w:hint="eastAsia" w:ascii="宋体" w:hAnsi="宋体" w:eastAsia="宋体" w:cs="宋体"/>
          <w:sz w:val="24"/>
          <w:szCs w:val="24"/>
        </w:rPr>
        <w:t>1.5    授权委托书</w:t>
      </w:r>
      <w:bookmarkEnd w:id="243"/>
      <w:r>
        <w:rPr>
          <w:rFonts w:hint="eastAsia" w:ascii="宋体" w:hAnsi="宋体" w:eastAsia="宋体" w:cs="宋体"/>
          <w:sz w:val="24"/>
          <w:szCs w:val="24"/>
        </w:rPr>
        <w:t>格式</w:t>
      </w:r>
      <w:bookmarkEnd w:id="244"/>
    </w:p>
    <w:p>
      <w:pPr>
        <w:pStyle w:val="14"/>
        <w:ind w:firstLine="0"/>
        <w:rPr>
          <w:rFonts w:ascii="宋体" w:hAnsi="宋体" w:cs="宋体"/>
        </w:rPr>
      </w:pPr>
    </w:p>
    <w:p>
      <w:pPr>
        <w:pStyle w:val="14"/>
        <w:spacing w:line="360" w:lineRule="auto"/>
        <w:ind w:firstLine="0"/>
        <w:jc w:val="center"/>
        <w:rPr>
          <w:rFonts w:ascii="宋体" w:hAnsi="宋体" w:cs="宋体"/>
          <w:b/>
          <w:sz w:val="32"/>
          <w:szCs w:val="32"/>
        </w:rPr>
      </w:pPr>
      <w:r>
        <w:rPr>
          <w:rFonts w:hint="eastAsia" w:ascii="宋体" w:hAnsi="宋体" w:cs="宋体"/>
          <w:b/>
          <w:sz w:val="32"/>
          <w:szCs w:val="32"/>
        </w:rPr>
        <w:t>授权委托书</w:t>
      </w:r>
    </w:p>
    <w:p>
      <w:pPr>
        <w:pStyle w:val="117"/>
        <w:spacing w:line="360" w:lineRule="auto"/>
        <w:rPr>
          <w:rFonts w:ascii="宋体" w:hAnsi="宋体" w:cs="宋体"/>
          <w:b/>
          <w:sz w:val="24"/>
          <w:szCs w:val="21"/>
        </w:rPr>
      </w:pPr>
      <w:r>
        <w:rPr>
          <w:rFonts w:hint="eastAsia" w:ascii="宋体" w:hAnsi="宋体" w:cs="宋体"/>
          <w:caps/>
          <w:spacing w:val="20"/>
          <w:kern w:val="0"/>
          <w:sz w:val="24"/>
          <w:szCs w:val="20"/>
          <w:u w:val="single"/>
        </w:rPr>
        <w:t>缙云县城投市政建设有限公司</w:t>
      </w:r>
      <w:r>
        <w:rPr>
          <w:rFonts w:hint="eastAsia" w:ascii="宋体" w:hAnsi="宋体" w:cs="宋体"/>
          <w:spacing w:val="6"/>
          <w:sz w:val="22"/>
          <w:szCs w:val="22"/>
        </w:rPr>
        <w:t>：</w:t>
      </w:r>
    </w:p>
    <w:p>
      <w:pPr>
        <w:pStyle w:val="168"/>
        <w:autoSpaceDE w:val="0"/>
        <w:autoSpaceDN w:val="0"/>
        <w:spacing w:line="360" w:lineRule="auto"/>
        <w:textAlignment w:val="bottom"/>
        <w:rPr>
          <w:rFonts w:ascii="宋体" w:hAnsi="宋体" w:cs="宋体"/>
          <w:sz w:val="24"/>
          <w:szCs w:val="20"/>
        </w:rPr>
      </w:pPr>
      <w:r>
        <w:rPr>
          <w:rFonts w:hint="eastAsia" w:ascii="宋体" w:hAnsi="宋体" w:cs="宋体"/>
        </w:rPr>
        <w:t xml:space="preserve">   </w:t>
      </w:r>
      <w:r>
        <w:rPr>
          <w:rFonts w:hint="eastAsia" w:ascii="宋体" w:hAnsi="宋体" w:cs="宋体"/>
          <w:sz w:val="24"/>
          <w:szCs w:val="20"/>
        </w:rPr>
        <w:t xml:space="preserve">  我</w:t>
      </w:r>
      <w:r>
        <w:rPr>
          <w:rFonts w:hint="eastAsia" w:ascii="宋体" w:hAnsi="宋体" w:cs="宋体"/>
          <w:sz w:val="24"/>
          <w:szCs w:val="20"/>
          <w:u w:val="single"/>
        </w:rPr>
        <w:t xml:space="preserve"> 法定代表人（负责人）</w:t>
      </w:r>
      <w:r>
        <w:rPr>
          <w:rFonts w:hint="eastAsia" w:ascii="宋体" w:hAnsi="宋体" w:cs="宋体"/>
          <w:sz w:val="24"/>
          <w:szCs w:val="20"/>
        </w:rPr>
        <w:t>系</w:t>
      </w:r>
      <w:r>
        <w:rPr>
          <w:rFonts w:hint="eastAsia" w:ascii="宋体" w:hAnsi="宋体" w:cs="宋体"/>
          <w:sz w:val="24"/>
          <w:szCs w:val="20"/>
          <w:u w:val="single"/>
        </w:rPr>
        <w:t xml:space="preserve"> （供应商全称） </w:t>
      </w:r>
      <w:r>
        <w:rPr>
          <w:rFonts w:hint="eastAsia" w:ascii="宋体" w:hAnsi="宋体" w:cs="宋体"/>
          <w:sz w:val="24"/>
          <w:szCs w:val="20"/>
        </w:rPr>
        <w:t>的法定代表人（或负责人），现授权委托本单位在职职工</w:t>
      </w:r>
      <w:r>
        <w:rPr>
          <w:rFonts w:hint="eastAsia" w:ascii="宋体" w:hAnsi="宋体" w:cs="宋体"/>
          <w:sz w:val="24"/>
          <w:szCs w:val="20"/>
          <w:u w:val="single"/>
        </w:rPr>
        <w:t xml:space="preserve">   （姓名）  </w:t>
      </w:r>
      <w:r>
        <w:rPr>
          <w:rFonts w:hint="eastAsia" w:ascii="宋体" w:hAnsi="宋体" w:cs="宋体"/>
          <w:sz w:val="24"/>
          <w:szCs w:val="20"/>
        </w:rPr>
        <w:t>以我方的名义参加就贵方组织的</w:t>
      </w:r>
      <w:r>
        <w:rPr>
          <w:rFonts w:hint="eastAsia" w:ascii="宋体" w:hAnsi="宋体" w:cs="宋体"/>
          <w:sz w:val="24"/>
          <w:szCs w:val="20"/>
          <w:u w:val="single"/>
        </w:rPr>
        <w:t xml:space="preserve">   </w:t>
      </w:r>
      <w:r>
        <w:rPr>
          <w:rFonts w:hint="eastAsia" w:ascii="宋体" w:hAnsi="宋体" w:cs="宋体"/>
          <w:sz w:val="24"/>
          <w:szCs w:val="21"/>
          <w:u w:val="single"/>
        </w:rPr>
        <w:t xml:space="preserve">（项目名称）（项目编号）（标项） </w:t>
      </w:r>
      <w:r>
        <w:rPr>
          <w:rFonts w:hint="eastAsia" w:ascii="宋体" w:hAnsi="宋体" w:cs="宋体"/>
          <w:sz w:val="24"/>
          <w:szCs w:val="20"/>
        </w:rPr>
        <w:t>的投标活动，并代表我方全权办理针对上述项目的投标、开标、评审、签约等具体事务和签署相关文件。</w:t>
      </w:r>
    </w:p>
    <w:p>
      <w:pPr>
        <w:pStyle w:val="168"/>
        <w:autoSpaceDE w:val="0"/>
        <w:autoSpaceDN w:val="0"/>
        <w:spacing w:line="360" w:lineRule="auto"/>
        <w:textAlignment w:val="bottom"/>
        <w:rPr>
          <w:rFonts w:ascii="宋体" w:hAnsi="宋体" w:cs="宋体"/>
          <w:sz w:val="24"/>
          <w:szCs w:val="20"/>
        </w:rPr>
      </w:pPr>
      <w:r>
        <w:rPr>
          <w:rFonts w:hint="eastAsia" w:ascii="宋体" w:hAnsi="宋体" w:cs="宋体"/>
          <w:sz w:val="24"/>
          <w:szCs w:val="20"/>
        </w:rPr>
        <w:t xml:space="preserve">    我方对委托代理人的签字或盖章事项负全部责任。</w:t>
      </w:r>
    </w:p>
    <w:p>
      <w:pPr>
        <w:pStyle w:val="168"/>
        <w:spacing w:line="360" w:lineRule="auto"/>
        <w:ind w:firstLine="480"/>
        <w:rPr>
          <w:rFonts w:ascii="宋体" w:hAnsi="宋体" w:cs="宋体"/>
          <w:sz w:val="24"/>
          <w:szCs w:val="21"/>
        </w:rPr>
      </w:pPr>
      <w:r>
        <w:rPr>
          <w:rFonts w:hint="eastAsia" w:ascii="宋体" w:hAnsi="宋体" w:cs="宋体"/>
          <w:sz w:val="24"/>
          <w:szCs w:val="21"/>
        </w:rPr>
        <w:t>本授权书自签署之日起生效，在撤销授权的书面通知送达贵方以前，本授权委托书一直有效。委托代理人在授权书有效期内签署的所有文件不因授权的撤销而失效。</w:t>
      </w:r>
    </w:p>
    <w:p>
      <w:pPr>
        <w:pStyle w:val="168"/>
        <w:spacing w:line="360" w:lineRule="auto"/>
        <w:ind w:firstLine="480"/>
        <w:rPr>
          <w:rFonts w:ascii="宋体" w:hAnsi="宋体" w:cs="宋体"/>
          <w:sz w:val="24"/>
          <w:szCs w:val="21"/>
        </w:rPr>
      </w:pPr>
      <w:r>
        <w:rPr>
          <w:rFonts w:hint="eastAsia" w:ascii="宋体" w:hAnsi="宋体" w:cs="宋体"/>
          <w:sz w:val="24"/>
          <w:szCs w:val="21"/>
        </w:rPr>
        <w:t>委托代理人无转委托权，特此声明。</w:t>
      </w:r>
    </w:p>
    <w:p>
      <w:pPr>
        <w:pStyle w:val="168"/>
        <w:spacing w:line="360" w:lineRule="auto"/>
        <w:ind w:firstLine="480"/>
        <w:rPr>
          <w:rFonts w:ascii="宋体" w:hAnsi="宋体" w:cs="宋体"/>
          <w:sz w:val="24"/>
          <w:szCs w:val="21"/>
        </w:rPr>
      </w:pPr>
    </w:p>
    <w:p>
      <w:pPr>
        <w:pStyle w:val="168"/>
        <w:spacing w:line="360" w:lineRule="auto"/>
        <w:ind w:firstLine="480"/>
        <w:rPr>
          <w:rFonts w:ascii="宋体" w:hAnsi="宋体" w:cs="宋体"/>
          <w:sz w:val="24"/>
          <w:szCs w:val="21"/>
        </w:rPr>
      </w:pPr>
    </w:p>
    <w:p>
      <w:pPr>
        <w:pStyle w:val="168"/>
        <w:wordWrap w:val="0"/>
        <w:spacing w:line="360" w:lineRule="auto"/>
        <w:ind w:firstLine="480"/>
        <w:jc w:val="right"/>
        <w:rPr>
          <w:rFonts w:ascii="宋体" w:hAnsi="宋体" w:cs="宋体"/>
          <w:sz w:val="24"/>
          <w:szCs w:val="21"/>
          <w:u w:val="single"/>
        </w:rPr>
      </w:pPr>
      <w:r>
        <w:rPr>
          <w:rFonts w:hint="eastAsia" w:ascii="宋体" w:hAnsi="宋体" w:cs="宋体"/>
          <w:sz w:val="24"/>
          <w:szCs w:val="21"/>
        </w:rPr>
        <w:t>供应商盖章</w:t>
      </w:r>
      <w:r>
        <w:rPr>
          <w:rFonts w:hint="eastAsia" w:ascii="宋体" w:hAnsi="宋体" w:cs="宋体"/>
          <w:spacing w:val="20"/>
          <w:sz w:val="24"/>
          <w:szCs w:val="21"/>
        </w:rPr>
        <w:t>(电子签章)</w:t>
      </w:r>
      <w:r>
        <w:rPr>
          <w:rFonts w:hint="eastAsia" w:ascii="宋体" w:hAnsi="宋体" w:cs="宋体"/>
          <w:sz w:val="24"/>
          <w:szCs w:val="21"/>
        </w:rPr>
        <w:t>：</w:t>
      </w:r>
      <w:r>
        <w:rPr>
          <w:rFonts w:hint="eastAsia" w:ascii="宋体" w:hAnsi="宋体" w:cs="宋体"/>
          <w:sz w:val="24"/>
          <w:szCs w:val="21"/>
          <w:u w:val="single"/>
        </w:rPr>
        <w:t xml:space="preserve">                </w:t>
      </w:r>
    </w:p>
    <w:p>
      <w:pPr>
        <w:pStyle w:val="168"/>
        <w:wordWrap w:val="0"/>
        <w:spacing w:line="360" w:lineRule="auto"/>
        <w:ind w:firstLine="480"/>
        <w:jc w:val="right"/>
        <w:rPr>
          <w:rFonts w:ascii="宋体" w:hAnsi="宋体" w:cs="宋体"/>
          <w:sz w:val="24"/>
          <w:szCs w:val="21"/>
          <w:u w:val="single"/>
        </w:rPr>
      </w:pPr>
      <w:r>
        <w:rPr>
          <w:rFonts w:hint="eastAsia" w:ascii="宋体" w:hAnsi="宋体" w:cs="宋体"/>
          <w:sz w:val="24"/>
          <w:szCs w:val="21"/>
        </w:rPr>
        <w:t>日      期：</w:t>
      </w:r>
      <w:r>
        <w:rPr>
          <w:rFonts w:hint="eastAsia" w:ascii="宋体" w:hAnsi="宋体" w:cs="宋体"/>
          <w:sz w:val="24"/>
          <w:szCs w:val="21"/>
          <w:u w:val="single"/>
        </w:rPr>
        <w:t xml:space="preserve">                </w:t>
      </w:r>
    </w:p>
    <w:p>
      <w:pPr>
        <w:pStyle w:val="168"/>
        <w:spacing w:line="440" w:lineRule="exact"/>
        <w:rPr>
          <w:rFonts w:ascii="宋体" w:hAnsi="宋体" w:cs="宋体"/>
          <w:sz w:val="24"/>
          <w:szCs w:val="21"/>
        </w:rPr>
      </w:pPr>
      <w:r>
        <w:rPr>
          <w:rFonts w:hint="eastAsia" w:ascii="宋体" w:hAnsi="宋体" w:cs="宋体"/>
          <w:sz w:val="24"/>
          <w:szCs w:val="21"/>
        </w:rPr>
        <mc:AlternateContent>
          <mc:Choice Requires="wps">
            <w:drawing>
              <wp:anchor distT="0" distB="0" distL="114300" distR="114300" simplePos="0" relativeHeight="251659264" behindDoc="0" locked="0" layoutInCell="1" allowOverlap="1">
                <wp:simplePos x="0" y="0"/>
                <wp:positionH relativeFrom="column">
                  <wp:posOffset>-209550</wp:posOffset>
                </wp:positionH>
                <wp:positionV relativeFrom="paragraph">
                  <wp:posOffset>133350</wp:posOffset>
                </wp:positionV>
                <wp:extent cx="6067425" cy="0"/>
                <wp:effectExtent l="0" t="4445" r="0" b="5080"/>
                <wp:wrapNone/>
                <wp:docPr id="1" name="自选图形 2"/>
                <wp:cNvGraphicFramePr/>
                <a:graphic xmlns:a="http://schemas.openxmlformats.org/drawingml/2006/main">
                  <a:graphicData uri="http://schemas.microsoft.com/office/word/2010/wordprocessingShape">
                    <wps:wsp>
                      <wps:cNvCnPr/>
                      <wps:spPr>
                        <a:xfrm>
                          <a:off x="0" y="0"/>
                          <a:ext cx="6067425" cy="0"/>
                        </a:xfrm>
                        <a:prstGeom prst="straightConnector1">
                          <a:avLst/>
                        </a:prstGeom>
                        <a:ln w="9525" cap="flat" cmpd="sng">
                          <a:solidFill>
                            <a:srgbClr val="000000"/>
                          </a:solidFill>
                          <a:prstDash val="lgDash"/>
                          <a:headEnd type="none" w="med" len="med"/>
                          <a:tailEnd type="none" w="med" len="med"/>
                        </a:ln>
                      </wps:spPr>
                      <wps:bodyPr/>
                    </wps:wsp>
                  </a:graphicData>
                </a:graphic>
              </wp:anchor>
            </w:drawing>
          </mc:Choice>
          <mc:Fallback>
            <w:pict>
              <v:shape id="自选图形 2" o:spid="_x0000_s1026" o:spt="32" type="#_x0000_t32" style="position:absolute;left:0pt;margin-left:-16.5pt;margin-top:10.5pt;height:0pt;width:477.75pt;z-index:251659264;mso-width-relative:page;mso-height-relative:page;" filled="f" stroked="t" coordsize="21600,21600" o:gfxdata="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QQwsg2AAAAAkBAAAPAAAAAAAAAAEAIAAAACIAAABkcnMvZG93bnJldi54bWxQSwEC&#10;FAAUAAAACACHTuJAkKO0Z/QBAADkAwAADgAAAAAAAAABACAAAAAnAQAAZHJzL2Uyb0RvYy54bWxQ&#10;SwUGAAAAAAYABgBZAQAAjQUAAAAA&#10;">
                <v:fill on="f" focussize="0,0"/>
                <v:stroke color="#000000" joinstyle="round" dashstyle="longDash"/>
                <v:imagedata o:title=""/>
                <o:lock v:ext="edit" aspectratio="f"/>
              </v:shape>
            </w:pict>
          </mc:Fallback>
        </mc:AlternateContent>
      </w:r>
    </w:p>
    <w:p>
      <w:pPr>
        <w:pStyle w:val="168"/>
        <w:spacing w:line="440" w:lineRule="exact"/>
        <w:rPr>
          <w:rFonts w:ascii="宋体" w:hAnsi="宋体" w:cs="宋体"/>
          <w:sz w:val="24"/>
          <w:szCs w:val="21"/>
        </w:rPr>
      </w:pPr>
      <w:r>
        <w:rPr>
          <w:rFonts w:hint="eastAsia" w:ascii="宋体" w:hAnsi="宋体" w:cs="宋体"/>
          <w:sz w:val="24"/>
          <w:szCs w:val="21"/>
        </w:rPr>
        <w:t>附：1、委托代理人工作单位：</w:t>
      </w:r>
      <w:r>
        <w:rPr>
          <w:rFonts w:hint="eastAsia" w:ascii="宋体" w:hAnsi="宋体" w:cs="宋体"/>
          <w:sz w:val="24"/>
          <w:szCs w:val="21"/>
        </w:rPr>
        <w:tab/>
      </w:r>
      <w:r>
        <w:rPr>
          <w:rFonts w:hint="eastAsia" w:ascii="宋体" w:hAnsi="宋体" w:cs="宋体"/>
          <w:sz w:val="24"/>
          <w:szCs w:val="21"/>
        </w:rPr>
        <w:tab/>
      </w:r>
      <w:r>
        <w:rPr>
          <w:rFonts w:hint="eastAsia" w:ascii="宋体" w:hAnsi="宋体" w:cs="宋体"/>
          <w:sz w:val="24"/>
          <w:szCs w:val="21"/>
        </w:rPr>
        <w:tab/>
      </w:r>
      <w:r>
        <w:rPr>
          <w:rFonts w:hint="eastAsia" w:ascii="宋体" w:hAnsi="宋体" w:cs="宋体"/>
          <w:sz w:val="24"/>
          <w:szCs w:val="21"/>
        </w:rPr>
        <w:tab/>
      </w:r>
      <w:r>
        <w:rPr>
          <w:rFonts w:hint="eastAsia" w:ascii="宋体" w:hAnsi="宋体" w:cs="宋体"/>
          <w:sz w:val="24"/>
          <w:szCs w:val="21"/>
        </w:rPr>
        <w:tab/>
      </w:r>
      <w:r>
        <w:rPr>
          <w:rFonts w:hint="eastAsia" w:ascii="宋体" w:hAnsi="宋体" w:cs="宋体"/>
          <w:sz w:val="24"/>
          <w:szCs w:val="21"/>
        </w:rPr>
        <w:t xml:space="preserve">职务： </w:t>
      </w:r>
    </w:p>
    <w:p>
      <w:pPr>
        <w:pStyle w:val="168"/>
        <w:spacing w:line="440" w:lineRule="exact"/>
        <w:ind w:firstLine="480"/>
        <w:rPr>
          <w:rFonts w:ascii="宋体" w:hAnsi="宋体" w:cs="宋体"/>
          <w:sz w:val="24"/>
          <w:szCs w:val="21"/>
        </w:rPr>
      </w:pPr>
      <w:r>
        <w:rPr>
          <w:rFonts w:hint="eastAsia" w:ascii="宋体" w:hAnsi="宋体" w:cs="宋体"/>
          <w:sz w:val="24"/>
          <w:szCs w:val="21"/>
        </w:rPr>
        <w:t xml:space="preserve">   身份证号码：　　　　　　　　　　</w:t>
      </w:r>
      <w:r>
        <w:rPr>
          <w:rFonts w:hint="eastAsia" w:ascii="宋体" w:hAnsi="宋体" w:cs="宋体"/>
          <w:sz w:val="24"/>
          <w:szCs w:val="21"/>
        </w:rPr>
        <w:tab/>
      </w:r>
      <w:r>
        <w:rPr>
          <w:rFonts w:hint="eastAsia" w:ascii="宋体" w:hAnsi="宋体" w:cs="宋体"/>
          <w:sz w:val="24"/>
          <w:szCs w:val="21"/>
        </w:rPr>
        <w:t xml:space="preserve">性别： </w:t>
      </w:r>
    </w:p>
    <w:p>
      <w:pPr>
        <w:pStyle w:val="168"/>
        <w:spacing w:line="440" w:lineRule="exact"/>
        <w:ind w:firstLine="480"/>
        <w:rPr>
          <w:rFonts w:ascii="宋体" w:hAnsi="宋体" w:cs="宋体"/>
          <w:spacing w:val="20"/>
          <w:sz w:val="24"/>
          <w:u w:val="single"/>
        </w:rPr>
      </w:pPr>
      <w:r>
        <w:rPr>
          <w:rFonts w:hint="eastAsia" w:ascii="宋体" w:hAnsi="宋体" w:cs="宋体"/>
          <w:sz w:val="24"/>
          <w:szCs w:val="21"/>
        </w:rPr>
        <w:t>2、</w:t>
      </w:r>
      <w:r>
        <w:rPr>
          <w:rFonts w:hint="eastAsia" w:ascii="宋体" w:hAnsi="宋体" w:cs="宋体"/>
          <w:bCs/>
          <w:sz w:val="24"/>
        </w:rPr>
        <w:t>委托代理人身份证正、反面电子文档：</w:t>
      </w:r>
    </w:p>
    <w:tbl>
      <w:tblPr>
        <w:tblStyle w:val="48"/>
        <w:tblW w:w="0" w:type="auto"/>
        <w:tblInd w:w="0" w:type="dxa"/>
        <w:tblLayout w:type="autofit"/>
        <w:tblCellMar>
          <w:top w:w="0" w:type="dxa"/>
          <w:left w:w="108" w:type="dxa"/>
          <w:bottom w:w="0" w:type="dxa"/>
          <w:right w:w="108" w:type="dxa"/>
        </w:tblCellMar>
      </w:tblPr>
      <w:tblGrid>
        <w:gridCol w:w="4621"/>
        <w:gridCol w:w="4621"/>
      </w:tblGrid>
      <w:tr>
        <w:tblPrEx>
          <w:tblCellMar>
            <w:top w:w="0" w:type="dxa"/>
            <w:left w:w="108" w:type="dxa"/>
            <w:bottom w:w="0" w:type="dxa"/>
            <w:right w:w="108" w:type="dxa"/>
          </w:tblCellMar>
        </w:tblPrEx>
        <w:trPr>
          <w:trHeight w:val="2733" w:hRule="atLeast"/>
        </w:trPr>
        <w:tc>
          <w:tcPr>
            <w:tcW w:w="4621" w:type="dxa"/>
          </w:tcPr>
          <w:p>
            <w:pPr>
              <w:pStyle w:val="168"/>
              <w:spacing w:line="440" w:lineRule="exact"/>
              <w:rPr>
                <w:rFonts w:ascii="宋体" w:hAnsi="宋体" w:cs="宋体"/>
                <w:spacing w:val="20"/>
                <w:sz w:val="24"/>
              </w:rPr>
            </w:pPr>
            <w:r>
              <w:rPr>
                <w:rFonts w:hint="eastAsia" w:ascii="宋体" w:hAnsi="宋体" w:cs="宋体"/>
                <w:spacing w:val="20"/>
                <w:sz w:val="24"/>
              </w:rPr>
              <w:t>正面：</w:t>
            </w:r>
          </w:p>
          <w:p>
            <w:pPr>
              <w:pStyle w:val="168"/>
              <w:spacing w:line="440" w:lineRule="exact"/>
              <w:rPr>
                <w:rFonts w:ascii="宋体" w:hAnsi="宋体" w:cs="宋体"/>
                <w:spacing w:val="20"/>
                <w:sz w:val="24"/>
              </w:rPr>
            </w:pPr>
          </w:p>
        </w:tc>
        <w:tc>
          <w:tcPr>
            <w:tcW w:w="4621" w:type="dxa"/>
          </w:tcPr>
          <w:p>
            <w:pPr>
              <w:pStyle w:val="168"/>
              <w:spacing w:line="440" w:lineRule="exact"/>
              <w:rPr>
                <w:rFonts w:ascii="宋体" w:hAnsi="宋体" w:cs="宋体"/>
                <w:spacing w:val="20"/>
                <w:sz w:val="24"/>
              </w:rPr>
            </w:pPr>
            <w:r>
              <w:rPr>
                <w:rFonts w:hint="eastAsia" w:ascii="宋体" w:hAnsi="宋体" w:cs="宋体"/>
                <w:spacing w:val="20"/>
                <w:sz w:val="24"/>
              </w:rPr>
              <w:t>反面：</w:t>
            </w:r>
          </w:p>
          <w:p>
            <w:pPr>
              <w:pStyle w:val="168"/>
              <w:spacing w:line="440" w:lineRule="exact"/>
              <w:rPr>
                <w:rFonts w:ascii="宋体" w:hAnsi="宋体" w:cs="宋体"/>
                <w:spacing w:val="20"/>
                <w:sz w:val="24"/>
                <w:u w:val="single"/>
              </w:rPr>
            </w:pPr>
          </w:p>
        </w:tc>
      </w:tr>
    </w:tbl>
    <w:p>
      <w:pPr>
        <w:pStyle w:val="168"/>
        <w:ind w:left="587" w:leftChars="50" w:hanging="482" w:hangingChars="200"/>
        <w:rPr>
          <w:rFonts w:ascii="宋体" w:hAnsi="宋体" w:cs="宋体"/>
          <w:sz w:val="24"/>
          <w:szCs w:val="21"/>
        </w:rPr>
      </w:pPr>
      <w:r>
        <w:rPr>
          <w:rFonts w:hint="eastAsia" w:ascii="宋体" w:hAnsi="宋体" w:cs="宋体"/>
          <w:b/>
          <w:sz w:val="24"/>
          <w:szCs w:val="21"/>
        </w:rPr>
        <w:t>注：</w:t>
      </w:r>
      <w:r>
        <w:rPr>
          <w:rFonts w:hint="eastAsia" w:ascii="宋体" w:hAnsi="宋体" w:cs="宋体"/>
          <w:sz w:val="24"/>
          <w:szCs w:val="21"/>
        </w:rPr>
        <w:t>1. 供应商为法人企业的，其负责人为其法定代表人；供应商为其他组织的，其负责人为法律、行政法规规定代表单位行使职权的主要负责人；供应商为自然人的，其负责人为自然人本人。</w:t>
      </w:r>
    </w:p>
    <w:p>
      <w:pPr>
        <w:pStyle w:val="168"/>
        <w:ind w:left="585" w:leftChars="50" w:hanging="480" w:hangingChars="200"/>
        <w:rPr>
          <w:rFonts w:ascii="宋体" w:hAnsi="宋体" w:cs="宋体"/>
        </w:rPr>
      </w:pPr>
      <w:r>
        <w:rPr>
          <w:rFonts w:hint="eastAsia" w:ascii="宋体" w:hAnsi="宋体" w:cs="宋体"/>
          <w:sz w:val="24"/>
          <w:szCs w:val="21"/>
        </w:rPr>
        <w:t xml:space="preserve">    2. 若是负责人参会的，不需要提供此授权委托书。</w:t>
      </w:r>
    </w:p>
    <w:p>
      <w:pPr>
        <w:rPr>
          <w:rFonts w:ascii="宋体" w:hAnsi="宋体" w:cs="宋体"/>
        </w:rPr>
        <w:sectPr>
          <w:pgSz w:w="11905" w:h="16838"/>
          <w:pgMar w:top="1440" w:right="1083" w:bottom="1440" w:left="1083" w:header="850" w:footer="850" w:gutter="0"/>
          <w:cols w:space="720" w:num="1"/>
          <w:titlePg/>
          <w:docGrid w:linePitch="312" w:charSpace="0"/>
        </w:sectPr>
      </w:pPr>
    </w:p>
    <w:p>
      <w:pPr>
        <w:pStyle w:val="14"/>
        <w:spacing w:line="360" w:lineRule="auto"/>
        <w:ind w:firstLine="0"/>
        <w:jc w:val="left"/>
        <w:rPr>
          <w:rFonts w:ascii="宋体" w:hAnsi="宋体" w:cs="宋体"/>
          <w:spacing w:val="6"/>
          <w:sz w:val="24"/>
          <w:szCs w:val="24"/>
        </w:rPr>
      </w:pPr>
      <w:bookmarkStart w:id="245" w:name="_Toc493956056"/>
      <w:bookmarkStart w:id="246" w:name="_Toc530551882"/>
      <w:bookmarkStart w:id="247" w:name="_Toc531359049"/>
    </w:p>
    <w:bookmarkEnd w:id="245"/>
    <w:bookmarkEnd w:id="246"/>
    <w:bookmarkEnd w:id="247"/>
    <w:p>
      <w:pPr>
        <w:pStyle w:val="4"/>
        <w:spacing w:before="240" w:after="240"/>
        <w:ind w:firstLine="0" w:firstLineChars="0"/>
        <w:rPr>
          <w:rFonts w:ascii="宋体" w:hAnsi="宋体" w:eastAsia="宋体" w:cs="宋体"/>
          <w:bCs w:val="0"/>
          <w:sz w:val="32"/>
        </w:rPr>
      </w:pPr>
      <w:bookmarkStart w:id="248" w:name="_Toc34895594"/>
      <w:bookmarkStart w:id="249" w:name="_Toc493956058"/>
      <w:bookmarkStart w:id="250" w:name="_Toc34895598"/>
      <w:bookmarkStart w:id="251" w:name="_Toc531359054"/>
      <w:bookmarkStart w:id="252" w:name="_Toc530551883"/>
      <w:r>
        <w:rPr>
          <w:rFonts w:hint="eastAsia" w:ascii="宋体" w:hAnsi="宋体" w:eastAsia="宋体" w:cs="宋体"/>
          <w:sz w:val="24"/>
          <w:szCs w:val="24"/>
        </w:rPr>
        <w:t>1.6 、 具有良好的财务会计制度、依法缴纳税收和社会保障资金的承诺函格式</w:t>
      </w:r>
    </w:p>
    <w:p>
      <w:pPr>
        <w:pStyle w:val="258"/>
        <w:spacing w:line="360" w:lineRule="auto"/>
        <w:ind w:firstLine="482" w:firstLineChars="200"/>
        <w:rPr>
          <w:rFonts w:ascii="宋体" w:hAnsi="宋体" w:cs="宋体"/>
          <w:b/>
          <w:bCs/>
          <w:sz w:val="24"/>
        </w:rPr>
      </w:pPr>
    </w:p>
    <w:p>
      <w:pPr>
        <w:pStyle w:val="14"/>
        <w:ind w:left="630" w:leftChars="300" w:right="630" w:rightChars="300" w:firstLine="0"/>
        <w:jc w:val="center"/>
        <w:rPr>
          <w:rFonts w:ascii="宋体" w:hAnsi="宋体" w:cs="宋体"/>
          <w:sz w:val="24"/>
          <w:szCs w:val="24"/>
        </w:rPr>
      </w:pPr>
      <w:bookmarkStart w:id="253" w:name="_Toc26420"/>
      <w:bookmarkStart w:id="254" w:name="_Toc19788"/>
      <w:r>
        <w:rPr>
          <w:rFonts w:hint="eastAsia" w:ascii="宋体" w:hAnsi="宋体" w:cs="宋体"/>
          <w:caps/>
          <w:spacing w:val="20"/>
          <w:kern w:val="0"/>
          <w:sz w:val="24"/>
          <w:szCs w:val="22"/>
        </w:rPr>
        <w:t>具有</w:t>
      </w:r>
      <w:r>
        <w:rPr>
          <w:rFonts w:hint="eastAsia" w:ascii="宋体" w:hAnsi="宋体" w:cs="宋体"/>
          <w:bCs/>
          <w:caps/>
          <w:spacing w:val="20"/>
          <w:kern w:val="0"/>
          <w:sz w:val="24"/>
          <w:szCs w:val="22"/>
        </w:rPr>
        <w:t>良好的财务会计制度、依法缴纳税收和社会保障资金的承诺函</w:t>
      </w:r>
    </w:p>
    <w:p>
      <w:pPr>
        <w:pStyle w:val="14"/>
        <w:ind w:firstLine="0"/>
        <w:jc w:val="left"/>
        <w:rPr>
          <w:rFonts w:ascii="宋体" w:hAnsi="宋体" w:cs="宋体"/>
        </w:rPr>
      </w:pPr>
    </w:p>
    <w:p>
      <w:pPr>
        <w:pStyle w:val="117"/>
        <w:spacing w:line="360" w:lineRule="auto"/>
        <w:rPr>
          <w:rFonts w:ascii="宋体" w:hAnsi="宋体" w:cs="宋体"/>
          <w:spacing w:val="6"/>
          <w:sz w:val="22"/>
          <w:szCs w:val="22"/>
        </w:rPr>
      </w:pPr>
      <w:r>
        <w:rPr>
          <w:rFonts w:hint="eastAsia" w:ascii="宋体" w:hAnsi="宋体" w:cs="宋体"/>
          <w:caps/>
          <w:spacing w:val="20"/>
          <w:kern w:val="0"/>
          <w:sz w:val="24"/>
          <w:szCs w:val="20"/>
          <w:u w:val="single"/>
        </w:rPr>
        <w:t>缙云县城投市政建设有限公司</w:t>
      </w:r>
      <w:r>
        <w:rPr>
          <w:rFonts w:hint="eastAsia" w:ascii="宋体" w:hAnsi="宋体" w:cs="宋体"/>
          <w:spacing w:val="6"/>
          <w:sz w:val="22"/>
          <w:szCs w:val="22"/>
        </w:rPr>
        <w:t>：</w:t>
      </w:r>
    </w:p>
    <w:p>
      <w:pPr>
        <w:pStyle w:val="14"/>
        <w:spacing w:line="360" w:lineRule="auto"/>
        <w:ind w:firstLine="560" w:firstLineChars="200"/>
        <w:jc w:val="left"/>
        <w:rPr>
          <w:rFonts w:ascii="宋体" w:hAnsi="宋体" w:cs="宋体"/>
          <w:caps/>
          <w:spacing w:val="20"/>
          <w:kern w:val="0"/>
          <w:sz w:val="24"/>
        </w:rPr>
      </w:pPr>
      <w:r>
        <w:rPr>
          <w:rFonts w:hint="eastAsia" w:ascii="宋体" w:hAnsi="宋体" w:cs="宋体"/>
          <w:caps/>
          <w:spacing w:val="20"/>
          <w:kern w:val="0"/>
          <w:sz w:val="24"/>
        </w:rPr>
        <w:t>我方参与的</w:t>
      </w:r>
      <w:r>
        <w:rPr>
          <w:rFonts w:hint="eastAsia" w:ascii="宋体" w:hAnsi="宋体" w:cs="宋体"/>
          <w:caps/>
          <w:spacing w:val="20"/>
          <w:kern w:val="0"/>
          <w:sz w:val="24"/>
          <w:u w:val="single"/>
        </w:rPr>
        <w:t xml:space="preserve">     （项目名称）（项目编号）    </w:t>
      </w:r>
      <w:r>
        <w:rPr>
          <w:rFonts w:hint="eastAsia" w:ascii="宋体" w:hAnsi="宋体" w:cs="宋体"/>
          <w:caps/>
          <w:spacing w:val="20"/>
          <w:kern w:val="0"/>
          <w:sz w:val="24"/>
        </w:rPr>
        <w:t>的采购活动，我方郑重承诺，我方具有良好的财务会计制度、依法缴纳税收和社会保障资金，不偷逃税款和逃避缴纳社会保障资金。如有虚假，采购人可取消我方任何资格（投标/成交/签订合同），我方对此无任何异议。</w:t>
      </w:r>
    </w:p>
    <w:p>
      <w:pPr>
        <w:pStyle w:val="117"/>
        <w:spacing w:line="360" w:lineRule="auto"/>
        <w:ind w:firstLine="560" w:firstLineChars="200"/>
        <w:rPr>
          <w:rFonts w:ascii="宋体" w:hAnsi="宋体" w:cs="宋体"/>
          <w:caps/>
          <w:spacing w:val="20"/>
          <w:kern w:val="0"/>
          <w:sz w:val="24"/>
          <w:szCs w:val="20"/>
        </w:rPr>
      </w:pPr>
    </w:p>
    <w:p>
      <w:pPr>
        <w:pStyle w:val="117"/>
        <w:spacing w:line="360" w:lineRule="auto"/>
        <w:ind w:firstLine="560" w:firstLineChars="200"/>
        <w:rPr>
          <w:rFonts w:ascii="宋体" w:hAnsi="宋体" w:cs="宋体"/>
          <w:caps/>
          <w:spacing w:val="20"/>
          <w:kern w:val="0"/>
          <w:sz w:val="24"/>
          <w:szCs w:val="20"/>
        </w:rPr>
      </w:pPr>
      <w:r>
        <w:rPr>
          <w:rFonts w:hint="eastAsia" w:ascii="宋体" w:hAnsi="宋体" w:cs="宋体"/>
          <w:caps/>
          <w:spacing w:val="20"/>
          <w:kern w:val="0"/>
          <w:sz w:val="24"/>
          <w:szCs w:val="20"/>
        </w:rPr>
        <w:t>特此承诺！</w:t>
      </w:r>
    </w:p>
    <w:p>
      <w:pPr>
        <w:pStyle w:val="117"/>
        <w:spacing w:line="360" w:lineRule="auto"/>
        <w:ind w:firstLine="464" w:firstLineChars="200"/>
        <w:rPr>
          <w:rFonts w:ascii="宋体" w:hAnsi="宋体" w:cs="宋体"/>
          <w:spacing w:val="6"/>
          <w:sz w:val="22"/>
          <w:szCs w:val="22"/>
        </w:rPr>
      </w:pPr>
    </w:p>
    <w:p>
      <w:pPr>
        <w:pStyle w:val="117"/>
        <w:spacing w:before="120" w:beforeLines="50" w:line="480" w:lineRule="auto"/>
        <w:ind w:firstLine="6160" w:firstLineChars="2200"/>
        <w:rPr>
          <w:rFonts w:ascii="宋体" w:hAnsi="宋体" w:cs="宋体"/>
          <w:caps/>
          <w:spacing w:val="20"/>
          <w:kern w:val="0"/>
          <w:sz w:val="24"/>
          <w:szCs w:val="20"/>
        </w:rPr>
      </w:pPr>
      <w:r>
        <w:rPr>
          <w:rFonts w:hint="eastAsia" w:ascii="宋体" w:hAnsi="宋体" w:cs="宋体"/>
          <w:caps/>
          <w:spacing w:val="20"/>
          <w:kern w:val="0"/>
          <w:sz w:val="24"/>
          <w:szCs w:val="20"/>
        </w:rPr>
        <w:t xml:space="preserve">供应商(电子签章)：     </w:t>
      </w:r>
    </w:p>
    <w:p>
      <w:pPr>
        <w:pStyle w:val="4"/>
        <w:spacing w:before="0" w:after="0"/>
        <w:ind w:firstLine="560"/>
        <w:jc w:val="right"/>
        <w:rPr>
          <w:rFonts w:ascii="宋体" w:hAnsi="宋体" w:eastAsia="宋体" w:cs="宋体"/>
          <w:b w:val="0"/>
          <w:bCs w:val="0"/>
          <w:caps/>
          <w:spacing w:val="20"/>
          <w:kern w:val="0"/>
          <w:sz w:val="24"/>
        </w:rPr>
      </w:pPr>
      <w:r>
        <w:rPr>
          <w:rFonts w:hint="eastAsia" w:ascii="宋体" w:hAnsi="宋体" w:eastAsia="宋体" w:cs="宋体"/>
          <w:b w:val="0"/>
          <w:bCs w:val="0"/>
          <w:caps/>
          <w:spacing w:val="20"/>
          <w:kern w:val="0"/>
          <w:sz w:val="24"/>
        </w:rPr>
        <w:t xml:space="preserve">    年  月  日</w:t>
      </w:r>
    </w:p>
    <w:p>
      <w:pPr>
        <w:pStyle w:val="14"/>
        <w:spacing w:line="360" w:lineRule="auto"/>
        <w:ind w:firstLine="0"/>
        <w:rPr>
          <w:rFonts w:ascii="宋体" w:hAnsi="宋体" w:cs="宋体"/>
          <w:caps/>
          <w:spacing w:val="20"/>
          <w:kern w:val="0"/>
          <w:sz w:val="24"/>
          <w:szCs w:val="22"/>
        </w:rPr>
      </w:pPr>
      <w:r>
        <w:rPr>
          <w:rFonts w:hint="eastAsia" w:ascii="宋体" w:hAnsi="宋体" w:cs="宋体"/>
          <w:caps/>
          <w:spacing w:val="20"/>
          <w:kern w:val="0"/>
          <w:sz w:val="24"/>
        </w:rPr>
        <w:br w:type="page"/>
      </w:r>
      <w:r>
        <w:rPr>
          <w:rFonts w:hint="eastAsia" w:ascii="宋体" w:hAnsi="宋体" w:cs="宋体"/>
          <w:b/>
          <w:bCs/>
          <w:sz w:val="24"/>
          <w:szCs w:val="24"/>
        </w:rPr>
        <w:t>1.7、具有履行合同所必需设备和专业技术能力的承诺函格式</w:t>
      </w:r>
    </w:p>
    <w:p>
      <w:pPr>
        <w:pStyle w:val="14"/>
        <w:spacing w:line="360" w:lineRule="auto"/>
        <w:ind w:firstLine="0"/>
        <w:jc w:val="center"/>
        <w:rPr>
          <w:rFonts w:ascii="宋体" w:hAnsi="宋体" w:cs="宋体"/>
          <w:caps/>
          <w:spacing w:val="20"/>
          <w:kern w:val="0"/>
          <w:sz w:val="24"/>
          <w:szCs w:val="22"/>
        </w:rPr>
      </w:pPr>
    </w:p>
    <w:p>
      <w:pPr>
        <w:pStyle w:val="14"/>
        <w:spacing w:line="360" w:lineRule="auto"/>
        <w:ind w:firstLine="0"/>
        <w:jc w:val="center"/>
        <w:rPr>
          <w:rFonts w:ascii="宋体" w:hAnsi="宋体" w:cs="宋体"/>
          <w:b/>
          <w:sz w:val="28"/>
          <w:szCs w:val="28"/>
        </w:rPr>
      </w:pPr>
      <w:r>
        <w:rPr>
          <w:rFonts w:hint="eastAsia" w:ascii="宋体" w:hAnsi="宋体" w:cs="宋体"/>
          <w:caps/>
          <w:spacing w:val="20"/>
          <w:kern w:val="0"/>
          <w:sz w:val="24"/>
          <w:szCs w:val="22"/>
        </w:rPr>
        <w:t>具有履行合同所必需设备和专业技术能力的承诺函</w:t>
      </w:r>
    </w:p>
    <w:p>
      <w:pPr>
        <w:pStyle w:val="117"/>
        <w:spacing w:line="360" w:lineRule="auto"/>
        <w:rPr>
          <w:rFonts w:ascii="宋体" w:hAnsi="宋体" w:cs="宋体"/>
          <w:spacing w:val="6"/>
          <w:sz w:val="22"/>
          <w:szCs w:val="22"/>
        </w:rPr>
      </w:pPr>
      <w:r>
        <w:rPr>
          <w:rFonts w:hint="eastAsia" w:ascii="宋体" w:hAnsi="宋体" w:cs="宋体"/>
          <w:caps/>
          <w:spacing w:val="20"/>
          <w:kern w:val="0"/>
          <w:sz w:val="24"/>
          <w:szCs w:val="20"/>
          <w:u w:val="single"/>
        </w:rPr>
        <w:t>缙云县城投市政建设有限公司</w:t>
      </w:r>
      <w:r>
        <w:rPr>
          <w:rFonts w:hint="eastAsia" w:ascii="宋体" w:hAnsi="宋体" w:cs="宋体"/>
          <w:spacing w:val="6"/>
          <w:sz w:val="22"/>
          <w:szCs w:val="22"/>
        </w:rPr>
        <w:t>：</w:t>
      </w:r>
    </w:p>
    <w:p>
      <w:pPr>
        <w:pStyle w:val="117"/>
        <w:spacing w:line="360" w:lineRule="auto"/>
        <w:ind w:firstLine="560" w:firstLineChars="200"/>
        <w:rPr>
          <w:rFonts w:ascii="宋体" w:hAnsi="宋体" w:cs="宋体"/>
          <w:caps/>
          <w:spacing w:val="20"/>
          <w:kern w:val="0"/>
          <w:sz w:val="24"/>
          <w:szCs w:val="20"/>
        </w:rPr>
      </w:pPr>
      <w:r>
        <w:rPr>
          <w:rFonts w:hint="eastAsia" w:ascii="宋体" w:hAnsi="宋体" w:cs="宋体"/>
          <w:caps/>
          <w:spacing w:val="20"/>
          <w:kern w:val="0"/>
          <w:sz w:val="24"/>
          <w:szCs w:val="20"/>
        </w:rPr>
        <w:t>我方参与的</w:t>
      </w:r>
      <w:r>
        <w:rPr>
          <w:rFonts w:hint="eastAsia" w:ascii="宋体" w:hAnsi="宋体" w:cs="宋体"/>
          <w:caps/>
          <w:spacing w:val="20"/>
          <w:kern w:val="0"/>
          <w:sz w:val="24"/>
          <w:szCs w:val="20"/>
          <w:u w:val="single"/>
        </w:rPr>
        <w:t xml:space="preserve">     （项目名称）（项目编号）    </w:t>
      </w:r>
      <w:r>
        <w:rPr>
          <w:rFonts w:hint="eastAsia" w:ascii="宋体" w:hAnsi="宋体" w:cs="宋体"/>
          <w:caps/>
          <w:spacing w:val="20"/>
          <w:kern w:val="0"/>
          <w:sz w:val="24"/>
          <w:szCs w:val="20"/>
        </w:rPr>
        <w:t>的采购活动，我方郑重承诺，我方承诺具有履行合同所必需设备和专业技术能力。如有虚假，采购人可取消我方任何资格（投标/中标/签订合同），我方对此无任何异议。</w:t>
      </w:r>
    </w:p>
    <w:p>
      <w:pPr>
        <w:pStyle w:val="117"/>
        <w:spacing w:line="360" w:lineRule="auto"/>
        <w:ind w:firstLine="560" w:firstLineChars="200"/>
        <w:rPr>
          <w:rFonts w:ascii="宋体" w:hAnsi="宋体" w:cs="宋体"/>
          <w:caps/>
          <w:spacing w:val="20"/>
          <w:kern w:val="0"/>
          <w:sz w:val="24"/>
          <w:szCs w:val="20"/>
        </w:rPr>
      </w:pPr>
    </w:p>
    <w:p>
      <w:pPr>
        <w:pStyle w:val="117"/>
        <w:spacing w:line="360" w:lineRule="auto"/>
        <w:ind w:firstLine="560" w:firstLineChars="200"/>
        <w:rPr>
          <w:rFonts w:ascii="宋体" w:hAnsi="宋体" w:cs="宋体"/>
          <w:spacing w:val="6"/>
          <w:sz w:val="22"/>
          <w:szCs w:val="22"/>
        </w:rPr>
      </w:pPr>
      <w:r>
        <w:rPr>
          <w:rFonts w:hint="eastAsia" w:ascii="宋体" w:hAnsi="宋体" w:cs="宋体"/>
          <w:caps/>
          <w:spacing w:val="20"/>
          <w:kern w:val="0"/>
          <w:sz w:val="24"/>
          <w:szCs w:val="20"/>
        </w:rPr>
        <w:t>特此承诺！</w:t>
      </w:r>
    </w:p>
    <w:p>
      <w:pPr>
        <w:pStyle w:val="117"/>
        <w:spacing w:before="120" w:beforeLines="50" w:line="480" w:lineRule="auto"/>
        <w:ind w:firstLine="6160" w:firstLineChars="2200"/>
        <w:rPr>
          <w:rFonts w:ascii="宋体" w:hAnsi="宋体" w:cs="宋体"/>
          <w:caps/>
          <w:spacing w:val="20"/>
          <w:kern w:val="0"/>
          <w:sz w:val="24"/>
          <w:szCs w:val="20"/>
        </w:rPr>
      </w:pPr>
      <w:r>
        <w:rPr>
          <w:rFonts w:hint="eastAsia" w:ascii="宋体" w:hAnsi="宋体" w:cs="宋体"/>
          <w:caps/>
          <w:spacing w:val="20"/>
          <w:kern w:val="0"/>
          <w:sz w:val="24"/>
          <w:szCs w:val="20"/>
        </w:rPr>
        <w:t xml:space="preserve">供应商(电子签章)：     </w:t>
      </w:r>
    </w:p>
    <w:p>
      <w:pPr>
        <w:pStyle w:val="4"/>
        <w:spacing w:before="0" w:after="0"/>
        <w:ind w:firstLine="0" w:firstLineChars="0"/>
        <w:jc w:val="right"/>
        <w:rPr>
          <w:rFonts w:ascii="宋体" w:hAnsi="宋体" w:eastAsia="宋体" w:cs="宋体"/>
          <w:b w:val="0"/>
          <w:caps/>
          <w:spacing w:val="20"/>
          <w:kern w:val="0"/>
          <w:sz w:val="24"/>
        </w:rPr>
      </w:pPr>
      <w:r>
        <w:rPr>
          <w:rFonts w:hint="eastAsia" w:ascii="宋体" w:hAnsi="宋体" w:eastAsia="宋体" w:cs="宋体"/>
          <w:b w:val="0"/>
          <w:bCs w:val="0"/>
          <w:caps/>
          <w:spacing w:val="20"/>
          <w:kern w:val="0"/>
          <w:sz w:val="24"/>
        </w:rPr>
        <w:t xml:space="preserve">    年  月  日</w:t>
      </w:r>
      <w:bookmarkEnd w:id="253"/>
      <w:bookmarkEnd w:id="254"/>
    </w:p>
    <w:p>
      <w:pPr>
        <w:pStyle w:val="4"/>
        <w:spacing w:before="0" w:after="0"/>
        <w:ind w:firstLine="0" w:firstLineChars="0"/>
        <w:jc w:val="left"/>
        <w:rPr>
          <w:rFonts w:ascii="宋体" w:hAnsi="宋体" w:eastAsia="宋体" w:cs="宋体"/>
          <w:sz w:val="24"/>
          <w:szCs w:val="24"/>
        </w:rPr>
      </w:pPr>
      <w:r>
        <w:rPr>
          <w:rFonts w:hint="eastAsia" w:ascii="宋体" w:hAnsi="宋体" w:eastAsia="宋体" w:cs="宋体"/>
          <w:b w:val="0"/>
          <w:caps/>
          <w:spacing w:val="20"/>
          <w:kern w:val="0"/>
          <w:sz w:val="24"/>
        </w:rPr>
        <w:br w:type="page"/>
      </w:r>
      <w:r>
        <w:rPr>
          <w:rFonts w:hint="eastAsia" w:ascii="宋体" w:hAnsi="宋体" w:eastAsia="宋体" w:cs="宋体"/>
          <w:sz w:val="24"/>
          <w:szCs w:val="24"/>
        </w:rPr>
        <w:t>1.8、无重大违法记录声明书格式</w:t>
      </w:r>
      <w:bookmarkEnd w:id="248"/>
    </w:p>
    <w:p>
      <w:pPr>
        <w:pStyle w:val="14"/>
        <w:ind w:firstLine="0"/>
        <w:rPr>
          <w:rFonts w:ascii="宋体" w:hAnsi="宋体" w:cs="宋体"/>
        </w:rPr>
      </w:pPr>
    </w:p>
    <w:p>
      <w:pPr>
        <w:pStyle w:val="14"/>
        <w:spacing w:line="360" w:lineRule="auto"/>
        <w:ind w:firstLine="0"/>
        <w:jc w:val="center"/>
        <w:rPr>
          <w:rFonts w:ascii="宋体" w:hAnsi="宋体" w:cs="宋体"/>
          <w:b/>
          <w:sz w:val="32"/>
          <w:szCs w:val="32"/>
        </w:rPr>
      </w:pPr>
      <w:r>
        <w:rPr>
          <w:rFonts w:hint="eastAsia" w:ascii="宋体" w:hAnsi="宋体" w:cs="宋体"/>
          <w:b/>
          <w:sz w:val="32"/>
          <w:szCs w:val="32"/>
        </w:rPr>
        <w:t>无重大违法记录声明书</w:t>
      </w:r>
    </w:p>
    <w:p>
      <w:pPr>
        <w:pStyle w:val="117"/>
        <w:spacing w:line="360" w:lineRule="auto"/>
        <w:rPr>
          <w:rFonts w:ascii="宋体" w:hAnsi="宋体" w:cs="宋体"/>
          <w:spacing w:val="6"/>
          <w:sz w:val="22"/>
          <w:szCs w:val="22"/>
        </w:rPr>
      </w:pPr>
      <w:r>
        <w:rPr>
          <w:rFonts w:hint="eastAsia" w:ascii="宋体" w:hAnsi="宋体" w:cs="宋体"/>
          <w:caps/>
          <w:spacing w:val="20"/>
          <w:kern w:val="0"/>
          <w:sz w:val="24"/>
          <w:szCs w:val="20"/>
          <w:u w:val="single"/>
        </w:rPr>
        <w:t>缙云县城投市政建设有限公司</w:t>
      </w:r>
      <w:r>
        <w:rPr>
          <w:rFonts w:hint="eastAsia" w:ascii="宋体" w:hAnsi="宋体" w:cs="宋体"/>
          <w:spacing w:val="6"/>
          <w:sz w:val="22"/>
          <w:szCs w:val="22"/>
        </w:rPr>
        <w:t>：</w:t>
      </w:r>
    </w:p>
    <w:p>
      <w:pPr>
        <w:pStyle w:val="117"/>
        <w:spacing w:line="360" w:lineRule="auto"/>
        <w:ind w:firstLine="504" w:firstLineChars="200"/>
        <w:rPr>
          <w:rFonts w:ascii="宋体" w:hAnsi="宋体" w:cs="宋体"/>
          <w:spacing w:val="6"/>
          <w:sz w:val="24"/>
        </w:rPr>
      </w:pPr>
      <w:r>
        <w:rPr>
          <w:rFonts w:hint="eastAsia" w:ascii="宋体" w:hAnsi="宋体" w:cs="宋体"/>
          <w:spacing w:val="6"/>
          <w:sz w:val="24"/>
        </w:rPr>
        <w:t xml:space="preserve"> 我方参与的</w:t>
      </w:r>
      <w:r>
        <w:rPr>
          <w:rFonts w:hint="eastAsia" w:ascii="宋体" w:hAnsi="宋体" w:cs="宋体"/>
          <w:spacing w:val="6"/>
          <w:sz w:val="24"/>
          <w:u w:val="single"/>
        </w:rPr>
        <w:t xml:space="preserve">     （项目名称）（项目编号）（标项）    </w:t>
      </w:r>
      <w:r>
        <w:rPr>
          <w:rFonts w:hint="eastAsia" w:ascii="宋体" w:hAnsi="宋体" w:cs="宋体"/>
          <w:spacing w:val="6"/>
          <w:sz w:val="24"/>
        </w:rPr>
        <w:t>的投标活动，我方郑重声明，我方参加本项目投标活动前三年内无重大违法记录（重大违法记录是指供应商因违法经营受到刑事处罚或者责令停产停业、吊销许可证或者执照、较大数额罚款等行政处罚），符合《中华人民共和国政府采购法》、《中华人民共和国政府采购法实施条例》的规定。我方对此声明负全部法律责任。</w:t>
      </w:r>
    </w:p>
    <w:p>
      <w:pPr>
        <w:pStyle w:val="117"/>
        <w:spacing w:line="360" w:lineRule="auto"/>
        <w:ind w:firstLine="504" w:firstLineChars="200"/>
        <w:rPr>
          <w:rFonts w:ascii="宋体" w:hAnsi="宋体" w:cs="宋体"/>
          <w:spacing w:val="6"/>
          <w:sz w:val="24"/>
        </w:rPr>
      </w:pPr>
      <w:r>
        <w:rPr>
          <w:rFonts w:hint="eastAsia" w:ascii="宋体" w:hAnsi="宋体" w:cs="宋体"/>
          <w:spacing w:val="6"/>
          <w:sz w:val="24"/>
        </w:rPr>
        <w:tab/>
      </w:r>
      <w:r>
        <w:rPr>
          <w:rFonts w:hint="eastAsia" w:ascii="宋体" w:hAnsi="宋体" w:cs="宋体"/>
          <w:spacing w:val="6"/>
          <w:sz w:val="24"/>
        </w:rPr>
        <w:t>特此声明。</w:t>
      </w:r>
      <w:bookmarkStart w:id="255" w:name="_Toc500333505"/>
      <w:bookmarkStart w:id="256" w:name="_Toc531359051"/>
      <w:bookmarkStart w:id="257" w:name="_Toc523398458"/>
    </w:p>
    <w:p>
      <w:pPr>
        <w:pStyle w:val="117"/>
        <w:spacing w:line="360" w:lineRule="auto"/>
        <w:rPr>
          <w:rFonts w:ascii="宋体" w:hAnsi="宋体" w:cs="宋体"/>
          <w:spacing w:val="6"/>
          <w:sz w:val="24"/>
        </w:rPr>
      </w:pPr>
    </w:p>
    <w:p>
      <w:pPr>
        <w:pStyle w:val="117"/>
        <w:spacing w:line="360" w:lineRule="auto"/>
        <w:ind w:right="140"/>
        <w:jc w:val="left"/>
        <w:rPr>
          <w:rFonts w:ascii="宋体" w:hAnsi="宋体" w:cs="宋体"/>
          <w:spacing w:val="20"/>
          <w:sz w:val="24"/>
          <w:szCs w:val="21"/>
        </w:rPr>
      </w:pPr>
    </w:p>
    <w:p>
      <w:pPr>
        <w:pStyle w:val="168"/>
        <w:wordWrap w:val="0"/>
        <w:spacing w:line="360" w:lineRule="auto"/>
        <w:ind w:firstLine="480"/>
        <w:jc w:val="right"/>
        <w:rPr>
          <w:rFonts w:ascii="宋体" w:hAnsi="宋体" w:cs="宋体"/>
          <w:sz w:val="24"/>
          <w:szCs w:val="21"/>
          <w:u w:val="single"/>
        </w:rPr>
      </w:pPr>
      <w:r>
        <w:rPr>
          <w:rFonts w:hint="eastAsia" w:ascii="宋体" w:hAnsi="宋体" w:cs="宋体"/>
          <w:sz w:val="24"/>
          <w:szCs w:val="21"/>
        </w:rPr>
        <w:t>供应商盖章</w:t>
      </w:r>
      <w:r>
        <w:rPr>
          <w:rFonts w:hint="eastAsia" w:ascii="宋体" w:hAnsi="宋体" w:cs="宋体"/>
          <w:spacing w:val="20"/>
          <w:sz w:val="24"/>
          <w:szCs w:val="21"/>
        </w:rPr>
        <w:t>(电子签章)</w:t>
      </w:r>
      <w:r>
        <w:rPr>
          <w:rFonts w:hint="eastAsia" w:ascii="宋体" w:hAnsi="宋体" w:cs="宋体"/>
          <w:sz w:val="24"/>
          <w:szCs w:val="21"/>
        </w:rPr>
        <w:t>：</w:t>
      </w:r>
      <w:r>
        <w:rPr>
          <w:rFonts w:hint="eastAsia" w:ascii="宋体" w:hAnsi="宋体" w:cs="宋体"/>
          <w:sz w:val="24"/>
          <w:szCs w:val="21"/>
          <w:u w:val="single"/>
        </w:rPr>
        <w:t xml:space="preserve">                </w:t>
      </w:r>
    </w:p>
    <w:p>
      <w:pPr>
        <w:pStyle w:val="168"/>
        <w:wordWrap w:val="0"/>
        <w:spacing w:line="360" w:lineRule="auto"/>
        <w:ind w:firstLine="480"/>
        <w:jc w:val="right"/>
        <w:rPr>
          <w:rFonts w:ascii="宋体" w:hAnsi="宋体" w:cs="宋体"/>
          <w:sz w:val="24"/>
          <w:szCs w:val="21"/>
          <w:u w:val="single"/>
        </w:rPr>
      </w:pPr>
      <w:r>
        <w:rPr>
          <w:rFonts w:hint="eastAsia" w:ascii="宋体" w:hAnsi="宋体" w:cs="宋体"/>
          <w:sz w:val="24"/>
          <w:szCs w:val="21"/>
        </w:rPr>
        <w:t>日      期：</w:t>
      </w:r>
      <w:r>
        <w:rPr>
          <w:rFonts w:hint="eastAsia" w:ascii="宋体" w:hAnsi="宋体" w:cs="宋体"/>
          <w:sz w:val="24"/>
          <w:szCs w:val="21"/>
          <w:u w:val="single"/>
        </w:rPr>
        <w:t xml:space="preserve">                </w:t>
      </w:r>
    </w:p>
    <w:p>
      <w:pPr>
        <w:rPr>
          <w:rFonts w:ascii="宋体" w:hAnsi="宋体" w:cs="宋体"/>
          <w:sz w:val="24"/>
        </w:rPr>
      </w:pPr>
    </w:p>
    <w:p>
      <w:pPr>
        <w:rPr>
          <w:rFonts w:ascii="宋体" w:hAnsi="宋体" w:cs="宋体"/>
        </w:rPr>
      </w:pPr>
    </w:p>
    <w:p>
      <w:pPr>
        <w:pStyle w:val="116"/>
        <w:spacing w:line="360" w:lineRule="auto"/>
        <w:rPr>
          <w:rFonts w:hAnsi="宋体" w:cs="宋体"/>
          <w:sz w:val="24"/>
          <w:szCs w:val="24"/>
        </w:rPr>
      </w:pPr>
    </w:p>
    <w:p>
      <w:pPr>
        <w:pStyle w:val="116"/>
        <w:spacing w:line="360" w:lineRule="auto"/>
        <w:rPr>
          <w:rFonts w:hAnsi="宋体" w:cs="宋体"/>
          <w:sz w:val="24"/>
          <w:szCs w:val="24"/>
        </w:rPr>
      </w:pPr>
    </w:p>
    <w:bookmarkEnd w:id="255"/>
    <w:bookmarkEnd w:id="256"/>
    <w:bookmarkEnd w:id="257"/>
    <w:p>
      <w:pPr>
        <w:pStyle w:val="117"/>
        <w:spacing w:line="360" w:lineRule="auto"/>
        <w:jc w:val="center"/>
        <w:rPr>
          <w:rFonts w:ascii="宋体" w:hAnsi="宋体" w:cs="宋体"/>
          <w:spacing w:val="6"/>
          <w:sz w:val="24"/>
        </w:rPr>
      </w:pPr>
    </w:p>
    <w:p>
      <w:pPr>
        <w:pStyle w:val="14"/>
        <w:rPr>
          <w:rFonts w:ascii="宋体" w:hAnsi="宋体" w:cs="宋体"/>
        </w:rPr>
        <w:sectPr>
          <w:pgSz w:w="11905" w:h="16838"/>
          <w:pgMar w:top="1440" w:right="1083" w:bottom="1440" w:left="1083" w:header="850" w:footer="850" w:gutter="0"/>
          <w:cols w:space="720" w:num="1"/>
          <w:titlePg/>
          <w:docGrid w:linePitch="312" w:charSpace="0"/>
        </w:sectPr>
      </w:pPr>
    </w:p>
    <w:p>
      <w:pPr>
        <w:pStyle w:val="44"/>
        <w:spacing w:beforeLines="100" w:after="240" w:afterLines="100"/>
        <w:jc w:val="both"/>
        <w:outlineLvl w:val="1"/>
        <w:rPr>
          <w:rFonts w:hint="default"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1.9</w:t>
      </w:r>
      <w:r>
        <w:rPr>
          <w:rFonts w:hint="eastAsia" w:ascii="宋体" w:hAnsi="宋体" w:cs="宋体"/>
          <w:color w:val="auto"/>
          <w:sz w:val="24"/>
        </w:rPr>
        <w:t>供应商</w:t>
      </w:r>
      <w:r>
        <w:rPr>
          <w:rFonts w:hint="eastAsia" w:ascii="宋体" w:hAnsi="宋体" w:cs="宋体"/>
          <w:color w:val="auto"/>
          <w:sz w:val="24"/>
          <w:lang w:eastAsia="zh-CN"/>
        </w:rPr>
        <w:t>提供</w:t>
      </w:r>
      <w:r>
        <w:rPr>
          <w:rFonts w:hint="eastAsia" w:ascii="宋体" w:hAnsi="宋体" w:cs="宋体"/>
          <w:color w:val="auto"/>
          <w:sz w:val="24"/>
        </w:rPr>
        <w:t>自身具备</w:t>
      </w:r>
      <w:r>
        <w:rPr>
          <w:rFonts w:hint="eastAsia" w:ascii="宋体" w:hAnsi="宋体" w:cs="宋体"/>
          <w:color w:val="auto"/>
          <w:sz w:val="24"/>
          <w:lang w:eastAsia="zh-CN"/>
        </w:rPr>
        <w:t>城市</w:t>
      </w:r>
      <w:r>
        <w:rPr>
          <w:rFonts w:hint="eastAsia" w:ascii="宋体" w:hAnsi="宋体" w:cs="宋体"/>
          <w:color w:val="auto"/>
          <w:sz w:val="24"/>
        </w:rPr>
        <w:t>建筑固废</w:t>
      </w:r>
      <w:r>
        <w:rPr>
          <w:rFonts w:hint="eastAsia" w:ascii="宋体" w:hAnsi="宋体" w:cs="宋体"/>
          <w:color w:val="auto"/>
          <w:sz w:val="24"/>
          <w:lang w:eastAsia="zh-CN"/>
        </w:rPr>
        <w:t>处置</w:t>
      </w:r>
      <w:r>
        <w:rPr>
          <w:rFonts w:hint="eastAsia" w:ascii="宋体" w:hAnsi="宋体" w:cs="宋体"/>
          <w:color w:val="auto"/>
          <w:sz w:val="24"/>
        </w:rPr>
        <w:t>性企业</w:t>
      </w:r>
      <w:r>
        <w:rPr>
          <w:rFonts w:hint="eastAsia" w:ascii="宋体" w:hAnsi="宋体" w:cs="宋体"/>
          <w:color w:val="auto"/>
          <w:sz w:val="24"/>
          <w:lang w:eastAsia="zh-CN"/>
        </w:rPr>
        <w:t>证明材料，格式自拟。</w:t>
      </w:r>
    </w:p>
    <w:p>
      <w:pPr>
        <w:pStyle w:val="44"/>
        <w:spacing w:beforeLines="100" w:after="240" w:afterLines="100"/>
        <w:outlineLvl w:val="1"/>
        <w:rPr>
          <w:rFonts w:hint="eastAsia" w:ascii="宋体" w:hAnsi="宋体" w:cs="宋体"/>
          <w:sz w:val="44"/>
          <w:szCs w:val="44"/>
        </w:rPr>
      </w:pPr>
    </w:p>
    <w:p>
      <w:pPr>
        <w:pStyle w:val="44"/>
        <w:spacing w:beforeLines="100" w:after="240" w:afterLines="100"/>
        <w:outlineLvl w:val="1"/>
        <w:rPr>
          <w:rFonts w:hint="eastAsia" w:ascii="宋体" w:hAnsi="宋体" w:cs="宋体"/>
          <w:sz w:val="44"/>
          <w:szCs w:val="44"/>
        </w:rPr>
      </w:pPr>
    </w:p>
    <w:p>
      <w:pPr>
        <w:pStyle w:val="44"/>
        <w:spacing w:beforeLines="100" w:after="240" w:afterLines="100"/>
        <w:outlineLvl w:val="1"/>
        <w:rPr>
          <w:rFonts w:hint="eastAsia" w:ascii="宋体" w:hAnsi="宋体" w:cs="宋体"/>
          <w:sz w:val="44"/>
          <w:szCs w:val="44"/>
        </w:rPr>
      </w:pPr>
    </w:p>
    <w:p>
      <w:pPr>
        <w:pStyle w:val="44"/>
        <w:spacing w:beforeLines="100" w:after="240" w:afterLines="100"/>
        <w:outlineLvl w:val="1"/>
        <w:rPr>
          <w:rFonts w:hint="eastAsia" w:ascii="宋体" w:hAnsi="宋体" w:cs="宋体"/>
          <w:sz w:val="44"/>
          <w:szCs w:val="44"/>
        </w:rPr>
      </w:pPr>
    </w:p>
    <w:p>
      <w:pPr>
        <w:pStyle w:val="44"/>
        <w:spacing w:beforeLines="100" w:after="240" w:afterLines="100"/>
        <w:outlineLvl w:val="1"/>
        <w:rPr>
          <w:rFonts w:hint="eastAsia" w:ascii="宋体" w:hAnsi="宋体" w:cs="宋体"/>
          <w:sz w:val="44"/>
          <w:szCs w:val="44"/>
        </w:rPr>
      </w:pPr>
    </w:p>
    <w:p>
      <w:pPr>
        <w:pStyle w:val="44"/>
        <w:spacing w:beforeLines="100" w:after="240" w:afterLines="100"/>
        <w:outlineLvl w:val="1"/>
        <w:rPr>
          <w:rFonts w:hint="eastAsia" w:ascii="宋体" w:hAnsi="宋体" w:cs="宋体"/>
          <w:sz w:val="44"/>
          <w:szCs w:val="44"/>
        </w:rPr>
      </w:pPr>
    </w:p>
    <w:p>
      <w:pPr>
        <w:pStyle w:val="44"/>
        <w:spacing w:beforeLines="100" w:after="240" w:afterLines="100"/>
        <w:outlineLvl w:val="1"/>
        <w:rPr>
          <w:rFonts w:hint="eastAsia" w:ascii="宋体" w:hAnsi="宋体" w:cs="宋体"/>
          <w:sz w:val="44"/>
          <w:szCs w:val="44"/>
        </w:rPr>
      </w:pPr>
    </w:p>
    <w:p>
      <w:pPr>
        <w:pStyle w:val="44"/>
        <w:spacing w:beforeLines="100" w:after="240" w:afterLines="100"/>
        <w:outlineLvl w:val="1"/>
        <w:rPr>
          <w:rFonts w:hint="eastAsia" w:ascii="宋体" w:hAnsi="宋体" w:cs="宋体"/>
          <w:sz w:val="44"/>
          <w:szCs w:val="44"/>
        </w:rPr>
      </w:pPr>
    </w:p>
    <w:p>
      <w:pPr>
        <w:pStyle w:val="44"/>
        <w:spacing w:beforeLines="100" w:after="240" w:afterLines="100"/>
        <w:outlineLvl w:val="1"/>
        <w:rPr>
          <w:rFonts w:hint="eastAsia" w:ascii="宋体" w:hAnsi="宋体" w:cs="宋体"/>
          <w:sz w:val="44"/>
          <w:szCs w:val="44"/>
        </w:rPr>
      </w:pPr>
    </w:p>
    <w:p>
      <w:pPr>
        <w:pStyle w:val="44"/>
        <w:spacing w:beforeLines="100" w:after="240" w:afterLines="100"/>
        <w:outlineLvl w:val="1"/>
        <w:rPr>
          <w:rFonts w:hint="eastAsia" w:ascii="宋体" w:hAnsi="宋体" w:cs="宋体"/>
          <w:sz w:val="44"/>
          <w:szCs w:val="44"/>
        </w:rPr>
      </w:pPr>
    </w:p>
    <w:p>
      <w:pPr>
        <w:pStyle w:val="44"/>
        <w:spacing w:beforeLines="100" w:after="240" w:afterLines="100"/>
        <w:outlineLvl w:val="1"/>
        <w:rPr>
          <w:rFonts w:hint="eastAsia" w:ascii="宋体" w:hAnsi="宋体" w:cs="宋体"/>
          <w:sz w:val="44"/>
          <w:szCs w:val="44"/>
        </w:rPr>
      </w:pPr>
    </w:p>
    <w:p>
      <w:pPr>
        <w:pStyle w:val="44"/>
        <w:spacing w:beforeLines="100" w:after="240" w:afterLines="100"/>
        <w:outlineLvl w:val="1"/>
        <w:rPr>
          <w:rFonts w:hint="eastAsia" w:ascii="宋体" w:hAnsi="宋体" w:cs="宋体"/>
          <w:sz w:val="44"/>
          <w:szCs w:val="44"/>
        </w:rPr>
      </w:pPr>
    </w:p>
    <w:p>
      <w:pPr>
        <w:pStyle w:val="44"/>
        <w:spacing w:beforeLines="100" w:after="240" w:afterLines="100"/>
        <w:outlineLvl w:val="1"/>
        <w:rPr>
          <w:rFonts w:hint="eastAsia" w:ascii="宋体" w:hAnsi="宋体" w:cs="宋体"/>
          <w:sz w:val="44"/>
          <w:szCs w:val="44"/>
        </w:rPr>
      </w:pPr>
    </w:p>
    <w:p>
      <w:pPr>
        <w:pStyle w:val="44"/>
        <w:spacing w:beforeLines="100" w:after="240" w:afterLines="100"/>
        <w:outlineLvl w:val="1"/>
        <w:rPr>
          <w:rFonts w:hint="eastAsia" w:ascii="宋体" w:hAnsi="宋体" w:cs="宋体"/>
          <w:sz w:val="44"/>
          <w:szCs w:val="44"/>
        </w:rPr>
      </w:pPr>
    </w:p>
    <w:p>
      <w:pPr>
        <w:pStyle w:val="44"/>
        <w:spacing w:beforeLines="100" w:after="240" w:afterLines="100"/>
        <w:outlineLvl w:val="1"/>
        <w:rPr>
          <w:rFonts w:hint="eastAsia" w:ascii="宋体" w:hAnsi="宋体" w:cs="宋体"/>
          <w:sz w:val="44"/>
          <w:szCs w:val="44"/>
        </w:rPr>
      </w:pPr>
    </w:p>
    <w:p>
      <w:pPr>
        <w:pStyle w:val="44"/>
        <w:spacing w:beforeLines="100" w:after="240" w:afterLines="100"/>
        <w:outlineLvl w:val="1"/>
        <w:rPr>
          <w:rFonts w:hint="eastAsia" w:ascii="宋体" w:hAnsi="宋体" w:cs="宋体"/>
          <w:sz w:val="44"/>
          <w:szCs w:val="44"/>
        </w:rPr>
      </w:pPr>
    </w:p>
    <w:p>
      <w:pPr>
        <w:pStyle w:val="44"/>
        <w:spacing w:beforeLines="100" w:after="240" w:afterLines="100"/>
        <w:outlineLvl w:val="1"/>
        <w:rPr>
          <w:rFonts w:ascii="宋体" w:hAnsi="宋体" w:cs="宋体"/>
          <w:sz w:val="44"/>
          <w:szCs w:val="44"/>
        </w:rPr>
      </w:pPr>
      <w:r>
        <w:rPr>
          <w:rFonts w:hint="eastAsia" w:ascii="宋体" w:hAnsi="宋体" w:cs="宋体"/>
          <w:sz w:val="44"/>
          <w:szCs w:val="44"/>
        </w:rPr>
        <w:t>二  资信商务及技术文件格式</w:t>
      </w:r>
      <w:bookmarkEnd w:id="249"/>
      <w:bookmarkEnd w:id="250"/>
      <w:bookmarkEnd w:id="251"/>
      <w:bookmarkEnd w:id="252"/>
    </w:p>
    <w:p>
      <w:pPr>
        <w:pStyle w:val="188"/>
        <w:jc w:val="left"/>
        <w:rPr>
          <w:rFonts w:ascii="宋体" w:hAnsi="宋体" w:cs="宋体"/>
          <w:sz w:val="28"/>
          <w:szCs w:val="28"/>
        </w:rPr>
      </w:pPr>
      <w:bookmarkStart w:id="258" w:name="_Toc531359055"/>
      <w:bookmarkStart w:id="259" w:name="_Toc530551884"/>
      <w:bookmarkStart w:id="260" w:name="_Toc493956059"/>
    </w:p>
    <w:bookmarkEnd w:id="258"/>
    <w:p>
      <w:pPr>
        <w:pStyle w:val="4"/>
        <w:spacing w:before="0" w:after="0"/>
        <w:ind w:firstLine="0" w:firstLineChars="0"/>
        <w:jc w:val="left"/>
        <w:rPr>
          <w:rFonts w:ascii="宋体" w:hAnsi="宋体" w:eastAsia="宋体" w:cs="宋体"/>
          <w:sz w:val="24"/>
          <w:szCs w:val="24"/>
        </w:rPr>
      </w:pPr>
      <w:bookmarkStart w:id="261" w:name="_Toc531359056"/>
      <w:bookmarkStart w:id="262" w:name="_Toc34895599"/>
      <w:r>
        <w:rPr>
          <w:rFonts w:hint="eastAsia" w:ascii="宋体" w:hAnsi="宋体" w:eastAsia="宋体" w:cs="宋体"/>
          <w:sz w:val="24"/>
          <w:szCs w:val="24"/>
        </w:rPr>
        <w:t>2.1    资信及商务文件封面</w:t>
      </w:r>
      <w:bookmarkEnd w:id="261"/>
      <w:r>
        <w:rPr>
          <w:rFonts w:hint="eastAsia" w:ascii="宋体" w:hAnsi="宋体" w:eastAsia="宋体" w:cs="宋体"/>
          <w:sz w:val="24"/>
          <w:szCs w:val="24"/>
        </w:rPr>
        <w:t>格式</w:t>
      </w:r>
      <w:bookmarkEnd w:id="262"/>
    </w:p>
    <w:p>
      <w:pPr>
        <w:snapToGrid w:val="0"/>
        <w:spacing w:line="600" w:lineRule="auto"/>
        <w:jc w:val="center"/>
        <w:rPr>
          <w:rFonts w:ascii="宋体" w:hAnsi="宋体" w:cs="宋体"/>
          <w:bCs/>
          <w:sz w:val="24"/>
          <w:szCs w:val="20"/>
        </w:rPr>
      </w:pPr>
      <w:r>
        <w:rPr>
          <w:rFonts w:hint="eastAsia" w:ascii="宋体" w:hAnsi="宋体" w:cs="宋体"/>
          <w:b/>
          <w:sz w:val="32"/>
          <w:szCs w:val="32"/>
        </w:rPr>
        <w:t>投标文件</w:t>
      </w:r>
    </w:p>
    <w:p>
      <w:pPr>
        <w:pStyle w:val="14"/>
        <w:spacing w:line="600" w:lineRule="auto"/>
        <w:ind w:firstLine="0"/>
        <w:jc w:val="center"/>
        <w:rPr>
          <w:rFonts w:ascii="宋体" w:hAnsi="宋体" w:cs="宋体"/>
          <w:b/>
          <w:sz w:val="32"/>
          <w:szCs w:val="32"/>
        </w:rPr>
      </w:pPr>
    </w:p>
    <w:tbl>
      <w:tblPr>
        <w:tblStyle w:val="48"/>
        <w:tblW w:w="0" w:type="auto"/>
        <w:jc w:val="center"/>
        <w:tblLayout w:type="autofit"/>
        <w:tblCellMar>
          <w:top w:w="0" w:type="dxa"/>
          <w:left w:w="108" w:type="dxa"/>
          <w:bottom w:w="0" w:type="dxa"/>
          <w:right w:w="108" w:type="dxa"/>
        </w:tblCellMar>
      </w:tblPr>
      <w:tblGrid>
        <w:gridCol w:w="2937"/>
        <w:gridCol w:w="4536"/>
      </w:tblGrid>
      <w:tr>
        <w:tblPrEx>
          <w:tblCellMar>
            <w:top w:w="0" w:type="dxa"/>
            <w:left w:w="108" w:type="dxa"/>
            <w:bottom w:w="0" w:type="dxa"/>
            <w:right w:w="108" w:type="dxa"/>
          </w:tblCellMar>
        </w:tblPrEx>
        <w:trPr>
          <w:trHeight w:val="397" w:hRule="atLeast"/>
          <w:jc w:val="center"/>
        </w:trPr>
        <w:tc>
          <w:tcPr>
            <w:tcW w:w="2937" w:type="dxa"/>
            <w:vAlign w:val="center"/>
          </w:tcPr>
          <w:p>
            <w:pPr>
              <w:spacing w:line="600" w:lineRule="auto"/>
              <w:jc w:val="distribute"/>
              <w:rPr>
                <w:rFonts w:ascii="宋体" w:hAnsi="宋体" w:cs="宋体"/>
                <w:sz w:val="24"/>
                <w:szCs w:val="24"/>
              </w:rPr>
            </w:pPr>
            <w:r>
              <w:rPr>
                <w:rFonts w:hint="eastAsia" w:ascii="宋体" w:hAnsi="宋体" w:cs="宋体"/>
                <w:sz w:val="24"/>
                <w:szCs w:val="24"/>
              </w:rPr>
              <w:t>投标文件名称：</w:t>
            </w:r>
          </w:p>
        </w:tc>
        <w:tc>
          <w:tcPr>
            <w:tcW w:w="4536" w:type="dxa"/>
            <w:vAlign w:val="center"/>
          </w:tcPr>
          <w:p>
            <w:pPr>
              <w:spacing w:line="600" w:lineRule="auto"/>
              <w:jc w:val="left"/>
              <w:rPr>
                <w:rFonts w:ascii="宋体" w:hAnsi="宋体" w:cs="宋体"/>
                <w:sz w:val="24"/>
                <w:szCs w:val="24"/>
              </w:rPr>
            </w:pPr>
            <w:r>
              <w:rPr>
                <w:rFonts w:hint="eastAsia" w:ascii="宋体" w:hAnsi="宋体" w:cs="宋体"/>
                <w:sz w:val="24"/>
                <w:szCs w:val="24"/>
                <w:u w:val="single"/>
              </w:rPr>
              <w:t xml:space="preserve"> 资信商务及技术文件           </w:t>
            </w:r>
          </w:p>
        </w:tc>
      </w:tr>
      <w:tr>
        <w:tblPrEx>
          <w:tblCellMar>
            <w:top w:w="0" w:type="dxa"/>
            <w:left w:w="108" w:type="dxa"/>
            <w:bottom w:w="0" w:type="dxa"/>
            <w:right w:w="108" w:type="dxa"/>
          </w:tblCellMar>
        </w:tblPrEx>
        <w:trPr>
          <w:trHeight w:val="397" w:hRule="atLeast"/>
          <w:jc w:val="center"/>
        </w:trPr>
        <w:tc>
          <w:tcPr>
            <w:tcW w:w="2937" w:type="dxa"/>
            <w:vAlign w:val="center"/>
          </w:tcPr>
          <w:p>
            <w:pPr>
              <w:spacing w:line="600" w:lineRule="auto"/>
              <w:jc w:val="distribute"/>
              <w:rPr>
                <w:rFonts w:ascii="宋体" w:hAnsi="宋体" w:cs="宋体"/>
                <w:sz w:val="24"/>
                <w:szCs w:val="24"/>
              </w:rPr>
            </w:pPr>
            <w:r>
              <w:rPr>
                <w:rFonts w:hint="eastAsia" w:ascii="宋体" w:hAnsi="宋体" w:cs="宋体"/>
                <w:sz w:val="24"/>
                <w:szCs w:val="24"/>
              </w:rPr>
              <w:t>采 购 编 号：</w:t>
            </w:r>
          </w:p>
        </w:tc>
        <w:tc>
          <w:tcPr>
            <w:tcW w:w="4536" w:type="dxa"/>
            <w:vAlign w:val="center"/>
          </w:tcPr>
          <w:p>
            <w:pPr>
              <w:spacing w:line="600" w:lineRule="auto"/>
              <w:jc w:val="left"/>
              <w:rPr>
                <w:rFonts w:ascii="宋体" w:hAnsi="宋体" w:cs="宋体"/>
                <w:sz w:val="24"/>
                <w:szCs w:val="24"/>
              </w:rPr>
            </w:pPr>
            <w:r>
              <w:rPr>
                <w:rFonts w:hint="eastAsia" w:ascii="宋体" w:hAnsi="宋体" w:cs="宋体"/>
                <w:sz w:val="24"/>
                <w:szCs w:val="24"/>
                <w:u w:val="single"/>
              </w:rPr>
              <w:t xml:space="preserve">                                    </w:t>
            </w:r>
          </w:p>
        </w:tc>
      </w:tr>
      <w:tr>
        <w:tblPrEx>
          <w:tblCellMar>
            <w:top w:w="0" w:type="dxa"/>
            <w:left w:w="108" w:type="dxa"/>
            <w:bottom w:w="0" w:type="dxa"/>
            <w:right w:w="108" w:type="dxa"/>
          </w:tblCellMar>
        </w:tblPrEx>
        <w:trPr>
          <w:trHeight w:val="397" w:hRule="atLeast"/>
          <w:jc w:val="center"/>
        </w:trPr>
        <w:tc>
          <w:tcPr>
            <w:tcW w:w="2937" w:type="dxa"/>
            <w:vAlign w:val="center"/>
          </w:tcPr>
          <w:p>
            <w:pPr>
              <w:spacing w:line="600" w:lineRule="auto"/>
              <w:jc w:val="distribute"/>
              <w:rPr>
                <w:rFonts w:ascii="宋体" w:hAnsi="宋体" w:cs="宋体"/>
                <w:sz w:val="24"/>
                <w:szCs w:val="24"/>
              </w:rPr>
            </w:pPr>
            <w:r>
              <w:rPr>
                <w:rFonts w:hint="eastAsia" w:ascii="宋体" w:hAnsi="宋体" w:cs="宋体"/>
                <w:sz w:val="24"/>
                <w:szCs w:val="24"/>
              </w:rPr>
              <w:t>项 目 名 称：</w:t>
            </w:r>
          </w:p>
        </w:tc>
        <w:tc>
          <w:tcPr>
            <w:tcW w:w="4536" w:type="dxa"/>
            <w:vAlign w:val="center"/>
          </w:tcPr>
          <w:p>
            <w:pPr>
              <w:spacing w:line="600" w:lineRule="auto"/>
              <w:jc w:val="left"/>
              <w:rPr>
                <w:rFonts w:ascii="宋体" w:hAnsi="宋体" w:cs="宋体"/>
                <w:sz w:val="24"/>
                <w:szCs w:val="24"/>
              </w:rPr>
            </w:pPr>
            <w:r>
              <w:rPr>
                <w:rFonts w:hint="eastAsia" w:ascii="宋体" w:hAnsi="宋体" w:cs="宋体"/>
                <w:sz w:val="24"/>
                <w:szCs w:val="24"/>
                <w:u w:val="single"/>
              </w:rPr>
              <w:t xml:space="preserve">                                    </w:t>
            </w:r>
          </w:p>
        </w:tc>
      </w:tr>
      <w:tr>
        <w:tblPrEx>
          <w:tblCellMar>
            <w:top w:w="0" w:type="dxa"/>
            <w:left w:w="108" w:type="dxa"/>
            <w:bottom w:w="0" w:type="dxa"/>
            <w:right w:w="108" w:type="dxa"/>
          </w:tblCellMar>
        </w:tblPrEx>
        <w:trPr>
          <w:trHeight w:val="397" w:hRule="atLeast"/>
          <w:jc w:val="center"/>
        </w:trPr>
        <w:tc>
          <w:tcPr>
            <w:tcW w:w="2937" w:type="dxa"/>
            <w:vAlign w:val="center"/>
          </w:tcPr>
          <w:p>
            <w:pPr>
              <w:spacing w:line="600" w:lineRule="auto"/>
              <w:jc w:val="distribute"/>
              <w:rPr>
                <w:rFonts w:ascii="宋体" w:hAnsi="宋体" w:cs="宋体"/>
                <w:sz w:val="24"/>
                <w:szCs w:val="24"/>
              </w:rPr>
            </w:pPr>
            <w:r>
              <w:rPr>
                <w:rFonts w:hint="eastAsia" w:ascii="宋体" w:hAnsi="宋体" w:cs="宋体"/>
                <w:sz w:val="24"/>
                <w:szCs w:val="24"/>
              </w:rPr>
              <w:t>标      项：</w:t>
            </w:r>
          </w:p>
        </w:tc>
        <w:tc>
          <w:tcPr>
            <w:tcW w:w="4536" w:type="dxa"/>
            <w:vAlign w:val="center"/>
          </w:tcPr>
          <w:p>
            <w:pPr>
              <w:spacing w:line="600" w:lineRule="auto"/>
              <w:jc w:val="left"/>
              <w:rPr>
                <w:rFonts w:ascii="宋体" w:hAnsi="宋体" w:cs="宋体"/>
                <w:sz w:val="24"/>
                <w:szCs w:val="24"/>
                <w:u w:val="single"/>
              </w:rPr>
            </w:pPr>
            <w:r>
              <w:rPr>
                <w:rFonts w:hint="eastAsia" w:ascii="宋体" w:hAnsi="宋体" w:cs="宋体"/>
                <w:sz w:val="24"/>
                <w:szCs w:val="24"/>
                <w:u w:val="single"/>
              </w:rPr>
              <w:t xml:space="preserve">（若有）                            </w:t>
            </w:r>
          </w:p>
        </w:tc>
      </w:tr>
      <w:tr>
        <w:trPr>
          <w:trHeight w:val="397" w:hRule="atLeast"/>
          <w:jc w:val="center"/>
        </w:trPr>
        <w:tc>
          <w:tcPr>
            <w:tcW w:w="2937" w:type="dxa"/>
            <w:vAlign w:val="center"/>
          </w:tcPr>
          <w:p>
            <w:pPr>
              <w:spacing w:line="600" w:lineRule="auto"/>
              <w:jc w:val="distribute"/>
              <w:rPr>
                <w:rFonts w:ascii="宋体" w:hAnsi="宋体" w:cs="宋体"/>
                <w:sz w:val="24"/>
                <w:szCs w:val="24"/>
              </w:rPr>
            </w:pPr>
          </w:p>
        </w:tc>
        <w:tc>
          <w:tcPr>
            <w:tcW w:w="4536" w:type="dxa"/>
            <w:vAlign w:val="center"/>
          </w:tcPr>
          <w:p>
            <w:pPr>
              <w:spacing w:line="600" w:lineRule="auto"/>
              <w:jc w:val="left"/>
              <w:rPr>
                <w:rFonts w:ascii="宋体" w:hAnsi="宋体" w:cs="宋体"/>
                <w:sz w:val="24"/>
                <w:szCs w:val="24"/>
              </w:rPr>
            </w:pPr>
          </w:p>
        </w:tc>
      </w:tr>
      <w:tr>
        <w:tblPrEx>
          <w:tblCellMar>
            <w:top w:w="0" w:type="dxa"/>
            <w:left w:w="108" w:type="dxa"/>
            <w:bottom w:w="0" w:type="dxa"/>
            <w:right w:w="108" w:type="dxa"/>
          </w:tblCellMar>
        </w:tblPrEx>
        <w:trPr>
          <w:trHeight w:val="397" w:hRule="atLeast"/>
          <w:jc w:val="center"/>
        </w:trPr>
        <w:tc>
          <w:tcPr>
            <w:tcW w:w="2937" w:type="dxa"/>
            <w:vAlign w:val="center"/>
          </w:tcPr>
          <w:p>
            <w:pPr>
              <w:spacing w:line="600" w:lineRule="auto"/>
              <w:jc w:val="distribute"/>
              <w:rPr>
                <w:rFonts w:ascii="宋体" w:hAnsi="宋体" w:cs="宋体"/>
                <w:sz w:val="24"/>
                <w:szCs w:val="24"/>
              </w:rPr>
            </w:pPr>
            <w:r>
              <w:rPr>
                <w:rFonts w:hint="eastAsia" w:ascii="宋体" w:hAnsi="宋体" w:cs="宋体"/>
                <w:sz w:val="24"/>
                <w:szCs w:val="24"/>
              </w:rPr>
              <w:t>供应商全称</w:t>
            </w:r>
            <w:r>
              <w:rPr>
                <w:rFonts w:hint="eastAsia" w:ascii="宋体" w:hAnsi="宋体" w:cs="宋体"/>
                <w:spacing w:val="20"/>
                <w:sz w:val="24"/>
                <w:szCs w:val="21"/>
              </w:rPr>
              <w:t>(电子签章)</w:t>
            </w:r>
            <w:r>
              <w:rPr>
                <w:rFonts w:hint="eastAsia" w:ascii="宋体" w:hAnsi="宋体" w:cs="宋体"/>
                <w:sz w:val="24"/>
                <w:szCs w:val="24"/>
              </w:rPr>
              <w:t>：</w:t>
            </w:r>
          </w:p>
        </w:tc>
        <w:tc>
          <w:tcPr>
            <w:tcW w:w="4536" w:type="dxa"/>
            <w:vAlign w:val="center"/>
          </w:tcPr>
          <w:p>
            <w:pPr>
              <w:spacing w:line="600" w:lineRule="auto"/>
              <w:jc w:val="left"/>
              <w:rPr>
                <w:rFonts w:ascii="宋体" w:hAnsi="宋体" w:cs="宋体"/>
                <w:sz w:val="24"/>
                <w:szCs w:val="24"/>
              </w:rPr>
            </w:pPr>
            <w:r>
              <w:rPr>
                <w:rFonts w:hint="eastAsia" w:ascii="宋体" w:hAnsi="宋体" w:cs="宋体"/>
                <w:sz w:val="24"/>
                <w:szCs w:val="24"/>
                <w:u w:val="single"/>
              </w:rPr>
              <w:t xml:space="preserve">                                    </w:t>
            </w:r>
          </w:p>
        </w:tc>
      </w:tr>
      <w:tr>
        <w:trPr>
          <w:trHeight w:val="397" w:hRule="atLeast"/>
          <w:jc w:val="center"/>
        </w:trPr>
        <w:tc>
          <w:tcPr>
            <w:tcW w:w="2937" w:type="dxa"/>
            <w:vAlign w:val="center"/>
          </w:tcPr>
          <w:p>
            <w:pPr>
              <w:spacing w:line="600" w:lineRule="auto"/>
              <w:jc w:val="distribute"/>
              <w:rPr>
                <w:rFonts w:ascii="宋体" w:hAnsi="宋体" w:cs="宋体"/>
                <w:sz w:val="24"/>
                <w:szCs w:val="24"/>
              </w:rPr>
            </w:pPr>
            <w:r>
              <w:rPr>
                <w:rFonts w:hint="eastAsia" w:ascii="宋体" w:hAnsi="宋体" w:cs="宋体"/>
                <w:sz w:val="24"/>
                <w:szCs w:val="24"/>
              </w:rPr>
              <w:t>供应商地址：</w:t>
            </w:r>
          </w:p>
        </w:tc>
        <w:tc>
          <w:tcPr>
            <w:tcW w:w="4536" w:type="dxa"/>
            <w:vAlign w:val="center"/>
          </w:tcPr>
          <w:p>
            <w:pPr>
              <w:spacing w:line="600" w:lineRule="auto"/>
              <w:jc w:val="left"/>
              <w:rPr>
                <w:rFonts w:ascii="宋体" w:hAnsi="宋体" w:cs="宋体"/>
                <w:sz w:val="24"/>
                <w:szCs w:val="24"/>
              </w:rPr>
            </w:pPr>
            <w:r>
              <w:rPr>
                <w:rFonts w:hint="eastAsia" w:ascii="宋体" w:hAnsi="宋体" w:cs="宋体"/>
                <w:sz w:val="24"/>
                <w:szCs w:val="24"/>
                <w:u w:val="single"/>
              </w:rPr>
              <w:t xml:space="preserve">                                    </w:t>
            </w:r>
          </w:p>
        </w:tc>
      </w:tr>
      <w:tr>
        <w:tblPrEx>
          <w:tblCellMar>
            <w:top w:w="0" w:type="dxa"/>
            <w:left w:w="108" w:type="dxa"/>
            <w:bottom w:w="0" w:type="dxa"/>
            <w:right w:w="108" w:type="dxa"/>
          </w:tblCellMar>
        </w:tblPrEx>
        <w:trPr>
          <w:trHeight w:val="397" w:hRule="atLeast"/>
          <w:jc w:val="center"/>
        </w:trPr>
        <w:tc>
          <w:tcPr>
            <w:tcW w:w="7473" w:type="dxa"/>
            <w:gridSpan w:val="2"/>
            <w:vAlign w:val="center"/>
          </w:tcPr>
          <w:p>
            <w:pPr>
              <w:spacing w:line="600" w:lineRule="auto"/>
              <w:jc w:val="left"/>
              <w:rPr>
                <w:rFonts w:ascii="宋体" w:hAnsi="宋体" w:cs="宋体"/>
                <w:sz w:val="24"/>
                <w:szCs w:val="24"/>
                <w:u w:val="single"/>
              </w:rPr>
            </w:pPr>
          </w:p>
        </w:tc>
      </w:tr>
      <w:tr>
        <w:tblPrEx>
          <w:tblCellMar>
            <w:top w:w="0" w:type="dxa"/>
            <w:left w:w="108" w:type="dxa"/>
            <w:bottom w:w="0" w:type="dxa"/>
            <w:right w:w="108" w:type="dxa"/>
          </w:tblCellMar>
        </w:tblPrEx>
        <w:trPr>
          <w:trHeight w:val="397" w:hRule="atLeast"/>
          <w:jc w:val="center"/>
        </w:trPr>
        <w:tc>
          <w:tcPr>
            <w:tcW w:w="7473" w:type="dxa"/>
            <w:gridSpan w:val="2"/>
            <w:vAlign w:val="center"/>
          </w:tcPr>
          <w:p>
            <w:pPr>
              <w:spacing w:line="600" w:lineRule="auto"/>
              <w:jc w:val="center"/>
              <w:rPr>
                <w:rFonts w:ascii="宋体" w:hAnsi="宋体" w:cs="宋体"/>
                <w:sz w:val="24"/>
                <w:szCs w:val="24"/>
              </w:rPr>
            </w:pPr>
            <w:r>
              <w:rPr>
                <w:rFonts w:hint="eastAsia" w:ascii="宋体" w:hAnsi="宋体" w:cs="宋体"/>
                <w:sz w:val="24"/>
                <w:szCs w:val="24"/>
              </w:rPr>
              <w:t>年  月  日</w:t>
            </w:r>
          </w:p>
        </w:tc>
      </w:tr>
    </w:tbl>
    <w:p>
      <w:pPr>
        <w:pStyle w:val="14"/>
        <w:spacing w:line="600" w:lineRule="auto"/>
        <w:ind w:firstLine="0"/>
        <w:jc w:val="center"/>
        <w:rPr>
          <w:rFonts w:ascii="宋体" w:hAnsi="宋体" w:cs="宋体"/>
          <w:bCs/>
          <w:sz w:val="24"/>
        </w:rPr>
      </w:pPr>
    </w:p>
    <w:p>
      <w:pPr>
        <w:pStyle w:val="14"/>
        <w:spacing w:line="600" w:lineRule="auto"/>
        <w:ind w:firstLine="0"/>
        <w:jc w:val="center"/>
        <w:rPr>
          <w:rFonts w:ascii="宋体" w:hAnsi="宋体" w:cs="宋体"/>
          <w:bCs/>
          <w:sz w:val="24"/>
        </w:rPr>
      </w:pPr>
    </w:p>
    <w:p>
      <w:pPr>
        <w:pStyle w:val="14"/>
        <w:spacing w:line="600" w:lineRule="auto"/>
        <w:ind w:firstLine="0"/>
        <w:jc w:val="center"/>
        <w:rPr>
          <w:rFonts w:ascii="宋体" w:hAnsi="宋体" w:cs="宋体"/>
          <w:bCs/>
          <w:sz w:val="24"/>
        </w:rPr>
      </w:pPr>
    </w:p>
    <w:p>
      <w:pPr>
        <w:pStyle w:val="4"/>
        <w:spacing w:before="0" w:after="0"/>
        <w:ind w:firstLine="0" w:firstLineChars="0"/>
        <w:jc w:val="left"/>
        <w:rPr>
          <w:rFonts w:ascii="宋体" w:hAnsi="宋体" w:eastAsia="宋体" w:cs="宋体"/>
          <w:sz w:val="24"/>
          <w:szCs w:val="24"/>
        </w:rPr>
      </w:pPr>
      <w:bookmarkStart w:id="263" w:name="_Toc34895600"/>
      <w:bookmarkStart w:id="264" w:name="_Toc531359057"/>
      <w:r>
        <w:rPr>
          <w:rFonts w:hint="eastAsia" w:ascii="宋体" w:hAnsi="宋体" w:eastAsia="宋体" w:cs="宋体"/>
          <w:sz w:val="24"/>
          <w:szCs w:val="24"/>
        </w:rPr>
        <w:t>2.2    资信商务及技术文件目录</w:t>
      </w:r>
      <w:bookmarkEnd w:id="263"/>
      <w:bookmarkEnd w:id="264"/>
    </w:p>
    <w:p>
      <w:pPr>
        <w:pStyle w:val="14"/>
        <w:spacing w:line="360" w:lineRule="auto"/>
        <w:ind w:firstLine="0"/>
        <w:jc w:val="center"/>
        <w:rPr>
          <w:rFonts w:ascii="宋体" w:hAnsi="宋体" w:cs="宋体"/>
          <w:sz w:val="36"/>
        </w:rPr>
      </w:pPr>
      <w:r>
        <w:rPr>
          <w:rFonts w:hint="eastAsia" w:ascii="宋体" w:hAnsi="宋体" w:cs="宋体"/>
          <w:sz w:val="36"/>
        </w:rPr>
        <w:t>目录</w:t>
      </w:r>
    </w:p>
    <w:p>
      <w:pPr>
        <w:spacing w:line="480" w:lineRule="auto"/>
        <w:jc w:val="left"/>
        <w:rPr>
          <w:rFonts w:ascii="宋体" w:hAnsi="宋体" w:cs="宋体"/>
          <w:bCs/>
          <w:sz w:val="24"/>
          <w:szCs w:val="24"/>
        </w:rPr>
      </w:pPr>
      <w:bookmarkStart w:id="265" w:name="_Toc531359058"/>
      <w:r>
        <w:rPr>
          <w:rFonts w:hint="eastAsia" w:ascii="宋体" w:hAnsi="宋体" w:cs="宋体"/>
          <w:bCs/>
          <w:sz w:val="24"/>
          <w:szCs w:val="24"/>
        </w:rPr>
        <w:t>1.投标函；</w:t>
      </w:r>
    </w:p>
    <w:p>
      <w:pPr>
        <w:spacing w:line="480" w:lineRule="auto"/>
        <w:jc w:val="left"/>
        <w:rPr>
          <w:rFonts w:ascii="宋体" w:hAnsi="宋体" w:cs="宋体"/>
          <w:bCs/>
          <w:sz w:val="24"/>
          <w:szCs w:val="24"/>
        </w:rPr>
      </w:pPr>
      <w:r>
        <w:rPr>
          <w:rFonts w:hint="eastAsia" w:ascii="宋体" w:hAnsi="宋体" w:cs="宋体"/>
          <w:bCs/>
          <w:sz w:val="24"/>
          <w:szCs w:val="24"/>
        </w:rPr>
        <w:t>2.商务响应表；</w:t>
      </w:r>
    </w:p>
    <w:p>
      <w:pPr>
        <w:spacing w:line="480" w:lineRule="auto"/>
        <w:jc w:val="left"/>
        <w:rPr>
          <w:rFonts w:ascii="宋体" w:hAnsi="宋体" w:cs="宋体"/>
          <w:bCs/>
          <w:sz w:val="24"/>
          <w:szCs w:val="24"/>
        </w:rPr>
      </w:pPr>
      <w:r>
        <w:rPr>
          <w:rFonts w:hint="eastAsia" w:ascii="宋体" w:hAnsi="宋体" w:cs="宋体"/>
          <w:bCs/>
          <w:sz w:val="24"/>
          <w:szCs w:val="24"/>
        </w:rPr>
        <w:t>3.技术响应表</w:t>
      </w:r>
    </w:p>
    <w:p>
      <w:pPr>
        <w:spacing w:line="480" w:lineRule="auto"/>
        <w:jc w:val="left"/>
        <w:rPr>
          <w:rFonts w:ascii="宋体" w:hAnsi="宋体" w:cs="宋体"/>
          <w:bCs/>
          <w:sz w:val="24"/>
          <w:szCs w:val="24"/>
        </w:rPr>
      </w:pPr>
      <w:r>
        <w:rPr>
          <w:rFonts w:hint="eastAsia" w:ascii="宋体" w:hAnsi="宋体" w:cs="宋体"/>
          <w:bCs/>
          <w:sz w:val="24"/>
          <w:szCs w:val="24"/>
        </w:rPr>
        <w:t>4.供应商需要说明的其他文件和说明（根据采购需求和打分内容自行编制）。</w:t>
      </w:r>
    </w:p>
    <w:p>
      <w:pPr>
        <w:pStyle w:val="4"/>
        <w:spacing w:before="0" w:after="0"/>
        <w:ind w:firstLine="0" w:firstLineChars="0"/>
        <w:jc w:val="left"/>
        <w:rPr>
          <w:rFonts w:ascii="宋体" w:hAnsi="宋体" w:eastAsia="宋体" w:cs="宋体"/>
          <w:sz w:val="24"/>
          <w:szCs w:val="24"/>
        </w:rPr>
        <w:sectPr>
          <w:headerReference r:id="rId16" w:type="first"/>
          <w:headerReference r:id="rId15" w:type="default"/>
          <w:footerReference r:id="rId17" w:type="default"/>
          <w:pgSz w:w="11905" w:h="16838"/>
          <w:pgMar w:top="1440" w:right="1083" w:bottom="1440" w:left="1083" w:header="850" w:footer="850" w:gutter="0"/>
          <w:cols w:space="720" w:num="1"/>
          <w:titlePg/>
          <w:docGrid w:linePitch="312" w:charSpace="0"/>
        </w:sectPr>
      </w:pPr>
    </w:p>
    <w:p>
      <w:pPr>
        <w:pStyle w:val="4"/>
        <w:spacing w:before="0" w:after="0"/>
        <w:ind w:firstLine="0" w:firstLineChars="0"/>
        <w:jc w:val="left"/>
        <w:rPr>
          <w:rFonts w:ascii="宋体" w:hAnsi="宋体" w:eastAsia="宋体" w:cs="宋体"/>
          <w:sz w:val="24"/>
          <w:szCs w:val="24"/>
        </w:rPr>
      </w:pPr>
      <w:bookmarkStart w:id="266" w:name="_Toc34895601"/>
      <w:r>
        <w:rPr>
          <w:rFonts w:hint="eastAsia" w:ascii="宋体" w:hAnsi="宋体" w:eastAsia="宋体" w:cs="宋体"/>
          <w:sz w:val="24"/>
          <w:szCs w:val="24"/>
        </w:rPr>
        <w:t>2.3    投标</w:t>
      </w:r>
      <w:bookmarkEnd w:id="259"/>
      <w:bookmarkEnd w:id="260"/>
      <w:r>
        <w:rPr>
          <w:rFonts w:hint="eastAsia" w:ascii="宋体" w:hAnsi="宋体" w:eastAsia="宋体" w:cs="宋体"/>
          <w:sz w:val="24"/>
          <w:szCs w:val="24"/>
        </w:rPr>
        <w:t>函</w:t>
      </w:r>
      <w:bookmarkEnd w:id="265"/>
      <w:r>
        <w:rPr>
          <w:rFonts w:hint="eastAsia" w:ascii="宋体" w:hAnsi="宋体" w:eastAsia="宋体" w:cs="宋体"/>
          <w:sz w:val="24"/>
          <w:szCs w:val="24"/>
        </w:rPr>
        <w:t>格式</w:t>
      </w:r>
      <w:bookmarkEnd w:id="266"/>
    </w:p>
    <w:p>
      <w:pPr>
        <w:pStyle w:val="14"/>
        <w:spacing w:line="360" w:lineRule="auto"/>
        <w:ind w:firstLine="0"/>
        <w:jc w:val="center"/>
        <w:rPr>
          <w:rFonts w:ascii="宋体" w:hAnsi="宋体" w:cs="宋体"/>
          <w:b/>
          <w:sz w:val="32"/>
          <w:szCs w:val="32"/>
        </w:rPr>
      </w:pPr>
      <w:r>
        <w:rPr>
          <w:rFonts w:hint="eastAsia" w:ascii="宋体" w:hAnsi="宋体" w:cs="宋体"/>
          <w:b/>
          <w:sz w:val="32"/>
          <w:szCs w:val="32"/>
        </w:rPr>
        <w:t>投标函</w:t>
      </w:r>
    </w:p>
    <w:p>
      <w:pPr>
        <w:pStyle w:val="117"/>
        <w:spacing w:line="360" w:lineRule="auto"/>
        <w:rPr>
          <w:rFonts w:hAnsi="宋体" w:cs="宋体"/>
          <w:sz w:val="24"/>
        </w:rPr>
      </w:pPr>
      <w:r>
        <w:rPr>
          <w:rFonts w:hint="eastAsia" w:hAnsi="宋体" w:cs="宋体"/>
          <w:sz w:val="24"/>
        </w:rPr>
        <w:t>致：</w:t>
      </w:r>
      <w:r>
        <w:rPr>
          <w:rFonts w:hint="eastAsia" w:ascii="宋体" w:hAnsi="宋体" w:cs="宋体"/>
          <w:caps/>
          <w:spacing w:val="20"/>
          <w:kern w:val="0"/>
          <w:sz w:val="24"/>
          <w:szCs w:val="20"/>
          <w:u w:val="single"/>
        </w:rPr>
        <w:t>缙云县城投市政建设有限公司</w:t>
      </w:r>
      <w:r>
        <w:rPr>
          <w:rFonts w:hint="eastAsia" w:ascii="宋体" w:hAnsi="宋体" w:cs="宋体"/>
          <w:spacing w:val="6"/>
          <w:sz w:val="22"/>
          <w:szCs w:val="22"/>
        </w:rPr>
        <w:t>：</w:t>
      </w:r>
    </w:p>
    <w:p>
      <w:pPr>
        <w:pStyle w:val="140"/>
        <w:tabs>
          <w:tab w:val="left" w:pos="0"/>
        </w:tabs>
        <w:spacing w:line="360" w:lineRule="auto"/>
        <w:ind w:firstLine="480" w:firstLineChars="200"/>
        <w:rPr>
          <w:rFonts w:hAnsi="宋体" w:cs="宋体"/>
          <w:sz w:val="24"/>
          <w:szCs w:val="21"/>
        </w:rPr>
      </w:pPr>
      <w:r>
        <w:rPr>
          <w:rFonts w:hint="eastAsia" w:hAnsi="宋体" w:cs="宋体"/>
          <w:sz w:val="24"/>
          <w:szCs w:val="21"/>
        </w:rPr>
        <w:t>根据贵方</w:t>
      </w:r>
      <w:r>
        <w:rPr>
          <w:rFonts w:hint="eastAsia" w:hAnsi="宋体" w:cs="宋体"/>
          <w:sz w:val="24"/>
          <w:szCs w:val="21"/>
          <w:u w:val="single"/>
        </w:rPr>
        <w:t xml:space="preserve">（项目名称）     （项目编号）      </w:t>
      </w:r>
      <w:r>
        <w:rPr>
          <w:rFonts w:hint="eastAsia" w:hAnsi="宋体" w:cs="宋体"/>
          <w:sz w:val="24"/>
          <w:szCs w:val="21"/>
        </w:rPr>
        <w:t>的招标文件要求，正式授权下述签字人</w:t>
      </w:r>
      <w:r>
        <w:rPr>
          <w:rFonts w:hint="eastAsia" w:hAnsi="宋体" w:cs="宋体"/>
          <w:sz w:val="24"/>
          <w:szCs w:val="21"/>
          <w:u w:val="single"/>
        </w:rPr>
        <w:t>（姓名和职务）</w:t>
      </w:r>
      <w:r>
        <w:rPr>
          <w:rFonts w:hint="eastAsia" w:hAnsi="宋体" w:cs="宋体"/>
          <w:sz w:val="24"/>
          <w:szCs w:val="21"/>
        </w:rPr>
        <w:t>全权代表供应商</w:t>
      </w:r>
      <w:r>
        <w:rPr>
          <w:rFonts w:hint="eastAsia" w:hAnsi="宋体" w:cs="宋体"/>
          <w:sz w:val="24"/>
          <w:szCs w:val="21"/>
          <w:u w:val="single"/>
        </w:rPr>
        <w:t>（供应商全称）</w:t>
      </w:r>
      <w:r>
        <w:rPr>
          <w:rFonts w:hint="eastAsia" w:hAnsi="宋体" w:cs="宋体"/>
          <w:sz w:val="24"/>
          <w:szCs w:val="21"/>
        </w:rPr>
        <w:t>参加贵方组织的有关招标活动，并提交下述文件：</w:t>
      </w:r>
    </w:p>
    <w:p>
      <w:pPr>
        <w:pStyle w:val="140"/>
        <w:tabs>
          <w:tab w:val="left" w:pos="0"/>
        </w:tabs>
        <w:spacing w:line="360" w:lineRule="auto"/>
        <w:ind w:firstLine="480" w:firstLineChars="200"/>
        <w:rPr>
          <w:rFonts w:hAnsi="宋体" w:cs="宋体"/>
          <w:sz w:val="24"/>
          <w:szCs w:val="21"/>
        </w:rPr>
      </w:pPr>
      <w:r>
        <w:rPr>
          <w:rFonts w:hint="eastAsia" w:hAnsi="宋体" w:cs="宋体"/>
          <w:sz w:val="24"/>
          <w:szCs w:val="21"/>
        </w:rPr>
        <w:t>乐采云平台系统提交电子加密投标文件</w:t>
      </w:r>
      <w:r>
        <w:rPr>
          <w:rFonts w:hint="eastAsia" w:hAnsi="宋体" w:cs="宋体"/>
          <w:sz w:val="24"/>
          <w:szCs w:val="21"/>
          <w:u w:val="single"/>
        </w:rPr>
        <w:t xml:space="preserve">   </w:t>
      </w:r>
      <w:r>
        <w:rPr>
          <w:rFonts w:hint="eastAsia" w:hAnsi="宋体" w:cs="宋体"/>
          <w:sz w:val="24"/>
          <w:szCs w:val="21"/>
        </w:rPr>
        <w:t>份；</w:t>
      </w:r>
    </w:p>
    <w:p>
      <w:pPr>
        <w:pStyle w:val="140"/>
        <w:spacing w:line="360" w:lineRule="auto"/>
        <w:ind w:firstLine="480" w:firstLineChars="200"/>
        <w:rPr>
          <w:rFonts w:hAnsi="宋体" w:cs="宋体"/>
          <w:sz w:val="24"/>
          <w:szCs w:val="21"/>
        </w:rPr>
      </w:pPr>
      <w:r>
        <w:rPr>
          <w:rFonts w:hint="eastAsia" w:hAnsi="宋体" w:cs="宋体"/>
          <w:sz w:val="24"/>
          <w:szCs w:val="24"/>
        </w:rPr>
        <w:t>通过电子邮件提交备份电子投标文件（打包压缩加密）</w:t>
      </w:r>
      <w:r>
        <w:rPr>
          <w:rFonts w:hint="eastAsia" w:hAnsi="宋体" w:cs="宋体"/>
          <w:sz w:val="24"/>
          <w:szCs w:val="21"/>
          <w:u w:val="single"/>
        </w:rPr>
        <w:t xml:space="preserve">   </w:t>
      </w:r>
      <w:r>
        <w:rPr>
          <w:rFonts w:hint="eastAsia" w:hAnsi="宋体" w:cs="宋体"/>
          <w:sz w:val="24"/>
          <w:szCs w:val="21"/>
        </w:rPr>
        <w:t>份；</w:t>
      </w:r>
    </w:p>
    <w:p>
      <w:pPr>
        <w:pStyle w:val="140"/>
        <w:tabs>
          <w:tab w:val="left" w:pos="0"/>
        </w:tabs>
        <w:spacing w:line="360" w:lineRule="auto"/>
        <w:ind w:firstLine="480" w:firstLineChars="200"/>
        <w:rPr>
          <w:rFonts w:hAnsi="宋体" w:cs="宋体"/>
          <w:sz w:val="24"/>
          <w:szCs w:val="21"/>
        </w:rPr>
      </w:pPr>
      <w:r>
        <w:rPr>
          <w:rFonts w:hint="eastAsia" w:hAnsi="宋体" w:cs="宋体"/>
          <w:sz w:val="24"/>
          <w:szCs w:val="21"/>
        </w:rPr>
        <w:t>据此函我方就本次投标有关事项郑重承诺如下：</w:t>
      </w:r>
    </w:p>
    <w:p>
      <w:pPr>
        <w:pStyle w:val="140"/>
        <w:spacing w:line="360" w:lineRule="auto"/>
        <w:ind w:firstLine="480" w:firstLineChars="200"/>
        <w:rPr>
          <w:rFonts w:hAnsi="宋体" w:cs="宋体"/>
          <w:sz w:val="24"/>
          <w:szCs w:val="21"/>
        </w:rPr>
      </w:pPr>
      <w:r>
        <w:rPr>
          <w:rFonts w:hint="eastAsia" w:hAnsi="宋体" w:cs="宋体"/>
          <w:sz w:val="24"/>
          <w:szCs w:val="21"/>
        </w:rPr>
        <w:t>1、我方向贵方提交的所有投标文件、资料都是准确的和真实的。</w:t>
      </w:r>
    </w:p>
    <w:p>
      <w:pPr>
        <w:pStyle w:val="140"/>
        <w:spacing w:line="360" w:lineRule="auto"/>
        <w:ind w:firstLine="480" w:firstLineChars="200"/>
        <w:rPr>
          <w:rFonts w:hAnsi="宋体" w:cs="宋体"/>
          <w:sz w:val="24"/>
          <w:szCs w:val="21"/>
        </w:rPr>
      </w:pPr>
      <w:r>
        <w:rPr>
          <w:rFonts w:hint="eastAsia" w:hAnsi="宋体" w:cs="宋体"/>
          <w:sz w:val="24"/>
          <w:szCs w:val="21"/>
        </w:rPr>
        <w:t>2、我方承诺已经具备《中华人民共和国政府采购法》、《中华人民共和国政府采购法实施条例》中规定的参加采购活动的供应商应当具备的条件，并真实提供相关材料。</w:t>
      </w:r>
    </w:p>
    <w:p>
      <w:pPr>
        <w:pStyle w:val="140"/>
        <w:spacing w:line="360" w:lineRule="auto"/>
        <w:ind w:firstLine="480" w:firstLineChars="200"/>
        <w:rPr>
          <w:rFonts w:hAnsi="宋体" w:cs="宋体"/>
          <w:sz w:val="24"/>
          <w:szCs w:val="21"/>
        </w:rPr>
      </w:pPr>
      <w:r>
        <w:rPr>
          <w:rFonts w:hint="eastAsia" w:hAnsi="宋体" w:cs="宋体"/>
          <w:sz w:val="24"/>
          <w:szCs w:val="21"/>
        </w:rPr>
        <w:t>3、如果我方中标，在合同签订后</w:t>
      </w:r>
      <w:r>
        <w:rPr>
          <w:rFonts w:hint="eastAsia" w:hAnsi="宋体" w:cs="宋体"/>
          <w:sz w:val="24"/>
          <w:szCs w:val="21"/>
          <w:u w:val="single"/>
        </w:rPr>
        <w:t xml:space="preserve">    </w:t>
      </w:r>
      <w:r>
        <w:rPr>
          <w:rFonts w:hint="eastAsia" w:hAnsi="宋体" w:cs="宋体"/>
          <w:sz w:val="24"/>
          <w:szCs w:val="21"/>
        </w:rPr>
        <w:t>天（日历天）完成该项目。</w:t>
      </w:r>
    </w:p>
    <w:p>
      <w:pPr>
        <w:pStyle w:val="140"/>
        <w:spacing w:line="360" w:lineRule="auto"/>
        <w:ind w:firstLine="480" w:firstLineChars="200"/>
        <w:rPr>
          <w:rFonts w:hAnsi="宋体" w:cs="宋体"/>
          <w:sz w:val="24"/>
          <w:szCs w:val="21"/>
        </w:rPr>
      </w:pPr>
      <w:r>
        <w:rPr>
          <w:rFonts w:hint="eastAsia" w:hAnsi="宋体" w:cs="宋体"/>
          <w:sz w:val="24"/>
          <w:szCs w:val="21"/>
        </w:rPr>
        <w:t>4、如果我方中标，将派出</w:t>
      </w:r>
      <w:r>
        <w:rPr>
          <w:rFonts w:hint="eastAsia" w:hAnsi="宋体" w:cs="宋体"/>
          <w:sz w:val="24"/>
          <w:szCs w:val="21"/>
          <w:u w:val="single"/>
        </w:rPr>
        <w:t>（姓名及身份证号码），</w:t>
      </w:r>
      <w:r>
        <w:rPr>
          <w:rFonts w:hint="eastAsia" w:hAnsi="宋体" w:cs="宋体"/>
          <w:sz w:val="24"/>
          <w:szCs w:val="21"/>
        </w:rPr>
        <w:t>作为本项目与采购单位联系的项目实施负责人，联系手机号码：</w:t>
      </w:r>
      <w:r>
        <w:rPr>
          <w:rFonts w:hint="eastAsia" w:hAnsi="宋体" w:cs="宋体"/>
          <w:sz w:val="24"/>
          <w:szCs w:val="21"/>
          <w:u w:val="single"/>
        </w:rPr>
        <w:t xml:space="preserve">            </w:t>
      </w:r>
      <w:r>
        <w:rPr>
          <w:rFonts w:hint="eastAsia" w:hAnsi="宋体" w:cs="宋体"/>
          <w:sz w:val="24"/>
          <w:szCs w:val="21"/>
        </w:rPr>
        <w:t>。在项目实施过程中，并承诺项目实施负责人不更换，若确需要更换的，书面征得采购人同意后才准予更换。</w:t>
      </w:r>
    </w:p>
    <w:p>
      <w:pPr>
        <w:pStyle w:val="140"/>
        <w:spacing w:line="360" w:lineRule="auto"/>
        <w:ind w:firstLine="480" w:firstLineChars="200"/>
        <w:rPr>
          <w:rFonts w:hAnsi="宋体" w:cs="宋体"/>
          <w:sz w:val="24"/>
          <w:szCs w:val="21"/>
        </w:rPr>
      </w:pPr>
      <w:r>
        <w:rPr>
          <w:rFonts w:hint="eastAsia" w:hAnsi="宋体" w:cs="宋体"/>
          <w:sz w:val="24"/>
          <w:szCs w:val="21"/>
        </w:rPr>
        <w:t>5、我方的投标有效期自在开标日起</w:t>
      </w:r>
      <w:r>
        <w:rPr>
          <w:rFonts w:hint="eastAsia" w:hAnsi="宋体" w:cs="宋体"/>
          <w:sz w:val="24"/>
          <w:szCs w:val="21"/>
          <w:u w:val="single"/>
        </w:rPr>
        <w:t xml:space="preserve">     </w:t>
      </w:r>
      <w:r>
        <w:rPr>
          <w:rFonts w:hint="eastAsia" w:hAnsi="宋体" w:cs="宋体"/>
          <w:sz w:val="24"/>
          <w:szCs w:val="21"/>
        </w:rPr>
        <w:t>天内有效。如果在开标后规定的投标有效期内撤回投标，贵方可按相关规定处理我方。</w:t>
      </w:r>
    </w:p>
    <w:p>
      <w:pPr>
        <w:pStyle w:val="140"/>
        <w:spacing w:line="360" w:lineRule="auto"/>
        <w:ind w:firstLine="480" w:firstLineChars="200"/>
        <w:rPr>
          <w:rFonts w:hAnsi="宋体" w:cs="宋体"/>
          <w:sz w:val="24"/>
          <w:szCs w:val="21"/>
        </w:rPr>
      </w:pPr>
      <w:r>
        <w:rPr>
          <w:rFonts w:hint="eastAsia" w:hAnsi="宋体" w:cs="宋体"/>
          <w:sz w:val="24"/>
          <w:szCs w:val="21"/>
        </w:rPr>
        <w:t>6、我方在投标之前已经与贵方进行了充分的沟通，完全理解并接受招标文件的各项规定和要求，对招标文件的合理性、合法性不再有异议。</w:t>
      </w:r>
    </w:p>
    <w:p>
      <w:pPr>
        <w:pStyle w:val="140"/>
        <w:spacing w:line="360" w:lineRule="auto"/>
        <w:ind w:firstLine="480" w:firstLineChars="200"/>
        <w:rPr>
          <w:rFonts w:hAnsi="宋体" w:cs="宋体"/>
          <w:sz w:val="24"/>
          <w:szCs w:val="21"/>
        </w:rPr>
      </w:pPr>
      <w:r>
        <w:rPr>
          <w:rFonts w:hint="eastAsia" w:hAnsi="宋体" w:cs="宋体"/>
          <w:sz w:val="24"/>
          <w:szCs w:val="21"/>
        </w:rPr>
        <w:t>我方愿意向贵方提供真实完整的任何与该项投标有关的数据、情况和技术资料。若贵方需要，我方愿意提供我方作出的一切承诺的证明材料。</w:t>
      </w:r>
    </w:p>
    <w:p>
      <w:pPr>
        <w:pStyle w:val="140"/>
        <w:spacing w:line="360" w:lineRule="auto"/>
        <w:ind w:firstLine="480" w:firstLineChars="200"/>
        <w:rPr>
          <w:rFonts w:hAnsi="宋体" w:cs="宋体"/>
          <w:sz w:val="24"/>
          <w:szCs w:val="21"/>
        </w:rPr>
      </w:pPr>
      <w:r>
        <w:rPr>
          <w:rFonts w:hint="eastAsia" w:hAnsi="宋体" w:cs="宋体"/>
          <w:sz w:val="24"/>
          <w:szCs w:val="21"/>
        </w:rPr>
        <w:t>7、我方已详细审核全部招标文件，包括招标文件的澄清或修改文件（如有的话）、参考资料及有关附件，已经了解我方对于招标文件、采购过程、采购结果有依法进行询问、质疑、投诉的权利及相关渠道和要求。</w:t>
      </w:r>
    </w:p>
    <w:p>
      <w:pPr>
        <w:pStyle w:val="140"/>
        <w:spacing w:line="360" w:lineRule="auto"/>
        <w:ind w:firstLine="480" w:firstLineChars="200"/>
        <w:rPr>
          <w:rFonts w:hAnsi="宋体" w:cs="宋体"/>
          <w:sz w:val="24"/>
          <w:szCs w:val="21"/>
        </w:rPr>
      </w:pPr>
      <w:r>
        <w:rPr>
          <w:rFonts w:hint="eastAsia" w:hAnsi="宋体" w:cs="宋体"/>
          <w:sz w:val="24"/>
          <w:szCs w:val="21"/>
        </w:rPr>
        <w:t>8、我方不是采购人的附属机构，并未为本项目提供整体设计、规范编制或者项目管理、监理、监测等服务。</w:t>
      </w:r>
    </w:p>
    <w:p>
      <w:pPr>
        <w:pStyle w:val="140"/>
        <w:spacing w:line="360" w:lineRule="auto"/>
        <w:ind w:firstLine="480" w:firstLineChars="200"/>
        <w:rPr>
          <w:rFonts w:hAnsi="宋体" w:cs="宋体"/>
          <w:sz w:val="24"/>
          <w:szCs w:val="21"/>
        </w:rPr>
      </w:pPr>
      <w:r>
        <w:rPr>
          <w:rFonts w:hint="eastAsia" w:hAnsi="宋体" w:cs="宋体"/>
          <w:sz w:val="24"/>
          <w:szCs w:val="21"/>
        </w:rPr>
        <w:t>10、我方将严格遵守《中华人民共和国政府采购法》第七十七条规定：供应商有下列情形之一的，处以采购金额5‰以上10‰以下的罚款，列入不良行为记录名单，在一至三年内禁止参加采购活动；有违法所得的，并处没收违法所得；情节严重的，由工商行政管理机关吊销营业执照；构成犯罪的，依法追究刑事责任：</w:t>
      </w:r>
    </w:p>
    <w:p>
      <w:pPr>
        <w:pStyle w:val="140"/>
        <w:spacing w:line="360" w:lineRule="auto"/>
        <w:ind w:firstLine="240" w:firstLineChars="100"/>
        <w:rPr>
          <w:rFonts w:hAnsi="宋体" w:cs="宋体"/>
          <w:sz w:val="24"/>
          <w:szCs w:val="21"/>
        </w:rPr>
      </w:pPr>
      <w:r>
        <w:rPr>
          <w:rFonts w:hint="eastAsia" w:hAnsi="宋体" w:cs="宋体"/>
          <w:sz w:val="24"/>
          <w:szCs w:val="21"/>
        </w:rPr>
        <w:t>（一）提供虚假材料谋取中标、中标的；</w:t>
      </w:r>
    </w:p>
    <w:p>
      <w:pPr>
        <w:pStyle w:val="140"/>
        <w:spacing w:line="360" w:lineRule="auto"/>
        <w:ind w:firstLine="240" w:firstLineChars="100"/>
        <w:rPr>
          <w:rFonts w:hAnsi="宋体" w:cs="宋体"/>
          <w:sz w:val="24"/>
          <w:szCs w:val="21"/>
        </w:rPr>
      </w:pPr>
      <w:r>
        <w:rPr>
          <w:rFonts w:hint="eastAsia" w:hAnsi="宋体" w:cs="宋体"/>
          <w:sz w:val="24"/>
          <w:szCs w:val="21"/>
        </w:rPr>
        <w:t>（二）采取不正当手段诋毁、排挤其他供应商的；</w:t>
      </w:r>
    </w:p>
    <w:p>
      <w:pPr>
        <w:pStyle w:val="140"/>
        <w:spacing w:line="360" w:lineRule="auto"/>
        <w:ind w:firstLine="240" w:firstLineChars="100"/>
        <w:rPr>
          <w:rFonts w:hAnsi="宋体" w:cs="宋体"/>
          <w:sz w:val="24"/>
          <w:szCs w:val="21"/>
        </w:rPr>
      </w:pPr>
      <w:r>
        <w:rPr>
          <w:rFonts w:hint="eastAsia" w:hAnsi="宋体" w:cs="宋体"/>
          <w:sz w:val="24"/>
          <w:szCs w:val="21"/>
        </w:rPr>
        <w:t>（三）与采购人、其它供应商或者采购代理机构恶意串通的；</w:t>
      </w:r>
    </w:p>
    <w:p>
      <w:pPr>
        <w:pStyle w:val="140"/>
        <w:spacing w:line="360" w:lineRule="auto"/>
        <w:ind w:firstLine="240" w:firstLineChars="100"/>
        <w:rPr>
          <w:rFonts w:hAnsi="宋体" w:cs="宋体"/>
          <w:sz w:val="24"/>
          <w:szCs w:val="21"/>
        </w:rPr>
      </w:pPr>
      <w:r>
        <w:rPr>
          <w:rFonts w:hint="eastAsia" w:hAnsi="宋体" w:cs="宋体"/>
          <w:sz w:val="24"/>
          <w:szCs w:val="21"/>
        </w:rPr>
        <w:t>（四）向采购人、采购代理机构行贿或者提供其他不正当利益的；</w:t>
      </w:r>
    </w:p>
    <w:p>
      <w:pPr>
        <w:pStyle w:val="140"/>
        <w:spacing w:line="360" w:lineRule="auto"/>
        <w:ind w:firstLine="240" w:firstLineChars="100"/>
        <w:rPr>
          <w:rFonts w:hAnsi="宋体" w:cs="宋体"/>
          <w:sz w:val="24"/>
          <w:szCs w:val="21"/>
        </w:rPr>
      </w:pPr>
      <w:r>
        <w:rPr>
          <w:rFonts w:hint="eastAsia" w:hAnsi="宋体" w:cs="宋体"/>
          <w:sz w:val="24"/>
          <w:szCs w:val="21"/>
        </w:rPr>
        <w:t>（五）在招标采购过程中与采购人进行协商谈判的；</w:t>
      </w:r>
    </w:p>
    <w:p>
      <w:pPr>
        <w:pStyle w:val="140"/>
        <w:spacing w:line="360" w:lineRule="auto"/>
        <w:ind w:firstLine="240" w:firstLineChars="100"/>
        <w:rPr>
          <w:rFonts w:hAnsi="宋体" w:cs="宋体"/>
          <w:sz w:val="24"/>
          <w:szCs w:val="21"/>
        </w:rPr>
      </w:pPr>
      <w:r>
        <w:rPr>
          <w:rFonts w:hint="eastAsia" w:hAnsi="宋体" w:cs="宋体"/>
          <w:sz w:val="24"/>
          <w:szCs w:val="21"/>
        </w:rPr>
        <w:t>（六）拒绝有关部门监督检查或提供虚假情况的。</w:t>
      </w:r>
    </w:p>
    <w:p>
      <w:pPr>
        <w:pStyle w:val="140"/>
        <w:spacing w:line="360" w:lineRule="auto"/>
        <w:ind w:firstLine="240" w:firstLineChars="100"/>
        <w:rPr>
          <w:rFonts w:hAnsi="宋体" w:cs="宋体"/>
          <w:sz w:val="24"/>
          <w:szCs w:val="21"/>
        </w:rPr>
      </w:pPr>
      <w:r>
        <w:rPr>
          <w:rFonts w:hint="eastAsia" w:hAnsi="宋体" w:cs="宋体"/>
          <w:sz w:val="24"/>
          <w:szCs w:val="21"/>
        </w:rPr>
        <w:t>11、如中标，本投标文件至本项目合同履行完毕止均保持有效，我方将按招标文件及采购法律、法规的规定履行合同责任和义务。</w:t>
      </w:r>
    </w:p>
    <w:p>
      <w:pPr>
        <w:pStyle w:val="140"/>
        <w:spacing w:line="360" w:lineRule="auto"/>
        <w:ind w:firstLine="240" w:firstLineChars="100"/>
        <w:rPr>
          <w:rFonts w:hAnsi="宋体" w:cs="宋体"/>
          <w:sz w:val="24"/>
          <w:szCs w:val="21"/>
        </w:rPr>
      </w:pPr>
      <w:r>
        <w:rPr>
          <w:rFonts w:hint="eastAsia" w:hAnsi="宋体" w:cs="宋体"/>
          <w:sz w:val="24"/>
          <w:szCs w:val="21"/>
        </w:rPr>
        <w:t>12、以上事项如有虚假或隐瞒，我方愿意承担一切不利后果，并不再寻求任何旨在减轻或免除法律责任。</w:t>
      </w:r>
    </w:p>
    <w:p>
      <w:pPr>
        <w:pStyle w:val="140"/>
        <w:spacing w:line="360" w:lineRule="auto"/>
        <w:ind w:firstLine="480"/>
        <w:rPr>
          <w:rFonts w:hAnsi="宋体" w:cs="宋体"/>
          <w:sz w:val="24"/>
          <w:szCs w:val="21"/>
        </w:rPr>
      </w:pPr>
      <w:r>
        <w:rPr>
          <w:rFonts w:hint="eastAsia" w:hAnsi="宋体" w:cs="宋体"/>
          <w:sz w:val="24"/>
          <w:szCs w:val="21"/>
        </w:rPr>
        <w:t>与本次投标有关的一切正式往来信函请寄：</w:t>
      </w:r>
    </w:p>
    <w:p>
      <w:pPr>
        <w:pStyle w:val="140"/>
        <w:spacing w:line="360" w:lineRule="auto"/>
        <w:ind w:firstLine="480"/>
        <w:rPr>
          <w:rFonts w:hAnsi="宋体" w:cs="宋体"/>
          <w:sz w:val="24"/>
          <w:szCs w:val="21"/>
        </w:rPr>
      </w:pPr>
      <w:r>
        <w:rPr>
          <w:rFonts w:hint="eastAsia" w:hAnsi="宋体" w:cs="宋体"/>
          <w:sz w:val="24"/>
          <w:szCs w:val="21"/>
        </w:rPr>
        <w:t>地址：</w:t>
      </w:r>
      <w:r>
        <w:rPr>
          <w:rFonts w:hint="eastAsia" w:hAnsi="宋体" w:cs="宋体"/>
          <w:spacing w:val="20"/>
          <w:sz w:val="24"/>
          <w:u w:val="single"/>
        </w:rPr>
        <w:t xml:space="preserve">             </w:t>
      </w:r>
      <w:r>
        <w:rPr>
          <w:rFonts w:hint="eastAsia" w:hAnsi="宋体" w:cs="宋体"/>
          <w:sz w:val="24"/>
          <w:szCs w:val="21"/>
        </w:rPr>
        <w:t xml:space="preserve">     邮编：</w:t>
      </w:r>
      <w:r>
        <w:rPr>
          <w:rFonts w:hint="eastAsia" w:hAnsi="宋体" w:cs="宋体"/>
          <w:spacing w:val="20"/>
          <w:sz w:val="24"/>
          <w:u w:val="single"/>
        </w:rPr>
        <w:t xml:space="preserve">           </w:t>
      </w:r>
    </w:p>
    <w:p>
      <w:pPr>
        <w:pStyle w:val="26"/>
        <w:spacing w:line="360" w:lineRule="auto"/>
        <w:ind w:firstLine="480" w:firstLineChars="200"/>
        <w:rPr>
          <w:rFonts w:hAnsi="宋体" w:cs="宋体"/>
          <w:sz w:val="24"/>
          <w:szCs w:val="21"/>
        </w:rPr>
      </w:pPr>
      <w:r>
        <w:rPr>
          <w:rFonts w:hint="eastAsia" w:hAnsi="宋体" w:cs="宋体"/>
          <w:sz w:val="24"/>
          <w:szCs w:val="21"/>
        </w:rPr>
        <w:t>电话：</w:t>
      </w:r>
      <w:r>
        <w:rPr>
          <w:rFonts w:hint="eastAsia" w:hAnsi="宋体" w:cs="宋体"/>
          <w:spacing w:val="20"/>
          <w:sz w:val="24"/>
          <w:u w:val="single"/>
        </w:rPr>
        <w:t xml:space="preserve">             </w:t>
      </w:r>
      <w:r>
        <w:rPr>
          <w:rFonts w:hint="eastAsia" w:hAnsi="宋体" w:cs="宋体"/>
          <w:sz w:val="24"/>
          <w:szCs w:val="21"/>
        </w:rPr>
        <w:t xml:space="preserve">     传真：</w:t>
      </w:r>
      <w:r>
        <w:rPr>
          <w:rFonts w:hint="eastAsia" w:hAnsi="宋体" w:cs="宋体"/>
          <w:spacing w:val="20"/>
          <w:sz w:val="24"/>
          <w:u w:val="single"/>
        </w:rPr>
        <w:t xml:space="preserve">           </w:t>
      </w:r>
    </w:p>
    <w:p>
      <w:pPr>
        <w:pStyle w:val="292"/>
        <w:spacing w:line="360" w:lineRule="auto"/>
        <w:rPr>
          <w:rFonts w:ascii="宋体" w:hAnsi="宋体" w:cs="宋体"/>
          <w:bCs/>
          <w:sz w:val="24"/>
        </w:rPr>
      </w:pPr>
    </w:p>
    <w:p>
      <w:pPr>
        <w:pStyle w:val="135"/>
        <w:spacing w:line="360" w:lineRule="auto"/>
        <w:rPr>
          <w:rFonts w:hAnsi="宋体" w:cs="宋体"/>
          <w:sz w:val="24"/>
          <w:szCs w:val="21"/>
        </w:rPr>
      </w:pPr>
    </w:p>
    <w:p>
      <w:pPr>
        <w:pStyle w:val="168"/>
        <w:wordWrap w:val="0"/>
        <w:spacing w:line="360" w:lineRule="auto"/>
        <w:ind w:firstLine="480"/>
        <w:jc w:val="right"/>
        <w:rPr>
          <w:rFonts w:ascii="宋体" w:hAnsi="宋体" w:cs="宋体"/>
          <w:spacing w:val="20"/>
          <w:sz w:val="24"/>
          <w:szCs w:val="21"/>
          <w:u w:val="single"/>
        </w:rPr>
      </w:pPr>
    </w:p>
    <w:p>
      <w:pPr>
        <w:pStyle w:val="168"/>
        <w:wordWrap w:val="0"/>
        <w:spacing w:line="360" w:lineRule="auto"/>
        <w:ind w:firstLine="480"/>
        <w:jc w:val="right"/>
        <w:rPr>
          <w:rFonts w:ascii="宋体" w:hAnsi="宋体" w:cs="宋体"/>
          <w:sz w:val="24"/>
          <w:szCs w:val="21"/>
          <w:u w:val="single"/>
        </w:rPr>
      </w:pPr>
      <w:r>
        <w:rPr>
          <w:rFonts w:hint="eastAsia" w:ascii="宋体" w:hAnsi="宋体" w:cs="宋体"/>
          <w:sz w:val="24"/>
          <w:szCs w:val="21"/>
        </w:rPr>
        <w:t>供应商盖章</w:t>
      </w:r>
      <w:r>
        <w:rPr>
          <w:rFonts w:hint="eastAsia" w:ascii="宋体" w:hAnsi="宋体" w:cs="宋体"/>
          <w:spacing w:val="20"/>
          <w:sz w:val="24"/>
          <w:szCs w:val="21"/>
        </w:rPr>
        <w:t>(电子签章)</w:t>
      </w:r>
      <w:r>
        <w:rPr>
          <w:rFonts w:hint="eastAsia" w:ascii="宋体" w:hAnsi="宋体" w:cs="宋体"/>
          <w:sz w:val="24"/>
          <w:szCs w:val="21"/>
        </w:rPr>
        <w:t>：</w:t>
      </w:r>
      <w:r>
        <w:rPr>
          <w:rFonts w:hint="eastAsia" w:ascii="宋体" w:hAnsi="宋体" w:cs="宋体"/>
          <w:sz w:val="24"/>
          <w:szCs w:val="21"/>
          <w:u w:val="single"/>
        </w:rPr>
        <w:t xml:space="preserve">                </w:t>
      </w:r>
    </w:p>
    <w:p>
      <w:pPr>
        <w:pStyle w:val="168"/>
        <w:wordWrap w:val="0"/>
        <w:spacing w:line="360" w:lineRule="auto"/>
        <w:ind w:firstLine="480"/>
        <w:jc w:val="right"/>
        <w:rPr>
          <w:rFonts w:ascii="宋体" w:hAnsi="宋体" w:cs="宋体"/>
          <w:sz w:val="24"/>
          <w:szCs w:val="21"/>
          <w:u w:val="single"/>
        </w:rPr>
      </w:pPr>
      <w:r>
        <w:rPr>
          <w:rFonts w:hint="eastAsia" w:ascii="宋体" w:hAnsi="宋体" w:cs="宋体"/>
          <w:sz w:val="24"/>
          <w:szCs w:val="21"/>
        </w:rPr>
        <w:t>日      期：</w:t>
      </w:r>
      <w:r>
        <w:rPr>
          <w:rFonts w:hint="eastAsia" w:ascii="宋体" w:hAnsi="宋体" w:cs="宋体"/>
          <w:sz w:val="24"/>
          <w:szCs w:val="21"/>
          <w:u w:val="single"/>
        </w:rPr>
        <w:t xml:space="preserve">                </w:t>
      </w:r>
    </w:p>
    <w:p>
      <w:pPr>
        <w:pStyle w:val="168"/>
        <w:spacing w:line="360" w:lineRule="auto"/>
        <w:jc w:val="left"/>
        <w:rPr>
          <w:rFonts w:ascii="宋体" w:hAnsi="宋体" w:cs="宋体"/>
          <w:spacing w:val="20"/>
          <w:sz w:val="24"/>
          <w:szCs w:val="21"/>
          <w:u w:val="single"/>
        </w:rPr>
      </w:pPr>
    </w:p>
    <w:p>
      <w:pPr>
        <w:pStyle w:val="140"/>
        <w:spacing w:line="360" w:lineRule="auto"/>
        <w:rPr>
          <w:rFonts w:hAnsi="宋体" w:cs="宋体"/>
          <w:sz w:val="24"/>
          <w:szCs w:val="21"/>
        </w:rPr>
      </w:pPr>
    </w:p>
    <w:p>
      <w:pPr>
        <w:pStyle w:val="140"/>
        <w:spacing w:line="360" w:lineRule="auto"/>
        <w:rPr>
          <w:rFonts w:hAnsi="宋体" w:cs="宋体"/>
          <w:sz w:val="24"/>
          <w:szCs w:val="21"/>
        </w:rPr>
      </w:pPr>
      <w:r>
        <w:rPr>
          <w:rFonts w:hint="eastAsia" w:hAnsi="宋体" w:cs="宋体"/>
          <w:sz w:val="24"/>
          <w:szCs w:val="21"/>
        </w:rPr>
        <w:t>注：按照本声明书要求填报。</w:t>
      </w:r>
    </w:p>
    <w:p>
      <w:pPr>
        <w:pStyle w:val="4"/>
        <w:spacing w:before="0" w:after="0"/>
        <w:ind w:firstLine="0" w:firstLineChars="0"/>
        <w:jc w:val="center"/>
        <w:rPr>
          <w:rFonts w:ascii="宋体" w:hAnsi="宋体" w:eastAsia="宋体" w:cs="宋体"/>
          <w:sz w:val="32"/>
          <w:szCs w:val="32"/>
        </w:rPr>
        <w:sectPr>
          <w:pgSz w:w="11905" w:h="16838"/>
          <w:pgMar w:top="1440" w:right="1083" w:bottom="1440" w:left="1083" w:header="850" w:footer="850" w:gutter="0"/>
          <w:cols w:space="720" w:num="1"/>
          <w:titlePg/>
          <w:docGrid w:linePitch="312" w:charSpace="0"/>
        </w:sectPr>
      </w:pPr>
      <w:bookmarkStart w:id="267" w:name="_Toc493956060"/>
    </w:p>
    <w:bookmarkEnd w:id="267"/>
    <w:p>
      <w:pPr>
        <w:pStyle w:val="4"/>
        <w:spacing w:before="0" w:after="0"/>
        <w:ind w:firstLine="0" w:firstLineChars="0"/>
        <w:jc w:val="left"/>
        <w:rPr>
          <w:rFonts w:ascii="宋体" w:hAnsi="宋体" w:eastAsia="宋体" w:cs="宋体"/>
          <w:sz w:val="24"/>
          <w:szCs w:val="24"/>
        </w:rPr>
      </w:pPr>
      <w:bookmarkStart w:id="268" w:name="_Toc531359061"/>
      <w:bookmarkStart w:id="269" w:name="_Toc493956063"/>
      <w:bookmarkStart w:id="270" w:name="_Toc530551887"/>
      <w:bookmarkStart w:id="271" w:name="_Toc34895604"/>
      <w:r>
        <w:rPr>
          <w:rFonts w:hint="eastAsia" w:ascii="宋体" w:hAnsi="宋体" w:eastAsia="宋体" w:cs="宋体"/>
          <w:sz w:val="24"/>
          <w:szCs w:val="24"/>
        </w:rPr>
        <w:t>2.4    商务响应表</w:t>
      </w:r>
      <w:bookmarkEnd w:id="268"/>
      <w:bookmarkEnd w:id="269"/>
      <w:bookmarkEnd w:id="270"/>
      <w:r>
        <w:rPr>
          <w:rFonts w:hint="eastAsia" w:ascii="宋体" w:hAnsi="宋体" w:eastAsia="宋体" w:cs="宋体"/>
          <w:sz w:val="24"/>
          <w:szCs w:val="24"/>
        </w:rPr>
        <w:t>格式</w:t>
      </w:r>
      <w:bookmarkEnd w:id="271"/>
    </w:p>
    <w:p>
      <w:pPr>
        <w:pStyle w:val="14"/>
        <w:spacing w:line="360" w:lineRule="auto"/>
        <w:ind w:firstLine="0"/>
        <w:jc w:val="center"/>
        <w:rPr>
          <w:rFonts w:ascii="宋体" w:hAnsi="宋体" w:cs="宋体"/>
          <w:b/>
          <w:sz w:val="32"/>
          <w:szCs w:val="32"/>
        </w:rPr>
      </w:pPr>
      <w:r>
        <w:rPr>
          <w:rFonts w:hint="eastAsia" w:ascii="宋体" w:hAnsi="宋体" w:cs="宋体"/>
          <w:b/>
          <w:sz w:val="32"/>
          <w:szCs w:val="32"/>
        </w:rPr>
        <w:t>商务响应表</w:t>
      </w:r>
    </w:p>
    <w:p>
      <w:pPr>
        <w:pStyle w:val="293"/>
        <w:spacing w:line="560" w:lineRule="exact"/>
        <w:rPr>
          <w:rFonts w:ascii="宋体" w:hAnsi="宋体" w:cs="宋体"/>
          <w:sz w:val="24"/>
        </w:rPr>
      </w:pPr>
      <w:r>
        <w:rPr>
          <w:rFonts w:hint="eastAsia" w:ascii="宋体" w:hAnsi="宋体" w:cs="宋体"/>
          <w:sz w:val="24"/>
        </w:rPr>
        <w:t>项目编号：</w:t>
      </w:r>
    </w:p>
    <w:p>
      <w:pPr>
        <w:pStyle w:val="293"/>
        <w:spacing w:line="560" w:lineRule="exact"/>
        <w:rPr>
          <w:rFonts w:ascii="宋体" w:hAnsi="宋体" w:cs="宋体"/>
          <w:sz w:val="24"/>
        </w:rPr>
      </w:pPr>
      <w:r>
        <w:rPr>
          <w:rFonts w:hint="eastAsia" w:ascii="宋体" w:hAnsi="宋体" w:cs="宋体"/>
          <w:sz w:val="24"/>
        </w:rPr>
        <w:t xml:space="preserve">项目名称：                               </w:t>
      </w:r>
    </w:p>
    <w:tbl>
      <w:tblPr>
        <w:tblStyle w:val="48"/>
        <w:tblW w:w="9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6243"/>
        <w:gridCol w:w="1843"/>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pPr>
              <w:pStyle w:val="293"/>
              <w:jc w:val="center"/>
              <w:rPr>
                <w:rFonts w:ascii="宋体" w:hAnsi="宋体" w:cs="宋体"/>
                <w:sz w:val="24"/>
              </w:rPr>
            </w:pPr>
            <w:r>
              <w:rPr>
                <w:rFonts w:hint="eastAsia" w:ascii="宋体" w:hAnsi="宋体" w:cs="宋体"/>
                <w:sz w:val="24"/>
              </w:rPr>
              <w:t>序号</w:t>
            </w:r>
          </w:p>
        </w:tc>
        <w:tc>
          <w:tcPr>
            <w:tcW w:w="6243" w:type="dxa"/>
            <w:vAlign w:val="center"/>
          </w:tcPr>
          <w:p>
            <w:pPr>
              <w:pStyle w:val="293"/>
              <w:jc w:val="center"/>
              <w:rPr>
                <w:rFonts w:ascii="宋体" w:hAnsi="宋体" w:cs="宋体"/>
                <w:sz w:val="24"/>
              </w:rPr>
            </w:pPr>
            <w:r>
              <w:rPr>
                <w:rFonts w:hint="eastAsia" w:ascii="宋体" w:hAnsi="宋体" w:cs="宋体"/>
                <w:sz w:val="24"/>
              </w:rPr>
              <w:t>招标文件要求</w:t>
            </w:r>
          </w:p>
        </w:tc>
        <w:tc>
          <w:tcPr>
            <w:tcW w:w="1843" w:type="dxa"/>
            <w:vAlign w:val="center"/>
          </w:tcPr>
          <w:p>
            <w:pPr>
              <w:pStyle w:val="293"/>
              <w:jc w:val="center"/>
              <w:rPr>
                <w:rFonts w:ascii="宋体" w:hAnsi="宋体" w:cs="宋体"/>
                <w:sz w:val="24"/>
              </w:rPr>
            </w:pPr>
            <w:r>
              <w:rPr>
                <w:rFonts w:hint="eastAsia" w:ascii="宋体" w:hAnsi="宋体" w:cs="宋体"/>
                <w:sz w:val="24"/>
              </w:rPr>
              <w:t>供应商承诺</w:t>
            </w:r>
          </w:p>
        </w:tc>
        <w:tc>
          <w:tcPr>
            <w:tcW w:w="1122" w:type="dxa"/>
            <w:vAlign w:val="center"/>
          </w:tcPr>
          <w:p>
            <w:pPr>
              <w:pStyle w:val="293"/>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pPr>
              <w:jc w:val="center"/>
              <w:rPr>
                <w:rFonts w:ascii="宋体" w:hAnsi="宋体" w:cs="宋体"/>
                <w:sz w:val="24"/>
              </w:rPr>
            </w:pPr>
            <w:r>
              <w:rPr>
                <w:rFonts w:hint="eastAsia" w:ascii="宋体" w:hAnsi="宋体" w:cs="宋体"/>
                <w:sz w:val="24"/>
              </w:rPr>
              <w:t>1</w:t>
            </w:r>
          </w:p>
        </w:tc>
        <w:tc>
          <w:tcPr>
            <w:tcW w:w="6243" w:type="dxa"/>
            <w:shd w:val="clear" w:color="auto" w:fill="auto"/>
            <w:vAlign w:val="center"/>
          </w:tcPr>
          <w:p>
            <w:pPr>
              <w:pStyle w:val="26"/>
              <w:spacing w:line="360" w:lineRule="auto"/>
              <w:rPr>
                <w:rFonts w:hAnsi="宋体" w:cs="宋体"/>
                <w:sz w:val="24"/>
                <w:szCs w:val="24"/>
              </w:rPr>
            </w:pPr>
            <w:r>
              <w:rPr>
                <w:rFonts w:hint="eastAsia" w:hAnsi="宋体" w:cs="宋体"/>
                <w:sz w:val="24"/>
                <w:szCs w:val="24"/>
              </w:rPr>
              <w:t>供货期:</w:t>
            </w:r>
          </w:p>
        </w:tc>
        <w:tc>
          <w:tcPr>
            <w:tcW w:w="1843" w:type="dxa"/>
            <w:vAlign w:val="center"/>
          </w:tcPr>
          <w:p>
            <w:pPr>
              <w:pStyle w:val="293"/>
              <w:jc w:val="center"/>
              <w:rPr>
                <w:rFonts w:ascii="宋体" w:hAnsi="宋体" w:cs="宋体"/>
                <w:sz w:val="24"/>
              </w:rPr>
            </w:pPr>
          </w:p>
        </w:tc>
        <w:tc>
          <w:tcPr>
            <w:tcW w:w="1122" w:type="dxa"/>
            <w:vAlign w:val="center"/>
          </w:tcPr>
          <w:p>
            <w:pPr>
              <w:pStyle w:val="293"/>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pPr>
              <w:jc w:val="center"/>
              <w:rPr>
                <w:rFonts w:ascii="宋体" w:hAnsi="宋体" w:cs="宋体"/>
                <w:sz w:val="24"/>
              </w:rPr>
            </w:pPr>
            <w:r>
              <w:rPr>
                <w:rFonts w:hint="eastAsia" w:ascii="宋体" w:hAnsi="宋体" w:cs="宋体"/>
                <w:sz w:val="24"/>
              </w:rPr>
              <w:t>2</w:t>
            </w:r>
          </w:p>
        </w:tc>
        <w:tc>
          <w:tcPr>
            <w:tcW w:w="6243" w:type="dxa"/>
            <w:shd w:val="clear" w:color="auto" w:fill="auto"/>
            <w:vAlign w:val="center"/>
          </w:tcPr>
          <w:p>
            <w:pPr>
              <w:pStyle w:val="26"/>
              <w:spacing w:line="360" w:lineRule="auto"/>
              <w:rPr>
                <w:rFonts w:hAnsi="宋体" w:cs="宋体"/>
                <w:sz w:val="24"/>
                <w:szCs w:val="24"/>
              </w:rPr>
            </w:pPr>
            <w:r>
              <w:rPr>
                <w:rFonts w:hint="eastAsia" w:hAnsi="宋体" w:cs="宋体"/>
                <w:sz w:val="24"/>
                <w:szCs w:val="24"/>
              </w:rPr>
              <w:t>付款方式：</w:t>
            </w:r>
          </w:p>
        </w:tc>
        <w:tc>
          <w:tcPr>
            <w:tcW w:w="1843" w:type="dxa"/>
            <w:vAlign w:val="center"/>
          </w:tcPr>
          <w:p>
            <w:pPr>
              <w:pStyle w:val="293"/>
              <w:jc w:val="center"/>
              <w:rPr>
                <w:rFonts w:ascii="宋体" w:hAnsi="宋体" w:cs="宋体"/>
                <w:sz w:val="24"/>
              </w:rPr>
            </w:pPr>
          </w:p>
        </w:tc>
        <w:tc>
          <w:tcPr>
            <w:tcW w:w="1122" w:type="dxa"/>
            <w:vAlign w:val="center"/>
          </w:tcPr>
          <w:p>
            <w:pPr>
              <w:pStyle w:val="293"/>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pPr>
              <w:jc w:val="center"/>
              <w:rPr>
                <w:rFonts w:ascii="宋体" w:hAnsi="宋体" w:cs="宋体"/>
                <w:sz w:val="24"/>
              </w:rPr>
            </w:pPr>
            <w:r>
              <w:rPr>
                <w:rFonts w:hint="eastAsia" w:ascii="宋体" w:hAnsi="宋体" w:cs="宋体"/>
                <w:sz w:val="24"/>
              </w:rPr>
              <w:t>3</w:t>
            </w:r>
          </w:p>
        </w:tc>
        <w:tc>
          <w:tcPr>
            <w:tcW w:w="6243" w:type="dxa"/>
            <w:shd w:val="clear" w:color="auto" w:fill="auto"/>
            <w:vAlign w:val="center"/>
          </w:tcPr>
          <w:p>
            <w:pPr>
              <w:pStyle w:val="26"/>
              <w:spacing w:line="360" w:lineRule="auto"/>
              <w:rPr>
                <w:rFonts w:hAnsi="宋体" w:cs="宋体"/>
                <w:sz w:val="24"/>
                <w:szCs w:val="24"/>
              </w:rPr>
            </w:pPr>
          </w:p>
        </w:tc>
        <w:tc>
          <w:tcPr>
            <w:tcW w:w="1843" w:type="dxa"/>
            <w:vAlign w:val="center"/>
          </w:tcPr>
          <w:p>
            <w:pPr>
              <w:pStyle w:val="293"/>
              <w:jc w:val="center"/>
              <w:rPr>
                <w:rFonts w:ascii="宋体" w:hAnsi="宋体" w:cs="宋体"/>
                <w:sz w:val="24"/>
              </w:rPr>
            </w:pPr>
          </w:p>
        </w:tc>
        <w:tc>
          <w:tcPr>
            <w:tcW w:w="1122" w:type="dxa"/>
            <w:vAlign w:val="center"/>
          </w:tcPr>
          <w:p>
            <w:pPr>
              <w:pStyle w:val="293"/>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pPr>
              <w:jc w:val="center"/>
              <w:rPr>
                <w:rFonts w:ascii="宋体" w:hAnsi="宋体" w:cs="宋体"/>
                <w:sz w:val="24"/>
              </w:rPr>
            </w:pPr>
            <w:r>
              <w:rPr>
                <w:rFonts w:hint="eastAsia" w:ascii="宋体" w:hAnsi="宋体" w:cs="宋体"/>
                <w:sz w:val="24"/>
              </w:rPr>
              <w:t>4</w:t>
            </w:r>
          </w:p>
        </w:tc>
        <w:tc>
          <w:tcPr>
            <w:tcW w:w="6243" w:type="dxa"/>
            <w:shd w:val="clear" w:color="auto" w:fill="auto"/>
            <w:vAlign w:val="center"/>
          </w:tcPr>
          <w:p>
            <w:pPr>
              <w:pStyle w:val="26"/>
              <w:spacing w:line="360" w:lineRule="auto"/>
              <w:rPr>
                <w:rFonts w:hAnsi="宋体" w:cs="宋体"/>
                <w:sz w:val="24"/>
                <w:szCs w:val="24"/>
              </w:rPr>
            </w:pPr>
          </w:p>
        </w:tc>
        <w:tc>
          <w:tcPr>
            <w:tcW w:w="1843" w:type="dxa"/>
            <w:vAlign w:val="center"/>
          </w:tcPr>
          <w:p>
            <w:pPr>
              <w:pStyle w:val="293"/>
              <w:jc w:val="center"/>
              <w:rPr>
                <w:rFonts w:ascii="宋体" w:hAnsi="宋体" w:cs="宋体"/>
                <w:sz w:val="24"/>
              </w:rPr>
            </w:pPr>
          </w:p>
        </w:tc>
        <w:tc>
          <w:tcPr>
            <w:tcW w:w="1122" w:type="dxa"/>
            <w:vAlign w:val="center"/>
          </w:tcPr>
          <w:p>
            <w:pPr>
              <w:pStyle w:val="293"/>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pPr>
              <w:jc w:val="center"/>
              <w:rPr>
                <w:rFonts w:ascii="宋体" w:hAnsi="宋体" w:cs="宋体"/>
                <w:sz w:val="24"/>
              </w:rPr>
            </w:pPr>
            <w:r>
              <w:rPr>
                <w:rFonts w:hint="eastAsia" w:ascii="宋体" w:hAnsi="宋体" w:cs="宋体"/>
                <w:sz w:val="24"/>
              </w:rPr>
              <w:t>5</w:t>
            </w:r>
          </w:p>
        </w:tc>
        <w:tc>
          <w:tcPr>
            <w:tcW w:w="6243" w:type="dxa"/>
            <w:shd w:val="clear" w:color="auto" w:fill="auto"/>
            <w:vAlign w:val="center"/>
          </w:tcPr>
          <w:p>
            <w:pPr>
              <w:pStyle w:val="26"/>
              <w:spacing w:line="360" w:lineRule="auto"/>
              <w:rPr>
                <w:rFonts w:hAnsi="宋体" w:cs="宋体"/>
                <w:sz w:val="24"/>
                <w:szCs w:val="24"/>
              </w:rPr>
            </w:pPr>
          </w:p>
        </w:tc>
        <w:tc>
          <w:tcPr>
            <w:tcW w:w="1843" w:type="dxa"/>
            <w:vAlign w:val="center"/>
          </w:tcPr>
          <w:p>
            <w:pPr>
              <w:pStyle w:val="293"/>
              <w:jc w:val="center"/>
              <w:rPr>
                <w:rFonts w:ascii="宋体" w:hAnsi="宋体" w:cs="宋体"/>
                <w:sz w:val="24"/>
              </w:rPr>
            </w:pPr>
          </w:p>
        </w:tc>
        <w:tc>
          <w:tcPr>
            <w:tcW w:w="1122" w:type="dxa"/>
            <w:vAlign w:val="center"/>
          </w:tcPr>
          <w:p>
            <w:pPr>
              <w:pStyle w:val="293"/>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pPr>
              <w:jc w:val="center"/>
              <w:rPr>
                <w:rFonts w:ascii="宋体" w:hAnsi="宋体" w:cs="宋体"/>
                <w:sz w:val="24"/>
              </w:rPr>
            </w:pPr>
            <w:r>
              <w:rPr>
                <w:rFonts w:hint="eastAsia" w:ascii="宋体" w:hAnsi="宋体" w:cs="宋体"/>
                <w:sz w:val="24"/>
              </w:rPr>
              <w:t>6</w:t>
            </w:r>
          </w:p>
        </w:tc>
        <w:tc>
          <w:tcPr>
            <w:tcW w:w="6243" w:type="dxa"/>
            <w:shd w:val="clear" w:color="auto" w:fill="auto"/>
            <w:vAlign w:val="center"/>
          </w:tcPr>
          <w:p>
            <w:pPr>
              <w:pStyle w:val="26"/>
              <w:spacing w:line="360" w:lineRule="auto"/>
              <w:rPr>
                <w:rFonts w:hAnsi="宋体" w:cs="宋体"/>
                <w:sz w:val="24"/>
                <w:szCs w:val="24"/>
              </w:rPr>
            </w:pPr>
          </w:p>
        </w:tc>
        <w:tc>
          <w:tcPr>
            <w:tcW w:w="1843" w:type="dxa"/>
            <w:vAlign w:val="center"/>
          </w:tcPr>
          <w:p>
            <w:pPr>
              <w:pStyle w:val="293"/>
              <w:jc w:val="center"/>
              <w:rPr>
                <w:rFonts w:ascii="宋体" w:hAnsi="宋体" w:cs="宋体"/>
                <w:sz w:val="24"/>
              </w:rPr>
            </w:pPr>
          </w:p>
        </w:tc>
        <w:tc>
          <w:tcPr>
            <w:tcW w:w="1122" w:type="dxa"/>
            <w:vAlign w:val="center"/>
          </w:tcPr>
          <w:p>
            <w:pPr>
              <w:pStyle w:val="293"/>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pPr>
              <w:jc w:val="center"/>
              <w:rPr>
                <w:rFonts w:ascii="宋体" w:hAnsi="宋体" w:cs="宋体"/>
                <w:sz w:val="24"/>
              </w:rPr>
            </w:pPr>
            <w:r>
              <w:rPr>
                <w:rFonts w:hint="eastAsia" w:ascii="宋体" w:hAnsi="宋体" w:cs="宋体"/>
                <w:sz w:val="24"/>
              </w:rPr>
              <w:t>7</w:t>
            </w:r>
          </w:p>
        </w:tc>
        <w:tc>
          <w:tcPr>
            <w:tcW w:w="6243" w:type="dxa"/>
            <w:vAlign w:val="center"/>
          </w:tcPr>
          <w:p>
            <w:pPr>
              <w:pStyle w:val="26"/>
              <w:spacing w:line="360" w:lineRule="auto"/>
              <w:rPr>
                <w:rFonts w:hAnsi="宋体" w:cs="宋体"/>
                <w:sz w:val="24"/>
                <w:szCs w:val="24"/>
              </w:rPr>
            </w:pPr>
          </w:p>
        </w:tc>
        <w:tc>
          <w:tcPr>
            <w:tcW w:w="1843" w:type="dxa"/>
            <w:vAlign w:val="center"/>
          </w:tcPr>
          <w:p>
            <w:pPr>
              <w:pStyle w:val="293"/>
              <w:jc w:val="center"/>
              <w:rPr>
                <w:rFonts w:ascii="宋体" w:hAnsi="宋体" w:cs="宋体"/>
                <w:sz w:val="24"/>
              </w:rPr>
            </w:pPr>
          </w:p>
        </w:tc>
        <w:tc>
          <w:tcPr>
            <w:tcW w:w="1122" w:type="dxa"/>
            <w:vAlign w:val="center"/>
          </w:tcPr>
          <w:p>
            <w:pPr>
              <w:pStyle w:val="293"/>
              <w:jc w:val="center"/>
              <w:rPr>
                <w:rFonts w:ascii="宋体" w:hAnsi="宋体" w:cs="宋体"/>
                <w:sz w:val="24"/>
              </w:rPr>
            </w:pPr>
          </w:p>
        </w:tc>
      </w:tr>
    </w:tbl>
    <w:p>
      <w:pPr>
        <w:pStyle w:val="37"/>
        <w:snapToGrid w:val="0"/>
        <w:ind w:left="480" w:hanging="480"/>
        <w:jc w:val="left"/>
        <w:rPr>
          <w:rFonts w:ascii="宋体" w:hAnsi="宋体" w:cs="宋体"/>
          <w:sz w:val="24"/>
        </w:rPr>
      </w:pPr>
      <w:bookmarkStart w:id="272" w:name="_Toc530551891"/>
      <w:bookmarkStart w:id="273" w:name="_Toc493956067"/>
    </w:p>
    <w:p>
      <w:pPr>
        <w:pStyle w:val="37"/>
        <w:snapToGrid w:val="0"/>
        <w:ind w:left="480" w:hanging="480"/>
        <w:jc w:val="left"/>
        <w:rPr>
          <w:rFonts w:ascii="宋体" w:hAnsi="宋体" w:cs="宋体"/>
          <w:sz w:val="24"/>
        </w:rPr>
      </w:pPr>
    </w:p>
    <w:p>
      <w:pPr>
        <w:pStyle w:val="37"/>
        <w:snapToGrid w:val="0"/>
        <w:ind w:left="480" w:hanging="480"/>
        <w:jc w:val="left"/>
        <w:rPr>
          <w:rFonts w:ascii="宋体" w:hAnsi="宋体" w:cs="宋体"/>
          <w:sz w:val="24"/>
        </w:rPr>
      </w:pPr>
    </w:p>
    <w:p>
      <w:pPr>
        <w:pStyle w:val="37"/>
        <w:snapToGrid w:val="0"/>
        <w:ind w:left="480" w:hanging="480"/>
        <w:jc w:val="left"/>
        <w:rPr>
          <w:rFonts w:ascii="宋体" w:hAnsi="宋体" w:cs="宋体"/>
          <w:sz w:val="24"/>
        </w:rPr>
      </w:pPr>
    </w:p>
    <w:p>
      <w:pPr>
        <w:pStyle w:val="168"/>
        <w:wordWrap w:val="0"/>
        <w:spacing w:line="360" w:lineRule="auto"/>
        <w:ind w:firstLine="480"/>
        <w:jc w:val="right"/>
        <w:rPr>
          <w:rFonts w:ascii="宋体" w:hAnsi="宋体" w:cs="宋体"/>
          <w:sz w:val="24"/>
          <w:szCs w:val="21"/>
          <w:u w:val="single"/>
        </w:rPr>
      </w:pPr>
      <w:r>
        <w:rPr>
          <w:rFonts w:hint="eastAsia" w:ascii="宋体" w:hAnsi="宋体" w:cs="宋体"/>
          <w:sz w:val="24"/>
          <w:szCs w:val="21"/>
        </w:rPr>
        <w:t>供应商盖章</w:t>
      </w:r>
      <w:r>
        <w:rPr>
          <w:rFonts w:hint="eastAsia" w:ascii="宋体" w:hAnsi="宋体" w:cs="宋体"/>
          <w:spacing w:val="20"/>
          <w:sz w:val="24"/>
          <w:szCs w:val="21"/>
        </w:rPr>
        <w:t>(电子签章)</w:t>
      </w:r>
      <w:r>
        <w:rPr>
          <w:rFonts w:hint="eastAsia" w:ascii="宋体" w:hAnsi="宋体" w:cs="宋体"/>
          <w:sz w:val="24"/>
          <w:szCs w:val="21"/>
        </w:rPr>
        <w:t>：</w:t>
      </w:r>
      <w:r>
        <w:rPr>
          <w:rFonts w:hint="eastAsia" w:ascii="宋体" w:hAnsi="宋体" w:cs="宋体"/>
          <w:sz w:val="24"/>
          <w:szCs w:val="21"/>
          <w:u w:val="single"/>
        </w:rPr>
        <w:t xml:space="preserve">                </w:t>
      </w:r>
    </w:p>
    <w:p>
      <w:pPr>
        <w:pStyle w:val="168"/>
        <w:wordWrap w:val="0"/>
        <w:spacing w:line="360" w:lineRule="auto"/>
        <w:ind w:firstLine="480"/>
        <w:jc w:val="right"/>
        <w:rPr>
          <w:rFonts w:ascii="宋体" w:hAnsi="宋体" w:cs="宋体"/>
          <w:sz w:val="24"/>
          <w:szCs w:val="21"/>
          <w:u w:val="single"/>
        </w:rPr>
      </w:pPr>
      <w:r>
        <w:rPr>
          <w:rFonts w:hint="eastAsia" w:ascii="宋体" w:hAnsi="宋体" w:cs="宋体"/>
          <w:sz w:val="24"/>
          <w:szCs w:val="21"/>
        </w:rPr>
        <w:t>日      期：</w:t>
      </w:r>
      <w:r>
        <w:rPr>
          <w:rFonts w:hint="eastAsia" w:ascii="宋体" w:hAnsi="宋体" w:cs="宋体"/>
          <w:sz w:val="24"/>
          <w:szCs w:val="21"/>
          <w:u w:val="single"/>
        </w:rPr>
        <w:t xml:space="preserve">               </w:t>
      </w:r>
      <w:bookmarkStart w:id="274" w:name="_Toc531359062"/>
      <w:r>
        <w:rPr>
          <w:rFonts w:hint="eastAsia" w:ascii="宋体" w:hAnsi="宋体" w:cs="宋体"/>
          <w:sz w:val="24"/>
          <w:szCs w:val="21"/>
          <w:u w:val="single"/>
        </w:rPr>
        <w:t xml:space="preserve"> </w:t>
      </w:r>
    </w:p>
    <w:bookmarkEnd w:id="272"/>
    <w:bookmarkEnd w:id="273"/>
    <w:bookmarkEnd w:id="274"/>
    <w:p>
      <w:pPr>
        <w:rPr>
          <w:rFonts w:ascii="宋体" w:hAnsi="宋体" w:cs="宋体"/>
          <w:sz w:val="24"/>
          <w:szCs w:val="24"/>
        </w:rPr>
      </w:pPr>
      <w:bookmarkStart w:id="275" w:name="_Toc515526271"/>
      <w:bookmarkStart w:id="276" w:name="_Toc34895615"/>
      <w:bookmarkStart w:id="277" w:name="_Toc377979050"/>
      <w:bookmarkStart w:id="278" w:name="_Toc303756458"/>
      <w:bookmarkStart w:id="279" w:name="_Toc341260008"/>
      <w:bookmarkStart w:id="280" w:name="_Toc409172377"/>
      <w:bookmarkStart w:id="281" w:name="_Toc359934644"/>
      <w:bookmarkStart w:id="282" w:name="_Toc531359072"/>
      <w:bookmarkStart w:id="283" w:name="_Toc305144129"/>
      <w:r>
        <w:rPr>
          <w:rFonts w:hint="eastAsia" w:ascii="宋体" w:hAnsi="宋体" w:cs="宋体"/>
          <w:sz w:val="24"/>
          <w:szCs w:val="24"/>
        </w:rPr>
        <w:br w:type="page"/>
      </w:r>
    </w:p>
    <w:p>
      <w:pPr>
        <w:pStyle w:val="4"/>
        <w:spacing w:before="0" w:after="0"/>
        <w:ind w:firstLine="0" w:firstLineChars="0"/>
        <w:jc w:val="left"/>
        <w:rPr>
          <w:rFonts w:ascii="宋体" w:hAnsi="宋体" w:eastAsia="宋体" w:cs="宋体"/>
          <w:sz w:val="24"/>
          <w:szCs w:val="24"/>
        </w:rPr>
      </w:pPr>
      <w:r>
        <w:rPr>
          <w:rFonts w:hint="eastAsia" w:ascii="宋体" w:hAnsi="宋体" w:eastAsia="宋体" w:cs="宋体"/>
          <w:sz w:val="24"/>
          <w:szCs w:val="24"/>
        </w:rPr>
        <w:t>2.5技术响应表格式</w:t>
      </w:r>
    </w:p>
    <w:p>
      <w:pPr>
        <w:spacing w:line="480" w:lineRule="exact"/>
        <w:jc w:val="center"/>
        <w:rPr>
          <w:rFonts w:ascii="宋体" w:hAnsi="宋体" w:cs="宋体"/>
          <w:iCs/>
          <w:spacing w:val="20"/>
          <w:sz w:val="28"/>
        </w:rPr>
      </w:pPr>
      <w:r>
        <w:rPr>
          <w:rFonts w:hint="eastAsia" w:ascii="宋体" w:hAnsi="宋体" w:cs="宋体"/>
          <w:b/>
          <w:sz w:val="36"/>
          <w:szCs w:val="36"/>
        </w:rPr>
        <w:t>技术响应表</w:t>
      </w:r>
    </w:p>
    <w:p>
      <w:pPr>
        <w:adjustRightInd w:val="0"/>
        <w:snapToGrid w:val="0"/>
        <w:jc w:val="center"/>
        <w:rPr>
          <w:rFonts w:ascii="宋体" w:hAnsi="宋体" w:cs="宋体"/>
          <w:iCs/>
          <w:spacing w:val="20"/>
          <w:sz w:val="28"/>
        </w:rPr>
      </w:pPr>
    </w:p>
    <w:p>
      <w:pPr>
        <w:pStyle w:val="293"/>
        <w:spacing w:line="560" w:lineRule="exact"/>
        <w:rPr>
          <w:rFonts w:ascii="宋体" w:hAnsi="宋体" w:cs="宋体"/>
          <w:sz w:val="24"/>
        </w:rPr>
      </w:pPr>
      <w:r>
        <w:rPr>
          <w:rFonts w:hint="eastAsia" w:ascii="宋体" w:hAnsi="宋体" w:cs="宋体"/>
          <w:sz w:val="24"/>
        </w:rPr>
        <w:t>项目编号：</w:t>
      </w:r>
    </w:p>
    <w:p>
      <w:pPr>
        <w:adjustRightInd w:val="0"/>
        <w:snapToGrid w:val="0"/>
        <w:spacing w:line="360" w:lineRule="auto"/>
        <w:rPr>
          <w:rFonts w:ascii="宋体" w:hAnsi="宋体" w:cs="宋体"/>
          <w:spacing w:val="20"/>
          <w:sz w:val="24"/>
          <w:szCs w:val="24"/>
        </w:rPr>
      </w:pPr>
      <w:r>
        <w:rPr>
          <w:rFonts w:hint="eastAsia" w:ascii="宋体" w:hAnsi="宋体" w:cs="宋体"/>
          <w:sz w:val="24"/>
        </w:rPr>
        <w:t>项目名称：</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2419"/>
        <w:gridCol w:w="2699"/>
        <w:gridCol w:w="1999"/>
        <w:gridCol w:w="1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79" w:type="dxa"/>
            <w:vAlign w:val="center"/>
          </w:tcPr>
          <w:p>
            <w:pPr>
              <w:adjustRightInd w:val="0"/>
              <w:snapToGrid w:val="0"/>
              <w:spacing w:line="360" w:lineRule="auto"/>
              <w:jc w:val="center"/>
              <w:rPr>
                <w:rFonts w:ascii="宋体" w:hAnsi="宋体" w:cs="宋体"/>
                <w:smallCaps/>
                <w:sz w:val="24"/>
                <w:szCs w:val="24"/>
              </w:rPr>
            </w:pPr>
            <w:r>
              <w:rPr>
                <w:rFonts w:hint="eastAsia" w:ascii="宋体" w:hAnsi="宋体" w:cs="宋体"/>
                <w:smallCaps/>
                <w:sz w:val="24"/>
                <w:szCs w:val="24"/>
              </w:rPr>
              <w:t>序号</w:t>
            </w:r>
          </w:p>
        </w:tc>
        <w:tc>
          <w:tcPr>
            <w:tcW w:w="2419" w:type="dxa"/>
            <w:vAlign w:val="center"/>
          </w:tcPr>
          <w:p>
            <w:pPr>
              <w:adjustRightInd w:val="0"/>
              <w:snapToGrid w:val="0"/>
              <w:spacing w:line="360" w:lineRule="auto"/>
              <w:jc w:val="center"/>
              <w:rPr>
                <w:rFonts w:ascii="宋体" w:hAnsi="宋体" w:cs="宋体"/>
                <w:smallCaps/>
                <w:sz w:val="24"/>
                <w:szCs w:val="24"/>
              </w:rPr>
            </w:pPr>
            <w:r>
              <w:rPr>
                <w:rFonts w:hint="eastAsia" w:ascii="宋体" w:hAnsi="宋体" w:cs="宋体"/>
                <w:smallCaps/>
                <w:sz w:val="24"/>
                <w:szCs w:val="24"/>
              </w:rPr>
              <w:t>技术要求规格</w:t>
            </w:r>
          </w:p>
        </w:tc>
        <w:tc>
          <w:tcPr>
            <w:tcW w:w="2699" w:type="dxa"/>
            <w:vAlign w:val="center"/>
          </w:tcPr>
          <w:p>
            <w:pPr>
              <w:adjustRightInd w:val="0"/>
              <w:snapToGrid w:val="0"/>
              <w:spacing w:line="360" w:lineRule="auto"/>
              <w:ind w:firstLine="120" w:firstLineChars="50"/>
              <w:rPr>
                <w:rFonts w:ascii="宋体" w:hAnsi="宋体" w:cs="宋体"/>
                <w:smallCaps/>
                <w:sz w:val="24"/>
                <w:szCs w:val="24"/>
              </w:rPr>
            </w:pPr>
            <w:r>
              <w:rPr>
                <w:rFonts w:hint="eastAsia" w:ascii="宋体" w:hAnsi="宋体" w:cs="宋体"/>
                <w:smallCaps/>
                <w:sz w:val="24"/>
                <w:szCs w:val="24"/>
              </w:rPr>
              <w:t>响应规格</w:t>
            </w:r>
          </w:p>
        </w:tc>
        <w:tc>
          <w:tcPr>
            <w:tcW w:w="1999" w:type="dxa"/>
            <w:vAlign w:val="center"/>
          </w:tcPr>
          <w:p>
            <w:pPr>
              <w:adjustRightInd w:val="0"/>
              <w:snapToGrid w:val="0"/>
              <w:spacing w:line="360" w:lineRule="auto"/>
              <w:jc w:val="center"/>
              <w:rPr>
                <w:rFonts w:ascii="宋体" w:hAnsi="宋体" w:cs="宋体"/>
                <w:smallCaps/>
                <w:sz w:val="24"/>
                <w:szCs w:val="24"/>
              </w:rPr>
            </w:pPr>
            <w:r>
              <w:rPr>
                <w:rFonts w:hint="eastAsia" w:ascii="宋体" w:hAnsi="宋体" w:cs="宋体"/>
                <w:smallCaps/>
                <w:sz w:val="24"/>
                <w:szCs w:val="24"/>
              </w:rPr>
              <w:t>偏  离</w:t>
            </w:r>
          </w:p>
          <w:p>
            <w:pPr>
              <w:adjustRightInd w:val="0"/>
              <w:snapToGrid w:val="0"/>
              <w:spacing w:line="360" w:lineRule="auto"/>
              <w:jc w:val="center"/>
              <w:rPr>
                <w:rFonts w:ascii="宋体" w:hAnsi="宋体" w:cs="宋体"/>
                <w:smallCaps/>
                <w:sz w:val="24"/>
                <w:szCs w:val="24"/>
              </w:rPr>
            </w:pPr>
            <w:r>
              <w:rPr>
                <w:rFonts w:hint="eastAsia" w:ascii="宋体" w:hAnsi="宋体" w:cs="宋体"/>
                <w:spacing w:val="20"/>
                <w:sz w:val="24"/>
                <w:szCs w:val="24"/>
              </w:rPr>
              <w:t>(注明正、负、无偏离)</w:t>
            </w:r>
          </w:p>
        </w:tc>
        <w:tc>
          <w:tcPr>
            <w:tcW w:w="1311" w:type="dxa"/>
            <w:vAlign w:val="center"/>
          </w:tcPr>
          <w:p>
            <w:pPr>
              <w:adjustRightInd w:val="0"/>
              <w:snapToGrid w:val="0"/>
              <w:spacing w:line="360" w:lineRule="auto"/>
              <w:jc w:val="center"/>
              <w:rPr>
                <w:rFonts w:ascii="宋体" w:hAnsi="宋体" w:cs="宋体"/>
                <w:smallCaps/>
                <w:sz w:val="24"/>
                <w:szCs w:val="24"/>
              </w:rPr>
            </w:pPr>
            <w:r>
              <w:rPr>
                <w:rFonts w:hint="eastAsia" w:ascii="宋体" w:hAnsi="宋体" w:cs="宋体"/>
                <w:smallCaps/>
                <w:sz w:val="24"/>
                <w:szCs w:val="24"/>
              </w:rPr>
              <w:t xml:space="preserve">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79" w:type="dxa"/>
            <w:vAlign w:val="center"/>
          </w:tcPr>
          <w:p>
            <w:pPr>
              <w:adjustRightInd w:val="0"/>
              <w:snapToGrid w:val="0"/>
              <w:spacing w:line="480" w:lineRule="auto"/>
              <w:jc w:val="center"/>
              <w:rPr>
                <w:rFonts w:ascii="宋体" w:hAnsi="宋体" w:cs="宋体"/>
                <w:spacing w:val="20"/>
                <w:sz w:val="24"/>
                <w:szCs w:val="24"/>
              </w:rPr>
            </w:pPr>
          </w:p>
        </w:tc>
        <w:tc>
          <w:tcPr>
            <w:tcW w:w="2419" w:type="dxa"/>
            <w:vAlign w:val="center"/>
          </w:tcPr>
          <w:p>
            <w:pPr>
              <w:adjustRightInd w:val="0"/>
              <w:snapToGrid w:val="0"/>
              <w:spacing w:line="480" w:lineRule="auto"/>
              <w:jc w:val="center"/>
              <w:rPr>
                <w:rFonts w:ascii="宋体" w:hAnsi="宋体" w:cs="宋体"/>
                <w:spacing w:val="20"/>
                <w:sz w:val="24"/>
                <w:szCs w:val="24"/>
              </w:rPr>
            </w:pPr>
          </w:p>
        </w:tc>
        <w:tc>
          <w:tcPr>
            <w:tcW w:w="2699" w:type="dxa"/>
            <w:vAlign w:val="center"/>
          </w:tcPr>
          <w:p>
            <w:pPr>
              <w:adjustRightInd w:val="0"/>
              <w:snapToGrid w:val="0"/>
              <w:spacing w:line="480" w:lineRule="auto"/>
              <w:jc w:val="center"/>
              <w:rPr>
                <w:rFonts w:ascii="宋体" w:hAnsi="宋体" w:cs="宋体"/>
                <w:spacing w:val="20"/>
                <w:sz w:val="24"/>
                <w:szCs w:val="24"/>
              </w:rPr>
            </w:pPr>
          </w:p>
        </w:tc>
        <w:tc>
          <w:tcPr>
            <w:tcW w:w="1999" w:type="dxa"/>
            <w:vAlign w:val="center"/>
          </w:tcPr>
          <w:p>
            <w:pPr>
              <w:adjustRightInd w:val="0"/>
              <w:snapToGrid w:val="0"/>
              <w:spacing w:line="480" w:lineRule="auto"/>
              <w:jc w:val="center"/>
              <w:rPr>
                <w:rFonts w:ascii="宋体" w:hAnsi="宋体" w:cs="宋体"/>
                <w:spacing w:val="20"/>
                <w:sz w:val="24"/>
                <w:szCs w:val="24"/>
              </w:rPr>
            </w:pPr>
          </w:p>
        </w:tc>
        <w:tc>
          <w:tcPr>
            <w:tcW w:w="1311" w:type="dxa"/>
            <w:vAlign w:val="center"/>
          </w:tcPr>
          <w:p>
            <w:pPr>
              <w:adjustRightInd w:val="0"/>
              <w:snapToGrid w:val="0"/>
              <w:spacing w:line="480" w:lineRule="auto"/>
              <w:jc w:val="center"/>
              <w:rPr>
                <w:rFonts w:ascii="宋体" w:hAnsi="宋体" w:cs="宋体"/>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79" w:type="dxa"/>
            <w:vAlign w:val="center"/>
          </w:tcPr>
          <w:p>
            <w:pPr>
              <w:adjustRightInd w:val="0"/>
              <w:snapToGrid w:val="0"/>
              <w:spacing w:line="480" w:lineRule="auto"/>
              <w:jc w:val="center"/>
              <w:rPr>
                <w:rFonts w:ascii="宋体" w:hAnsi="宋体" w:cs="宋体"/>
                <w:spacing w:val="20"/>
                <w:sz w:val="24"/>
                <w:szCs w:val="24"/>
              </w:rPr>
            </w:pPr>
          </w:p>
        </w:tc>
        <w:tc>
          <w:tcPr>
            <w:tcW w:w="2419" w:type="dxa"/>
            <w:vAlign w:val="center"/>
          </w:tcPr>
          <w:p>
            <w:pPr>
              <w:adjustRightInd w:val="0"/>
              <w:snapToGrid w:val="0"/>
              <w:spacing w:line="480" w:lineRule="auto"/>
              <w:jc w:val="center"/>
              <w:rPr>
                <w:rFonts w:ascii="宋体" w:hAnsi="宋体" w:cs="宋体"/>
                <w:spacing w:val="20"/>
                <w:sz w:val="24"/>
                <w:szCs w:val="24"/>
              </w:rPr>
            </w:pPr>
          </w:p>
        </w:tc>
        <w:tc>
          <w:tcPr>
            <w:tcW w:w="2699" w:type="dxa"/>
            <w:vAlign w:val="center"/>
          </w:tcPr>
          <w:p>
            <w:pPr>
              <w:adjustRightInd w:val="0"/>
              <w:snapToGrid w:val="0"/>
              <w:spacing w:line="480" w:lineRule="auto"/>
              <w:jc w:val="center"/>
              <w:rPr>
                <w:rFonts w:ascii="宋体" w:hAnsi="宋体" w:cs="宋体"/>
                <w:spacing w:val="20"/>
                <w:sz w:val="24"/>
                <w:szCs w:val="24"/>
              </w:rPr>
            </w:pPr>
          </w:p>
        </w:tc>
        <w:tc>
          <w:tcPr>
            <w:tcW w:w="1999" w:type="dxa"/>
            <w:vAlign w:val="center"/>
          </w:tcPr>
          <w:p>
            <w:pPr>
              <w:adjustRightInd w:val="0"/>
              <w:snapToGrid w:val="0"/>
              <w:spacing w:line="480" w:lineRule="auto"/>
              <w:jc w:val="center"/>
              <w:rPr>
                <w:rFonts w:ascii="宋体" w:hAnsi="宋体" w:cs="宋体"/>
                <w:spacing w:val="20"/>
                <w:sz w:val="24"/>
                <w:szCs w:val="24"/>
              </w:rPr>
            </w:pPr>
          </w:p>
        </w:tc>
        <w:tc>
          <w:tcPr>
            <w:tcW w:w="1311" w:type="dxa"/>
            <w:vAlign w:val="center"/>
          </w:tcPr>
          <w:p>
            <w:pPr>
              <w:adjustRightInd w:val="0"/>
              <w:snapToGrid w:val="0"/>
              <w:spacing w:line="480" w:lineRule="auto"/>
              <w:jc w:val="center"/>
              <w:rPr>
                <w:rFonts w:ascii="宋体" w:hAnsi="宋体" w:cs="宋体"/>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79" w:type="dxa"/>
            <w:vAlign w:val="center"/>
          </w:tcPr>
          <w:p>
            <w:pPr>
              <w:adjustRightInd w:val="0"/>
              <w:snapToGrid w:val="0"/>
              <w:spacing w:line="480" w:lineRule="auto"/>
              <w:jc w:val="center"/>
              <w:rPr>
                <w:rFonts w:ascii="宋体" w:hAnsi="宋体" w:cs="宋体"/>
                <w:spacing w:val="20"/>
                <w:sz w:val="24"/>
                <w:szCs w:val="24"/>
              </w:rPr>
            </w:pPr>
          </w:p>
        </w:tc>
        <w:tc>
          <w:tcPr>
            <w:tcW w:w="2419" w:type="dxa"/>
            <w:vAlign w:val="center"/>
          </w:tcPr>
          <w:p>
            <w:pPr>
              <w:adjustRightInd w:val="0"/>
              <w:snapToGrid w:val="0"/>
              <w:spacing w:line="480" w:lineRule="auto"/>
              <w:jc w:val="center"/>
              <w:rPr>
                <w:rFonts w:ascii="宋体" w:hAnsi="宋体" w:cs="宋体"/>
                <w:spacing w:val="20"/>
                <w:sz w:val="24"/>
                <w:szCs w:val="24"/>
              </w:rPr>
            </w:pPr>
          </w:p>
        </w:tc>
        <w:tc>
          <w:tcPr>
            <w:tcW w:w="2699" w:type="dxa"/>
            <w:vAlign w:val="center"/>
          </w:tcPr>
          <w:p>
            <w:pPr>
              <w:adjustRightInd w:val="0"/>
              <w:snapToGrid w:val="0"/>
              <w:spacing w:line="480" w:lineRule="auto"/>
              <w:jc w:val="center"/>
              <w:rPr>
                <w:rFonts w:ascii="宋体" w:hAnsi="宋体" w:cs="宋体"/>
                <w:spacing w:val="20"/>
                <w:sz w:val="24"/>
                <w:szCs w:val="24"/>
              </w:rPr>
            </w:pPr>
          </w:p>
        </w:tc>
        <w:tc>
          <w:tcPr>
            <w:tcW w:w="1999" w:type="dxa"/>
            <w:vAlign w:val="center"/>
          </w:tcPr>
          <w:p>
            <w:pPr>
              <w:adjustRightInd w:val="0"/>
              <w:snapToGrid w:val="0"/>
              <w:spacing w:line="480" w:lineRule="auto"/>
              <w:jc w:val="center"/>
              <w:rPr>
                <w:rFonts w:ascii="宋体" w:hAnsi="宋体" w:cs="宋体"/>
                <w:spacing w:val="20"/>
                <w:sz w:val="24"/>
                <w:szCs w:val="24"/>
              </w:rPr>
            </w:pPr>
          </w:p>
        </w:tc>
        <w:tc>
          <w:tcPr>
            <w:tcW w:w="1311" w:type="dxa"/>
            <w:vAlign w:val="center"/>
          </w:tcPr>
          <w:p>
            <w:pPr>
              <w:adjustRightInd w:val="0"/>
              <w:snapToGrid w:val="0"/>
              <w:spacing w:line="480" w:lineRule="auto"/>
              <w:jc w:val="center"/>
              <w:rPr>
                <w:rFonts w:ascii="宋体" w:hAnsi="宋体" w:cs="宋体"/>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79" w:type="dxa"/>
            <w:vAlign w:val="center"/>
          </w:tcPr>
          <w:p>
            <w:pPr>
              <w:adjustRightInd w:val="0"/>
              <w:snapToGrid w:val="0"/>
              <w:spacing w:line="480" w:lineRule="auto"/>
              <w:jc w:val="center"/>
              <w:rPr>
                <w:rFonts w:ascii="宋体" w:hAnsi="宋体" w:cs="宋体"/>
                <w:spacing w:val="20"/>
                <w:sz w:val="24"/>
                <w:szCs w:val="24"/>
              </w:rPr>
            </w:pPr>
          </w:p>
        </w:tc>
        <w:tc>
          <w:tcPr>
            <w:tcW w:w="2419" w:type="dxa"/>
            <w:vAlign w:val="center"/>
          </w:tcPr>
          <w:p>
            <w:pPr>
              <w:adjustRightInd w:val="0"/>
              <w:snapToGrid w:val="0"/>
              <w:spacing w:line="480" w:lineRule="auto"/>
              <w:jc w:val="center"/>
              <w:rPr>
                <w:rFonts w:ascii="宋体" w:hAnsi="宋体" w:cs="宋体"/>
                <w:spacing w:val="20"/>
                <w:sz w:val="24"/>
                <w:szCs w:val="24"/>
              </w:rPr>
            </w:pPr>
          </w:p>
        </w:tc>
        <w:tc>
          <w:tcPr>
            <w:tcW w:w="2699" w:type="dxa"/>
            <w:vAlign w:val="center"/>
          </w:tcPr>
          <w:p>
            <w:pPr>
              <w:adjustRightInd w:val="0"/>
              <w:snapToGrid w:val="0"/>
              <w:spacing w:line="480" w:lineRule="auto"/>
              <w:jc w:val="center"/>
              <w:rPr>
                <w:rFonts w:ascii="宋体" w:hAnsi="宋体" w:cs="宋体"/>
                <w:spacing w:val="20"/>
                <w:sz w:val="24"/>
                <w:szCs w:val="24"/>
              </w:rPr>
            </w:pPr>
          </w:p>
        </w:tc>
        <w:tc>
          <w:tcPr>
            <w:tcW w:w="1999" w:type="dxa"/>
            <w:vAlign w:val="center"/>
          </w:tcPr>
          <w:p>
            <w:pPr>
              <w:adjustRightInd w:val="0"/>
              <w:snapToGrid w:val="0"/>
              <w:spacing w:line="480" w:lineRule="auto"/>
              <w:jc w:val="center"/>
              <w:rPr>
                <w:rFonts w:ascii="宋体" w:hAnsi="宋体" w:cs="宋体"/>
                <w:spacing w:val="20"/>
                <w:sz w:val="24"/>
                <w:szCs w:val="24"/>
              </w:rPr>
            </w:pPr>
          </w:p>
        </w:tc>
        <w:tc>
          <w:tcPr>
            <w:tcW w:w="1311" w:type="dxa"/>
            <w:vAlign w:val="center"/>
          </w:tcPr>
          <w:p>
            <w:pPr>
              <w:adjustRightInd w:val="0"/>
              <w:snapToGrid w:val="0"/>
              <w:spacing w:line="480" w:lineRule="auto"/>
              <w:jc w:val="center"/>
              <w:rPr>
                <w:rFonts w:ascii="宋体" w:hAnsi="宋体" w:cs="宋体"/>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79" w:type="dxa"/>
            <w:vAlign w:val="center"/>
          </w:tcPr>
          <w:p>
            <w:pPr>
              <w:adjustRightInd w:val="0"/>
              <w:snapToGrid w:val="0"/>
              <w:spacing w:line="480" w:lineRule="auto"/>
              <w:jc w:val="center"/>
              <w:rPr>
                <w:rFonts w:ascii="宋体" w:hAnsi="宋体" w:cs="宋体"/>
                <w:spacing w:val="20"/>
                <w:sz w:val="24"/>
                <w:szCs w:val="24"/>
              </w:rPr>
            </w:pPr>
          </w:p>
        </w:tc>
        <w:tc>
          <w:tcPr>
            <w:tcW w:w="2419" w:type="dxa"/>
            <w:vAlign w:val="center"/>
          </w:tcPr>
          <w:p>
            <w:pPr>
              <w:adjustRightInd w:val="0"/>
              <w:snapToGrid w:val="0"/>
              <w:spacing w:line="480" w:lineRule="auto"/>
              <w:jc w:val="center"/>
              <w:rPr>
                <w:rFonts w:ascii="宋体" w:hAnsi="宋体" w:cs="宋体"/>
                <w:spacing w:val="20"/>
                <w:sz w:val="24"/>
                <w:szCs w:val="24"/>
              </w:rPr>
            </w:pPr>
          </w:p>
        </w:tc>
        <w:tc>
          <w:tcPr>
            <w:tcW w:w="2699" w:type="dxa"/>
            <w:vAlign w:val="center"/>
          </w:tcPr>
          <w:p>
            <w:pPr>
              <w:adjustRightInd w:val="0"/>
              <w:snapToGrid w:val="0"/>
              <w:spacing w:line="480" w:lineRule="auto"/>
              <w:jc w:val="center"/>
              <w:rPr>
                <w:rFonts w:ascii="宋体" w:hAnsi="宋体" w:cs="宋体"/>
                <w:spacing w:val="20"/>
                <w:sz w:val="24"/>
                <w:szCs w:val="24"/>
              </w:rPr>
            </w:pPr>
          </w:p>
        </w:tc>
        <w:tc>
          <w:tcPr>
            <w:tcW w:w="1999" w:type="dxa"/>
            <w:vAlign w:val="center"/>
          </w:tcPr>
          <w:p>
            <w:pPr>
              <w:adjustRightInd w:val="0"/>
              <w:snapToGrid w:val="0"/>
              <w:spacing w:line="480" w:lineRule="auto"/>
              <w:jc w:val="center"/>
              <w:rPr>
                <w:rFonts w:ascii="宋体" w:hAnsi="宋体" w:cs="宋体"/>
                <w:spacing w:val="20"/>
                <w:sz w:val="24"/>
                <w:szCs w:val="24"/>
              </w:rPr>
            </w:pPr>
          </w:p>
        </w:tc>
        <w:tc>
          <w:tcPr>
            <w:tcW w:w="1311" w:type="dxa"/>
            <w:vAlign w:val="center"/>
          </w:tcPr>
          <w:p>
            <w:pPr>
              <w:adjustRightInd w:val="0"/>
              <w:snapToGrid w:val="0"/>
              <w:spacing w:line="480" w:lineRule="auto"/>
              <w:jc w:val="center"/>
              <w:rPr>
                <w:rFonts w:ascii="宋体" w:hAnsi="宋体" w:cs="宋体"/>
                <w:spacing w:val="20"/>
                <w:sz w:val="24"/>
                <w:szCs w:val="24"/>
              </w:rPr>
            </w:pPr>
          </w:p>
        </w:tc>
      </w:tr>
    </w:tbl>
    <w:p>
      <w:pPr>
        <w:adjustRightInd w:val="0"/>
        <w:snapToGrid w:val="0"/>
        <w:spacing w:line="500" w:lineRule="exact"/>
        <w:rPr>
          <w:rFonts w:ascii="宋体" w:hAnsi="宋体" w:cs="宋体"/>
          <w:smallCaps/>
          <w:sz w:val="24"/>
          <w:szCs w:val="24"/>
        </w:rPr>
      </w:pPr>
      <w:r>
        <w:rPr>
          <w:rFonts w:hint="eastAsia" w:ascii="宋体" w:hAnsi="宋体" w:cs="宋体"/>
          <w:smallCaps/>
          <w:sz w:val="24"/>
          <w:szCs w:val="24"/>
        </w:rPr>
        <w:t>注：必须与相应技术规格相比较填列。</w:t>
      </w:r>
    </w:p>
    <w:p>
      <w:pPr>
        <w:adjustRightInd w:val="0"/>
        <w:snapToGrid w:val="0"/>
        <w:rPr>
          <w:rFonts w:ascii="宋体" w:hAnsi="宋体" w:cs="宋体"/>
          <w:spacing w:val="20"/>
          <w:sz w:val="24"/>
          <w:szCs w:val="24"/>
        </w:rPr>
      </w:pPr>
    </w:p>
    <w:p>
      <w:pPr>
        <w:adjustRightInd w:val="0"/>
        <w:snapToGrid w:val="0"/>
        <w:rPr>
          <w:rFonts w:ascii="宋体" w:hAnsi="宋体" w:cs="宋体"/>
          <w:spacing w:val="20"/>
          <w:sz w:val="24"/>
          <w:szCs w:val="24"/>
        </w:rPr>
      </w:pPr>
    </w:p>
    <w:p>
      <w:pPr>
        <w:pStyle w:val="168"/>
        <w:wordWrap w:val="0"/>
        <w:bidi/>
        <w:spacing w:line="360" w:lineRule="auto"/>
        <w:jc w:val="left"/>
        <w:rPr>
          <w:rFonts w:ascii="宋体" w:hAnsi="宋体" w:cs="宋体"/>
          <w:sz w:val="24"/>
          <w:szCs w:val="21"/>
          <w:u w:val="single"/>
        </w:rPr>
      </w:pPr>
      <w:r>
        <w:rPr>
          <w:rFonts w:hint="eastAsia" w:ascii="宋体" w:hAnsi="宋体" w:cs="宋体"/>
          <w:sz w:val="24"/>
          <w:szCs w:val="21"/>
        </w:rPr>
        <w:t>供应商盖章(电子签章)：</w:t>
      </w:r>
      <w:r>
        <w:rPr>
          <w:rFonts w:hint="eastAsia" w:ascii="宋体" w:hAnsi="宋体" w:cs="宋体"/>
          <w:sz w:val="24"/>
          <w:szCs w:val="21"/>
          <w:u w:val="single"/>
        </w:rPr>
        <w:t xml:space="preserve">                </w:t>
      </w:r>
    </w:p>
    <w:p>
      <w:pPr>
        <w:pStyle w:val="47"/>
        <w:bidi/>
        <w:ind w:firstLine="0"/>
        <w:jc w:val="left"/>
        <w:rPr>
          <w:rFonts w:ascii="宋体" w:hAnsi="宋体" w:cs="宋体"/>
          <w:sz w:val="24"/>
          <w:szCs w:val="21"/>
          <w:u w:val="single"/>
        </w:rPr>
      </w:pPr>
      <w:r>
        <w:rPr>
          <w:rFonts w:hint="eastAsia" w:ascii="宋体" w:hAnsi="宋体" w:eastAsia="宋体" w:cs="宋体"/>
          <w:sz w:val="24"/>
          <w:szCs w:val="21"/>
        </w:rPr>
        <w:t>日      期：</w:t>
      </w:r>
      <w:r>
        <w:rPr>
          <w:rFonts w:hint="eastAsia" w:ascii="宋体" w:hAnsi="宋体" w:eastAsia="宋体" w:cs="宋体"/>
          <w:sz w:val="24"/>
          <w:szCs w:val="21"/>
          <w:u w:val="single"/>
        </w:rPr>
        <w:t xml:space="preserve">               </w:t>
      </w:r>
      <w:r>
        <w:rPr>
          <w:rFonts w:hint="eastAsia" w:ascii="宋体" w:hAnsi="宋体" w:cs="宋体"/>
          <w:sz w:val="24"/>
          <w:szCs w:val="21"/>
          <w:u w:val="single"/>
        </w:rPr>
        <w:t xml:space="preserve"> </w:t>
      </w:r>
    </w:p>
    <w:p>
      <w:pPr>
        <w:pStyle w:val="47"/>
        <w:ind w:firstLine="0"/>
        <w:rPr>
          <w:rFonts w:ascii="宋体" w:hAnsi="宋体" w:cs="宋体"/>
          <w:sz w:val="24"/>
          <w:szCs w:val="21"/>
          <w:u w:val="single"/>
        </w:rPr>
      </w:pPr>
    </w:p>
    <w:p>
      <w:pPr>
        <w:pStyle w:val="4"/>
        <w:spacing w:before="0" w:after="0"/>
        <w:ind w:firstLine="0" w:firstLineChars="0"/>
        <w:jc w:val="left"/>
        <w:rPr>
          <w:rFonts w:ascii="宋体" w:hAnsi="宋体" w:eastAsia="宋体" w:cs="宋体"/>
          <w:sz w:val="24"/>
          <w:szCs w:val="24"/>
        </w:rPr>
      </w:pPr>
    </w:p>
    <w:p>
      <w:pPr>
        <w:pStyle w:val="4"/>
        <w:spacing w:before="0" w:after="0"/>
        <w:ind w:firstLine="0" w:firstLineChars="0"/>
        <w:jc w:val="left"/>
        <w:rPr>
          <w:rFonts w:ascii="宋体" w:hAnsi="宋体" w:eastAsia="宋体" w:cs="宋体"/>
          <w:sz w:val="24"/>
          <w:szCs w:val="24"/>
        </w:rPr>
      </w:pPr>
    </w:p>
    <w:p>
      <w:pPr>
        <w:pStyle w:val="4"/>
        <w:spacing w:before="0" w:after="0"/>
        <w:ind w:firstLine="0" w:firstLineChars="0"/>
        <w:jc w:val="left"/>
        <w:rPr>
          <w:rFonts w:ascii="宋体" w:hAnsi="宋体" w:eastAsia="宋体" w:cs="宋体"/>
          <w:sz w:val="24"/>
          <w:szCs w:val="24"/>
        </w:rPr>
      </w:pPr>
      <w:r>
        <w:rPr>
          <w:rFonts w:hint="eastAsia" w:ascii="宋体" w:hAnsi="宋体" w:eastAsia="宋体" w:cs="宋体"/>
          <w:sz w:val="24"/>
          <w:szCs w:val="24"/>
        </w:rPr>
        <w:t>2.6供应商需要说明的其他文件和说明</w:t>
      </w:r>
      <w:bookmarkEnd w:id="275"/>
      <w:bookmarkEnd w:id="276"/>
      <w:bookmarkEnd w:id="277"/>
      <w:bookmarkEnd w:id="278"/>
      <w:bookmarkEnd w:id="279"/>
      <w:bookmarkEnd w:id="280"/>
      <w:bookmarkEnd w:id="281"/>
      <w:bookmarkEnd w:id="282"/>
      <w:bookmarkEnd w:id="283"/>
      <w:r>
        <w:rPr>
          <w:rFonts w:hint="eastAsia" w:ascii="宋体" w:hAnsi="宋体" w:eastAsia="宋体" w:cs="宋体"/>
          <w:sz w:val="24"/>
          <w:szCs w:val="24"/>
        </w:rPr>
        <w:t>（根据采购需求和打分内容自行编制）</w:t>
      </w:r>
    </w:p>
    <w:p>
      <w:pPr>
        <w:pStyle w:val="315"/>
        <w:spacing w:line="360" w:lineRule="auto"/>
        <w:jc w:val="center"/>
        <w:rPr>
          <w:rFonts w:ascii="宋体" w:hAnsi="宋体" w:cs="宋体"/>
          <w:sz w:val="24"/>
        </w:rPr>
      </w:pPr>
    </w:p>
    <w:p>
      <w:pPr>
        <w:pStyle w:val="168"/>
        <w:wordWrap w:val="0"/>
        <w:spacing w:line="360" w:lineRule="auto"/>
        <w:ind w:firstLine="480"/>
        <w:jc w:val="right"/>
        <w:rPr>
          <w:rFonts w:ascii="宋体" w:hAnsi="宋体" w:cs="宋体"/>
          <w:sz w:val="24"/>
          <w:szCs w:val="21"/>
          <w:u w:val="single"/>
        </w:rPr>
      </w:pPr>
      <w:bookmarkStart w:id="284" w:name="_Toc531359073"/>
      <w:bookmarkStart w:id="285" w:name="_Toc530551896"/>
      <w:r>
        <w:rPr>
          <w:rFonts w:hint="eastAsia" w:ascii="宋体" w:hAnsi="宋体" w:cs="宋体"/>
          <w:sz w:val="24"/>
          <w:szCs w:val="21"/>
        </w:rPr>
        <w:t>供应商盖章</w:t>
      </w:r>
      <w:r>
        <w:rPr>
          <w:rFonts w:hint="eastAsia" w:ascii="宋体" w:hAnsi="宋体" w:cs="宋体"/>
          <w:spacing w:val="20"/>
          <w:sz w:val="24"/>
          <w:szCs w:val="21"/>
        </w:rPr>
        <w:t>(电子签章)</w:t>
      </w:r>
      <w:r>
        <w:rPr>
          <w:rFonts w:hint="eastAsia" w:ascii="宋体" w:hAnsi="宋体" w:cs="宋体"/>
          <w:sz w:val="24"/>
          <w:szCs w:val="21"/>
        </w:rPr>
        <w:t>：</w:t>
      </w:r>
      <w:r>
        <w:rPr>
          <w:rFonts w:hint="eastAsia" w:ascii="宋体" w:hAnsi="宋体" w:cs="宋体"/>
          <w:sz w:val="24"/>
          <w:szCs w:val="21"/>
          <w:u w:val="single"/>
        </w:rPr>
        <w:t xml:space="preserve">                </w:t>
      </w:r>
    </w:p>
    <w:p>
      <w:pPr>
        <w:pStyle w:val="168"/>
        <w:wordWrap w:val="0"/>
        <w:spacing w:line="360" w:lineRule="auto"/>
        <w:ind w:firstLine="480"/>
        <w:jc w:val="right"/>
        <w:rPr>
          <w:rFonts w:ascii="宋体" w:hAnsi="宋体" w:cs="宋体"/>
          <w:sz w:val="24"/>
          <w:szCs w:val="21"/>
          <w:u w:val="single"/>
        </w:rPr>
      </w:pPr>
      <w:r>
        <w:rPr>
          <w:rFonts w:hint="eastAsia" w:ascii="宋体" w:hAnsi="宋体" w:cs="宋体"/>
          <w:sz w:val="24"/>
          <w:szCs w:val="21"/>
        </w:rPr>
        <w:t>日      期：</w:t>
      </w:r>
      <w:r>
        <w:rPr>
          <w:rFonts w:hint="eastAsia" w:ascii="宋体" w:hAnsi="宋体" w:cs="宋体"/>
          <w:sz w:val="24"/>
          <w:szCs w:val="21"/>
          <w:u w:val="single"/>
        </w:rPr>
        <w:t xml:space="preserve">                </w:t>
      </w:r>
    </w:p>
    <w:p>
      <w:pPr>
        <w:pStyle w:val="44"/>
        <w:spacing w:beforeLines="100" w:after="240" w:afterLines="100"/>
        <w:jc w:val="both"/>
        <w:outlineLvl w:val="1"/>
        <w:rPr>
          <w:rFonts w:ascii="宋体" w:hAnsi="宋体" w:cs="宋体"/>
          <w:sz w:val="44"/>
          <w:szCs w:val="44"/>
        </w:rPr>
        <w:sectPr>
          <w:pgSz w:w="11905" w:h="16838"/>
          <w:pgMar w:top="1440" w:right="1083" w:bottom="1440" w:left="1083" w:header="850" w:footer="850" w:gutter="0"/>
          <w:cols w:space="720" w:num="1"/>
          <w:titlePg/>
          <w:docGrid w:linePitch="312" w:charSpace="0"/>
        </w:sectPr>
      </w:pPr>
    </w:p>
    <w:p>
      <w:pPr>
        <w:pStyle w:val="44"/>
        <w:spacing w:beforeLines="100" w:after="240" w:afterLines="100"/>
        <w:outlineLvl w:val="1"/>
        <w:rPr>
          <w:rFonts w:ascii="宋体" w:hAnsi="宋体" w:cs="宋体"/>
          <w:sz w:val="44"/>
          <w:szCs w:val="44"/>
        </w:rPr>
      </w:pPr>
      <w:bookmarkStart w:id="286" w:name="_Toc34895616"/>
      <w:r>
        <w:rPr>
          <w:rFonts w:hint="eastAsia" w:ascii="宋体" w:hAnsi="宋体" w:cs="宋体"/>
          <w:sz w:val="44"/>
          <w:szCs w:val="44"/>
        </w:rPr>
        <w:t>三  报价文件格式</w:t>
      </w:r>
      <w:bookmarkEnd w:id="284"/>
      <w:bookmarkEnd w:id="285"/>
      <w:bookmarkEnd w:id="286"/>
    </w:p>
    <w:p>
      <w:pPr>
        <w:spacing w:line="360" w:lineRule="auto"/>
        <w:rPr>
          <w:rFonts w:ascii="宋体" w:hAnsi="宋体" w:cs="宋体"/>
          <w:sz w:val="24"/>
          <w:szCs w:val="24"/>
        </w:rPr>
      </w:pPr>
    </w:p>
    <w:p>
      <w:pPr>
        <w:pStyle w:val="4"/>
        <w:spacing w:before="0" w:after="0"/>
        <w:ind w:firstLine="0" w:firstLineChars="0"/>
        <w:jc w:val="left"/>
        <w:rPr>
          <w:rFonts w:ascii="宋体" w:hAnsi="宋体" w:eastAsia="宋体" w:cs="宋体"/>
          <w:sz w:val="24"/>
          <w:szCs w:val="24"/>
        </w:rPr>
      </w:pPr>
      <w:bookmarkStart w:id="287" w:name="_Toc34895617"/>
      <w:bookmarkStart w:id="288" w:name="_Toc530551897"/>
      <w:bookmarkStart w:id="289" w:name="_Toc493956072"/>
      <w:bookmarkStart w:id="290" w:name="_Toc531359074"/>
      <w:r>
        <w:rPr>
          <w:rFonts w:hint="eastAsia" w:ascii="宋体" w:hAnsi="宋体" w:eastAsia="宋体" w:cs="宋体"/>
          <w:sz w:val="24"/>
          <w:szCs w:val="24"/>
        </w:rPr>
        <w:t>3.1     报价文件文件封面格式</w:t>
      </w:r>
      <w:bookmarkEnd w:id="287"/>
    </w:p>
    <w:p>
      <w:pPr>
        <w:pStyle w:val="14"/>
        <w:spacing w:line="720" w:lineRule="auto"/>
        <w:ind w:firstLine="0"/>
        <w:jc w:val="center"/>
        <w:rPr>
          <w:rFonts w:ascii="宋体" w:hAnsi="宋体" w:cs="宋体"/>
          <w:bCs/>
          <w:sz w:val="24"/>
        </w:rPr>
      </w:pPr>
      <w:r>
        <w:rPr>
          <w:rFonts w:hint="eastAsia" w:ascii="宋体" w:hAnsi="宋体" w:cs="宋体"/>
          <w:b/>
          <w:sz w:val="32"/>
          <w:szCs w:val="32"/>
        </w:rPr>
        <w:t>投标文件</w:t>
      </w:r>
    </w:p>
    <w:tbl>
      <w:tblPr>
        <w:tblStyle w:val="48"/>
        <w:tblW w:w="0" w:type="auto"/>
        <w:jc w:val="center"/>
        <w:tblLayout w:type="autofit"/>
        <w:tblCellMar>
          <w:top w:w="0" w:type="dxa"/>
          <w:left w:w="108" w:type="dxa"/>
          <w:bottom w:w="0" w:type="dxa"/>
          <w:right w:w="108" w:type="dxa"/>
        </w:tblCellMar>
      </w:tblPr>
      <w:tblGrid>
        <w:gridCol w:w="3078"/>
        <w:gridCol w:w="4536"/>
      </w:tblGrid>
      <w:tr>
        <w:tblPrEx>
          <w:tblCellMar>
            <w:top w:w="0" w:type="dxa"/>
            <w:left w:w="108" w:type="dxa"/>
            <w:bottom w:w="0" w:type="dxa"/>
            <w:right w:w="108" w:type="dxa"/>
          </w:tblCellMar>
        </w:tblPrEx>
        <w:trPr>
          <w:trHeight w:val="397" w:hRule="atLeast"/>
          <w:jc w:val="center"/>
        </w:trPr>
        <w:tc>
          <w:tcPr>
            <w:tcW w:w="3078" w:type="dxa"/>
            <w:vAlign w:val="center"/>
          </w:tcPr>
          <w:p>
            <w:pPr>
              <w:spacing w:line="720" w:lineRule="auto"/>
              <w:jc w:val="distribute"/>
              <w:rPr>
                <w:rFonts w:ascii="宋体" w:hAnsi="宋体" w:cs="宋体"/>
                <w:sz w:val="24"/>
                <w:szCs w:val="24"/>
              </w:rPr>
            </w:pPr>
            <w:r>
              <w:rPr>
                <w:rFonts w:hint="eastAsia" w:ascii="宋体" w:hAnsi="宋体" w:cs="宋体"/>
                <w:sz w:val="24"/>
                <w:szCs w:val="24"/>
              </w:rPr>
              <w:t>投标文件名称：</w:t>
            </w:r>
          </w:p>
        </w:tc>
        <w:tc>
          <w:tcPr>
            <w:tcW w:w="4536" w:type="dxa"/>
            <w:vAlign w:val="center"/>
          </w:tcPr>
          <w:p>
            <w:pPr>
              <w:spacing w:line="720" w:lineRule="auto"/>
              <w:jc w:val="left"/>
              <w:rPr>
                <w:rFonts w:ascii="宋体" w:hAnsi="宋体" w:cs="宋体"/>
                <w:sz w:val="24"/>
                <w:szCs w:val="24"/>
              </w:rPr>
            </w:pPr>
            <w:r>
              <w:rPr>
                <w:rFonts w:hint="eastAsia" w:ascii="宋体" w:hAnsi="宋体" w:cs="宋体"/>
                <w:sz w:val="24"/>
                <w:szCs w:val="24"/>
                <w:u w:val="single"/>
              </w:rPr>
              <w:t xml:space="preserve"> 报价文件           </w:t>
            </w:r>
          </w:p>
        </w:tc>
      </w:tr>
      <w:tr>
        <w:tblPrEx>
          <w:tblCellMar>
            <w:top w:w="0" w:type="dxa"/>
            <w:left w:w="108" w:type="dxa"/>
            <w:bottom w:w="0" w:type="dxa"/>
            <w:right w:w="108" w:type="dxa"/>
          </w:tblCellMar>
        </w:tblPrEx>
        <w:trPr>
          <w:trHeight w:val="397" w:hRule="atLeast"/>
          <w:jc w:val="center"/>
        </w:trPr>
        <w:tc>
          <w:tcPr>
            <w:tcW w:w="3078" w:type="dxa"/>
            <w:vAlign w:val="center"/>
          </w:tcPr>
          <w:p>
            <w:pPr>
              <w:spacing w:line="720" w:lineRule="auto"/>
              <w:jc w:val="distribute"/>
              <w:rPr>
                <w:rFonts w:ascii="宋体" w:hAnsi="宋体" w:cs="宋体"/>
                <w:sz w:val="24"/>
                <w:szCs w:val="24"/>
              </w:rPr>
            </w:pPr>
            <w:r>
              <w:rPr>
                <w:rFonts w:hint="eastAsia" w:ascii="宋体" w:hAnsi="宋体" w:cs="宋体"/>
                <w:sz w:val="24"/>
                <w:szCs w:val="24"/>
              </w:rPr>
              <w:t>采 购 编 号：</w:t>
            </w:r>
          </w:p>
        </w:tc>
        <w:tc>
          <w:tcPr>
            <w:tcW w:w="4536" w:type="dxa"/>
            <w:vAlign w:val="center"/>
          </w:tcPr>
          <w:p>
            <w:pPr>
              <w:spacing w:line="720" w:lineRule="auto"/>
              <w:jc w:val="left"/>
              <w:rPr>
                <w:rFonts w:ascii="宋体" w:hAnsi="宋体" w:cs="宋体"/>
                <w:sz w:val="24"/>
                <w:szCs w:val="24"/>
              </w:rPr>
            </w:pPr>
            <w:r>
              <w:rPr>
                <w:rFonts w:hint="eastAsia" w:ascii="宋体" w:hAnsi="宋体" w:cs="宋体"/>
                <w:sz w:val="24"/>
                <w:szCs w:val="24"/>
                <w:u w:val="single"/>
              </w:rPr>
              <w:t xml:space="preserve">                                    </w:t>
            </w:r>
          </w:p>
        </w:tc>
      </w:tr>
      <w:tr>
        <w:tblPrEx>
          <w:tblCellMar>
            <w:top w:w="0" w:type="dxa"/>
            <w:left w:w="108" w:type="dxa"/>
            <w:bottom w:w="0" w:type="dxa"/>
            <w:right w:w="108" w:type="dxa"/>
          </w:tblCellMar>
        </w:tblPrEx>
        <w:trPr>
          <w:trHeight w:val="397" w:hRule="atLeast"/>
          <w:jc w:val="center"/>
        </w:trPr>
        <w:tc>
          <w:tcPr>
            <w:tcW w:w="3078" w:type="dxa"/>
            <w:vAlign w:val="center"/>
          </w:tcPr>
          <w:p>
            <w:pPr>
              <w:spacing w:line="720" w:lineRule="auto"/>
              <w:jc w:val="distribute"/>
              <w:rPr>
                <w:rFonts w:ascii="宋体" w:hAnsi="宋体" w:cs="宋体"/>
                <w:sz w:val="24"/>
                <w:szCs w:val="24"/>
              </w:rPr>
            </w:pPr>
            <w:r>
              <w:rPr>
                <w:rFonts w:hint="eastAsia" w:ascii="宋体" w:hAnsi="宋体" w:cs="宋体"/>
                <w:sz w:val="24"/>
                <w:szCs w:val="24"/>
              </w:rPr>
              <w:t>项 目 名 称：</w:t>
            </w:r>
          </w:p>
        </w:tc>
        <w:tc>
          <w:tcPr>
            <w:tcW w:w="4536" w:type="dxa"/>
            <w:vAlign w:val="center"/>
          </w:tcPr>
          <w:p>
            <w:pPr>
              <w:spacing w:line="720" w:lineRule="auto"/>
              <w:jc w:val="left"/>
              <w:rPr>
                <w:rFonts w:ascii="宋体" w:hAnsi="宋体" w:cs="宋体"/>
                <w:sz w:val="24"/>
                <w:szCs w:val="24"/>
              </w:rPr>
            </w:pPr>
            <w:r>
              <w:rPr>
                <w:rFonts w:hint="eastAsia" w:ascii="宋体" w:hAnsi="宋体" w:cs="宋体"/>
                <w:sz w:val="24"/>
                <w:szCs w:val="24"/>
                <w:u w:val="single"/>
              </w:rPr>
              <w:t xml:space="preserve">                                    </w:t>
            </w:r>
          </w:p>
        </w:tc>
      </w:tr>
      <w:tr>
        <w:tblPrEx>
          <w:tblCellMar>
            <w:top w:w="0" w:type="dxa"/>
            <w:left w:w="108" w:type="dxa"/>
            <w:bottom w:w="0" w:type="dxa"/>
            <w:right w:w="108" w:type="dxa"/>
          </w:tblCellMar>
        </w:tblPrEx>
        <w:trPr>
          <w:trHeight w:val="397" w:hRule="atLeast"/>
          <w:jc w:val="center"/>
        </w:trPr>
        <w:tc>
          <w:tcPr>
            <w:tcW w:w="3078" w:type="dxa"/>
            <w:vAlign w:val="center"/>
          </w:tcPr>
          <w:p>
            <w:pPr>
              <w:spacing w:line="720" w:lineRule="auto"/>
              <w:jc w:val="distribute"/>
              <w:rPr>
                <w:rFonts w:ascii="宋体" w:hAnsi="宋体" w:cs="宋体"/>
                <w:sz w:val="24"/>
                <w:szCs w:val="24"/>
              </w:rPr>
            </w:pPr>
            <w:r>
              <w:rPr>
                <w:rFonts w:hint="eastAsia" w:ascii="宋体" w:hAnsi="宋体" w:cs="宋体"/>
                <w:sz w:val="24"/>
                <w:szCs w:val="24"/>
              </w:rPr>
              <w:t>标      项：</w:t>
            </w:r>
          </w:p>
        </w:tc>
        <w:tc>
          <w:tcPr>
            <w:tcW w:w="4536" w:type="dxa"/>
            <w:vAlign w:val="center"/>
          </w:tcPr>
          <w:p>
            <w:pPr>
              <w:spacing w:line="720" w:lineRule="auto"/>
              <w:jc w:val="left"/>
              <w:rPr>
                <w:rFonts w:ascii="宋体" w:hAnsi="宋体" w:cs="宋体"/>
                <w:sz w:val="24"/>
                <w:szCs w:val="24"/>
                <w:u w:val="single"/>
              </w:rPr>
            </w:pPr>
            <w:r>
              <w:rPr>
                <w:rFonts w:hint="eastAsia" w:ascii="宋体" w:hAnsi="宋体" w:cs="宋体"/>
                <w:sz w:val="24"/>
                <w:szCs w:val="24"/>
                <w:u w:val="single"/>
              </w:rPr>
              <w:t xml:space="preserve">（若有）                            </w:t>
            </w:r>
          </w:p>
        </w:tc>
      </w:tr>
      <w:tr>
        <w:tblPrEx>
          <w:tblCellMar>
            <w:top w:w="0" w:type="dxa"/>
            <w:left w:w="108" w:type="dxa"/>
            <w:bottom w:w="0" w:type="dxa"/>
            <w:right w:w="108" w:type="dxa"/>
          </w:tblCellMar>
        </w:tblPrEx>
        <w:trPr>
          <w:trHeight w:val="397" w:hRule="atLeast"/>
          <w:jc w:val="center"/>
        </w:trPr>
        <w:tc>
          <w:tcPr>
            <w:tcW w:w="3078" w:type="dxa"/>
            <w:vAlign w:val="center"/>
          </w:tcPr>
          <w:p>
            <w:pPr>
              <w:spacing w:line="720" w:lineRule="auto"/>
              <w:jc w:val="distribute"/>
              <w:rPr>
                <w:rFonts w:ascii="宋体" w:hAnsi="宋体" w:cs="宋体"/>
                <w:sz w:val="24"/>
                <w:szCs w:val="24"/>
              </w:rPr>
            </w:pPr>
          </w:p>
        </w:tc>
        <w:tc>
          <w:tcPr>
            <w:tcW w:w="4536" w:type="dxa"/>
            <w:vAlign w:val="center"/>
          </w:tcPr>
          <w:p>
            <w:pPr>
              <w:spacing w:line="720" w:lineRule="auto"/>
              <w:jc w:val="left"/>
              <w:rPr>
                <w:rFonts w:ascii="宋体" w:hAnsi="宋体" w:cs="宋体"/>
                <w:sz w:val="24"/>
                <w:szCs w:val="24"/>
              </w:rPr>
            </w:pPr>
          </w:p>
        </w:tc>
      </w:tr>
      <w:tr>
        <w:tblPrEx>
          <w:tblCellMar>
            <w:top w:w="0" w:type="dxa"/>
            <w:left w:w="108" w:type="dxa"/>
            <w:bottom w:w="0" w:type="dxa"/>
            <w:right w:w="108" w:type="dxa"/>
          </w:tblCellMar>
        </w:tblPrEx>
        <w:trPr>
          <w:trHeight w:val="397" w:hRule="atLeast"/>
          <w:jc w:val="center"/>
        </w:trPr>
        <w:tc>
          <w:tcPr>
            <w:tcW w:w="3078" w:type="dxa"/>
            <w:vAlign w:val="center"/>
          </w:tcPr>
          <w:p>
            <w:pPr>
              <w:spacing w:line="720" w:lineRule="auto"/>
              <w:jc w:val="distribute"/>
              <w:rPr>
                <w:rFonts w:ascii="宋体" w:hAnsi="宋体" w:cs="宋体"/>
                <w:sz w:val="24"/>
                <w:szCs w:val="24"/>
              </w:rPr>
            </w:pPr>
            <w:r>
              <w:rPr>
                <w:rFonts w:hint="eastAsia" w:ascii="宋体" w:hAnsi="宋体" w:cs="宋体"/>
                <w:sz w:val="24"/>
                <w:szCs w:val="24"/>
              </w:rPr>
              <w:t>供应商全称</w:t>
            </w:r>
            <w:r>
              <w:rPr>
                <w:rFonts w:hint="eastAsia" w:ascii="宋体" w:hAnsi="宋体" w:cs="宋体"/>
                <w:spacing w:val="20"/>
                <w:sz w:val="24"/>
                <w:szCs w:val="21"/>
              </w:rPr>
              <w:t>(电子签章)</w:t>
            </w:r>
            <w:r>
              <w:rPr>
                <w:rFonts w:hint="eastAsia" w:ascii="宋体" w:hAnsi="宋体" w:cs="宋体"/>
                <w:sz w:val="24"/>
                <w:szCs w:val="24"/>
              </w:rPr>
              <w:t>：</w:t>
            </w:r>
          </w:p>
        </w:tc>
        <w:tc>
          <w:tcPr>
            <w:tcW w:w="4536" w:type="dxa"/>
            <w:vAlign w:val="center"/>
          </w:tcPr>
          <w:p>
            <w:pPr>
              <w:spacing w:line="720" w:lineRule="auto"/>
              <w:jc w:val="left"/>
              <w:rPr>
                <w:rFonts w:ascii="宋体" w:hAnsi="宋体" w:cs="宋体"/>
                <w:sz w:val="24"/>
                <w:szCs w:val="24"/>
              </w:rPr>
            </w:pPr>
            <w:r>
              <w:rPr>
                <w:rFonts w:hint="eastAsia" w:ascii="宋体" w:hAnsi="宋体" w:cs="宋体"/>
                <w:sz w:val="24"/>
                <w:szCs w:val="24"/>
                <w:u w:val="single"/>
              </w:rPr>
              <w:t xml:space="preserve">                                    </w:t>
            </w:r>
          </w:p>
        </w:tc>
      </w:tr>
      <w:tr>
        <w:tblPrEx>
          <w:tblCellMar>
            <w:top w:w="0" w:type="dxa"/>
            <w:left w:w="108" w:type="dxa"/>
            <w:bottom w:w="0" w:type="dxa"/>
            <w:right w:w="108" w:type="dxa"/>
          </w:tblCellMar>
        </w:tblPrEx>
        <w:trPr>
          <w:trHeight w:val="397" w:hRule="atLeast"/>
          <w:jc w:val="center"/>
        </w:trPr>
        <w:tc>
          <w:tcPr>
            <w:tcW w:w="3078" w:type="dxa"/>
            <w:vAlign w:val="center"/>
          </w:tcPr>
          <w:p>
            <w:pPr>
              <w:spacing w:line="720" w:lineRule="auto"/>
              <w:jc w:val="distribute"/>
              <w:rPr>
                <w:rFonts w:ascii="宋体" w:hAnsi="宋体" w:cs="宋体"/>
                <w:sz w:val="24"/>
                <w:szCs w:val="24"/>
              </w:rPr>
            </w:pPr>
            <w:r>
              <w:rPr>
                <w:rFonts w:hint="eastAsia" w:ascii="宋体" w:hAnsi="宋体" w:cs="宋体"/>
                <w:sz w:val="24"/>
                <w:szCs w:val="24"/>
              </w:rPr>
              <w:t>供应商地址：</w:t>
            </w:r>
          </w:p>
        </w:tc>
        <w:tc>
          <w:tcPr>
            <w:tcW w:w="4536" w:type="dxa"/>
            <w:vAlign w:val="center"/>
          </w:tcPr>
          <w:p>
            <w:pPr>
              <w:spacing w:line="720" w:lineRule="auto"/>
              <w:jc w:val="left"/>
              <w:rPr>
                <w:rFonts w:ascii="宋体" w:hAnsi="宋体" w:cs="宋体"/>
                <w:sz w:val="24"/>
                <w:szCs w:val="24"/>
              </w:rPr>
            </w:pPr>
            <w:r>
              <w:rPr>
                <w:rFonts w:hint="eastAsia" w:ascii="宋体" w:hAnsi="宋体" w:cs="宋体"/>
                <w:sz w:val="24"/>
                <w:szCs w:val="24"/>
                <w:u w:val="single"/>
              </w:rPr>
              <w:t xml:space="preserve">                                    </w:t>
            </w:r>
          </w:p>
        </w:tc>
      </w:tr>
      <w:tr>
        <w:tblPrEx>
          <w:tblCellMar>
            <w:top w:w="0" w:type="dxa"/>
            <w:left w:w="108" w:type="dxa"/>
            <w:bottom w:w="0" w:type="dxa"/>
            <w:right w:w="108" w:type="dxa"/>
          </w:tblCellMar>
        </w:tblPrEx>
        <w:trPr>
          <w:trHeight w:val="397" w:hRule="atLeast"/>
          <w:jc w:val="center"/>
        </w:trPr>
        <w:tc>
          <w:tcPr>
            <w:tcW w:w="7614" w:type="dxa"/>
            <w:gridSpan w:val="2"/>
            <w:vAlign w:val="center"/>
          </w:tcPr>
          <w:p>
            <w:pPr>
              <w:spacing w:line="720" w:lineRule="auto"/>
              <w:jc w:val="left"/>
              <w:rPr>
                <w:rFonts w:ascii="宋体" w:hAnsi="宋体" w:cs="宋体"/>
                <w:sz w:val="24"/>
                <w:szCs w:val="24"/>
                <w:u w:val="single"/>
              </w:rPr>
            </w:pPr>
          </w:p>
        </w:tc>
      </w:tr>
      <w:tr>
        <w:tblPrEx>
          <w:tblCellMar>
            <w:top w:w="0" w:type="dxa"/>
            <w:left w:w="108" w:type="dxa"/>
            <w:bottom w:w="0" w:type="dxa"/>
            <w:right w:w="108" w:type="dxa"/>
          </w:tblCellMar>
        </w:tblPrEx>
        <w:trPr>
          <w:trHeight w:val="397" w:hRule="atLeast"/>
          <w:jc w:val="center"/>
        </w:trPr>
        <w:tc>
          <w:tcPr>
            <w:tcW w:w="7614" w:type="dxa"/>
            <w:gridSpan w:val="2"/>
            <w:vAlign w:val="center"/>
          </w:tcPr>
          <w:p>
            <w:pPr>
              <w:spacing w:line="720" w:lineRule="auto"/>
              <w:jc w:val="center"/>
              <w:rPr>
                <w:rFonts w:ascii="宋体" w:hAnsi="宋体" w:cs="宋体"/>
                <w:sz w:val="24"/>
                <w:szCs w:val="24"/>
              </w:rPr>
            </w:pPr>
            <w:r>
              <w:rPr>
                <w:rFonts w:hint="eastAsia" w:ascii="宋体" w:hAnsi="宋体" w:cs="宋体"/>
                <w:sz w:val="24"/>
                <w:szCs w:val="24"/>
              </w:rPr>
              <w:t>年  月  日</w:t>
            </w:r>
          </w:p>
        </w:tc>
      </w:tr>
    </w:tbl>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pStyle w:val="4"/>
        <w:spacing w:before="0" w:after="0"/>
        <w:ind w:firstLine="0" w:firstLineChars="0"/>
        <w:jc w:val="left"/>
        <w:rPr>
          <w:rFonts w:ascii="宋体" w:hAnsi="宋体" w:eastAsia="宋体" w:cs="宋体"/>
          <w:sz w:val="24"/>
          <w:szCs w:val="24"/>
        </w:rPr>
      </w:pPr>
      <w:bookmarkStart w:id="291" w:name="_Toc34895618"/>
      <w:r>
        <w:rPr>
          <w:rFonts w:hint="eastAsia" w:ascii="宋体" w:hAnsi="宋体" w:eastAsia="宋体" w:cs="宋体"/>
          <w:sz w:val="24"/>
          <w:szCs w:val="24"/>
        </w:rPr>
        <w:t>3.2     报价文件文件目录</w:t>
      </w:r>
      <w:bookmarkEnd w:id="291"/>
    </w:p>
    <w:p>
      <w:pPr>
        <w:pStyle w:val="14"/>
        <w:rPr>
          <w:rFonts w:ascii="宋体" w:hAnsi="宋体" w:cs="宋体"/>
        </w:rPr>
      </w:pPr>
    </w:p>
    <w:p>
      <w:pPr>
        <w:pStyle w:val="14"/>
        <w:rPr>
          <w:rFonts w:ascii="宋体" w:hAnsi="宋体" w:cs="宋体"/>
        </w:rPr>
      </w:pPr>
    </w:p>
    <w:p>
      <w:pPr>
        <w:pStyle w:val="14"/>
        <w:spacing w:line="600" w:lineRule="auto"/>
        <w:ind w:firstLine="0"/>
        <w:jc w:val="center"/>
        <w:rPr>
          <w:rFonts w:ascii="宋体" w:hAnsi="宋体" w:cs="宋体"/>
          <w:b/>
          <w:sz w:val="32"/>
          <w:szCs w:val="32"/>
        </w:rPr>
      </w:pPr>
      <w:r>
        <w:rPr>
          <w:rFonts w:hint="eastAsia" w:ascii="宋体" w:hAnsi="宋体" w:cs="宋体"/>
          <w:b/>
          <w:sz w:val="32"/>
          <w:szCs w:val="32"/>
        </w:rPr>
        <w:t>目 录</w:t>
      </w:r>
    </w:p>
    <w:p>
      <w:pPr>
        <w:pStyle w:val="14"/>
        <w:spacing w:line="600" w:lineRule="auto"/>
        <w:ind w:firstLine="0"/>
        <w:rPr>
          <w:rFonts w:ascii="宋体" w:hAnsi="宋体" w:cs="宋体"/>
        </w:rPr>
      </w:pPr>
    </w:p>
    <w:p>
      <w:pPr>
        <w:spacing w:line="600" w:lineRule="auto"/>
        <w:rPr>
          <w:rFonts w:ascii="宋体" w:hAnsi="宋体" w:cs="宋体"/>
          <w:spacing w:val="20"/>
          <w:sz w:val="24"/>
        </w:rPr>
      </w:pPr>
      <w:r>
        <w:rPr>
          <w:rFonts w:hint="eastAsia" w:ascii="宋体" w:hAnsi="宋体" w:cs="宋体"/>
          <w:spacing w:val="20"/>
          <w:sz w:val="24"/>
        </w:rPr>
        <w:t>1、开标一览表</w:t>
      </w:r>
    </w:p>
    <w:p>
      <w:pPr>
        <w:spacing w:line="600" w:lineRule="auto"/>
        <w:rPr>
          <w:rFonts w:ascii="宋体" w:hAnsi="宋体" w:cs="宋体"/>
          <w:spacing w:val="20"/>
          <w:sz w:val="24"/>
        </w:rPr>
      </w:pPr>
      <w:r>
        <w:rPr>
          <w:rFonts w:hint="eastAsia" w:ascii="宋体" w:hAnsi="宋体" w:cs="宋体"/>
          <w:spacing w:val="20"/>
          <w:sz w:val="24"/>
        </w:rPr>
        <w:t>2、投标分项报价表</w:t>
      </w:r>
    </w:p>
    <w:p>
      <w:pPr>
        <w:spacing w:line="600" w:lineRule="auto"/>
        <w:rPr>
          <w:rFonts w:ascii="宋体" w:hAnsi="宋体" w:cs="宋体"/>
          <w:spacing w:val="20"/>
          <w:sz w:val="24"/>
        </w:rPr>
      </w:pPr>
      <w:r>
        <w:rPr>
          <w:rFonts w:hint="eastAsia" w:ascii="宋体" w:hAnsi="宋体" w:cs="宋体"/>
          <w:spacing w:val="20"/>
          <w:sz w:val="24"/>
        </w:rPr>
        <w:t>3、供应商针对报价需要说明的其他文件和说明</w:t>
      </w:r>
    </w:p>
    <w:p>
      <w:pPr>
        <w:spacing w:line="600" w:lineRule="auto"/>
        <w:rPr>
          <w:rFonts w:ascii="宋体" w:hAnsi="宋体" w:cs="宋体"/>
          <w:spacing w:val="20"/>
          <w:sz w:val="24"/>
        </w:rPr>
      </w:pPr>
    </w:p>
    <w:p>
      <w:pPr>
        <w:pStyle w:val="14"/>
        <w:spacing w:line="360" w:lineRule="auto"/>
        <w:ind w:firstLine="0"/>
        <w:jc w:val="left"/>
        <w:rPr>
          <w:rFonts w:ascii="宋体" w:hAnsi="宋体" w:cs="宋体"/>
          <w:sz w:val="24"/>
          <w:szCs w:val="24"/>
        </w:rPr>
      </w:pPr>
    </w:p>
    <w:p>
      <w:pPr>
        <w:pStyle w:val="14"/>
        <w:spacing w:line="360" w:lineRule="auto"/>
        <w:ind w:firstLine="0"/>
        <w:jc w:val="left"/>
        <w:rPr>
          <w:rFonts w:ascii="宋体" w:hAnsi="宋体" w:cs="宋体"/>
          <w:sz w:val="24"/>
          <w:szCs w:val="24"/>
        </w:rPr>
      </w:pPr>
    </w:p>
    <w:p>
      <w:pPr>
        <w:pStyle w:val="4"/>
        <w:spacing w:before="0" w:after="0"/>
        <w:ind w:firstLine="0" w:firstLineChars="0"/>
        <w:jc w:val="left"/>
        <w:rPr>
          <w:rFonts w:ascii="宋体" w:hAnsi="宋体" w:eastAsia="宋体" w:cs="宋体"/>
          <w:sz w:val="24"/>
          <w:szCs w:val="24"/>
        </w:rPr>
        <w:sectPr>
          <w:pgSz w:w="11905" w:h="16838"/>
          <w:pgMar w:top="1440" w:right="1083" w:bottom="1440" w:left="1083" w:header="850" w:footer="850" w:gutter="0"/>
          <w:cols w:space="720" w:num="1"/>
          <w:titlePg/>
          <w:docGrid w:linePitch="312" w:charSpace="0"/>
        </w:sectPr>
      </w:pPr>
    </w:p>
    <w:p>
      <w:pPr>
        <w:pStyle w:val="4"/>
        <w:spacing w:before="0" w:after="0"/>
        <w:ind w:firstLine="0" w:firstLineChars="0"/>
        <w:jc w:val="left"/>
        <w:rPr>
          <w:rFonts w:ascii="宋体" w:hAnsi="宋体" w:eastAsia="宋体" w:cs="宋体"/>
          <w:sz w:val="24"/>
          <w:szCs w:val="24"/>
        </w:rPr>
      </w:pPr>
      <w:bookmarkStart w:id="292" w:name="_Toc34895619"/>
      <w:r>
        <w:rPr>
          <w:rFonts w:hint="eastAsia" w:ascii="宋体" w:hAnsi="宋体" w:eastAsia="宋体" w:cs="宋体"/>
          <w:sz w:val="24"/>
          <w:szCs w:val="24"/>
        </w:rPr>
        <w:t>3.3     开标一览表</w:t>
      </w:r>
      <w:bookmarkEnd w:id="288"/>
      <w:bookmarkEnd w:id="289"/>
      <w:bookmarkEnd w:id="290"/>
      <w:r>
        <w:rPr>
          <w:rFonts w:hint="eastAsia" w:ascii="宋体" w:hAnsi="宋体" w:eastAsia="宋体" w:cs="宋体"/>
          <w:sz w:val="24"/>
          <w:szCs w:val="24"/>
        </w:rPr>
        <w:t>格式</w:t>
      </w:r>
      <w:bookmarkEnd w:id="292"/>
    </w:p>
    <w:p>
      <w:pPr>
        <w:pStyle w:val="14"/>
        <w:spacing w:line="360" w:lineRule="auto"/>
        <w:ind w:firstLine="0"/>
        <w:jc w:val="center"/>
        <w:rPr>
          <w:rFonts w:ascii="宋体" w:hAnsi="宋体" w:cs="宋体"/>
          <w:b/>
          <w:sz w:val="32"/>
          <w:szCs w:val="32"/>
        </w:rPr>
      </w:pPr>
      <w:r>
        <w:rPr>
          <w:rFonts w:hint="eastAsia" w:ascii="宋体" w:hAnsi="宋体" w:cs="宋体"/>
          <w:b/>
          <w:sz w:val="32"/>
          <w:szCs w:val="32"/>
        </w:rPr>
        <w:t>开标一览表</w:t>
      </w:r>
    </w:p>
    <w:p>
      <w:pPr>
        <w:spacing w:line="360" w:lineRule="auto"/>
        <w:jc w:val="left"/>
        <w:rPr>
          <w:rFonts w:ascii="宋体" w:hAnsi="宋体" w:cs="宋体"/>
          <w:sz w:val="24"/>
          <w:szCs w:val="24"/>
        </w:rPr>
      </w:pPr>
      <w:r>
        <w:rPr>
          <w:rFonts w:hint="eastAsia" w:ascii="宋体" w:hAnsi="宋体" w:cs="宋体"/>
          <w:sz w:val="24"/>
          <w:szCs w:val="24"/>
        </w:rPr>
        <w:t>项目编号：</w:t>
      </w:r>
      <w:r>
        <w:rPr>
          <w:rFonts w:hint="eastAsia" w:ascii="宋体" w:hAnsi="宋体" w:cs="宋体"/>
          <w:sz w:val="24"/>
          <w:szCs w:val="24"/>
          <w:u w:val="single"/>
        </w:rPr>
        <w:t xml:space="preserve">                          </w:t>
      </w:r>
    </w:p>
    <w:p>
      <w:pPr>
        <w:spacing w:line="360" w:lineRule="auto"/>
        <w:jc w:val="left"/>
        <w:rPr>
          <w:rFonts w:ascii="宋体" w:hAnsi="宋体" w:cs="宋体"/>
          <w:sz w:val="24"/>
          <w:szCs w:val="24"/>
        </w:rPr>
      </w:pPr>
      <w:r>
        <w:rPr>
          <w:rFonts w:hint="eastAsia" w:ascii="宋体" w:hAnsi="宋体" w:cs="宋体"/>
          <w:sz w:val="24"/>
          <w:szCs w:val="24"/>
        </w:rPr>
        <w:t>项目名称：</w:t>
      </w:r>
      <w:r>
        <w:rPr>
          <w:rFonts w:hint="eastAsia" w:ascii="宋体" w:hAnsi="宋体" w:cs="宋体"/>
          <w:sz w:val="24"/>
          <w:szCs w:val="24"/>
          <w:u w:val="single"/>
        </w:rPr>
        <w:t xml:space="preserve">                          </w:t>
      </w:r>
      <w:r>
        <w:rPr>
          <w:rFonts w:hint="eastAsia" w:ascii="宋体" w:hAnsi="宋体" w:cs="宋体"/>
          <w:sz w:val="24"/>
          <w:szCs w:val="24"/>
        </w:rPr>
        <w:t xml:space="preserve">               </w:t>
      </w:r>
    </w:p>
    <w:tbl>
      <w:tblPr>
        <w:tblStyle w:val="48"/>
        <w:tblW w:w="9005" w:type="dxa"/>
        <w:jc w:val="center"/>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Layout w:type="fixed"/>
        <w:tblCellMar>
          <w:top w:w="0" w:type="dxa"/>
          <w:left w:w="108" w:type="dxa"/>
          <w:bottom w:w="0" w:type="dxa"/>
          <w:right w:w="108" w:type="dxa"/>
        </w:tblCellMar>
      </w:tblPr>
      <w:tblGrid>
        <w:gridCol w:w="2716"/>
        <w:gridCol w:w="6289"/>
      </w:tblGrid>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cantSplit/>
          <w:trHeight w:val="489" w:hRule="atLeast"/>
          <w:jc w:val="center"/>
        </w:trPr>
        <w:tc>
          <w:tcPr>
            <w:tcW w:w="2716" w:type="dxa"/>
            <w:tcBorders>
              <w:top w:val="double" w:color="000000" w:sz="6" w:space="0"/>
              <w:left w:val="double" w:color="000000" w:sz="6" w:space="0"/>
              <w:bottom w:val="single" w:color="000000" w:sz="6" w:space="0"/>
              <w:right w:val="single" w:color="000000" w:sz="6" w:space="0"/>
            </w:tcBorders>
            <w:vAlign w:val="center"/>
          </w:tcPr>
          <w:p>
            <w:pPr>
              <w:pStyle w:val="292"/>
              <w:tabs>
                <w:tab w:val="left" w:pos="420"/>
                <w:tab w:val="center" w:pos="4153"/>
                <w:tab w:val="right" w:pos="8306"/>
              </w:tabs>
              <w:adjustRightInd w:val="0"/>
              <w:jc w:val="center"/>
              <w:rPr>
                <w:rFonts w:ascii="宋体" w:hAnsi="宋体" w:cs="宋体"/>
                <w:caps/>
                <w:spacing w:val="20"/>
                <w:kern w:val="0"/>
                <w:sz w:val="24"/>
                <w:szCs w:val="20"/>
              </w:rPr>
            </w:pPr>
            <w:r>
              <w:rPr>
                <w:rFonts w:hint="eastAsia" w:ascii="宋体" w:hAnsi="宋体" w:cs="宋体"/>
                <w:caps/>
                <w:spacing w:val="20"/>
                <w:kern w:val="0"/>
                <w:sz w:val="24"/>
                <w:szCs w:val="20"/>
              </w:rPr>
              <w:t>名称</w:t>
            </w:r>
          </w:p>
        </w:tc>
        <w:tc>
          <w:tcPr>
            <w:tcW w:w="6289" w:type="dxa"/>
            <w:tcBorders>
              <w:top w:val="double" w:color="000000" w:sz="6" w:space="0"/>
              <w:left w:val="single" w:color="000000" w:sz="6" w:space="0"/>
              <w:bottom w:val="single" w:color="000000" w:sz="6" w:space="0"/>
              <w:right w:val="double" w:color="000000" w:sz="6" w:space="0"/>
            </w:tcBorders>
            <w:vAlign w:val="center"/>
          </w:tcPr>
          <w:p>
            <w:pPr>
              <w:pStyle w:val="292"/>
              <w:jc w:val="center"/>
              <w:rPr>
                <w:rFonts w:ascii="宋体" w:hAnsi="宋体" w:cs="宋体"/>
                <w:caps/>
                <w:spacing w:val="20"/>
                <w:sz w:val="24"/>
              </w:rPr>
            </w:pPr>
            <w:r>
              <w:rPr>
                <w:rFonts w:hint="eastAsia" w:ascii="宋体" w:hAnsi="宋体" w:cs="宋体"/>
                <w:caps/>
                <w:spacing w:val="20"/>
                <w:sz w:val="24"/>
              </w:rPr>
              <w:t>总报价（元）</w:t>
            </w: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cantSplit/>
          <w:trHeight w:val="683" w:hRule="atLeast"/>
          <w:jc w:val="center"/>
        </w:trPr>
        <w:tc>
          <w:tcPr>
            <w:tcW w:w="2716" w:type="dxa"/>
            <w:tcBorders>
              <w:top w:val="single" w:color="000000" w:sz="6" w:space="0"/>
              <w:left w:val="double" w:color="000000" w:sz="6" w:space="0"/>
              <w:bottom w:val="double" w:color="000000" w:sz="6" w:space="0"/>
              <w:right w:val="single" w:color="000000" w:sz="6" w:space="0"/>
            </w:tcBorders>
            <w:vAlign w:val="center"/>
          </w:tcPr>
          <w:p>
            <w:pPr>
              <w:pStyle w:val="292"/>
              <w:jc w:val="center"/>
              <w:rPr>
                <w:rFonts w:ascii="宋体" w:hAnsi="宋体" w:cs="宋体"/>
                <w:spacing w:val="20"/>
                <w:sz w:val="24"/>
              </w:rPr>
            </w:pPr>
            <w:r>
              <w:rPr>
                <w:rFonts w:hint="eastAsia" w:ascii="宋体" w:hAnsi="宋体" w:cs="宋体"/>
                <w:spacing w:val="20"/>
                <w:sz w:val="24"/>
              </w:rPr>
              <w:t>项目总报价</w:t>
            </w:r>
          </w:p>
        </w:tc>
        <w:tc>
          <w:tcPr>
            <w:tcW w:w="6289" w:type="dxa"/>
            <w:tcBorders>
              <w:top w:val="single" w:color="000000" w:sz="6" w:space="0"/>
              <w:left w:val="single" w:color="000000" w:sz="6" w:space="0"/>
              <w:bottom w:val="double" w:color="000000" w:sz="6" w:space="0"/>
              <w:right w:val="double" w:color="000000" w:sz="6" w:space="0"/>
            </w:tcBorders>
            <w:vAlign w:val="center"/>
          </w:tcPr>
          <w:p>
            <w:pPr>
              <w:pStyle w:val="292"/>
              <w:rPr>
                <w:rFonts w:ascii="宋体" w:hAnsi="宋体" w:cs="宋体"/>
                <w:spacing w:val="20"/>
                <w:sz w:val="24"/>
              </w:rPr>
            </w:pPr>
            <w:r>
              <w:rPr>
                <w:rFonts w:hint="eastAsia" w:ascii="宋体" w:hAnsi="宋体" w:cs="宋体"/>
                <w:spacing w:val="20"/>
                <w:sz w:val="24"/>
              </w:rPr>
              <w:t>大写                （￥           ）</w:t>
            </w:r>
          </w:p>
        </w:tc>
      </w:tr>
    </w:tbl>
    <w:p>
      <w:pPr>
        <w:pStyle w:val="292"/>
        <w:spacing w:line="440" w:lineRule="exact"/>
        <w:rPr>
          <w:rFonts w:ascii="宋体" w:hAnsi="宋体" w:cs="宋体"/>
          <w:b/>
          <w:iCs/>
          <w:spacing w:val="20"/>
          <w:sz w:val="24"/>
        </w:rPr>
      </w:pPr>
      <w:r>
        <w:rPr>
          <w:rFonts w:hint="eastAsia" w:ascii="宋体" w:hAnsi="宋体" w:cs="宋体"/>
          <w:b/>
          <w:sz w:val="24"/>
          <w:szCs w:val="21"/>
        </w:rPr>
        <w:t xml:space="preserve"> </w:t>
      </w:r>
      <w:r>
        <w:rPr>
          <w:rFonts w:hint="eastAsia" w:ascii="宋体" w:hAnsi="宋体" w:cs="宋体"/>
          <w:b/>
          <w:iCs/>
          <w:spacing w:val="20"/>
          <w:sz w:val="24"/>
        </w:rPr>
        <w:t>注：</w:t>
      </w:r>
    </w:p>
    <w:p>
      <w:pPr>
        <w:pStyle w:val="292"/>
        <w:spacing w:line="360" w:lineRule="auto"/>
        <w:ind w:firstLine="480" w:firstLineChars="200"/>
        <w:jc w:val="left"/>
        <w:rPr>
          <w:rFonts w:ascii="宋体" w:hAnsi="宋体" w:cs="宋体"/>
          <w:iCs/>
          <w:sz w:val="24"/>
        </w:rPr>
      </w:pPr>
      <w:r>
        <w:rPr>
          <w:rFonts w:hint="eastAsia" w:ascii="宋体" w:hAnsi="宋体" w:cs="宋体"/>
          <w:iCs/>
          <w:sz w:val="24"/>
        </w:rPr>
        <w:t>1. 具体价格明细详见《投标分项报价表》</w:t>
      </w:r>
    </w:p>
    <w:p>
      <w:pPr>
        <w:pStyle w:val="292"/>
        <w:autoSpaceDE w:val="0"/>
        <w:autoSpaceDN w:val="0"/>
        <w:adjustRightInd w:val="0"/>
        <w:spacing w:line="360" w:lineRule="auto"/>
        <w:ind w:firstLine="241" w:firstLineChars="100"/>
        <w:rPr>
          <w:rFonts w:ascii="宋体" w:hAnsi="宋体" w:cs="宋体"/>
          <w:iCs/>
          <w:spacing w:val="20"/>
          <w:sz w:val="24"/>
        </w:rPr>
      </w:pPr>
      <w:r>
        <w:rPr>
          <w:rFonts w:hint="eastAsia" w:ascii="宋体" w:hAnsi="宋体" w:cs="宋体"/>
          <w:b/>
          <w:bCs/>
          <w:sz w:val="24"/>
        </w:rPr>
        <w:t>▲</w:t>
      </w:r>
      <w:r>
        <w:rPr>
          <w:rFonts w:hint="eastAsia" w:ascii="宋体" w:hAnsi="宋体" w:cs="宋体"/>
          <w:iCs/>
          <w:spacing w:val="20"/>
          <w:sz w:val="24"/>
        </w:rPr>
        <w:t>2.报价一经涂改，应在涂改处加盖单位公章，否则其报价文件不进入评定，报价得分为0，且不得推荐为中标候选人。</w:t>
      </w:r>
    </w:p>
    <w:p>
      <w:pPr>
        <w:spacing w:line="360" w:lineRule="auto"/>
        <w:ind w:firstLine="241" w:firstLineChars="100"/>
        <w:rPr>
          <w:rFonts w:ascii="宋体" w:hAnsi="宋体" w:cs="宋体"/>
          <w:sz w:val="24"/>
        </w:rPr>
      </w:pPr>
      <w:r>
        <w:rPr>
          <w:rFonts w:hint="eastAsia" w:ascii="宋体" w:hAnsi="宋体" w:cs="宋体"/>
          <w:b/>
          <w:bCs/>
          <w:sz w:val="24"/>
        </w:rPr>
        <w:t>▲</w:t>
      </w:r>
      <w:r>
        <w:rPr>
          <w:rFonts w:hint="eastAsia" w:ascii="宋体" w:hAnsi="宋体" w:cs="宋体"/>
          <w:bCs/>
          <w:sz w:val="24"/>
        </w:rPr>
        <w:t>3.</w:t>
      </w:r>
      <w:r>
        <w:rPr>
          <w:rFonts w:hint="eastAsia" w:ascii="宋体" w:hAnsi="宋体" w:cs="宋体"/>
          <w:bCs/>
          <w:sz w:val="24"/>
          <w:szCs w:val="24"/>
        </w:rPr>
        <w:t>投标报价由以下内容组成：</w:t>
      </w:r>
      <w:r>
        <w:rPr>
          <w:rFonts w:hint="eastAsia" w:ascii="宋体" w:hAnsi="宋体" w:cs="宋体"/>
          <w:sz w:val="24"/>
          <w:szCs w:val="24"/>
        </w:rPr>
        <w:t>本项目实施所需的设备费、水电费（除采购人办公室外）、柴油费、人工费、机械损耗费、生产垃圾、淤泥运输费用、企业管理费、人员保险、利润和税金等一切相关费用及合同包含的所有风险、责任等全部费用的综合单价。</w:t>
      </w:r>
    </w:p>
    <w:p>
      <w:pPr>
        <w:pStyle w:val="168"/>
        <w:wordWrap w:val="0"/>
        <w:spacing w:line="360" w:lineRule="auto"/>
        <w:ind w:firstLine="480"/>
        <w:jc w:val="right"/>
        <w:rPr>
          <w:rFonts w:ascii="宋体" w:hAnsi="宋体" w:cs="宋体"/>
          <w:spacing w:val="20"/>
          <w:sz w:val="24"/>
          <w:szCs w:val="21"/>
          <w:u w:val="single"/>
        </w:rPr>
      </w:pPr>
      <w:bookmarkStart w:id="293" w:name="_Toc493956073"/>
      <w:bookmarkStart w:id="294" w:name="_Toc531359075"/>
      <w:bookmarkStart w:id="295" w:name="_Toc530551898"/>
    </w:p>
    <w:p>
      <w:pPr>
        <w:pStyle w:val="168"/>
        <w:wordWrap w:val="0"/>
        <w:spacing w:line="360" w:lineRule="auto"/>
        <w:ind w:firstLine="480"/>
        <w:jc w:val="right"/>
        <w:rPr>
          <w:rFonts w:ascii="宋体" w:hAnsi="宋体" w:cs="宋体"/>
          <w:sz w:val="24"/>
          <w:szCs w:val="21"/>
          <w:u w:val="single"/>
        </w:rPr>
      </w:pPr>
      <w:r>
        <w:rPr>
          <w:rFonts w:hint="eastAsia" w:ascii="宋体" w:hAnsi="宋体" w:cs="宋体"/>
          <w:sz w:val="24"/>
          <w:szCs w:val="21"/>
        </w:rPr>
        <w:t>供应商盖章</w:t>
      </w:r>
      <w:r>
        <w:rPr>
          <w:rFonts w:hint="eastAsia" w:ascii="宋体" w:hAnsi="宋体" w:cs="宋体"/>
          <w:spacing w:val="20"/>
          <w:sz w:val="24"/>
          <w:szCs w:val="21"/>
        </w:rPr>
        <w:t>(电子签章)</w:t>
      </w:r>
      <w:r>
        <w:rPr>
          <w:rFonts w:hint="eastAsia" w:ascii="宋体" w:hAnsi="宋体" w:cs="宋体"/>
          <w:sz w:val="24"/>
          <w:szCs w:val="21"/>
        </w:rPr>
        <w:t>：</w:t>
      </w:r>
      <w:r>
        <w:rPr>
          <w:rFonts w:hint="eastAsia" w:ascii="宋体" w:hAnsi="宋体" w:cs="宋体"/>
          <w:sz w:val="24"/>
          <w:szCs w:val="21"/>
          <w:u w:val="single"/>
        </w:rPr>
        <w:t xml:space="preserve">                </w:t>
      </w:r>
    </w:p>
    <w:p>
      <w:pPr>
        <w:pStyle w:val="168"/>
        <w:wordWrap w:val="0"/>
        <w:spacing w:line="360" w:lineRule="auto"/>
        <w:ind w:firstLine="480"/>
        <w:jc w:val="right"/>
        <w:rPr>
          <w:rFonts w:ascii="宋体" w:hAnsi="宋体" w:cs="宋体"/>
          <w:sz w:val="24"/>
          <w:szCs w:val="21"/>
          <w:u w:val="single"/>
        </w:rPr>
      </w:pPr>
      <w:r>
        <w:rPr>
          <w:rFonts w:hint="eastAsia" w:ascii="宋体" w:hAnsi="宋体" w:cs="宋体"/>
          <w:sz w:val="24"/>
          <w:szCs w:val="21"/>
        </w:rPr>
        <w:t>日      期：</w:t>
      </w:r>
      <w:r>
        <w:rPr>
          <w:rFonts w:hint="eastAsia" w:ascii="宋体" w:hAnsi="宋体" w:cs="宋体"/>
          <w:sz w:val="24"/>
          <w:szCs w:val="21"/>
          <w:u w:val="single"/>
        </w:rPr>
        <w:t xml:space="preserve">                </w:t>
      </w:r>
    </w:p>
    <w:p>
      <w:pPr>
        <w:pStyle w:val="4"/>
        <w:spacing w:before="0" w:after="0"/>
        <w:ind w:firstLine="0" w:firstLineChars="0"/>
        <w:jc w:val="right"/>
        <w:rPr>
          <w:rFonts w:ascii="宋体" w:hAnsi="宋体" w:eastAsia="宋体" w:cs="宋体"/>
          <w:sz w:val="28"/>
          <w:szCs w:val="28"/>
        </w:rPr>
        <w:sectPr>
          <w:pgSz w:w="11905" w:h="16838"/>
          <w:pgMar w:top="1440" w:right="1083" w:bottom="1440" w:left="1083" w:header="850" w:footer="850" w:gutter="0"/>
          <w:cols w:space="720" w:num="1"/>
          <w:titlePg/>
          <w:docGrid w:linePitch="312" w:charSpace="0"/>
        </w:sectPr>
      </w:pPr>
    </w:p>
    <w:p>
      <w:pPr>
        <w:pStyle w:val="4"/>
        <w:spacing w:before="0" w:after="0"/>
        <w:ind w:firstLine="0" w:firstLineChars="0"/>
        <w:jc w:val="left"/>
        <w:rPr>
          <w:rFonts w:ascii="宋体" w:hAnsi="宋体" w:eastAsia="宋体" w:cs="宋体"/>
          <w:sz w:val="24"/>
          <w:szCs w:val="24"/>
        </w:rPr>
      </w:pPr>
      <w:bookmarkStart w:id="296" w:name="_Toc34895620"/>
      <w:r>
        <w:rPr>
          <w:rFonts w:hint="eastAsia" w:ascii="宋体" w:hAnsi="宋体" w:eastAsia="宋体" w:cs="宋体"/>
          <w:sz w:val="24"/>
          <w:szCs w:val="24"/>
        </w:rPr>
        <w:t>3.4     投标分项报价表</w:t>
      </w:r>
      <w:bookmarkEnd w:id="293"/>
      <w:bookmarkEnd w:id="294"/>
      <w:bookmarkEnd w:id="295"/>
      <w:r>
        <w:rPr>
          <w:rFonts w:hint="eastAsia" w:ascii="宋体" w:hAnsi="宋体" w:eastAsia="宋体" w:cs="宋体"/>
          <w:sz w:val="24"/>
          <w:szCs w:val="24"/>
        </w:rPr>
        <w:t>格式</w:t>
      </w:r>
      <w:bookmarkEnd w:id="296"/>
    </w:p>
    <w:p>
      <w:pPr>
        <w:pStyle w:val="238"/>
        <w:ind w:firstLine="0"/>
        <w:rPr>
          <w:rFonts w:hAnsi="宋体" w:cs="宋体"/>
          <w:color w:val="auto"/>
        </w:rPr>
      </w:pPr>
      <w:r>
        <w:rPr>
          <w:rFonts w:hint="eastAsia" w:hAnsi="宋体" w:cs="宋体"/>
          <w:color w:val="auto"/>
        </w:rPr>
        <w:t xml:space="preserve">                                                          </w:t>
      </w:r>
      <w:r>
        <w:rPr>
          <w:rFonts w:hint="eastAsia" w:hAnsi="宋体" w:cs="宋体"/>
          <w:color w:val="auto"/>
          <w:sz w:val="24"/>
          <w:szCs w:val="22"/>
        </w:rPr>
        <w:t xml:space="preserve"> </w:t>
      </w:r>
      <w:r>
        <w:rPr>
          <w:rFonts w:hint="eastAsia" w:hAnsi="宋体" w:cs="宋体"/>
          <w:color w:val="auto"/>
          <w:sz w:val="24"/>
          <w:szCs w:val="24"/>
        </w:rPr>
        <w:t>报价金额单位：人民币/元</w:t>
      </w:r>
    </w:p>
    <w:tbl>
      <w:tblPr>
        <w:tblStyle w:val="48"/>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07"/>
        <w:gridCol w:w="2179"/>
        <w:gridCol w:w="1164"/>
        <w:gridCol w:w="995"/>
        <w:gridCol w:w="1497"/>
        <w:gridCol w:w="1827"/>
        <w:gridCol w:w="12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50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pacing w:val="20"/>
                <w:sz w:val="24"/>
              </w:rPr>
            </w:pPr>
            <w:r>
              <w:rPr>
                <w:rFonts w:hint="eastAsia" w:ascii="宋体" w:hAnsi="宋体" w:cs="宋体"/>
                <w:spacing w:val="20"/>
                <w:sz w:val="24"/>
              </w:rPr>
              <w:t>序号</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pacing w:val="20"/>
                <w:sz w:val="24"/>
              </w:rPr>
            </w:pPr>
            <w:r>
              <w:rPr>
                <w:rFonts w:hint="eastAsia" w:ascii="宋体" w:hAnsi="宋体" w:cs="宋体"/>
                <w:spacing w:val="20"/>
                <w:sz w:val="24"/>
              </w:rPr>
              <w:t>采购内容</w:t>
            </w:r>
          </w:p>
        </w:tc>
        <w:tc>
          <w:tcPr>
            <w:tcW w:w="58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pacing w:val="20"/>
                <w:sz w:val="24"/>
              </w:rPr>
            </w:pPr>
            <w:r>
              <w:rPr>
                <w:rFonts w:hint="eastAsia" w:ascii="宋体" w:hAnsi="宋体" w:cs="宋体"/>
                <w:spacing w:val="20"/>
                <w:sz w:val="24"/>
              </w:rPr>
              <w:t>单位</w:t>
            </w:r>
          </w:p>
        </w:tc>
        <w:tc>
          <w:tcPr>
            <w:tcW w:w="50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pacing w:val="20"/>
                <w:sz w:val="24"/>
              </w:rPr>
            </w:pPr>
            <w:r>
              <w:rPr>
                <w:rFonts w:hint="eastAsia" w:ascii="宋体" w:hAnsi="宋体" w:cs="宋体"/>
                <w:spacing w:val="20"/>
                <w:sz w:val="24"/>
              </w:rPr>
              <w:t>数量</w:t>
            </w:r>
          </w:p>
        </w:tc>
        <w:tc>
          <w:tcPr>
            <w:tcW w:w="75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pacing w:val="20"/>
                <w:sz w:val="24"/>
              </w:rPr>
            </w:pPr>
            <w:r>
              <w:rPr>
                <w:rFonts w:hint="eastAsia" w:ascii="宋体" w:hAnsi="宋体" w:cs="宋体"/>
                <w:spacing w:val="20"/>
                <w:sz w:val="24"/>
              </w:rPr>
              <w:t>单价</w:t>
            </w:r>
          </w:p>
        </w:tc>
        <w:tc>
          <w:tcPr>
            <w:tcW w:w="91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pacing w:val="20"/>
                <w:sz w:val="24"/>
              </w:rPr>
            </w:pPr>
            <w:r>
              <w:rPr>
                <w:rFonts w:hint="eastAsia" w:ascii="宋体" w:hAnsi="宋体" w:cs="宋体"/>
                <w:spacing w:val="20"/>
                <w:sz w:val="24"/>
              </w:rPr>
              <w:t>合计</w:t>
            </w:r>
          </w:p>
        </w:tc>
        <w:tc>
          <w:tcPr>
            <w:tcW w:w="64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pacing w:val="20"/>
                <w:sz w:val="24"/>
              </w:rPr>
            </w:pPr>
            <w:r>
              <w:rPr>
                <w:rFonts w:hint="eastAsia" w:ascii="宋体" w:hAnsi="宋体" w:cs="宋体"/>
                <w:spacing w:val="20"/>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pacing w:val="20"/>
                <w:sz w:val="24"/>
              </w:rPr>
            </w:pPr>
            <w:r>
              <w:rPr>
                <w:rFonts w:hint="eastAsia" w:ascii="宋体" w:hAnsi="宋体" w:cs="宋体"/>
                <w:spacing w:val="20"/>
                <w:sz w:val="24"/>
              </w:rPr>
              <w:t>1</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pacing w:val="20"/>
                <w:sz w:val="24"/>
                <w:szCs w:val="24"/>
              </w:rPr>
            </w:pPr>
          </w:p>
        </w:tc>
        <w:tc>
          <w:tcPr>
            <w:tcW w:w="58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pacing w:val="20"/>
                <w:sz w:val="24"/>
              </w:rPr>
            </w:pPr>
          </w:p>
        </w:tc>
        <w:tc>
          <w:tcPr>
            <w:tcW w:w="50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pacing w:val="20"/>
                <w:sz w:val="24"/>
              </w:rPr>
            </w:pPr>
          </w:p>
        </w:tc>
        <w:tc>
          <w:tcPr>
            <w:tcW w:w="75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pacing w:val="20"/>
                <w:sz w:val="24"/>
              </w:rPr>
            </w:pPr>
          </w:p>
        </w:tc>
        <w:tc>
          <w:tcPr>
            <w:tcW w:w="91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pacing w:val="20"/>
                <w:sz w:val="24"/>
              </w:rPr>
            </w:pPr>
          </w:p>
        </w:tc>
        <w:tc>
          <w:tcPr>
            <w:tcW w:w="64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pacing w:val="2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pacing w:val="20"/>
                <w:sz w:val="24"/>
              </w:rPr>
            </w:pPr>
            <w:r>
              <w:rPr>
                <w:rFonts w:hint="eastAsia" w:ascii="宋体" w:hAnsi="宋体" w:cs="宋体"/>
                <w:spacing w:val="20"/>
                <w:sz w:val="24"/>
              </w:rPr>
              <w:t>2</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58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pacing w:val="20"/>
                <w:sz w:val="24"/>
              </w:rPr>
            </w:pPr>
          </w:p>
        </w:tc>
        <w:tc>
          <w:tcPr>
            <w:tcW w:w="50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pacing w:val="20"/>
                <w:sz w:val="24"/>
              </w:rPr>
            </w:pPr>
          </w:p>
        </w:tc>
        <w:tc>
          <w:tcPr>
            <w:tcW w:w="75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pacing w:val="20"/>
                <w:sz w:val="24"/>
              </w:rPr>
            </w:pPr>
          </w:p>
        </w:tc>
        <w:tc>
          <w:tcPr>
            <w:tcW w:w="91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pacing w:val="20"/>
                <w:sz w:val="24"/>
              </w:rPr>
            </w:pPr>
          </w:p>
        </w:tc>
        <w:tc>
          <w:tcPr>
            <w:tcW w:w="64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pacing w:val="2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pacing w:val="20"/>
                <w:sz w:val="24"/>
              </w:rPr>
            </w:pPr>
            <w:r>
              <w:rPr>
                <w:rFonts w:hint="eastAsia" w:ascii="宋体" w:hAnsi="宋体" w:cs="宋体"/>
                <w:spacing w:val="20"/>
                <w:sz w:val="24"/>
              </w:rPr>
              <w:t>3</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58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pacing w:val="20"/>
                <w:sz w:val="24"/>
              </w:rPr>
            </w:pPr>
          </w:p>
        </w:tc>
        <w:tc>
          <w:tcPr>
            <w:tcW w:w="50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pacing w:val="20"/>
                <w:sz w:val="24"/>
              </w:rPr>
            </w:pPr>
          </w:p>
        </w:tc>
        <w:tc>
          <w:tcPr>
            <w:tcW w:w="75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pacing w:val="20"/>
                <w:sz w:val="24"/>
              </w:rPr>
            </w:pPr>
          </w:p>
        </w:tc>
        <w:tc>
          <w:tcPr>
            <w:tcW w:w="91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pacing w:val="20"/>
                <w:sz w:val="24"/>
              </w:rPr>
            </w:pPr>
          </w:p>
        </w:tc>
        <w:tc>
          <w:tcPr>
            <w:tcW w:w="64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pacing w:val="2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pacing w:val="20"/>
                <w:sz w:val="24"/>
              </w:rPr>
            </w:pPr>
            <w:r>
              <w:rPr>
                <w:rFonts w:hint="eastAsia" w:ascii="宋体" w:hAnsi="宋体" w:cs="宋体"/>
                <w:spacing w:val="20"/>
                <w:sz w:val="24"/>
              </w:rPr>
              <w:t>4</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58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pacing w:val="20"/>
                <w:sz w:val="24"/>
              </w:rPr>
            </w:pPr>
          </w:p>
        </w:tc>
        <w:tc>
          <w:tcPr>
            <w:tcW w:w="50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pacing w:val="20"/>
                <w:sz w:val="24"/>
              </w:rPr>
            </w:pPr>
          </w:p>
        </w:tc>
        <w:tc>
          <w:tcPr>
            <w:tcW w:w="75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pacing w:val="20"/>
                <w:sz w:val="24"/>
              </w:rPr>
            </w:pPr>
          </w:p>
        </w:tc>
        <w:tc>
          <w:tcPr>
            <w:tcW w:w="91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pacing w:val="20"/>
                <w:sz w:val="24"/>
              </w:rPr>
            </w:pPr>
          </w:p>
        </w:tc>
        <w:tc>
          <w:tcPr>
            <w:tcW w:w="64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pacing w:val="2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pacing w:val="20"/>
                <w:sz w:val="24"/>
              </w:rPr>
            </w:pPr>
            <w:r>
              <w:rPr>
                <w:rFonts w:hint="eastAsia" w:ascii="宋体" w:hAnsi="宋体" w:cs="宋体"/>
                <w:spacing w:val="20"/>
                <w:sz w:val="24"/>
              </w:rPr>
              <w:t>5</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58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pacing w:val="20"/>
                <w:sz w:val="24"/>
              </w:rPr>
            </w:pPr>
          </w:p>
        </w:tc>
        <w:tc>
          <w:tcPr>
            <w:tcW w:w="50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pacing w:val="20"/>
                <w:sz w:val="24"/>
              </w:rPr>
            </w:pPr>
          </w:p>
        </w:tc>
        <w:tc>
          <w:tcPr>
            <w:tcW w:w="75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pacing w:val="20"/>
                <w:sz w:val="24"/>
              </w:rPr>
            </w:pPr>
          </w:p>
        </w:tc>
        <w:tc>
          <w:tcPr>
            <w:tcW w:w="91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pacing w:val="20"/>
                <w:sz w:val="24"/>
              </w:rPr>
            </w:pPr>
          </w:p>
        </w:tc>
        <w:tc>
          <w:tcPr>
            <w:tcW w:w="64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pacing w:val="2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pacing w:val="20"/>
                <w:sz w:val="24"/>
              </w:rPr>
            </w:pPr>
            <w:r>
              <w:rPr>
                <w:rFonts w:hint="eastAsia" w:ascii="宋体" w:hAnsi="宋体" w:cs="宋体"/>
                <w:spacing w:val="20"/>
                <w:sz w:val="24"/>
              </w:rPr>
              <w:t>6</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pacing w:val="20"/>
                <w:sz w:val="24"/>
                <w:szCs w:val="24"/>
              </w:rPr>
            </w:pPr>
            <w:r>
              <w:rPr>
                <w:rFonts w:hint="eastAsia" w:ascii="宋体" w:hAnsi="宋体" w:cs="宋体"/>
                <w:spacing w:val="20"/>
                <w:sz w:val="24"/>
                <w:szCs w:val="24"/>
              </w:rPr>
              <w:t>……</w:t>
            </w:r>
          </w:p>
        </w:tc>
        <w:tc>
          <w:tcPr>
            <w:tcW w:w="58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pacing w:val="20"/>
                <w:sz w:val="24"/>
              </w:rPr>
            </w:pPr>
          </w:p>
        </w:tc>
        <w:tc>
          <w:tcPr>
            <w:tcW w:w="50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pacing w:val="20"/>
                <w:sz w:val="24"/>
              </w:rPr>
            </w:pPr>
          </w:p>
        </w:tc>
        <w:tc>
          <w:tcPr>
            <w:tcW w:w="75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pacing w:val="20"/>
                <w:sz w:val="24"/>
              </w:rPr>
            </w:pPr>
          </w:p>
        </w:tc>
        <w:tc>
          <w:tcPr>
            <w:tcW w:w="91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pacing w:val="20"/>
                <w:sz w:val="24"/>
              </w:rPr>
            </w:pPr>
          </w:p>
        </w:tc>
        <w:tc>
          <w:tcPr>
            <w:tcW w:w="64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pacing w:val="2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000" w:type="pct"/>
            <w:gridSpan w:val="7"/>
            <w:tcBorders>
              <w:top w:val="single" w:color="auto" w:sz="4" w:space="0"/>
              <w:left w:val="single" w:color="auto" w:sz="4" w:space="0"/>
              <w:bottom w:val="single" w:color="auto" w:sz="4" w:space="0"/>
              <w:right w:val="single" w:color="auto" w:sz="4" w:space="0"/>
            </w:tcBorders>
            <w:vAlign w:val="center"/>
          </w:tcPr>
          <w:p>
            <w:pPr>
              <w:rPr>
                <w:rFonts w:ascii="宋体" w:hAnsi="宋体" w:cs="宋体"/>
                <w:spacing w:val="20"/>
                <w:sz w:val="24"/>
              </w:rPr>
            </w:pPr>
            <w:r>
              <w:rPr>
                <w:rFonts w:hint="eastAsia" w:ascii="宋体" w:hAnsi="宋体" w:cs="宋体"/>
                <w:spacing w:val="20"/>
                <w:sz w:val="24"/>
              </w:rPr>
              <w:t>小写：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000" w:type="pct"/>
            <w:gridSpan w:val="7"/>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pacing w:val="20"/>
                <w:sz w:val="24"/>
              </w:rPr>
              <w:t>大写：</w:t>
            </w:r>
          </w:p>
        </w:tc>
      </w:tr>
    </w:tbl>
    <w:p>
      <w:pPr>
        <w:spacing w:line="360" w:lineRule="auto"/>
        <w:rPr>
          <w:rFonts w:ascii="宋体" w:hAnsi="宋体" w:cs="宋体"/>
          <w:b/>
          <w:bCs/>
          <w:sz w:val="24"/>
        </w:rPr>
      </w:pPr>
      <w:bookmarkStart w:id="297" w:name="_Toc523398533"/>
      <w:bookmarkStart w:id="298" w:name="_Toc493956062"/>
      <w:bookmarkStart w:id="299" w:name="_Toc47756041"/>
      <w:bookmarkStart w:id="300" w:name="_Toc15813259"/>
      <w:bookmarkStart w:id="301" w:name="_Toc531359076"/>
      <w:bookmarkStart w:id="302" w:name="_Toc45506740"/>
      <w:bookmarkStart w:id="303" w:name="_Toc530551899"/>
      <w:r>
        <w:rPr>
          <w:rFonts w:hint="eastAsia" w:ascii="宋体" w:hAnsi="宋体" w:cs="宋体"/>
          <w:sz w:val="24"/>
          <w:szCs w:val="24"/>
        </w:rPr>
        <w:t>注：</w:t>
      </w:r>
      <w:r>
        <w:rPr>
          <w:rFonts w:hint="eastAsia" w:ascii="宋体" w:hAnsi="宋体" w:cs="宋体"/>
          <w:sz w:val="24"/>
        </w:rPr>
        <w:t>1、供应商对产生报价的</w:t>
      </w:r>
      <w:r>
        <w:rPr>
          <w:rFonts w:hint="eastAsia" w:ascii="宋体" w:hAnsi="宋体" w:cs="宋体"/>
          <w:b/>
          <w:bCs/>
          <w:sz w:val="24"/>
        </w:rPr>
        <w:t>分项详细列表说明。</w:t>
      </w:r>
    </w:p>
    <w:p>
      <w:pPr>
        <w:spacing w:line="360" w:lineRule="auto"/>
        <w:ind w:firstLine="480" w:firstLineChars="200"/>
        <w:rPr>
          <w:rFonts w:ascii="宋体" w:hAnsi="宋体" w:cs="宋体"/>
          <w:b/>
          <w:bCs/>
          <w:sz w:val="24"/>
        </w:rPr>
      </w:pPr>
      <w:r>
        <w:rPr>
          <w:rFonts w:hint="eastAsia" w:ascii="宋体" w:hAnsi="宋体" w:cs="宋体"/>
          <w:sz w:val="24"/>
        </w:rPr>
        <w:t>2、</w:t>
      </w:r>
      <w:r>
        <w:rPr>
          <w:rFonts w:hint="eastAsia" w:ascii="宋体" w:hAnsi="宋体" w:cs="宋体"/>
          <w:spacing w:val="20"/>
          <w:sz w:val="24"/>
        </w:rPr>
        <w:t>“投标分项报价表”所涉及的表格和内容较多，</w:t>
      </w:r>
      <w:r>
        <w:rPr>
          <w:rFonts w:hint="eastAsia" w:ascii="宋体" w:hAnsi="宋体" w:cs="宋体"/>
          <w:b/>
          <w:bCs/>
          <w:spacing w:val="20"/>
          <w:sz w:val="24"/>
        </w:rPr>
        <w:t>各供应商</w:t>
      </w:r>
      <w:r>
        <w:rPr>
          <w:rFonts w:hint="eastAsia" w:ascii="宋体" w:hAnsi="宋体" w:cs="宋体"/>
          <w:b/>
          <w:bCs/>
          <w:sz w:val="24"/>
        </w:rPr>
        <w:t>没有按要求作出实质性响应是供应商的风险。</w:t>
      </w:r>
    </w:p>
    <w:p>
      <w:pPr>
        <w:spacing w:line="360" w:lineRule="auto"/>
        <w:ind w:firstLine="480" w:firstLineChars="200"/>
        <w:rPr>
          <w:rFonts w:ascii="宋体" w:hAnsi="宋体" w:cs="宋体"/>
          <w:sz w:val="24"/>
        </w:rPr>
      </w:pPr>
      <w:r>
        <w:rPr>
          <w:rFonts w:hint="eastAsia" w:ascii="宋体" w:hAnsi="宋体" w:cs="宋体"/>
          <w:sz w:val="24"/>
        </w:rPr>
        <w:t>▲3.报价一经涂改，应在涂改处加盖单位公章或由负责人或被委托人签字或盖章，否则其报价文件不进入评定，报价得分为0，且不得推荐为中标候选人。</w:t>
      </w:r>
    </w:p>
    <w:p>
      <w:pPr>
        <w:spacing w:line="360" w:lineRule="auto"/>
        <w:ind w:firstLine="480" w:firstLineChars="200"/>
        <w:rPr>
          <w:rFonts w:ascii="宋体" w:hAnsi="宋体" w:cs="宋体"/>
          <w:sz w:val="24"/>
        </w:rPr>
      </w:pPr>
      <w:r>
        <w:rPr>
          <w:rFonts w:hint="eastAsia" w:ascii="宋体" w:hAnsi="宋体" w:cs="宋体"/>
          <w:sz w:val="24"/>
        </w:rPr>
        <w:t>▲4.</w:t>
      </w:r>
      <w:r>
        <w:rPr>
          <w:rFonts w:hint="eastAsia" w:ascii="宋体" w:hAnsi="宋体" w:cs="宋体"/>
          <w:bCs/>
          <w:sz w:val="24"/>
          <w:szCs w:val="24"/>
        </w:rPr>
        <w:t>投标报价由以下内容组成：</w:t>
      </w:r>
      <w:r>
        <w:rPr>
          <w:rFonts w:hint="eastAsia" w:ascii="宋体" w:hAnsi="宋体" w:cs="宋体"/>
          <w:sz w:val="24"/>
          <w:szCs w:val="24"/>
        </w:rPr>
        <w:t>本项目实施所需的设备费、水电费（除采购人办公室外）、柴油费、人工费、机械损耗费、生产垃圾、淤泥运输费用、企业管理费、人员保险、利润和税金等一切相关费用及合同包含的所有风险、责任等全部费用的综合单价。</w:t>
      </w:r>
    </w:p>
    <w:p>
      <w:pPr>
        <w:pStyle w:val="168"/>
        <w:spacing w:line="360" w:lineRule="auto"/>
        <w:ind w:firstLine="480"/>
        <w:rPr>
          <w:rFonts w:ascii="宋体" w:hAnsi="宋体" w:cs="宋体"/>
          <w:sz w:val="24"/>
          <w:szCs w:val="21"/>
        </w:rPr>
      </w:pPr>
      <w:r>
        <w:rPr>
          <w:rFonts w:hint="eastAsia" w:ascii="宋体" w:hAnsi="宋体" w:cs="宋体"/>
          <w:sz w:val="24"/>
        </w:rPr>
        <w:t>▲5.</w:t>
      </w:r>
      <w:r>
        <w:rPr>
          <w:rFonts w:hint="eastAsia" w:ascii="宋体" w:hAnsi="宋体" w:cs="宋体"/>
          <w:sz w:val="24"/>
          <w:szCs w:val="22"/>
        </w:rPr>
        <w:t>供应商报价三项服务内容单价须按同比例下浮报价，报价下浮后采用四舍五入法，并保留小数2位。</w:t>
      </w:r>
    </w:p>
    <w:p>
      <w:pPr>
        <w:pStyle w:val="168"/>
        <w:spacing w:line="360" w:lineRule="auto"/>
        <w:ind w:firstLine="480"/>
        <w:jc w:val="right"/>
        <w:rPr>
          <w:rFonts w:ascii="宋体" w:hAnsi="宋体" w:cs="宋体"/>
          <w:sz w:val="24"/>
          <w:szCs w:val="21"/>
        </w:rPr>
      </w:pPr>
    </w:p>
    <w:p>
      <w:pPr>
        <w:pStyle w:val="168"/>
        <w:spacing w:line="360" w:lineRule="auto"/>
        <w:ind w:firstLine="480"/>
        <w:jc w:val="right"/>
        <w:rPr>
          <w:rFonts w:ascii="宋体" w:hAnsi="宋体" w:cs="宋体"/>
          <w:sz w:val="24"/>
          <w:szCs w:val="21"/>
          <w:u w:val="single"/>
        </w:rPr>
      </w:pPr>
      <w:r>
        <w:rPr>
          <w:rFonts w:hint="eastAsia" w:ascii="宋体" w:hAnsi="宋体" w:cs="宋体"/>
          <w:sz w:val="24"/>
          <w:szCs w:val="21"/>
        </w:rPr>
        <w:t>供应商盖章</w:t>
      </w:r>
      <w:r>
        <w:rPr>
          <w:rFonts w:hint="eastAsia" w:ascii="宋体" w:hAnsi="宋体" w:cs="宋体"/>
          <w:spacing w:val="20"/>
          <w:sz w:val="24"/>
          <w:szCs w:val="21"/>
        </w:rPr>
        <w:t>(电子签章)</w:t>
      </w:r>
      <w:r>
        <w:rPr>
          <w:rFonts w:hint="eastAsia" w:ascii="宋体" w:hAnsi="宋体" w:cs="宋体"/>
          <w:sz w:val="24"/>
          <w:szCs w:val="21"/>
        </w:rPr>
        <w:t>：</w:t>
      </w:r>
      <w:r>
        <w:rPr>
          <w:rFonts w:hint="eastAsia" w:ascii="宋体" w:hAnsi="宋体" w:cs="宋体"/>
          <w:sz w:val="24"/>
          <w:szCs w:val="21"/>
          <w:u w:val="single"/>
        </w:rPr>
        <w:t xml:space="preserve">                </w:t>
      </w:r>
    </w:p>
    <w:p>
      <w:pPr>
        <w:pStyle w:val="168"/>
        <w:wordWrap w:val="0"/>
        <w:spacing w:line="360" w:lineRule="auto"/>
        <w:ind w:firstLine="480"/>
        <w:jc w:val="right"/>
        <w:rPr>
          <w:rFonts w:ascii="宋体" w:hAnsi="宋体" w:cs="宋体"/>
          <w:sz w:val="24"/>
          <w:szCs w:val="21"/>
          <w:u w:val="single"/>
        </w:rPr>
      </w:pPr>
      <w:r>
        <w:rPr>
          <w:rFonts w:hint="eastAsia" w:ascii="宋体" w:hAnsi="宋体" w:cs="宋体"/>
          <w:sz w:val="24"/>
          <w:szCs w:val="21"/>
        </w:rPr>
        <w:t>日      期：</w:t>
      </w:r>
      <w:r>
        <w:rPr>
          <w:rFonts w:hint="eastAsia" w:ascii="宋体" w:hAnsi="宋体" w:cs="宋体"/>
          <w:sz w:val="24"/>
          <w:szCs w:val="21"/>
          <w:u w:val="single"/>
        </w:rPr>
        <w:t xml:space="preserve">                </w:t>
      </w:r>
    </w:p>
    <w:bookmarkEnd w:id="225"/>
    <w:bookmarkEnd w:id="297"/>
    <w:bookmarkEnd w:id="298"/>
    <w:bookmarkEnd w:id="299"/>
    <w:bookmarkEnd w:id="300"/>
    <w:bookmarkEnd w:id="301"/>
    <w:bookmarkEnd w:id="302"/>
    <w:bookmarkEnd w:id="303"/>
    <w:p>
      <w:pPr>
        <w:pStyle w:val="168"/>
        <w:jc w:val="left"/>
        <w:rPr>
          <w:rFonts w:ascii="宋体" w:hAnsi="宋体" w:cs="宋体"/>
          <w:sz w:val="24"/>
          <w:szCs w:val="21"/>
        </w:rPr>
        <w:sectPr>
          <w:headerReference r:id="rId19" w:type="first"/>
          <w:headerReference r:id="rId18" w:type="default"/>
          <w:footerReference r:id="rId20" w:type="default"/>
          <w:pgSz w:w="11905" w:h="16838"/>
          <w:pgMar w:top="1440" w:right="1083" w:bottom="1440" w:left="1083" w:header="850" w:footer="850" w:gutter="0"/>
          <w:cols w:space="720" w:num="1"/>
          <w:titlePg/>
          <w:docGrid w:linePitch="312" w:charSpace="0"/>
        </w:sectPr>
      </w:pPr>
      <w:bookmarkStart w:id="304" w:name="_Toc531359077"/>
      <w:bookmarkStart w:id="305" w:name="_Toc530551900"/>
      <w:bookmarkStart w:id="306" w:name="_Toc335664294"/>
      <w:bookmarkStart w:id="307" w:name="_Toc493956074"/>
      <w:bookmarkStart w:id="308" w:name="_Toc34895622"/>
    </w:p>
    <w:p>
      <w:pPr>
        <w:pStyle w:val="44"/>
        <w:spacing w:before="0" w:after="0" w:line="360" w:lineRule="auto"/>
        <w:rPr>
          <w:rFonts w:ascii="宋体" w:hAnsi="宋体" w:cs="宋体"/>
          <w:sz w:val="36"/>
          <w:szCs w:val="36"/>
        </w:rPr>
      </w:pPr>
      <w:r>
        <w:rPr>
          <w:rFonts w:hint="eastAsia" w:ascii="宋体" w:hAnsi="宋体" w:cs="宋体"/>
          <w:sz w:val="36"/>
          <w:szCs w:val="36"/>
        </w:rPr>
        <w:t>第六章 评标办法和</w:t>
      </w:r>
      <w:bookmarkEnd w:id="304"/>
      <w:bookmarkEnd w:id="305"/>
      <w:bookmarkEnd w:id="306"/>
      <w:bookmarkEnd w:id="307"/>
      <w:r>
        <w:rPr>
          <w:rFonts w:hint="eastAsia" w:ascii="宋体" w:hAnsi="宋体" w:cs="宋体"/>
          <w:sz w:val="36"/>
          <w:szCs w:val="36"/>
        </w:rPr>
        <w:t>评审标准</w:t>
      </w:r>
      <w:bookmarkEnd w:id="308"/>
    </w:p>
    <w:p>
      <w:pPr>
        <w:pStyle w:val="29"/>
        <w:snapToGrid/>
        <w:spacing w:line="360" w:lineRule="auto"/>
        <w:ind w:firstLineChars="200"/>
        <w:rPr>
          <w:rFonts w:ascii="宋体" w:hAnsi="宋体" w:eastAsia="宋体"/>
        </w:rPr>
      </w:pPr>
      <w:r>
        <w:rPr>
          <w:rFonts w:hint="eastAsia" w:ascii="宋体" w:hAnsi="宋体" w:eastAsia="宋体"/>
        </w:rPr>
        <w:t>根据《中华人民共和国政府采购法》等有关法律法规的规定，并结合本项目的实际，按照公正、公平、科学、择优的原则选择中标人，特制定本办法。</w:t>
      </w:r>
    </w:p>
    <w:p>
      <w:pPr>
        <w:pStyle w:val="4"/>
        <w:spacing w:line="560" w:lineRule="exact"/>
        <w:ind w:firstLine="300" w:firstLineChars="100"/>
        <w:rPr>
          <w:rFonts w:ascii="宋体" w:hAnsi="宋体" w:eastAsia="宋体"/>
          <w:b w:val="0"/>
          <w:bCs w:val="0"/>
        </w:rPr>
      </w:pPr>
      <w:bookmarkStart w:id="309" w:name="_Toc16580"/>
      <w:r>
        <w:rPr>
          <w:rFonts w:hint="eastAsia" w:ascii="宋体" w:hAnsi="宋体" w:eastAsia="宋体"/>
          <w:b w:val="0"/>
          <w:bCs w:val="0"/>
        </w:rPr>
        <w:t>一   总则</w:t>
      </w:r>
      <w:bookmarkEnd w:id="309"/>
    </w:p>
    <w:p>
      <w:pPr>
        <w:spacing w:line="360" w:lineRule="auto"/>
        <w:ind w:firstLine="480" w:firstLineChars="200"/>
        <w:rPr>
          <w:rFonts w:ascii="宋体" w:hAnsi="宋体"/>
          <w:sz w:val="24"/>
        </w:rPr>
      </w:pPr>
      <w:r>
        <w:rPr>
          <w:rFonts w:hint="eastAsia" w:ascii="宋体" w:hAnsi="宋体"/>
          <w:sz w:val="24"/>
        </w:rPr>
        <w:t>1.1</w:t>
      </w:r>
      <w:r>
        <w:rPr>
          <w:rFonts w:ascii="宋体" w:hAnsi="宋体"/>
          <w:sz w:val="24"/>
        </w:rPr>
        <w:t xml:space="preserve"> </w:t>
      </w:r>
      <w:r>
        <w:rPr>
          <w:rFonts w:hint="eastAsia" w:ascii="宋体" w:hAnsi="宋体"/>
          <w:sz w:val="24"/>
        </w:rPr>
        <w:t>为最大限度地保护各当事人的权益，评标委员会应严格按照招标文件的商务技术、报价要求，对</w:t>
      </w:r>
      <w:r>
        <w:rPr>
          <w:rFonts w:hint="eastAsia" w:ascii="宋体" w:hAnsi="宋体"/>
          <w:kern w:val="0"/>
          <w:sz w:val="24"/>
        </w:rPr>
        <w:t>投标文件</w:t>
      </w:r>
      <w:r>
        <w:rPr>
          <w:rFonts w:hint="eastAsia" w:ascii="宋体" w:hAnsi="宋体"/>
          <w:sz w:val="24"/>
        </w:rPr>
        <w:t>进行综合分析评价并编制评标报告。评审专家必须严格遵守保密规定，不得泄漏评标有关的情况，不得索贿受贿，不得参加影响评标的任何活动。</w:t>
      </w:r>
    </w:p>
    <w:p>
      <w:pPr>
        <w:spacing w:line="360" w:lineRule="auto"/>
        <w:ind w:firstLine="482" w:firstLineChars="200"/>
        <w:rPr>
          <w:rFonts w:ascii="宋体" w:hAnsi="宋体"/>
          <w:b/>
          <w:sz w:val="24"/>
        </w:rPr>
      </w:pPr>
      <w:r>
        <w:rPr>
          <w:rFonts w:hint="eastAsia" w:ascii="宋体" w:hAnsi="宋体"/>
          <w:b/>
          <w:sz w:val="24"/>
        </w:rPr>
        <w:t>1.</w:t>
      </w:r>
      <w:r>
        <w:rPr>
          <w:rFonts w:ascii="宋体" w:hAnsi="宋体"/>
          <w:b/>
          <w:sz w:val="24"/>
        </w:rPr>
        <w:t>2</w:t>
      </w:r>
      <w:r>
        <w:rPr>
          <w:rFonts w:hint="eastAsia" w:ascii="宋体" w:hAnsi="宋体"/>
          <w:b/>
          <w:sz w:val="24"/>
        </w:rPr>
        <w:t>本次评审方法采取百分制综合评分法，按最终总得分由高到低顺序排列。总得分相同的，按报价得分由高到低顺序排列；总得分和报价得分均相同的，按商务技术得分由高到低顺序排列；以上得分均相同的，由采购人抽签确定排名（即第一抽出人为第一名，以此类推。），评标委员会按总得分从高到低推荐中标一名候选人，由采购人确定本项目中标人。评分过程中采用四舍五入法，并保留小数2位。</w:t>
      </w:r>
    </w:p>
    <w:p>
      <w:pPr>
        <w:pStyle w:val="4"/>
        <w:spacing w:line="560" w:lineRule="exact"/>
        <w:ind w:firstLine="300" w:firstLineChars="100"/>
        <w:rPr>
          <w:rFonts w:ascii="宋体" w:hAnsi="宋体" w:eastAsia="宋体"/>
          <w:b w:val="0"/>
          <w:bCs w:val="0"/>
        </w:rPr>
      </w:pPr>
      <w:bookmarkStart w:id="310" w:name="_Toc945"/>
      <w:r>
        <w:rPr>
          <w:rFonts w:hint="eastAsia" w:ascii="宋体" w:hAnsi="宋体" w:eastAsia="宋体"/>
          <w:b w:val="0"/>
          <w:bCs w:val="0"/>
        </w:rPr>
        <w:t>二   评标委员会</w:t>
      </w:r>
      <w:bookmarkEnd w:id="310"/>
    </w:p>
    <w:p>
      <w:pPr>
        <w:spacing w:line="360" w:lineRule="auto"/>
        <w:ind w:firstLine="480" w:firstLineChars="200"/>
        <w:rPr>
          <w:rFonts w:ascii="宋体" w:hAnsi="宋体"/>
          <w:sz w:val="24"/>
          <w:szCs w:val="20"/>
        </w:rPr>
      </w:pPr>
      <w:r>
        <w:rPr>
          <w:rFonts w:hint="eastAsia" w:ascii="宋体" w:hAnsi="宋体"/>
          <w:sz w:val="24"/>
        </w:rPr>
        <w:t>2.1</w:t>
      </w:r>
      <w:r>
        <w:rPr>
          <w:rFonts w:ascii="宋体" w:hAnsi="宋体"/>
          <w:sz w:val="24"/>
        </w:rPr>
        <w:t>评标委员会</w:t>
      </w:r>
    </w:p>
    <w:p>
      <w:pPr>
        <w:spacing w:line="360" w:lineRule="auto"/>
        <w:ind w:firstLine="480" w:firstLineChars="200"/>
        <w:rPr>
          <w:rFonts w:ascii="宋体" w:hAnsi="宋体"/>
          <w:sz w:val="24"/>
        </w:rPr>
      </w:pPr>
      <w:r>
        <w:rPr>
          <w:rFonts w:hint="eastAsia" w:ascii="宋体" w:hAnsi="宋体"/>
          <w:sz w:val="24"/>
        </w:rPr>
        <w:t>2.1.1</w:t>
      </w:r>
      <w:r>
        <w:rPr>
          <w:rFonts w:ascii="宋体" w:hAnsi="宋体"/>
          <w:sz w:val="24"/>
        </w:rPr>
        <w:t>成员：由</w:t>
      </w:r>
      <w:r>
        <w:rPr>
          <w:rFonts w:hint="eastAsia" w:ascii="宋体" w:hAnsi="宋体"/>
          <w:sz w:val="24"/>
        </w:rPr>
        <w:t>采购人代表和评审专家</w:t>
      </w:r>
      <w:r>
        <w:rPr>
          <w:rFonts w:ascii="宋体" w:hAnsi="宋体"/>
          <w:sz w:val="24"/>
        </w:rPr>
        <w:t>组成</w:t>
      </w:r>
      <w:r>
        <w:rPr>
          <w:rFonts w:hint="eastAsia" w:ascii="宋体" w:hAnsi="宋体"/>
          <w:sz w:val="24"/>
        </w:rPr>
        <w:t>五人及以上单数</w:t>
      </w:r>
      <w:r>
        <w:rPr>
          <w:rFonts w:ascii="宋体" w:hAnsi="宋体"/>
          <w:sz w:val="24"/>
        </w:rPr>
        <w:t>，其中</w:t>
      </w:r>
      <w:r>
        <w:rPr>
          <w:rFonts w:hint="eastAsia" w:ascii="宋体" w:hAnsi="宋体"/>
          <w:sz w:val="24"/>
        </w:rPr>
        <w:t>评审专家不得少于</w:t>
      </w:r>
      <w:r>
        <w:rPr>
          <w:rFonts w:ascii="宋体" w:hAnsi="宋体"/>
          <w:sz w:val="24"/>
        </w:rPr>
        <w:t>评标委员会</w:t>
      </w:r>
      <w:r>
        <w:rPr>
          <w:rFonts w:hint="eastAsia" w:ascii="宋体" w:hAnsi="宋体"/>
          <w:sz w:val="24"/>
        </w:rPr>
        <w:t>总</w:t>
      </w:r>
      <w:r>
        <w:rPr>
          <w:rFonts w:ascii="宋体" w:hAnsi="宋体"/>
          <w:sz w:val="24"/>
        </w:rPr>
        <w:t>人数的三分之二。</w:t>
      </w:r>
      <w:r>
        <w:rPr>
          <w:rFonts w:hint="eastAsia" w:ascii="宋体" w:hAnsi="宋体"/>
          <w:sz w:val="24"/>
        </w:rPr>
        <w:t>除国务院财政部门规定的情形外，评审专家由采购代理机构在采购专家库中随机抽取。评标委员会</w:t>
      </w:r>
      <w:r>
        <w:rPr>
          <w:rFonts w:hint="eastAsia" w:ascii="宋体" w:hAnsi="宋体"/>
          <w:kern w:val="0"/>
          <w:sz w:val="24"/>
        </w:rPr>
        <w:t>对投标文件进行符合性审查、询标、评价和推荐中标候选人。</w:t>
      </w:r>
    </w:p>
    <w:p>
      <w:pPr>
        <w:spacing w:line="360" w:lineRule="auto"/>
        <w:ind w:firstLine="480" w:firstLineChars="200"/>
        <w:rPr>
          <w:rFonts w:ascii="宋体" w:hAnsi="宋体"/>
          <w:sz w:val="24"/>
        </w:rPr>
      </w:pPr>
      <w:r>
        <w:rPr>
          <w:rFonts w:hint="eastAsia" w:ascii="宋体" w:hAnsi="宋体"/>
          <w:sz w:val="24"/>
        </w:rPr>
        <w:t>2.1.2职责</w:t>
      </w:r>
      <w:r>
        <w:rPr>
          <w:rFonts w:ascii="宋体" w:hAnsi="宋体"/>
          <w:sz w:val="24"/>
        </w:rPr>
        <w:t>：</w:t>
      </w:r>
      <w:r>
        <w:rPr>
          <w:rFonts w:hint="eastAsia" w:ascii="宋体" w:hAnsi="宋体"/>
          <w:sz w:val="24"/>
        </w:rPr>
        <w:t>严格按采购法律法规的有关规定执行，评审专家应按招标文件规定的评审要求、评审程序、评审内容、评审方法和评审标准进行评审，对评审意见承担个人责任。</w:t>
      </w:r>
    </w:p>
    <w:p>
      <w:pPr>
        <w:spacing w:line="360" w:lineRule="auto"/>
        <w:rPr>
          <w:rFonts w:ascii="宋体" w:hAnsi="宋体"/>
          <w:sz w:val="24"/>
        </w:rPr>
      </w:pPr>
      <w:r>
        <w:rPr>
          <w:rFonts w:hint="eastAsia" w:ascii="宋体" w:hAnsi="宋体"/>
          <w:sz w:val="24"/>
        </w:rPr>
        <w:t xml:space="preserve">    2.2评审专家的评审情况和评审意见受监督人员和采购代理机构审查，如发现评审专家的评审意见带有明显倾向性，或不按规定程序和标准评审、计分的，可要求评审专家进行书面澄清和说明。</w:t>
      </w:r>
    </w:p>
    <w:p>
      <w:pPr>
        <w:pStyle w:val="4"/>
        <w:spacing w:line="240" w:lineRule="auto"/>
        <w:ind w:firstLine="300" w:firstLineChars="100"/>
        <w:rPr>
          <w:rFonts w:ascii="宋体" w:hAnsi="宋体" w:eastAsia="宋体"/>
          <w:b w:val="0"/>
          <w:bCs w:val="0"/>
        </w:rPr>
      </w:pPr>
      <w:bookmarkStart w:id="311" w:name="_Toc4702"/>
      <w:r>
        <w:rPr>
          <w:rFonts w:hint="eastAsia" w:ascii="宋体" w:hAnsi="宋体" w:eastAsia="宋体"/>
          <w:b w:val="0"/>
          <w:bCs w:val="0"/>
        </w:rPr>
        <w:t>三   评标程序</w:t>
      </w:r>
      <w:bookmarkEnd w:id="311"/>
    </w:p>
    <w:p>
      <w:pPr>
        <w:spacing w:line="360" w:lineRule="auto"/>
        <w:ind w:firstLine="482" w:firstLineChars="200"/>
        <w:rPr>
          <w:rFonts w:ascii="宋体" w:hAnsi="宋体"/>
          <w:b/>
          <w:sz w:val="24"/>
        </w:rPr>
      </w:pPr>
      <w:r>
        <w:rPr>
          <w:rFonts w:hint="eastAsia" w:ascii="宋体" w:hAnsi="宋体"/>
          <w:b/>
          <w:sz w:val="24"/>
        </w:rPr>
        <w:t>3.</w:t>
      </w:r>
      <w:r>
        <w:rPr>
          <w:rFonts w:ascii="宋体" w:hAnsi="宋体"/>
          <w:b/>
          <w:sz w:val="24"/>
        </w:rPr>
        <w:t xml:space="preserve">1 </w:t>
      </w:r>
      <w:r>
        <w:rPr>
          <w:rFonts w:hint="eastAsia" w:ascii="宋体" w:hAnsi="宋体"/>
          <w:b/>
          <w:sz w:val="24"/>
        </w:rPr>
        <w:t>符合性</w:t>
      </w:r>
      <w:r>
        <w:rPr>
          <w:rFonts w:ascii="宋体" w:hAnsi="宋体"/>
          <w:b/>
          <w:sz w:val="24"/>
        </w:rPr>
        <w:t>审查</w:t>
      </w:r>
    </w:p>
    <w:p>
      <w:pPr>
        <w:spacing w:line="360" w:lineRule="auto"/>
        <w:ind w:firstLine="480" w:firstLineChars="200"/>
        <w:rPr>
          <w:rFonts w:ascii="宋体" w:hAnsi="宋体"/>
          <w:sz w:val="24"/>
        </w:rPr>
      </w:pPr>
      <w:r>
        <w:rPr>
          <w:rFonts w:hint="eastAsia" w:ascii="宋体" w:hAnsi="宋体"/>
          <w:sz w:val="24"/>
        </w:rPr>
        <w:t>评标委员会依据招标</w:t>
      </w:r>
      <w:r>
        <w:rPr>
          <w:rFonts w:ascii="宋体" w:hAnsi="宋体"/>
          <w:sz w:val="24"/>
        </w:rPr>
        <w:t>文件的规定，从</w:t>
      </w:r>
      <w:r>
        <w:rPr>
          <w:rFonts w:hint="eastAsia" w:ascii="宋体" w:hAnsi="宋体"/>
          <w:sz w:val="24"/>
        </w:rPr>
        <w:t>投标文件</w:t>
      </w:r>
      <w:r>
        <w:rPr>
          <w:rFonts w:ascii="宋体" w:hAnsi="宋体"/>
          <w:sz w:val="24"/>
        </w:rPr>
        <w:t>的有效性、完整性和对招标文件的响应程度</w:t>
      </w:r>
      <w:r>
        <w:rPr>
          <w:rFonts w:hint="eastAsia" w:ascii="宋体" w:hAnsi="宋体"/>
          <w:sz w:val="24"/>
        </w:rPr>
        <w:t>进行</w:t>
      </w:r>
      <w:r>
        <w:rPr>
          <w:rFonts w:ascii="宋体" w:hAnsi="宋体"/>
          <w:sz w:val="24"/>
        </w:rPr>
        <w:t>审查，以确定</w:t>
      </w:r>
      <w:r>
        <w:rPr>
          <w:rFonts w:hint="eastAsia" w:ascii="宋体" w:hAnsi="宋体"/>
          <w:sz w:val="24"/>
        </w:rPr>
        <w:t>是否</w:t>
      </w:r>
      <w:r>
        <w:rPr>
          <w:rFonts w:ascii="宋体" w:hAnsi="宋体"/>
          <w:sz w:val="24"/>
        </w:rPr>
        <w:t>对招标文件的实质性要求作出响应。</w:t>
      </w:r>
      <w:r>
        <w:rPr>
          <w:rFonts w:hint="eastAsia" w:ascii="宋体" w:hAnsi="宋体"/>
          <w:sz w:val="24"/>
        </w:rPr>
        <w:t>通过符合性审查不足</w:t>
      </w:r>
      <w:r>
        <w:rPr>
          <w:rFonts w:ascii="宋体" w:hAnsi="宋体"/>
          <w:sz w:val="24"/>
        </w:rPr>
        <w:t>三家的</w:t>
      </w:r>
      <w:r>
        <w:rPr>
          <w:rFonts w:hint="eastAsia" w:ascii="宋体" w:hAnsi="宋体"/>
          <w:sz w:val="24"/>
        </w:rPr>
        <w:t>，</w:t>
      </w:r>
      <w:r>
        <w:rPr>
          <w:rFonts w:ascii="宋体" w:hAnsi="宋体"/>
          <w:sz w:val="24"/>
        </w:rPr>
        <w:t>除采购任务取消</w:t>
      </w:r>
      <w:r>
        <w:rPr>
          <w:rFonts w:hint="eastAsia" w:ascii="宋体" w:hAnsi="宋体"/>
          <w:sz w:val="24"/>
        </w:rPr>
        <w:t>情形</w:t>
      </w:r>
      <w:r>
        <w:rPr>
          <w:rFonts w:ascii="宋体" w:hAnsi="宋体"/>
          <w:sz w:val="24"/>
        </w:rPr>
        <w:t>外</w:t>
      </w:r>
      <w:r>
        <w:rPr>
          <w:rFonts w:hint="eastAsia" w:ascii="宋体" w:hAnsi="宋体"/>
          <w:sz w:val="24"/>
        </w:rPr>
        <w:t>，</w:t>
      </w:r>
      <w:r>
        <w:rPr>
          <w:rFonts w:ascii="宋体" w:hAnsi="宋体"/>
          <w:sz w:val="24"/>
        </w:rPr>
        <w:t>按</w:t>
      </w:r>
      <w:r>
        <w:rPr>
          <w:rFonts w:hint="eastAsia" w:ascii="宋体" w:hAnsi="宋体"/>
          <w:sz w:val="24"/>
        </w:rPr>
        <w:t>相关</w:t>
      </w:r>
      <w:r>
        <w:rPr>
          <w:rFonts w:ascii="宋体" w:hAnsi="宋体"/>
          <w:sz w:val="24"/>
        </w:rPr>
        <w:t>规定</w:t>
      </w:r>
      <w:r>
        <w:rPr>
          <w:rFonts w:hint="eastAsia" w:ascii="宋体" w:hAnsi="宋体"/>
          <w:sz w:val="24"/>
        </w:rPr>
        <w:t>重新组织招标。</w:t>
      </w:r>
    </w:p>
    <w:p>
      <w:pPr>
        <w:spacing w:line="360" w:lineRule="auto"/>
        <w:ind w:firstLine="482" w:firstLineChars="200"/>
        <w:rPr>
          <w:rFonts w:ascii="宋体" w:hAnsi="宋体"/>
          <w:b/>
          <w:sz w:val="24"/>
        </w:rPr>
      </w:pPr>
      <w:r>
        <w:rPr>
          <w:rFonts w:hint="eastAsia" w:ascii="宋体" w:hAnsi="宋体"/>
          <w:b/>
          <w:sz w:val="24"/>
        </w:rPr>
        <w:t>3.2</w:t>
      </w:r>
      <w:r>
        <w:rPr>
          <w:rFonts w:ascii="宋体" w:hAnsi="宋体"/>
          <w:b/>
          <w:sz w:val="24"/>
        </w:rPr>
        <w:t xml:space="preserve"> </w:t>
      </w:r>
      <w:r>
        <w:rPr>
          <w:rFonts w:hint="eastAsia" w:ascii="宋体" w:hAnsi="宋体"/>
          <w:b/>
          <w:sz w:val="24"/>
        </w:rPr>
        <w:t>商务技术文件评审</w:t>
      </w:r>
    </w:p>
    <w:p>
      <w:pPr>
        <w:spacing w:line="360" w:lineRule="auto"/>
        <w:ind w:firstLine="480" w:firstLineChars="200"/>
        <w:rPr>
          <w:rFonts w:ascii="宋体" w:hAnsi="宋体"/>
          <w:color w:val="auto"/>
          <w:sz w:val="24"/>
        </w:rPr>
      </w:pPr>
      <w:r>
        <w:rPr>
          <w:rFonts w:hint="eastAsia" w:ascii="宋体" w:hAnsi="宋体"/>
          <w:sz w:val="24"/>
        </w:rPr>
        <w:t>3.2.1评标委员会依据招标文件的规定</w:t>
      </w:r>
      <w:r>
        <w:rPr>
          <w:rFonts w:hint="eastAsia" w:ascii="宋体" w:hAnsi="宋体"/>
          <w:color w:val="auto"/>
          <w:sz w:val="24"/>
        </w:rPr>
        <w:t>，对各</w:t>
      </w:r>
      <w:r>
        <w:rPr>
          <w:rFonts w:hint="eastAsia" w:ascii="宋体" w:hAnsi="宋体" w:cs="宋体"/>
          <w:bCs/>
          <w:color w:val="auto"/>
          <w:sz w:val="24"/>
          <w:szCs w:val="24"/>
        </w:rPr>
        <w:t>供应商</w:t>
      </w:r>
      <w:r>
        <w:rPr>
          <w:rFonts w:hint="eastAsia" w:ascii="宋体" w:hAnsi="宋体"/>
          <w:color w:val="auto"/>
          <w:kern w:val="0"/>
          <w:sz w:val="24"/>
        </w:rPr>
        <w:t>的</w:t>
      </w:r>
      <w:r>
        <w:rPr>
          <w:rFonts w:hint="eastAsia" w:ascii="宋体" w:hAnsi="宋体"/>
          <w:color w:val="auto"/>
          <w:sz w:val="24"/>
        </w:rPr>
        <w:t>商务技术部分进行评审，对客观分应统一意见后统一给分。</w:t>
      </w:r>
    </w:p>
    <w:p>
      <w:pPr>
        <w:spacing w:line="360" w:lineRule="auto"/>
        <w:ind w:firstLine="480" w:firstLineChars="200"/>
        <w:rPr>
          <w:rFonts w:ascii="宋体" w:hAnsi="宋体"/>
          <w:color w:val="auto"/>
          <w:sz w:val="24"/>
        </w:rPr>
      </w:pPr>
      <w:r>
        <w:rPr>
          <w:rFonts w:hint="eastAsia" w:ascii="宋体" w:hAnsi="宋体"/>
          <w:color w:val="auto"/>
          <w:sz w:val="24"/>
        </w:rPr>
        <w:t>3.2.2评标委员会依据招标</w:t>
      </w:r>
      <w:r>
        <w:rPr>
          <w:rFonts w:ascii="宋体" w:hAnsi="宋体"/>
          <w:color w:val="auto"/>
          <w:sz w:val="24"/>
        </w:rPr>
        <w:t>文件</w:t>
      </w:r>
      <w:r>
        <w:rPr>
          <w:rFonts w:hint="eastAsia" w:ascii="宋体" w:hAnsi="宋体"/>
          <w:color w:val="auto"/>
          <w:sz w:val="24"/>
        </w:rPr>
        <w:t>的规定，对各</w:t>
      </w:r>
      <w:r>
        <w:rPr>
          <w:rFonts w:hint="eastAsia" w:ascii="宋体" w:hAnsi="宋体" w:cs="宋体"/>
          <w:bCs/>
          <w:color w:val="auto"/>
          <w:sz w:val="24"/>
          <w:szCs w:val="24"/>
        </w:rPr>
        <w:t>供应商</w:t>
      </w:r>
      <w:r>
        <w:rPr>
          <w:rFonts w:hint="eastAsia" w:ascii="宋体" w:hAnsi="宋体"/>
          <w:color w:val="auto"/>
          <w:kern w:val="0"/>
          <w:sz w:val="24"/>
        </w:rPr>
        <w:t>的</w:t>
      </w:r>
      <w:r>
        <w:rPr>
          <w:rFonts w:hint="eastAsia" w:ascii="宋体" w:hAnsi="宋体"/>
          <w:color w:val="auto"/>
          <w:sz w:val="24"/>
        </w:rPr>
        <w:t>技术部分进行独立评审，对各</w:t>
      </w:r>
      <w:r>
        <w:rPr>
          <w:rFonts w:hint="eastAsia" w:ascii="宋体" w:hAnsi="宋体"/>
          <w:color w:val="auto"/>
          <w:kern w:val="0"/>
          <w:sz w:val="24"/>
        </w:rPr>
        <w:t>投标文件</w:t>
      </w:r>
      <w:r>
        <w:rPr>
          <w:rFonts w:hint="eastAsia" w:ascii="宋体" w:hAnsi="宋体"/>
          <w:color w:val="auto"/>
          <w:sz w:val="24"/>
        </w:rPr>
        <w:t>进行比较和必要的澄清，若有</w:t>
      </w:r>
      <w:r>
        <w:rPr>
          <w:rFonts w:ascii="宋体" w:hAnsi="宋体"/>
          <w:color w:val="auto"/>
          <w:sz w:val="24"/>
        </w:rPr>
        <w:t>演示</w:t>
      </w:r>
      <w:r>
        <w:rPr>
          <w:rFonts w:hint="eastAsia" w:ascii="宋体" w:hAnsi="宋体"/>
          <w:color w:val="auto"/>
          <w:sz w:val="24"/>
        </w:rPr>
        <w:t>（或述标）、</w:t>
      </w:r>
      <w:r>
        <w:rPr>
          <w:rFonts w:ascii="宋体" w:hAnsi="宋体"/>
          <w:color w:val="auto"/>
          <w:sz w:val="24"/>
        </w:rPr>
        <w:t>样品</w:t>
      </w:r>
      <w:r>
        <w:rPr>
          <w:rFonts w:hint="eastAsia" w:ascii="宋体" w:hAnsi="宋体"/>
          <w:color w:val="auto"/>
          <w:sz w:val="24"/>
        </w:rPr>
        <w:t>要求</w:t>
      </w:r>
      <w:r>
        <w:rPr>
          <w:rFonts w:ascii="宋体" w:hAnsi="宋体"/>
          <w:color w:val="auto"/>
          <w:sz w:val="24"/>
        </w:rPr>
        <w:t>和技术文件</w:t>
      </w:r>
      <w:r>
        <w:rPr>
          <w:rFonts w:hint="eastAsia" w:ascii="宋体" w:hAnsi="宋体"/>
          <w:color w:val="auto"/>
          <w:sz w:val="24"/>
        </w:rPr>
        <w:t>评审同步进行，演示（或述标）顺</w:t>
      </w:r>
      <w:r>
        <w:rPr>
          <w:rFonts w:ascii="宋体" w:hAnsi="宋体"/>
          <w:color w:val="auto"/>
          <w:sz w:val="24"/>
        </w:rPr>
        <w:t>序</w:t>
      </w:r>
      <w:r>
        <w:rPr>
          <w:rFonts w:hint="eastAsia" w:ascii="宋体" w:hAnsi="宋体"/>
          <w:b/>
          <w:color w:val="auto"/>
          <w:sz w:val="24"/>
        </w:rPr>
        <w:t>为电子交易平台解密后自动生成的“</w:t>
      </w:r>
      <w:r>
        <w:rPr>
          <w:rFonts w:ascii="宋体" w:hAnsi="宋体"/>
          <w:b/>
          <w:color w:val="auto"/>
          <w:sz w:val="24"/>
        </w:rPr>
        <w:t>投标（响应）文件签收登记表”</w:t>
      </w:r>
      <w:r>
        <w:rPr>
          <w:rFonts w:hint="eastAsia" w:ascii="宋体" w:hAnsi="宋体"/>
          <w:b/>
          <w:color w:val="auto"/>
          <w:sz w:val="24"/>
        </w:rPr>
        <w:t>名单顺序</w:t>
      </w:r>
      <w:r>
        <w:rPr>
          <w:rFonts w:hint="eastAsia" w:ascii="宋体" w:hAnsi="宋体"/>
          <w:color w:val="auto"/>
          <w:sz w:val="24"/>
        </w:rPr>
        <w:t>，</w:t>
      </w:r>
      <w:r>
        <w:rPr>
          <w:rFonts w:ascii="宋体" w:hAnsi="宋体"/>
          <w:color w:val="auto"/>
          <w:sz w:val="24"/>
        </w:rPr>
        <w:t>并根据</w:t>
      </w:r>
      <w:r>
        <w:rPr>
          <w:rFonts w:hint="eastAsia" w:ascii="宋体" w:hAnsi="宋体"/>
          <w:color w:val="auto"/>
          <w:sz w:val="24"/>
        </w:rPr>
        <w:t>审查、澄清、演示（或述标）</w:t>
      </w:r>
      <w:r>
        <w:rPr>
          <w:rFonts w:ascii="宋体" w:hAnsi="宋体"/>
          <w:color w:val="auto"/>
          <w:sz w:val="24"/>
        </w:rPr>
        <w:t>、样品等情况</w:t>
      </w:r>
      <w:r>
        <w:rPr>
          <w:rFonts w:hint="eastAsia" w:ascii="宋体" w:hAnsi="宋体"/>
          <w:color w:val="auto"/>
          <w:sz w:val="24"/>
        </w:rPr>
        <w:t>结合评审</w:t>
      </w:r>
      <w:r>
        <w:rPr>
          <w:rFonts w:ascii="宋体" w:hAnsi="宋体"/>
          <w:color w:val="auto"/>
          <w:sz w:val="24"/>
        </w:rPr>
        <w:t>办法</w:t>
      </w:r>
      <w:r>
        <w:rPr>
          <w:rFonts w:hint="eastAsia" w:ascii="宋体" w:hAnsi="宋体"/>
          <w:color w:val="auto"/>
          <w:sz w:val="24"/>
        </w:rPr>
        <w:t>进行独立打分；</w:t>
      </w:r>
    </w:p>
    <w:p>
      <w:pPr>
        <w:spacing w:line="360" w:lineRule="auto"/>
        <w:ind w:firstLine="480" w:firstLineChars="200"/>
        <w:rPr>
          <w:rFonts w:ascii="宋体" w:hAnsi="宋体"/>
          <w:color w:val="auto"/>
          <w:sz w:val="24"/>
        </w:rPr>
      </w:pPr>
      <w:r>
        <w:rPr>
          <w:rFonts w:hint="eastAsia" w:ascii="宋体" w:hAnsi="宋体"/>
          <w:color w:val="auto"/>
          <w:sz w:val="24"/>
        </w:rPr>
        <w:t>3.2.3各</w:t>
      </w:r>
      <w:r>
        <w:rPr>
          <w:rFonts w:hint="eastAsia" w:ascii="宋体" w:hAnsi="宋体" w:cs="宋体"/>
          <w:bCs/>
          <w:color w:val="auto"/>
          <w:sz w:val="24"/>
          <w:szCs w:val="24"/>
        </w:rPr>
        <w:t>供应商</w:t>
      </w:r>
      <w:r>
        <w:rPr>
          <w:rFonts w:hint="eastAsia" w:ascii="宋体" w:hAnsi="宋体"/>
          <w:color w:val="auto"/>
          <w:sz w:val="24"/>
        </w:rPr>
        <w:t>的商务技术得分，为各评审专家对该</w:t>
      </w:r>
      <w:r>
        <w:rPr>
          <w:rFonts w:hint="eastAsia" w:ascii="宋体" w:hAnsi="宋体" w:cs="宋体"/>
          <w:bCs/>
          <w:color w:val="auto"/>
          <w:sz w:val="24"/>
          <w:szCs w:val="24"/>
        </w:rPr>
        <w:t>供应商</w:t>
      </w:r>
      <w:r>
        <w:rPr>
          <w:rFonts w:hint="eastAsia" w:ascii="宋体" w:hAnsi="宋体"/>
          <w:color w:val="auto"/>
          <w:sz w:val="24"/>
        </w:rPr>
        <w:t>的评分汇总后的算术平均数。</w:t>
      </w:r>
    </w:p>
    <w:p>
      <w:pPr>
        <w:spacing w:line="360" w:lineRule="auto"/>
        <w:ind w:firstLine="482" w:firstLineChars="200"/>
        <w:rPr>
          <w:rFonts w:ascii="宋体" w:hAnsi="宋体"/>
          <w:b/>
          <w:color w:val="auto"/>
          <w:sz w:val="24"/>
        </w:rPr>
      </w:pPr>
      <w:r>
        <w:rPr>
          <w:rFonts w:ascii="宋体" w:hAnsi="宋体"/>
          <w:b/>
          <w:color w:val="auto"/>
          <w:sz w:val="24"/>
        </w:rPr>
        <w:t>3.4</w:t>
      </w:r>
      <w:r>
        <w:rPr>
          <w:rFonts w:hint="eastAsia" w:ascii="宋体" w:hAnsi="宋体"/>
          <w:b/>
          <w:color w:val="auto"/>
          <w:sz w:val="24"/>
        </w:rPr>
        <w:t>通过乐采云平台公布各</w:t>
      </w:r>
      <w:r>
        <w:rPr>
          <w:rFonts w:hint="eastAsia" w:ascii="宋体" w:hAnsi="宋体" w:cs="宋体"/>
          <w:b/>
          <w:color w:val="auto"/>
          <w:sz w:val="24"/>
          <w:szCs w:val="24"/>
        </w:rPr>
        <w:t>供应商</w:t>
      </w:r>
      <w:r>
        <w:rPr>
          <w:rFonts w:hint="eastAsia" w:ascii="宋体" w:hAnsi="宋体"/>
          <w:b/>
          <w:color w:val="auto"/>
          <w:sz w:val="24"/>
        </w:rPr>
        <w:t>的商务技术得分，开启有效</w:t>
      </w:r>
      <w:r>
        <w:rPr>
          <w:rFonts w:hint="eastAsia" w:ascii="宋体" w:hAnsi="宋体" w:cs="宋体"/>
          <w:b/>
          <w:color w:val="auto"/>
          <w:sz w:val="24"/>
          <w:szCs w:val="24"/>
        </w:rPr>
        <w:t>供应商</w:t>
      </w:r>
      <w:r>
        <w:rPr>
          <w:rFonts w:hint="eastAsia" w:ascii="宋体" w:hAnsi="宋体"/>
          <w:b/>
          <w:color w:val="auto"/>
          <w:sz w:val="24"/>
        </w:rPr>
        <w:t>的报价文件。</w:t>
      </w:r>
    </w:p>
    <w:p>
      <w:pPr>
        <w:spacing w:line="360" w:lineRule="auto"/>
        <w:ind w:firstLine="482" w:firstLineChars="200"/>
        <w:rPr>
          <w:rFonts w:ascii="宋体" w:hAnsi="宋体"/>
          <w:b/>
          <w:color w:val="auto"/>
          <w:sz w:val="24"/>
        </w:rPr>
      </w:pPr>
      <w:r>
        <w:rPr>
          <w:rFonts w:ascii="宋体" w:hAnsi="宋体"/>
          <w:b/>
          <w:color w:val="auto"/>
          <w:sz w:val="24"/>
        </w:rPr>
        <w:t>3.</w:t>
      </w:r>
      <w:r>
        <w:rPr>
          <w:rFonts w:hint="eastAsia" w:ascii="宋体" w:hAnsi="宋体"/>
          <w:b/>
          <w:color w:val="auto"/>
          <w:sz w:val="24"/>
        </w:rPr>
        <w:t>5</w:t>
      </w:r>
      <w:r>
        <w:rPr>
          <w:rFonts w:ascii="宋体" w:hAnsi="宋体"/>
          <w:b/>
          <w:color w:val="auto"/>
          <w:sz w:val="24"/>
        </w:rPr>
        <w:t xml:space="preserve"> </w:t>
      </w:r>
      <w:r>
        <w:rPr>
          <w:rFonts w:hint="eastAsia" w:ascii="宋体" w:hAnsi="宋体"/>
          <w:b/>
          <w:color w:val="auto"/>
          <w:sz w:val="24"/>
        </w:rPr>
        <w:t>报价文件评审</w:t>
      </w:r>
    </w:p>
    <w:p>
      <w:pPr>
        <w:spacing w:line="360" w:lineRule="auto"/>
        <w:ind w:firstLine="480" w:firstLineChars="200"/>
        <w:rPr>
          <w:rFonts w:ascii="宋体" w:hAnsi="宋体"/>
          <w:color w:val="auto"/>
          <w:sz w:val="24"/>
        </w:rPr>
      </w:pPr>
      <w:r>
        <w:rPr>
          <w:rFonts w:hint="eastAsia" w:ascii="宋体" w:hAnsi="宋体"/>
          <w:color w:val="auto"/>
          <w:sz w:val="24"/>
        </w:rPr>
        <w:t>3.5.1</w:t>
      </w:r>
      <w:r>
        <w:rPr>
          <w:rFonts w:ascii="宋体" w:hAnsi="宋体"/>
          <w:color w:val="auto"/>
          <w:sz w:val="24"/>
        </w:rPr>
        <w:t xml:space="preserve"> </w:t>
      </w:r>
      <w:r>
        <w:rPr>
          <w:rFonts w:hint="eastAsia" w:ascii="宋体" w:hAnsi="宋体"/>
          <w:color w:val="auto"/>
          <w:sz w:val="24"/>
        </w:rPr>
        <w:t>评标委员会依据招标文件的规定，对各</w:t>
      </w:r>
      <w:r>
        <w:rPr>
          <w:rFonts w:hint="eastAsia" w:ascii="宋体" w:hAnsi="宋体" w:cs="宋体"/>
          <w:bCs/>
          <w:color w:val="auto"/>
          <w:sz w:val="24"/>
          <w:szCs w:val="24"/>
        </w:rPr>
        <w:t>供应商</w:t>
      </w:r>
      <w:r>
        <w:rPr>
          <w:rFonts w:ascii="宋体" w:hAnsi="宋体"/>
          <w:color w:val="auto"/>
          <w:sz w:val="24"/>
        </w:rPr>
        <w:t>的</w:t>
      </w:r>
      <w:r>
        <w:rPr>
          <w:rFonts w:hint="eastAsia" w:ascii="宋体" w:hAnsi="宋体"/>
          <w:color w:val="auto"/>
          <w:sz w:val="24"/>
        </w:rPr>
        <w:t>报价的符合性进行审查，必要时可要求</w:t>
      </w:r>
      <w:r>
        <w:rPr>
          <w:rFonts w:hint="eastAsia" w:ascii="宋体" w:hAnsi="宋体" w:cs="宋体"/>
          <w:bCs/>
          <w:color w:val="auto"/>
          <w:sz w:val="24"/>
          <w:szCs w:val="24"/>
        </w:rPr>
        <w:t>供应商</w:t>
      </w:r>
      <w:r>
        <w:rPr>
          <w:rFonts w:hint="eastAsia" w:ascii="宋体" w:hAnsi="宋体"/>
          <w:color w:val="auto"/>
          <w:sz w:val="24"/>
        </w:rPr>
        <w:t>对其报价做出澄清、说明；</w:t>
      </w:r>
    </w:p>
    <w:p>
      <w:pPr>
        <w:spacing w:line="360" w:lineRule="auto"/>
        <w:ind w:firstLine="480" w:firstLineChars="200"/>
        <w:rPr>
          <w:rFonts w:ascii="宋体" w:hAnsi="宋体"/>
          <w:color w:val="auto"/>
          <w:sz w:val="24"/>
        </w:rPr>
      </w:pPr>
      <w:r>
        <w:rPr>
          <w:rFonts w:hint="eastAsia" w:ascii="宋体" w:hAnsi="宋体"/>
          <w:color w:val="auto"/>
          <w:sz w:val="24"/>
        </w:rPr>
        <w:t>3.5.2报价修正；</w:t>
      </w:r>
    </w:p>
    <w:p>
      <w:pPr>
        <w:spacing w:line="360" w:lineRule="auto"/>
        <w:ind w:firstLine="480" w:firstLineChars="200"/>
        <w:rPr>
          <w:rFonts w:ascii="宋体" w:hAnsi="宋体"/>
          <w:color w:val="auto"/>
          <w:sz w:val="24"/>
        </w:rPr>
      </w:pPr>
      <w:r>
        <w:rPr>
          <w:rFonts w:ascii="宋体" w:hAnsi="宋体"/>
          <w:color w:val="auto"/>
          <w:sz w:val="24"/>
        </w:rPr>
        <w:t>3.</w:t>
      </w:r>
      <w:r>
        <w:rPr>
          <w:rFonts w:hint="eastAsia" w:ascii="宋体" w:hAnsi="宋体"/>
          <w:color w:val="auto"/>
          <w:sz w:val="24"/>
        </w:rPr>
        <w:t>5</w:t>
      </w:r>
      <w:r>
        <w:rPr>
          <w:rFonts w:ascii="宋体" w:hAnsi="宋体"/>
          <w:color w:val="auto"/>
          <w:sz w:val="24"/>
        </w:rPr>
        <w:t>.</w:t>
      </w:r>
      <w:r>
        <w:rPr>
          <w:rFonts w:hint="eastAsia" w:ascii="宋体" w:hAnsi="宋体"/>
          <w:color w:val="auto"/>
          <w:sz w:val="24"/>
        </w:rPr>
        <w:t>3评审委员会根据</w:t>
      </w:r>
      <w:r>
        <w:rPr>
          <w:rFonts w:hint="eastAsia" w:ascii="宋体" w:hAnsi="宋体" w:cs="宋体"/>
          <w:bCs/>
          <w:color w:val="auto"/>
          <w:sz w:val="24"/>
          <w:szCs w:val="24"/>
        </w:rPr>
        <w:t>供应商</w:t>
      </w:r>
      <w:r>
        <w:rPr>
          <w:rFonts w:hint="eastAsia" w:ascii="宋体" w:hAnsi="宋体"/>
          <w:color w:val="auto"/>
          <w:sz w:val="24"/>
        </w:rPr>
        <w:t>的报价和评审</w:t>
      </w:r>
      <w:r>
        <w:rPr>
          <w:rFonts w:ascii="宋体" w:hAnsi="宋体"/>
          <w:color w:val="auto"/>
          <w:sz w:val="24"/>
        </w:rPr>
        <w:t>标准</w:t>
      </w:r>
      <w:r>
        <w:rPr>
          <w:rFonts w:hint="eastAsia" w:ascii="宋体" w:hAnsi="宋体"/>
          <w:color w:val="auto"/>
          <w:sz w:val="24"/>
        </w:rPr>
        <w:t>，计算各</w:t>
      </w:r>
      <w:r>
        <w:rPr>
          <w:rFonts w:hint="eastAsia" w:ascii="宋体" w:hAnsi="宋体" w:cs="宋体"/>
          <w:bCs/>
          <w:color w:val="auto"/>
          <w:sz w:val="24"/>
          <w:szCs w:val="24"/>
        </w:rPr>
        <w:t>供应商</w:t>
      </w:r>
      <w:r>
        <w:rPr>
          <w:rFonts w:hint="eastAsia" w:ascii="宋体" w:hAnsi="宋体"/>
          <w:color w:val="auto"/>
          <w:sz w:val="24"/>
        </w:rPr>
        <w:t>的报价得分。</w:t>
      </w:r>
    </w:p>
    <w:p>
      <w:pPr>
        <w:spacing w:line="360" w:lineRule="auto"/>
        <w:ind w:firstLine="482" w:firstLineChars="200"/>
        <w:rPr>
          <w:rFonts w:ascii="宋体" w:hAnsi="宋体"/>
          <w:b/>
          <w:color w:val="auto"/>
          <w:sz w:val="24"/>
        </w:rPr>
      </w:pPr>
      <w:r>
        <w:rPr>
          <w:rFonts w:ascii="宋体" w:hAnsi="宋体"/>
          <w:b/>
          <w:color w:val="auto"/>
          <w:sz w:val="24"/>
        </w:rPr>
        <w:t>3.</w:t>
      </w:r>
      <w:r>
        <w:rPr>
          <w:rFonts w:hint="eastAsia" w:ascii="宋体" w:hAnsi="宋体"/>
          <w:b/>
          <w:color w:val="auto"/>
          <w:sz w:val="24"/>
        </w:rPr>
        <w:t>6 评标结果</w:t>
      </w:r>
    </w:p>
    <w:p>
      <w:pPr>
        <w:spacing w:line="360" w:lineRule="auto"/>
        <w:ind w:firstLine="480" w:firstLineChars="200"/>
        <w:rPr>
          <w:rFonts w:ascii="宋体" w:hAnsi="宋体"/>
          <w:color w:val="auto"/>
          <w:sz w:val="24"/>
        </w:rPr>
      </w:pPr>
      <w:r>
        <w:rPr>
          <w:rFonts w:hint="eastAsia" w:ascii="宋体" w:hAnsi="宋体"/>
          <w:color w:val="auto"/>
          <w:sz w:val="24"/>
        </w:rPr>
        <w:t>3.6.1 评审结果汇总，</w:t>
      </w:r>
      <w:r>
        <w:rPr>
          <w:rFonts w:hint="eastAsia" w:ascii="宋体" w:hAnsi="宋体" w:cs="宋体"/>
          <w:bCs/>
          <w:color w:val="auto"/>
          <w:sz w:val="24"/>
          <w:szCs w:val="24"/>
        </w:rPr>
        <w:t>供应商</w:t>
      </w:r>
      <w:r>
        <w:rPr>
          <w:rFonts w:hint="eastAsia" w:ascii="宋体" w:hAnsi="宋体"/>
          <w:color w:val="auto"/>
          <w:sz w:val="24"/>
        </w:rPr>
        <w:t>结果排序；</w:t>
      </w:r>
    </w:p>
    <w:p>
      <w:pPr>
        <w:spacing w:line="360" w:lineRule="auto"/>
        <w:ind w:firstLine="480" w:firstLineChars="200"/>
        <w:rPr>
          <w:rFonts w:ascii="宋体" w:hAnsi="宋体"/>
          <w:color w:val="auto"/>
          <w:sz w:val="24"/>
        </w:rPr>
      </w:pPr>
      <w:r>
        <w:rPr>
          <w:rFonts w:hint="eastAsia" w:ascii="宋体" w:hAnsi="宋体"/>
          <w:color w:val="auto"/>
          <w:sz w:val="24"/>
        </w:rPr>
        <w:t>3.6.2 起草评标报告，确定中标候选人；</w:t>
      </w:r>
    </w:p>
    <w:p>
      <w:pPr>
        <w:spacing w:line="360" w:lineRule="auto"/>
        <w:ind w:firstLine="480" w:firstLineChars="200"/>
        <w:rPr>
          <w:rFonts w:ascii="宋体" w:hAnsi="宋体"/>
          <w:color w:val="auto"/>
          <w:sz w:val="24"/>
        </w:rPr>
      </w:pPr>
      <w:r>
        <w:rPr>
          <w:rFonts w:hint="eastAsia" w:ascii="宋体" w:hAnsi="宋体"/>
          <w:color w:val="auto"/>
          <w:sz w:val="24"/>
        </w:rPr>
        <w:t>3.6.2.1 评标报告</w:t>
      </w:r>
      <w:r>
        <w:rPr>
          <w:rFonts w:ascii="宋体" w:hAnsi="宋体"/>
          <w:color w:val="auto"/>
          <w:sz w:val="24"/>
        </w:rPr>
        <w:t>应包括以下内容：</w:t>
      </w:r>
    </w:p>
    <w:p>
      <w:pPr>
        <w:spacing w:line="360" w:lineRule="auto"/>
        <w:ind w:firstLine="480" w:firstLineChars="200"/>
        <w:rPr>
          <w:rFonts w:ascii="宋体" w:hAnsi="宋体"/>
          <w:color w:val="auto"/>
          <w:sz w:val="24"/>
        </w:rPr>
      </w:pPr>
      <w:r>
        <w:rPr>
          <w:rFonts w:hint="eastAsia" w:ascii="宋体" w:hAnsi="宋体"/>
          <w:color w:val="auto"/>
          <w:sz w:val="24"/>
        </w:rPr>
        <w:t>（1）招标公告刊登的媒体名称、开标日期和地点；</w:t>
      </w:r>
    </w:p>
    <w:p>
      <w:pPr>
        <w:spacing w:line="360" w:lineRule="auto"/>
        <w:ind w:firstLine="480" w:firstLineChars="200"/>
        <w:rPr>
          <w:rFonts w:ascii="宋体" w:hAnsi="宋体"/>
          <w:color w:val="auto"/>
          <w:sz w:val="24"/>
        </w:rPr>
      </w:pPr>
      <w:r>
        <w:rPr>
          <w:rFonts w:hint="eastAsia" w:ascii="宋体" w:hAnsi="宋体"/>
          <w:color w:val="auto"/>
          <w:sz w:val="24"/>
        </w:rPr>
        <w:t>（2）供应商名单和评标委员会成员名单；</w:t>
      </w:r>
    </w:p>
    <w:p>
      <w:pPr>
        <w:spacing w:line="360" w:lineRule="auto"/>
        <w:ind w:firstLine="480" w:firstLineChars="200"/>
        <w:rPr>
          <w:rFonts w:ascii="宋体" w:hAnsi="宋体"/>
          <w:color w:val="auto"/>
          <w:sz w:val="24"/>
        </w:rPr>
      </w:pPr>
      <w:r>
        <w:rPr>
          <w:rFonts w:hint="eastAsia" w:ascii="宋体" w:hAnsi="宋体"/>
          <w:color w:val="auto"/>
          <w:sz w:val="24"/>
        </w:rPr>
        <w:t>（3）评审方法和标准；</w:t>
      </w:r>
    </w:p>
    <w:p>
      <w:pPr>
        <w:spacing w:line="360" w:lineRule="auto"/>
        <w:ind w:firstLine="480" w:firstLineChars="200"/>
        <w:rPr>
          <w:rFonts w:ascii="宋体" w:hAnsi="宋体"/>
          <w:color w:val="auto"/>
          <w:sz w:val="24"/>
        </w:rPr>
      </w:pPr>
      <w:r>
        <w:rPr>
          <w:rFonts w:hint="eastAsia" w:ascii="宋体" w:hAnsi="宋体"/>
          <w:color w:val="auto"/>
          <w:sz w:val="24"/>
        </w:rPr>
        <w:t>（4）资格审查记录；</w:t>
      </w:r>
    </w:p>
    <w:p>
      <w:pPr>
        <w:spacing w:line="360" w:lineRule="auto"/>
        <w:ind w:firstLine="480" w:firstLineChars="200"/>
        <w:rPr>
          <w:rFonts w:ascii="宋体" w:hAnsi="宋体"/>
          <w:color w:val="auto"/>
          <w:sz w:val="24"/>
        </w:rPr>
      </w:pPr>
      <w:r>
        <w:rPr>
          <w:rFonts w:hint="eastAsia" w:ascii="宋体" w:hAnsi="宋体"/>
          <w:color w:val="auto"/>
          <w:sz w:val="24"/>
        </w:rPr>
        <w:t>（5）开标记录和评审情况及说明，包括无效供应商名单及原因；</w:t>
      </w:r>
    </w:p>
    <w:p>
      <w:pPr>
        <w:spacing w:line="360" w:lineRule="auto"/>
        <w:ind w:firstLine="480" w:firstLineChars="200"/>
        <w:rPr>
          <w:rFonts w:ascii="宋体" w:hAnsi="宋体"/>
          <w:color w:val="auto"/>
          <w:sz w:val="24"/>
        </w:rPr>
      </w:pPr>
      <w:r>
        <w:rPr>
          <w:rFonts w:hint="eastAsia" w:ascii="宋体" w:hAnsi="宋体"/>
          <w:color w:val="auto"/>
          <w:sz w:val="24"/>
        </w:rPr>
        <w:t>（6）评审结果，确定的中标候选人名单。</w:t>
      </w:r>
    </w:p>
    <w:p>
      <w:pPr>
        <w:spacing w:line="360" w:lineRule="auto"/>
        <w:ind w:firstLine="480" w:firstLineChars="200"/>
        <w:rPr>
          <w:rFonts w:ascii="宋体" w:hAnsi="宋体"/>
          <w:color w:val="auto"/>
          <w:sz w:val="24"/>
        </w:rPr>
      </w:pPr>
      <w:r>
        <w:rPr>
          <w:rFonts w:hint="eastAsia" w:ascii="宋体" w:hAnsi="宋体"/>
          <w:color w:val="auto"/>
          <w:sz w:val="24"/>
        </w:rPr>
        <w:t>（7）其他需要说明的情况，包括评审过程中供应商根据评标委员会要求进行的澄清、说明或者补正，评标委员会成员的更换等。</w:t>
      </w:r>
    </w:p>
    <w:p>
      <w:pPr>
        <w:spacing w:line="360" w:lineRule="auto"/>
        <w:ind w:firstLine="480" w:firstLineChars="200"/>
        <w:rPr>
          <w:rFonts w:ascii="宋体" w:hAnsi="宋体"/>
          <w:color w:val="auto"/>
          <w:sz w:val="24"/>
        </w:rPr>
      </w:pPr>
      <w:r>
        <w:rPr>
          <w:rFonts w:hint="eastAsia" w:ascii="宋体" w:hAnsi="宋体"/>
          <w:color w:val="auto"/>
          <w:sz w:val="24"/>
        </w:rPr>
        <w:t>3.7 评标</w:t>
      </w:r>
      <w:r>
        <w:rPr>
          <w:rFonts w:ascii="宋体" w:hAnsi="宋体"/>
          <w:color w:val="auto"/>
          <w:sz w:val="24"/>
        </w:rPr>
        <w:t>报告由全体</w:t>
      </w:r>
      <w:r>
        <w:rPr>
          <w:rFonts w:hint="eastAsia" w:ascii="宋体" w:hAnsi="宋体"/>
          <w:color w:val="auto"/>
          <w:sz w:val="24"/>
        </w:rPr>
        <w:t>评标委员会</w:t>
      </w:r>
      <w:r>
        <w:rPr>
          <w:rFonts w:ascii="宋体" w:hAnsi="宋体"/>
          <w:color w:val="auto"/>
          <w:sz w:val="24"/>
        </w:rPr>
        <w:t>成员</w:t>
      </w:r>
      <w:r>
        <w:rPr>
          <w:rFonts w:hint="eastAsia" w:ascii="宋体" w:hAnsi="宋体"/>
          <w:color w:val="auto"/>
          <w:sz w:val="24"/>
        </w:rPr>
        <w:t>确认后提交</w:t>
      </w:r>
      <w:r>
        <w:rPr>
          <w:rFonts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3.8</w:t>
      </w:r>
      <w:r>
        <w:rPr>
          <w:rFonts w:ascii="宋体" w:hAnsi="宋体"/>
          <w:color w:val="auto"/>
          <w:sz w:val="24"/>
        </w:rPr>
        <w:t xml:space="preserve"> </w:t>
      </w:r>
      <w:r>
        <w:rPr>
          <w:rFonts w:hint="eastAsia" w:ascii="宋体" w:hAnsi="宋体"/>
          <w:color w:val="auto"/>
          <w:sz w:val="24"/>
        </w:rPr>
        <w:t>评审结束后，由电子交易平台自动生成评审结果，采购人确定中标人后2个工作日内，发出中标通知书，并在相关媒体上公告中标结果。</w:t>
      </w:r>
    </w:p>
    <w:p>
      <w:pPr>
        <w:pStyle w:val="4"/>
        <w:spacing w:line="240" w:lineRule="auto"/>
        <w:ind w:firstLine="300" w:firstLineChars="100"/>
        <w:rPr>
          <w:rFonts w:ascii="宋体" w:hAnsi="宋体" w:eastAsia="宋体"/>
          <w:b w:val="0"/>
          <w:bCs w:val="0"/>
          <w:color w:val="auto"/>
        </w:rPr>
      </w:pPr>
      <w:bookmarkStart w:id="312" w:name="_Toc2224"/>
      <w:r>
        <w:rPr>
          <w:rFonts w:hint="eastAsia" w:ascii="宋体" w:hAnsi="宋体" w:eastAsia="宋体"/>
          <w:b w:val="0"/>
          <w:bCs w:val="0"/>
          <w:color w:val="auto"/>
        </w:rPr>
        <w:t>四   评标一般规定</w:t>
      </w:r>
      <w:bookmarkEnd w:id="312"/>
    </w:p>
    <w:p>
      <w:pPr>
        <w:spacing w:line="360" w:lineRule="auto"/>
        <w:ind w:firstLine="480" w:firstLineChars="200"/>
        <w:rPr>
          <w:rFonts w:ascii="宋体" w:hAnsi="宋体"/>
          <w:color w:val="auto"/>
          <w:sz w:val="24"/>
        </w:rPr>
      </w:pPr>
      <w:r>
        <w:rPr>
          <w:rFonts w:hint="eastAsia" w:ascii="宋体" w:hAnsi="宋体"/>
          <w:color w:val="auto"/>
          <w:sz w:val="24"/>
        </w:rPr>
        <w:t>4.本评标办法采用综合评分法,总分100分。</w:t>
      </w:r>
    </w:p>
    <w:p>
      <w:pPr>
        <w:spacing w:line="360" w:lineRule="auto"/>
        <w:ind w:firstLine="480" w:firstLineChars="200"/>
        <w:rPr>
          <w:rFonts w:ascii="宋体" w:hAnsi="宋体"/>
          <w:b/>
          <w:color w:val="auto"/>
          <w:sz w:val="24"/>
        </w:rPr>
      </w:pPr>
      <w:r>
        <w:rPr>
          <w:rFonts w:hint="eastAsia" w:ascii="宋体" w:hAnsi="宋体"/>
          <w:color w:val="auto"/>
          <w:sz w:val="24"/>
        </w:rPr>
        <w:t>4.1商务技术权重为60%，分值为60分。评委对各投标文件的技术标经充分审核后，在规定的分值内由评委单独评定打分。</w:t>
      </w:r>
    </w:p>
    <w:p>
      <w:pPr>
        <w:spacing w:line="360" w:lineRule="auto"/>
        <w:ind w:firstLine="480" w:firstLineChars="200"/>
        <w:rPr>
          <w:rFonts w:ascii="宋体" w:hAnsi="宋体"/>
          <w:color w:val="auto"/>
          <w:sz w:val="24"/>
        </w:rPr>
      </w:pPr>
      <w:r>
        <w:rPr>
          <w:rFonts w:hint="eastAsia" w:ascii="宋体" w:hAnsi="宋体"/>
          <w:color w:val="auto"/>
          <w:sz w:val="24"/>
        </w:rPr>
        <w:t>4.2报价权重为40%，分值为40分，由评委按各供应商的报价统一计算。</w:t>
      </w:r>
    </w:p>
    <w:p>
      <w:pPr>
        <w:spacing w:line="360" w:lineRule="auto"/>
        <w:ind w:firstLine="480" w:firstLineChars="200"/>
        <w:rPr>
          <w:rFonts w:ascii="宋体" w:hAnsi="宋体"/>
          <w:color w:val="auto"/>
          <w:sz w:val="24"/>
        </w:rPr>
      </w:pPr>
      <w:r>
        <w:rPr>
          <w:rFonts w:hint="eastAsia" w:ascii="宋体" w:hAnsi="宋体"/>
          <w:color w:val="auto"/>
          <w:sz w:val="24"/>
        </w:rPr>
        <w:t>4.3评审专家在规定的分值范围内独立打分。</w:t>
      </w:r>
    </w:p>
    <w:p>
      <w:pPr>
        <w:pStyle w:val="4"/>
        <w:spacing w:line="240" w:lineRule="auto"/>
        <w:ind w:firstLine="300" w:firstLineChars="100"/>
        <w:rPr>
          <w:rFonts w:ascii="宋体" w:hAnsi="宋体" w:eastAsia="宋体"/>
          <w:bCs w:val="0"/>
          <w:color w:val="auto"/>
        </w:rPr>
      </w:pPr>
      <w:bookmarkStart w:id="313" w:name="_Toc1183"/>
      <w:bookmarkStart w:id="314" w:name="_Toc61257440"/>
      <w:r>
        <w:rPr>
          <w:rFonts w:hint="eastAsia" w:ascii="宋体" w:hAnsi="宋体" w:eastAsia="宋体"/>
          <w:b w:val="0"/>
          <w:bCs w:val="0"/>
          <w:color w:val="auto"/>
        </w:rPr>
        <w:t>五</w:t>
      </w:r>
      <w:r>
        <w:rPr>
          <w:rFonts w:ascii="宋体" w:hAnsi="宋体" w:eastAsia="宋体"/>
          <w:b w:val="0"/>
          <w:bCs w:val="0"/>
          <w:color w:val="auto"/>
        </w:rPr>
        <w:t xml:space="preserve"> </w:t>
      </w:r>
      <w:r>
        <w:rPr>
          <w:rFonts w:hint="eastAsia" w:ascii="宋体" w:hAnsi="宋体" w:eastAsia="宋体"/>
          <w:b w:val="0"/>
          <w:bCs w:val="0"/>
          <w:color w:val="auto"/>
        </w:rPr>
        <w:t xml:space="preserve">  </w:t>
      </w:r>
      <w:r>
        <w:rPr>
          <w:rFonts w:ascii="宋体" w:hAnsi="宋体" w:eastAsia="宋体"/>
          <w:b w:val="0"/>
          <w:bCs w:val="0"/>
          <w:color w:val="auto"/>
        </w:rPr>
        <w:t>评标办法和细则</w:t>
      </w:r>
      <w:bookmarkEnd w:id="313"/>
      <w:bookmarkEnd w:id="314"/>
    </w:p>
    <w:p>
      <w:pPr>
        <w:ind w:firstLine="236" w:firstLineChars="98"/>
        <w:rPr>
          <w:rFonts w:ascii="宋体" w:hAnsi="宋体"/>
          <w:b/>
          <w:color w:val="auto"/>
          <w:sz w:val="24"/>
        </w:rPr>
      </w:pPr>
      <w:r>
        <w:rPr>
          <w:rFonts w:hint="eastAsia" w:ascii="宋体" w:hAnsi="宋体"/>
          <w:b/>
          <w:color w:val="auto"/>
          <w:sz w:val="24"/>
        </w:rPr>
        <w:t>5.1商务技术分值为60分，权重为60%，由评审委员会成员独立打分。</w:t>
      </w:r>
    </w:p>
    <w:tbl>
      <w:tblPr>
        <w:tblStyle w:val="48"/>
        <w:tblW w:w="9158"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620"/>
        <w:gridCol w:w="6141"/>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15" w:type="dxa"/>
            <w:vAlign w:val="center"/>
          </w:tcPr>
          <w:p>
            <w:pPr>
              <w:pStyle w:val="21"/>
              <w:adjustRightInd w:val="0"/>
              <w:snapToGrid w:val="0"/>
              <w:ind w:firstLine="0"/>
              <w:jc w:val="center"/>
              <w:rPr>
                <w:rFonts w:ascii="宋体" w:hAnsi="宋体" w:cs="宋体"/>
                <w:bCs/>
                <w:color w:val="auto"/>
                <w:sz w:val="21"/>
                <w:szCs w:val="21"/>
              </w:rPr>
            </w:pPr>
            <w:r>
              <w:rPr>
                <w:rFonts w:hint="eastAsia" w:ascii="宋体" w:hAnsi="宋体" w:cs="宋体"/>
                <w:bCs/>
                <w:color w:val="auto"/>
                <w:sz w:val="21"/>
                <w:szCs w:val="21"/>
              </w:rPr>
              <w:t>序号</w:t>
            </w:r>
          </w:p>
        </w:tc>
        <w:tc>
          <w:tcPr>
            <w:tcW w:w="1620" w:type="dxa"/>
            <w:vAlign w:val="center"/>
          </w:tcPr>
          <w:p>
            <w:pPr>
              <w:pStyle w:val="21"/>
              <w:adjustRightInd w:val="0"/>
              <w:snapToGrid w:val="0"/>
              <w:ind w:firstLine="0"/>
              <w:rPr>
                <w:rFonts w:ascii="宋体" w:hAnsi="宋体" w:cs="宋体"/>
                <w:bCs/>
                <w:color w:val="auto"/>
                <w:sz w:val="21"/>
                <w:szCs w:val="21"/>
              </w:rPr>
            </w:pPr>
            <w:r>
              <w:rPr>
                <w:rFonts w:hint="eastAsia" w:ascii="宋体" w:hAnsi="宋体" w:cs="宋体"/>
                <w:bCs/>
                <w:color w:val="auto"/>
                <w:sz w:val="21"/>
                <w:szCs w:val="21"/>
              </w:rPr>
              <w:t>评审内容</w:t>
            </w:r>
          </w:p>
        </w:tc>
        <w:tc>
          <w:tcPr>
            <w:tcW w:w="6141" w:type="dxa"/>
            <w:vAlign w:val="center"/>
          </w:tcPr>
          <w:p>
            <w:pPr>
              <w:pStyle w:val="21"/>
              <w:adjustRightInd w:val="0"/>
              <w:snapToGrid w:val="0"/>
              <w:ind w:firstLine="0"/>
              <w:jc w:val="center"/>
              <w:rPr>
                <w:rFonts w:ascii="宋体" w:hAnsi="宋体" w:cs="宋体"/>
                <w:bCs/>
                <w:color w:val="auto"/>
                <w:sz w:val="21"/>
                <w:szCs w:val="21"/>
              </w:rPr>
            </w:pPr>
            <w:r>
              <w:rPr>
                <w:rFonts w:hint="eastAsia" w:ascii="宋体" w:hAnsi="宋体" w:cs="宋体"/>
                <w:bCs/>
                <w:color w:val="auto"/>
                <w:sz w:val="21"/>
                <w:szCs w:val="21"/>
              </w:rPr>
              <w:t>评分标准</w:t>
            </w:r>
          </w:p>
        </w:tc>
        <w:tc>
          <w:tcPr>
            <w:tcW w:w="782" w:type="dxa"/>
            <w:vAlign w:val="center"/>
          </w:tcPr>
          <w:p>
            <w:pPr>
              <w:pStyle w:val="21"/>
              <w:adjustRightInd w:val="0"/>
              <w:snapToGrid w:val="0"/>
              <w:ind w:firstLine="0"/>
              <w:jc w:val="center"/>
              <w:rPr>
                <w:rFonts w:ascii="宋体" w:hAnsi="宋体" w:cs="宋体"/>
                <w:bCs/>
                <w:color w:val="auto"/>
                <w:sz w:val="21"/>
                <w:szCs w:val="21"/>
              </w:rPr>
            </w:pPr>
            <w:r>
              <w:rPr>
                <w:rFonts w:hint="eastAsia" w:ascii="宋体" w:hAnsi="宋体" w:cs="宋体"/>
                <w:bCs/>
                <w:color w:val="auto"/>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615" w:type="dxa"/>
            <w:vAlign w:val="center"/>
          </w:tcPr>
          <w:p>
            <w:pPr>
              <w:pStyle w:val="21"/>
              <w:adjustRightInd w:val="0"/>
              <w:snapToGrid w:val="0"/>
              <w:ind w:firstLine="0"/>
              <w:jc w:val="center"/>
              <w:rPr>
                <w:rFonts w:ascii="宋体" w:hAnsi="宋体" w:cs="宋体"/>
                <w:bCs/>
                <w:color w:val="auto"/>
                <w:sz w:val="21"/>
                <w:szCs w:val="21"/>
              </w:rPr>
            </w:pPr>
            <w:r>
              <w:rPr>
                <w:rFonts w:hint="eastAsia" w:ascii="宋体" w:hAnsi="宋体" w:cs="宋体"/>
                <w:bCs/>
                <w:color w:val="auto"/>
                <w:sz w:val="21"/>
                <w:szCs w:val="21"/>
              </w:rPr>
              <w:t>1</w:t>
            </w:r>
          </w:p>
        </w:tc>
        <w:tc>
          <w:tcPr>
            <w:tcW w:w="1620" w:type="dxa"/>
            <w:vAlign w:val="center"/>
          </w:tcPr>
          <w:p>
            <w:pPr>
              <w:pStyle w:val="21"/>
              <w:adjustRightInd w:val="0"/>
              <w:snapToGrid w:val="0"/>
              <w:spacing w:line="360" w:lineRule="auto"/>
              <w:ind w:firstLine="0"/>
              <w:jc w:val="center"/>
              <w:rPr>
                <w:rFonts w:ascii="宋体" w:hAnsi="宋体" w:cs="宋体"/>
                <w:bCs/>
                <w:color w:val="auto"/>
                <w:sz w:val="21"/>
                <w:szCs w:val="21"/>
              </w:rPr>
            </w:pPr>
            <w:r>
              <w:rPr>
                <w:rFonts w:hint="eastAsia" w:ascii="宋体" w:hAnsi="宋体" w:cs="宋体"/>
                <w:bCs/>
                <w:color w:val="auto"/>
                <w:sz w:val="21"/>
                <w:szCs w:val="21"/>
              </w:rPr>
              <w:t>类似业绩</w:t>
            </w:r>
          </w:p>
        </w:tc>
        <w:tc>
          <w:tcPr>
            <w:tcW w:w="6141" w:type="dxa"/>
          </w:tcPr>
          <w:p>
            <w:pPr>
              <w:spacing w:line="360" w:lineRule="auto"/>
              <w:ind w:firstLine="420" w:firstLineChars="200"/>
              <w:rPr>
                <w:rFonts w:ascii="宋体" w:hAnsi="宋体" w:cs="宋体"/>
                <w:bCs/>
                <w:color w:val="auto"/>
                <w:szCs w:val="21"/>
              </w:rPr>
            </w:pPr>
            <w:r>
              <w:rPr>
                <w:rFonts w:hint="eastAsia" w:ascii="宋体" w:hAnsi="宋体" w:cs="宋体"/>
                <w:bCs/>
                <w:color w:val="auto"/>
                <w:szCs w:val="21"/>
              </w:rPr>
              <w:t>自2022年1月1日以来（以合同签订或批文时间为准）至投标截止时间止，具有类似案例业绩的（建筑固废处置），每提供一个业绩的得1分，最高可得3分。</w:t>
            </w:r>
          </w:p>
          <w:p>
            <w:pPr>
              <w:pStyle w:val="21"/>
              <w:adjustRightInd w:val="0"/>
              <w:snapToGrid w:val="0"/>
              <w:spacing w:line="360" w:lineRule="auto"/>
              <w:ind w:firstLine="422" w:firstLineChars="200"/>
              <w:rPr>
                <w:rFonts w:ascii="宋体" w:hAnsi="宋体" w:cs="宋体"/>
                <w:color w:val="auto"/>
                <w:sz w:val="21"/>
                <w:szCs w:val="21"/>
              </w:rPr>
            </w:pPr>
            <w:r>
              <w:rPr>
                <w:rFonts w:hint="eastAsia" w:ascii="宋体" w:hAnsi="宋体" w:cs="宋体"/>
                <w:b/>
                <w:color w:val="auto"/>
                <w:sz w:val="21"/>
                <w:szCs w:val="21"/>
              </w:rPr>
              <w:t>投标文件内须提供（1）若为自有企业的提供县级及以上批文或立项文件、自有场地相关证明、</w:t>
            </w:r>
            <w:r>
              <w:rPr>
                <w:rFonts w:hint="eastAsia" w:ascii="宋体" w:hAnsi="宋体" w:cs="宋体"/>
                <w:b/>
                <w:bCs/>
                <w:color w:val="auto"/>
                <w:sz w:val="21"/>
                <w:szCs w:val="21"/>
              </w:rPr>
              <w:t>有效期内的城市建筑垃圾处置核准证（处置）</w:t>
            </w:r>
            <w:r>
              <w:rPr>
                <w:rFonts w:hint="eastAsia" w:ascii="宋体" w:hAnsi="宋体" w:cs="宋体"/>
                <w:b/>
                <w:color w:val="auto"/>
                <w:sz w:val="21"/>
                <w:szCs w:val="21"/>
              </w:rPr>
              <w:t>的原件扫描件，否则不得分。（2）若为劳务承包的提供该项目县级及以上批文或立项文件、该项目配套场地相关证明、</w:t>
            </w:r>
            <w:r>
              <w:rPr>
                <w:rFonts w:hint="eastAsia" w:ascii="宋体" w:hAnsi="宋体" w:cs="宋体"/>
                <w:b/>
                <w:bCs/>
                <w:color w:val="auto"/>
                <w:sz w:val="21"/>
                <w:szCs w:val="21"/>
              </w:rPr>
              <w:t>有效期内的城市建筑垃圾处置核准证（处置）、</w:t>
            </w:r>
            <w:r>
              <w:rPr>
                <w:rFonts w:hint="eastAsia" w:ascii="宋体" w:hAnsi="宋体" w:cs="宋体"/>
                <w:b/>
                <w:color w:val="auto"/>
                <w:sz w:val="21"/>
                <w:szCs w:val="21"/>
              </w:rPr>
              <w:t>劳务承包合同原件的扫描件，否则不得分。</w:t>
            </w:r>
          </w:p>
        </w:tc>
        <w:tc>
          <w:tcPr>
            <w:tcW w:w="782" w:type="dxa"/>
            <w:vAlign w:val="center"/>
          </w:tcPr>
          <w:p>
            <w:pPr>
              <w:pStyle w:val="21"/>
              <w:adjustRightInd w:val="0"/>
              <w:snapToGrid w:val="0"/>
              <w:spacing w:line="360" w:lineRule="auto"/>
              <w:ind w:firstLine="0"/>
              <w:jc w:val="center"/>
              <w:rPr>
                <w:rFonts w:ascii="宋体" w:hAnsi="宋体" w:cs="宋体"/>
                <w:color w:val="auto"/>
                <w:sz w:val="21"/>
                <w:szCs w:val="21"/>
              </w:rPr>
            </w:pPr>
            <w:r>
              <w:rPr>
                <w:rFonts w:hint="eastAsia" w:ascii="宋体" w:hAnsi="宋体" w:cs="宋体"/>
                <w:color w:val="auto"/>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615" w:type="dxa"/>
            <w:vAlign w:val="center"/>
          </w:tcPr>
          <w:p>
            <w:pPr>
              <w:jc w:val="center"/>
              <w:rPr>
                <w:rFonts w:ascii="宋体" w:hAnsi="宋体" w:cs="宋体"/>
                <w:color w:val="auto"/>
                <w:szCs w:val="21"/>
              </w:rPr>
            </w:pPr>
            <w:r>
              <w:rPr>
                <w:rFonts w:hint="eastAsia" w:ascii="宋体" w:hAnsi="宋体" w:cs="宋体"/>
                <w:color w:val="auto"/>
                <w:szCs w:val="21"/>
              </w:rPr>
              <w:t>2</w:t>
            </w:r>
          </w:p>
        </w:tc>
        <w:tc>
          <w:tcPr>
            <w:tcW w:w="1620" w:type="dxa"/>
            <w:vAlign w:val="center"/>
          </w:tcPr>
          <w:p>
            <w:pPr>
              <w:spacing w:line="300" w:lineRule="auto"/>
              <w:jc w:val="center"/>
              <w:rPr>
                <w:rFonts w:ascii="宋体" w:hAnsi="宋体" w:cs="宋体"/>
                <w:color w:val="auto"/>
                <w:szCs w:val="21"/>
              </w:rPr>
            </w:pPr>
            <w:r>
              <w:rPr>
                <w:rFonts w:hint="eastAsia" w:ascii="宋体" w:hAnsi="宋体" w:cs="宋体"/>
                <w:color w:val="auto"/>
                <w:szCs w:val="21"/>
              </w:rPr>
              <w:t>综合</w:t>
            </w:r>
          </w:p>
          <w:p>
            <w:pPr>
              <w:widowControl/>
              <w:jc w:val="center"/>
              <w:textAlignment w:val="center"/>
              <w:rPr>
                <w:rFonts w:ascii="宋体" w:hAnsi="宋体" w:cs="宋体"/>
                <w:color w:val="auto"/>
                <w:szCs w:val="21"/>
              </w:rPr>
            </w:pPr>
            <w:r>
              <w:rPr>
                <w:rFonts w:hint="eastAsia" w:ascii="宋体" w:hAnsi="宋体" w:cs="宋体"/>
                <w:color w:val="auto"/>
                <w:szCs w:val="21"/>
              </w:rPr>
              <w:t>能力</w:t>
            </w:r>
          </w:p>
        </w:tc>
        <w:tc>
          <w:tcPr>
            <w:tcW w:w="6141" w:type="dxa"/>
          </w:tcPr>
          <w:p>
            <w:pPr>
              <w:spacing w:line="360" w:lineRule="auto"/>
              <w:ind w:firstLine="420" w:firstLineChars="200"/>
              <w:rPr>
                <w:rFonts w:ascii="宋体" w:hAnsi="宋体" w:cs="宋体"/>
                <w:bCs/>
                <w:color w:val="auto"/>
                <w:szCs w:val="21"/>
              </w:rPr>
            </w:pPr>
            <w:r>
              <w:rPr>
                <w:rFonts w:hint="eastAsia" w:ascii="宋体" w:hAnsi="宋体"/>
                <w:color w:val="auto"/>
                <w:szCs w:val="21"/>
              </w:rPr>
              <w:t>供应商</w:t>
            </w:r>
            <w:r>
              <w:rPr>
                <w:rFonts w:hint="eastAsia" w:ascii="宋体" w:hAnsi="宋体" w:cs="宋体"/>
                <w:bCs/>
                <w:color w:val="auto"/>
                <w:szCs w:val="21"/>
              </w:rPr>
              <w:t>具有有效的</w:t>
            </w:r>
            <w:r>
              <w:rPr>
                <w:rFonts w:hint="eastAsia" w:ascii="宋体" w:hAnsi="宋体" w:cs="宋体"/>
                <w:color w:val="auto"/>
                <w:kern w:val="0"/>
                <w:szCs w:val="21"/>
                <w:lang w:bidi="ar"/>
              </w:rPr>
              <w:t>质量管理体系认证证书、职业健康安全管理体系认证证书、环境管理体系认证证书</w:t>
            </w:r>
            <w:r>
              <w:rPr>
                <w:rFonts w:hint="eastAsia" w:ascii="宋体" w:hAnsi="宋体" w:cs="宋体"/>
                <w:bCs/>
                <w:color w:val="auto"/>
                <w:szCs w:val="21"/>
              </w:rPr>
              <w:t>，每提供一个符合上述要求的证书可得1分，最高可得3分。</w:t>
            </w:r>
          </w:p>
          <w:p>
            <w:pPr>
              <w:autoSpaceDE w:val="0"/>
              <w:autoSpaceDN w:val="0"/>
              <w:spacing w:line="360" w:lineRule="auto"/>
              <w:ind w:firstLine="422" w:firstLineChars="200"/>
              <w:rPr>
                <w:rFonts w:ascii="宋体" w:hAnsi="宋体" w:cs="宋体"/>
                <w:b/>
                <w:color w:val="auto"/>
                <w:szCs w:val="21"/>
              </w:rPr>
            </w:pPr>
            <w:r>
              <w:rPr>
                <w:rFonts w:hint="eastAsia" w:ascii="宋体" w:hAnsi="宋体" w:cs="宋体"/>
                <w:b/>
                <w:bCs/>
                <w:color w:val="auto"/>
                <w:szCs w:val="21"/>
                <w:lang w:bidi="ar"/>
              </w:rPr>
              <w:t>响应文件内须提供证书原件扫描件和相关网站查询截图</w:t>
            </w:r>
            <w:r>
              <w:rPr>
                <w:rFonts w:hint="eastAsia" w:ascii="宋体" w:hAnsi="宋体" w:cs="宋体"/>
                <w:b/>
                <w:bCs/>
                <w:color w:val="auto"/>
                <w:szCs w:val="21"/>
              </w:rPr>
              <w:t>，否则不得分。</w:t>
            </w:r>
          </w:p>
        </w:tc>
        <w:tc>
          <w:tcPr>
            <w:tcW w:w="782" w:type="dxa"/>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615" w:type="dxa"/>
            <w:vMerge w:val="restart"/>
            <w:vAlign w:val="center"/>
          </w:tcPr>
          <w:p>
            <w:pPr>
              <w:jc w:val="center"/>
              <w:rPr>
                <w:rFonts w:ascii="宋体" w:hAnsi="宋体" w:cs="宋体"/>
                <w:color w:val="auto"/>
                <w:szCs w:val="21"/>
              </w:rPr>
            </w:pPr>
            <w:r>
              <w:rPr>
                <w:rFonts w:hint="eastAsia" w:ascii="宋体" w:hAnsi="宋体" w:cs="宋体"/>
                <w:color w:val="auto"/>
                <w:szCs w:val="21"/>
              </w:rPr>
              <w:t>3</w:t>
            </w:r>
          </w:p>
        </w:tc>
        <w:tc>
          <w:tcPr>
            <w:tcW w:w="1620" w:type="dxa"/>
            <w:vMerge w:val="restart"/>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szCs w:val="21"/>
              </w:rPr>
              <w:t>人员配备</w:t>
            </w:r>
          </w:p>
        </w:tc>
        <w:tc>
          <w:tcPr>
            <w:tcW w:w="6141" w:type="dxa"/>
            <w:vAlign w:val="center"/>
          </w:tcPr>
          <w:p>
            <w:pPr>
              <w:numPr>
                <w:ilvl w:val="0"/>
                <w:numId w:val="4"/>
              </w:numPr>
              <w:snapToGrid w:val="0"/>
              <w:spacing w:line="360" w:lineRule="auto"/>
              <w:ind w:firstLine="420" w:firstLineChars="200"/>
              <w:rPr>
                <w:rFonts w:ascii="宋体"/>
                <w:color w:val="auto"/>
              </w:rPr>
            </w:pPr>
            <w:r>
              <w:rPr>
                <w:rFonts w:hint="eastAsia" w:ascii="宋体"/>
                <w:color w:val="auto"/>
              </w:rPr>
              <w:t>本项目拟派项目负责人具有中级职称的得1分，</w:t>
            </w:r>
            <w:r>
              <w:rPr>
                <w:rFonts w:hint="eastAsia" w:ascii="宋体" w:hAnsi="宋体" w:cs="宋体"/>
                <w:bCs/>
                <w:color w:val="auto"/>
                <w:szCs w:val="21"/>
              </w:rPr>
              <w:t>具有安全生产证书</w:t>
            </w:r>
            <w:r>
              <w:rPr>
                <w:rFonts w:hint="eastAsia" w:ascii="宋体"/>
                <w:color w:val="auto"/>
              </w:rPr>
              <w:t>的得1分，最高可得2分。</w:t>
            </w:r>
          </w:p>
          <w:p>
            <w:pPr>
              <w:numPr>
                <w:ilvl w:val="0"/>
                <w:numId w:val="4"/>
              </w:numPr>
              <w:snapToGrid w:val="0"/>
              <w:spacing w:line="360" w:lineRule="auto"/>
              <w:ind w:firstLine="420" w:firstLineChars="200"/>
              <w:rPr>
                <w:rFonts w:ascii="宋体"/>
                <w:color w:val="auto"/>
              </w:rPr>
            </w:pPr>
            <w:r>
              <w:rPr>
                <w:rFonts w:hint="eastAsia" w:ascii="宋体"/>
                <w:color w:val="auto"/>
              </w:rPr>
              <w:t>本项目拟派项目成员（项目经理除外）具有中级及以上职称证书的得1分，</w:t>
            </w:r>
            <w:r>
              <w:rPr>
                <w:rFonts w:hint="eastAsia" w:ascii="宋体" w:hAnsi="宋体" w:cs="宋体"/>
                <w:bCs/>
                <w:color w:val="auto"/>
                <w:szCs w:val="21"/>
              </w:rPr>
              <w:t>具有安全生产证书</w:t>
            </w:r>
            <w:r>
              <w:rPr>
                <w:rFonts w:hint="eastAsia" w:ascii="宋体"/>
                <w:color w:val="auto"/>
              </w:rPr>
              <w:t>的得1分，最高可得2分。</w:t>
            </w:r>
          </w:p>
          <w:p>
            <w:pPr>
              <w:autoSpaceDE w:val="0"/>
              <w:autoSpaceDN w:val="0"/>
              <w:spacing w:line="360" w:lineRule="auto"/>
              <w:ind w:firstLine="422" w:firstLineChars="200"/>
              <w:rPr>
                <w:rFonts w:ascii="宋体"/>
                <w:color w:val="auto"/>
              </w:rPr>
            </w:pPr>
            <w:r>
              <w:rPr>
                <w:rFonts w:hint="eastAsia" w:ascii="宋体" w:hAnsi="宋体" w:cs="宋体"/>
                <w:b/>
                <w:bCs/>
                <w:color w:val="auto"/>
                <w:szCs w:val="21"/>
                <w:lang w:bidi="ar"/>
              </w:rPr>
              <w:t>注：同一人只计一次分且同类证书只计一次分。响应文件内须提供人员相关合同证明材料及相关证书扫描件，否则不得分。</w:t>
            </w:r>
          </w:p>
        </w:tc>
        <w:tc>
          <w:tcPr>
            <w:tcW w:w="782" w:type="dxa"/>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615" w:type="dxa"/>
            <w:vMerge w:val="continue"/>
            <w:vAlign w:val="center"/>
          </w:tcPr>
          <w:p>
            <w:pPr>
              <w:jc w:val="center"/>
              <w:rPr>
                <w:rFonts w:ascii="宋体" w:hAnsi="宋体" w:cs="宋体"/>
                <w:color w:val="auto"/>
                <w:szCs w:val="21"/>
              </w:rPr>
            </w:pPr>
          </w:p>
        </w:tc>
        <w:tc>
          <w:tcPr>
            <w:tcW w:w="1620" w:type="dxa"/>
            <w:vMerge w:val="continue"/>
            <w:vAlign w:val="center"/>
          </w:tcPr>
          <w:p>
            <w:pPr>
              <w:widowControl/>
              <w:spacing w:line="360" w:lineRule="auto"/>
              <w:jc w:val="center"/>
              <w:textAlignment w:val="center"/>
              <w:rPr>
                <w:rFonts w:ascii="宋体" w:hAnsi="宋体" w:cs="宋体"/>
                <w:color w:val="auto"/>
                <w:szCs w:val="21"/>
              </w:rPr>
            </w:pPr>
          </w:p>
        </w:tc>
        <w:tc>
          <w:tcPr>
            <w:tcW w:w="6141" w:type="dxa"/>
            <w:vAlign w:val="center"/>
          </w:tcPr>
          <w:p>
            <w:pPr>
              <w:widowControl/>
              <w:snapToGrid w:val="0"/>
              <w:spacing w:line="360" w:lineRule="auto"/>
              <w:jc w:val="left"/>
              <w:rPr>
                <w:rFonts w:ascii="宋体" w:hAnsi="宋体" w:cs="宋体"/>
                <w:color w:val="auto"/>
                <w:szCs w:val="21"/>
              </w:rPr>
            </w:pPr>
            <w:r>
              <w:rPr>
                <w:rFonts w:hint="eastAsia" w:ascii="宋体" w:hAnsi="宋体" w:cs="宋体"/>
                <w:bCs/>
                <w:color w:val="auto"/>
                <w:szCs w:val="21"/>
              </w:rPr>
              <w:t>根据</w:t>
            </w:r>
            <w:r>
              <w:rPr>
                <w:rFonts w:hint="eastAsia" w:ascii="宋体" w:hAnsi="宋体"/>
                <w:color w:val="auto"/>
                <w:szCs w:val="21"/>
              </w:rPr>
              <w:t>供应商</w:t>
            </w:r>
            <w:r>
              <w:rPr>
                <w:rFonts w:hint="eastAsia" w:ascii="宋体" w:hAnsi="宋体" w:cs="宋体"/>
                <w:bCs/>
                <w:color w:val="auto"/>
                <w:szCs w:val="21"/>
              </w:rPr>
              <w:t>提供的团队方案，对</w:t>
            </w:r>
            <w:r>
              <w:rPr>
                <w:rFonts w:hint="eastAsia" w:ascii="宋体" w:hAnsi="宋体" w:cs="宋体"/>
                <w:color w:val="auto"/>
                <w:szCs w:val="21"/>
              </w:rPr>
              <w:t>人员结构、服务分工、人员资质、项目经验</w:t>
            </w:r>
            <w:r>
              <w:rPr>
                <w:rFonts w:hint="eastAsia" w:ascii="宋体" w:hAnsi="宋体" w:cs="宋体"/>
                <w:bCs/>
                <w:color w:val="auto"/>
                <w:szCs w:val="21"/>
              </w:rPr>
              <w:t>等是否具有明确性、合理性，是否满足采购需求等情况进行评审</w:t>
            </w:r>
            <w:r>
              <w:rPr>
                <w:rFonts w:hint="eastAsia" w:ascii="宋体" w:hAnsi="宋体" w:cs="宋体"/>
                <w:color w:val="auto"/>
                <w:szCs w:val="21"/>
              </w:rPr>
              <w:t>。</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①以上内容不存在瑕疵的得4分；</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②以上内容存在1处或2处瑕疵的得3.5分；</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③以上内容存在3处或4处瑕疵的得3分；</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④以上内容存在5处或6处瑕疵的得2分；</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⑤以上内容存在7处及以上瑕疵的得1分；</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⑥未提供或提供内容完全不满足项目采购需求要求的不得分。</w:t>
            </w:r>
          </w:p>
          <w:p>
            <w:pPr>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782" w:type="dxa"/>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5" w:type="dxa"/>
            <w:vAlign w:val="center"/>
          </w:tcPr>
          <w:p>
            <w:pPr>
              <w:jc w:val="center"/>
              <w:rPr>
                <w:rFonts w:ascii="宋体" w:hAnsi="宋体" w:cs="宋体"/>
                <w:color w:val="auto"/>
                <w:szCs w:val="21"/>
              </w:rPr>
            </w:pPr>
            <w:r>
              <w:rPr>
                <w:rFonts w:hint="eastAsia" w:ascii="宋体" w:hAnsi="宋体" w:cs="宋体"/>
                <w:color w:val="auto"/>
                <w:szCs w:val="21"/>
              </w:rPr>
              <w:t>4</w:t>
            </w:r>
          </w:p>
        </w:tc>
        <w:tc>
          <w:tcPr>
            <w:tcW w:w="1620" w:type="dxa"/>
            <w:vAlign w:val="center"/>
          </w:tcPr>
          <w:p>
            <w:pPr>
              <w:jc w:val="center"/>
              <w:rPr>
                <w:rFonts w:ascii="宋体" w:hAnsi="宋体" w:cs="宋体"/>
                <w:color w:val="auto"/>
                <w:szCs w:val="21"/>
              </w:rPr>
            </w:pPr>
            <w:r>
              <w:rPr>
                <w:rFonts w:hint="eastAsia" w:ascii="宋体" w:hAnsi="宋体" w:cs="宋体"/>
                <w:color w:val="auto"/>
                <w:szCs w:val="21"/>
              </w:rPr>
              <w:t>项目实施</w:t>
            </w:r>
          </w:p>
          <w:p>
            <w:pPr>
              <w:jc w:val="center"/>
              <w:rPr>
                <w:rFonts w:ascii="宋体" w:hAnsi="宋体" w:cs="宋体"/>
                <w:color w:val="auto"/>
                <w:szCs w:val="21"/>
              </w:rPr>
            </w:pPr>
            <w:r>
              <w:rPr>
                <w:rFonts w:hint="eastAsia" w:ascii="宋体" w:hAnsi="宋体" w:cs="宋体"/>
                <w:color w:val="auto"/>
                <w:szCs w:val="21"/>
              </w:rPr>
              <w:t>方案</w:t>
            </w:r>
          </w:p>
        </w:tc>
        <w:tc>
          <w:tcPr>
            <w:tcW w:w="6141" w:type="dxa"/>
            <w:vAlign w:val="center"/>
          </w:tcPr>
          <w:p>
            <w:pPr>
              <w:widowControl/>
              <w:snapToGrid w:val="0"/>
              <w:spacing w:line="360" w:lineRule="auto"/>
              <w:jc w:val="left"/>
              <w:rPr>
                <w:rFonts w:ascii="宋体" w:hAnsi="宋体" w:cs="宋体"/>
                <w:color w:val="auto"/>
                <w:szCs w:val="21"/>
              </w:rPr>
            </w:pPr>
            <w:r>
              <w:rPr>
                <w:rFonts w:hint="eastAsia" w:ascii="宋体" w:hAnsi="宋体" w:cs="宋体"/>
                <w:color w:val="auto"/>
                <w:kern w:val="0"/>
                <w:szCs w:val="21"/>
              </w:rPr>
              <w:t>根据</w:t>
            </w:r>
            <w:r>
              <w:rPr>
                <w:rFonts w:hint="eastAsia" w:ascii="宋体" w:hAnsi="宋体"/>
                <w:color w:val="auto"/>
                <w:szCs w:val="21"/>
              </w:rPr>
              <w:t>供应商</w:t>
            </w:r>
            <w:r>
              <w:rPr>
                <w:rFonts w:hint="eastAsia" w:ascii="宋体" w:hAnsi="宋体" w:cs="宋体"/>
                <w:color w:val="auto"/>
                <w:kern w:val="0"/>
                <w:szCs w:val="21"/>
              </w:rPr>
              <w:t>提供的项目实施方案内容（包括但不限于建筑固废分类、制砂设备(生产线）布置方案、投资计划方案、机械设备投入情况等）的全面科学完整性、合理性、系统性</w:t>
            </w:r>
            <w:r>
              <w:rPr>
                <w:rFonts w:hint="eastAsia" w:ascii="宋体" w:hAnsi="宋体" w:cs="宋体"/>
                <w:color w:val="auto"/>
                <w:szCs w:val="21"/>
              </w:rPr>
              <w:t>进行评审。</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①以上内容不存在瑕疵的得5分；</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②以上内容存在1处或2处瑕疵的得4分；</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③以上内容存在3处或4处瑕疵的得3分；</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④以上内容存在5处或6处瑕疵的2分；</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⑤以上内容存在7处及以上瑕疵的得1分；</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⑥未提供或提供内容完全不满足项目采购需求要求的不得分。</w:t>
            </w:r>
          </w:p>
          <w:p>
            <w:pPr>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782" w:type="dxa"/>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615" w:type="dxa"/>
            <w:vMerge w:val="restart"/>
            <w:vAlign w:val="center"/>
          </w:tcPr>
          <w:p>
            <w:pPr>
              <w:jc w:val="center"/>
              <w:rPr>
                <w:rFonts w:ascii="宋体" w:hAnsi="宋体" w:cs="宋体"/>
                <w:color w:val="auto"/>
                <w:szCs w:val="21"/>
              </w:rPr>
            </w:pPr>
            <w:r>
              <w:rPr>
                <w:rFonts w:hint="eastAsia" w:ascii="宋体" w:hAnsi="宋体" w:cs="宋体"/>
                <w:color w:val="auto"/>
                <w:szCs w:val="21"/>
              </w:rPr>
              <w:t>5</w:t>
            </w:r>
          </w:p>
        </w:tc>
        <w:tc>
          <w:tcPr>
            <w:tcW w:w="1620" w:type="dxa"/>
            <w:vMerge w:val="restart"/>
            <w:vAlign w:val="center"/>
          </w:tcPr>
          <w:p>
            <w:pPr>
              <w:jc w:val="center"/>
              <w:rPr>
                <w:rFonts w:ascii="宋体" w:hAnsi="宋体" w:cs="宋体"/>
                <w:bCs/>
                <w:color w:val="auto"/>
                <w:szCs w:val="21"/>
              </w:rPr>
            </w:pPr>
            <w:r>
              <w:rPr>
                <w:rFonts w:hint="eastAsia" w:ascii="宋体" w:hAnsi="宋体" w:cs="宋体"/>
                <w:color w:val="auto"/>
                <w:szCs w:val="21"/>
              </w:rPr>
              <w:t>重难点分析及解决措施</w:t>
            </w:r>
          </w:p>
        </w:tc>
        <w:tc>
          <w:tcPr>
            <w:tcW w:w="6141" w:type="dxa"/>
            <w:vAlign w:val="center"/>
          </w:tcPr>
          <w:p>
            <w:pPr>
              <w:widowControl/>
              <w:snapToGrid w:val="0"/>
              <w:spacing w:line="360" w:lineRule="auto"/>
              <w:jc w:val="left"/>
              <w:rPr>
                <w:rFonts w:ascii="宋体" w:hAnsi="宋体" w:cs="宋体"/>
                <w:color w:val="auto"/>
                <w:kern w:val="0"/>
                <w:szCs w:val="21"/>
                <w:lang w:bidi="ar"/>
              </w:rPr>
            </w:pPr>
            <w:r>
              <w:rPr>
                <w:rFonts w:hint="eastAsia" w:ascii="宋体" w:hAnsi="宋体" w:cs="宋体"/>
                <w:bCs/>
                <w:color w:val="auto"/>
                <w:szCs w:val="21"/>
              </w:rPr>
              <w:t>根据</w:t>
            </w:r>
            <w:r>
              <w:rPr>
                <w:rFonts w:hint="eastAsia" w:ascii="宋体" w:hAnsi="宋体"/>
                <w:color w:val="auto"/>
                <w:szCs w:val="21"/>
              </w:rPr>
              <w:t>供应商</w:t>
            </w:r>
            <w:r>
              <w:rPr>
                <w:rFonts w:hint="eastAsia" w:ascii="宋体" w:hAnsi="宋体" w:cs="宋体"/>
                <w:bCs/>
                <w:color w:val="auto"/>
                <w:szCs w:val="21"/>
              </w:rPr>
              <w:t>对本项目的重点、难点把握是否明确、清晰明了进行评审。</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①以上内容不存在瑕疵的得5分；</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②以上内容存在1处或2处瑕疵的得4分；</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③以上内容存在3处或4处瑕疵的得3分；</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④以上内容存在5处或6处瑕疵的得2分；</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⑤以上内容存在7处及以上瑕疵的得1分；</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⑥未提供或提供内容完全不满足项目采购需求要求的不得分。</w:t>
            </w:r>
          </w:p>
          <w:p>
            <w:pPr>
              <w:widowControl/>
              <w:snapToGrid w:val="0"/>
              <w:spacing w:line="360" w:lineRule="auto"/>
              <w:jc w:val="left"/>
              <w:rPr>
                <w:rFonts w:ascii="宋体" w:hAnsi="宋体" w:cs="宋体"/>
                <w:color w:val="auto"/>
                <w:kern w:val="0"/>
                <w:szCs w:val="21"/>
              </w:rPr>
            </w:pPr>
            <w:r>
              <w:rPr>
                <w:rFonts w:hint="eastAsia" w:ascii="宋体" w:hAnsi="宋体" w:cs="宋体"/>
                <w:bCs/>
                <w:color w:val="auto"/>
                <w:szCs w:val="21"/>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782" w:type="dxa"/>
            <w:vAlign w:val="center"/>
          </w:tcPr>
          <w:p>
            <w:pPr>
              <w:widowControl/>
              <w:spacing w:line="360" w:lineRule="auto"/>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615" w:type="dxa"/>
            <w:vMerge w:val="continue"/>
            <w:vAlign w:val="center"/>
          </w:tcPr>
          <w:p>
            <w:pPr>
              <w:spacing w:line="360" w:lineRule="auto"/>
              <w:ind w:firstLine="420" w:firstLineChars="200"/>
              <w:rPr>
                <w:color w:val="auto"/>
              </w:rPr>
            </w:pPr>
          </w:p>
        </w:tc>
        <w:tc>
          <w:tcPr>
            <w:tcW w:w="1620" w:type="dxa"/>
            <w:vMerge w:val="continue"/>
            <w:vAlign w:val="center"/>
          </w:tcPr>
          <w:p>
            <w:pPr>
              <w:spacing w:line="360" w:lineRule="auto"/>
              <w:ind w:firstLine="420" w:firstLineChars="200"/>
              <w:rPr>
                <w:color w:val="auto"/>
              </w:rPr>
            </w:pPr>
          </w:p>
        </w:tc>
        <w:tc>
          <w:tcPr>
            <w:tcW w:w="6141" w:type="dxa"/>
            <w:vAlign w:val="center"/>
          </w:tcPr>
          <w:p>
            <w:pPr>
              <w:widowControl/>
              <w:snapToGrid w:val="0"/>
              <w:spacing w:line="360" w:lineRule="auto"/>
              <w:jc w:val="left"/>
              <w:rPr>
                <w:rFonts w:ascii="宋体" w:hAnsi="宋体" w:cs="宋体"/>
                <w:color w:val="auto"/>
                <w:szCs w:val="21"/>
              </w:rPr>
            </w:pPr>
            <w:r>
              <w:rPr>
                <w:rFonts w:hint="eastAsia" w:ascii="宋体" w:hAnsi="宋体" w:cs="宋体"/>
                <w:bCs/>
                <w:color w:val="auto"/>
                <w:szCs w:val="21"/>
              </w:rPr>
              <w:t>根据供应商针对提出的重难点提出的解决措施是否完整有效，内容是否切实可行，具有针对性</w:t>
            </w:r>
            <w:r>
              <w:rPr>
                <w:rFonts w:hint="eastAsia" w:ascii="宋体" w:hAnsi="宋体" w:cs="宋体"/>
                <w:color w:val="auto"/>
                <w:szCs w:val="21"/>
              </w:rPr>
              <w:t>进行评审。</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①以上内容不存在瑕疵的得4分；</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②以上内容存在1处或2处瑕疵的得3分；</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③以上内容存在3处或4处瑕疵的得2分；</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④以上内容存在5处或6处瑕疵的得1分；</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⑤以上内容存在7处及以上瑕疵的得0.5分；</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⑥未提供或提供内容完全不满足项目采购需求要求的不得分。</w:t>
            </w:r>
          </w:p>
          <w:p>
            <w:pPr>
              <w:spacing w:line="360" w:lineRule="auto"/>
              <w:ind w:firstLine="420" w:firstLineChars="200"/>
              <w:rPr>
                <w:rFonts w:ascii="宋体" w:hAnsi="宋体" w:cs="宋体"/>
                <w:bCs/>
                <w:color w:val="auto"/>
                <w:szCs w:val="21"/>
              </w:rPr>
            </w:pPr>
            <w:r>
              <w:rPr>
                <w:rFonts w:hint="eastAsia" w:ascii="宋体" w:hAnsi="宋体" w:cs="宋体"/>
                <w:bCs/>
                <w:color w:val="auto"/>
                <w:szCs w:val="21"/>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782" w:type="dxa"/>
            <w:vAlign w:val="center"/>
          </w:tcPr>
          <w:p>
            <w:pPr>
              <w:spacing w:line="360" w:lineRule="auto"/>
              <w:jc w:val="center"/>
              <w:rPr>
                <w:rFonts w:ascii="宋体" w:hAnsi="宋体" w:cs="宋体"/>
                <w:bCs/>
                <w:color w:val="auto"/>
                <w:szCs w:val="21"/>
              </w:rPr>
            </w:pPr>
            <w:r>
              <w:rPr>
                <w:rFonts w:hint="eastAsia" w:ascii="宋体" w:hAnsi="宋体" w:cs="宋体"/>
                <w:bCs/>
                <w:color w:val="auto"/>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15" w:type="dxa"/>
            <w:vAlign w:val="center"/>
          </w:tcPr>
          <w:p>
            <w:pPr>
              <w:jc w:val="center"/>
              <w:rPr>
                <w:rFonts w:ascii="宋体" w:hAnsi="宋体" w:cs="宋体"/>
                <w:color w:val="auto"/>
                <w:szCs w:val="21"/>
              </w:rPr>
            </w:pPr>
            <w:r>
              <w:rPr>
                <w:rFonts w:hint="eastAsia" w:ascii="宋体" w:hAnsi="宋体" w:cs="宋体"/>
                <w:color w:val="auto"/>
                <w:szCs w:val="21"/>
              </w:rPr>
              <w:t>6</w:t>
            </w:r>
          </w:p>
        </w:tc>
        <w:tc>
          <w:tcPr>
            <w:tcW w:w="1620" w:type="dxa"/>
            <w:vAlign w:val="center"/>
          </w:tcPr>
          <w:p>
            <w:pPr>
              <w:widowControl/>
              <w:spacing w:line="360" w:lineRule="auto"/>
              <w:jc w:val="center"/>
              <w:textAlignment w:val="center"/>
              <w:rPr>
                <w:rFonts w:ascii="宋体" w:hAnsi="宋体" w:cs="宋体"/>
                <w:bCs/>
                <w:color w:val="auto"/>
                <w:szCs w:val="21"/>
              </w:rPr>
            </w:pPr>
            <w:r>
              <w:rPr>
                <w:rFonts w:hint="eastAsia" w:ascii="宋体" w:hAnsi="宋体" w:cs="宋体"/>
                <w:bCs/>
                <w:color w:val="auto"/>
                <w:szCs w:val="21"/>
              </w:rPr>
              <w:t>日常生产方案</w:t>
            </w:r>
          </w:p>
        </w:tc>
        <w:tc>
          <w:tcPr>
            <w:tcW w:w="6141" w:type="dxa"/>
            <w:vAlign w:val="center"/>
          </w:tcPr>
          <w:p>
            <w:pPr>
              <w:widowControl/>
              <w:snapToGrid w:val="0"/>
              <w:spacing w:line="360" w:lineRule="auto"/>
              <w:jc w:val="left"/>
              <w:rPr>
                <w:rFonts w:ascii="宋体" w:hAnsi="宋体" w:cs="宋体"/>
                <w:color w:val="auto"/>
                <w:szCs w:val="21"/>
              </w:rPr>
            </w:pPr>
            <w:r>
              <w:rPr>
                <w:rFonts w:hint="eastAsia" w:ascii="宋体" w:hAnsi="宋体" w:cs="宋体"/>
                <w:color w:val="auto"/>
                <w:kern w:val="0"/>
                <w:szCs w:val="21"/>
              </w:rPr>
              <w:t>根据</w:t>
            </w:r>
            <w:r>
              <w:rPr>
                <w:rFonts w:hint="eastAsia" w:ascii="宋体" w:hAnsi="宋体"/>
                <w:color w:val="auto"/>
                <w:szCs w:val="21"/>
              </w:rPr>
              <w:t>供应商</w:t>
            </w:r>
            <w:r>
              <w:rPr>
                <w:rFonts w:hint="eastAsia" w:ascii="宋体" w:hAnsi="宋体" w:cs="宋体"/>
                <w:color w:val="auto"/>
                <w:kern w:val="0"/>
                <w:szCs w:val="21"/>
              </w:rPr>
              <w:t>提供的日常生产运营管理方案、操作规程、措施和制度，由评委</w:t>
            </w:r>
            <w:r>
              <w:rPr>
                <w:rFonts w:hint="eastAsia" w:ascii="宋体" w:hAnsi="宋体" w:cs="宋体"/>
                <w:color w:val="auto"/>
                <w:szCs w:val="21"/>
              </w:rPr>
              <w:t>进行评审。</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①以上内容不存在瑕疵的得4分；</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②以上内容存在1处或2处瑕疵的得3分；</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③以上内容存在3处或4处瑕疵的得2分；</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④以上内容存在5处或6处瑕疵的得1分；</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⑤以上内容存在7处及以上瑕疵的得0.5分：</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⑥未提供或提供内容完全不满足项目采购需求要求的不得分。</w:t>
            </w:r>
          </w:p>
          <w:p>
            <w:pPr>
              <w:snapToGrid w:val="0"/>
              <w:spacing w:line="360" w:lineRule="auto"/>
              <w:ind w:firstLine="420" w:firstLineChars="200"/>
              <w:rPr>
                <w:rFonts w:ascii="宋体" w:hAnsi="宋体" w:cs="宋体"/>
                <w:b/>
                <w:color w:val="auto"/>
                <w:szCs w:val="21"/>
              </w:rPr>
            </w:pPr>
            <w:r>
              <w:rPr>
                <w:rFonts w:hint="eastAsia" w:ascii="宋体" w:hAnsi="宋体" w:cs="宋体"/>
                <w:bCs/>
                <w:color w:val="auto"/>
                <w:szCs w:val="21"/>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782" w:type="dxa"/>
            <w:vAlign w:val="center"/>
          </w:tcPr>
          <w:p>
            <w:pPr>
              <w:widowControl/>
              <w:spacing w:line="360" w:lineRule="auto"/>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15" w:type="dxa"/>
            <w:vAlign w:val="center"/>
          </w:tcPr>
          <w:p>
            <w:pPr>
              <w:jc w:val="center"/>
              <w:rPr>
                <w:rFonts w:ascii="宋体" w:hAnsi="宋体" w:cs="宋体"/>
                <w:color w:val="auto"/>
                <w:szCs w:val="21"/>
              </w:rPr>
            </w:pPr>
            <w:r>
              <w:rPr>
                <w:rFonts w:hint="eastAsia" w:ascii="宋体" w:hAnsi="宋体" w:cs="宋体"/>
                <w:color w:val="auto"/>
                <w:szCs w:val="21"/>
              </w:rPr>
              <w:t>7</w:t>
            </w:r>
          </w:p>
        </w:tc>
        <w:tc>
          <w:tcPr>
            <w:tcW w:w="1620" w:type="dxa"/>
            <w:vAlign w:val="center"/>
          </w:tcPr>
          <w:p>
            <w:pPr>
              <w:widowControl/>
              <w:snapToGrid w:val="0"/>
              <w:spacing w:line="360" w:lineRule="auto"/>
              <w:jc w:val="center"/>
              <w:textAlignment w:val="center"/>
              <w:rPr>
                <w:rFonts w:ascii="宋体" w:hAnsi="宋体" w:cs="宋体"/>
                <w:color w:val="auto"/>
                <w:szCs w:val="21"/>
              </w:rPr>
            </w:pPr>
            <w:r>
              <w:rPr>
                <w:rFonts w:ascii="宋体" w:hAnsi="宋体" w:cs="宋体"/>
                <w:color w:val="auto"/>
                <w:szCs w:val="21"/>
              </w:rPr>
              <w:t>日常维护方案</w:t>
            </w:r>
          </w:p>
        </w:tc>
        <w:tc>
          <w:tcPr>
            <w:tcW w:w="6141" w:type="dxa"/>
            <w:vAlign w:val="center"/>
          </w:tcPr>
          <w:p>
            <w:pPr>
              <w:widowControl/>
              <w:snapToGrid w:val="0"/>
              <w:spacing w:line="360" w:lineRule="auto"/>
              <w:jc w:val="left"/>
              <w:rPr>
                <w:rFonts w:ascii="宋体" w:hAnsi="宋体" w:cs="宋体"/>
                <w:color w:val="auto"/>
                <w:szCs w:val="21"/>
              </w:rPr>
            </w:pPr>
            <w:r>
              <w:rPr>
                <w:rFonts w:hint="eastAsia" w:ascii="宋体" w:hAnsi="宋体" w:cs="宋体"/>
                <w:color w:val="auto"/>
                <w:szCs w:val="21"/>
              </w:rPr>
              <w:t>根据</w:t>
            </w:r>
            <w:r>
              <w:rPr>
                <w:rFonts w:hint="eastAsia" w:ascii="宋体" w:hAnsi="宋体"/>
                <w:color w:val="auto"/>
                <w:szCs w:val="21"/>
              </w:rPr>
              <w:t>供应商</w:t>
            </w:r>
            <w:r>
              <w:rPr>
                <w:rFonts w:hint="eastAsia" w:ascii="宋体" w:hAnsi="宋体" w:cs="宋体"/>
                <w:color w:val="auto"/>
                <w:kern w:val="0"/>
                <w:szCs w:val="21"/>
              </w:rPr>
              <w:t>提供的</w:t>
            </w:r>
            <w:r>
              <w:rPr>
                <w:rFonts w:hint="eastAsia" w:ascii="宋体" w:hAnsi="宋体" w:cs="宋体"/>
                <w:color w:val="auto"/>
                <w:szCs w:val="21"/>
              </w:rPr>
              <w:t>日常设备检修、维护规程、应急抢修措施等进行评审。</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①以上内容不存在瑕疵的得4分；</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②以上内容存在1处或2处瑕疵的得3分；</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③以上内容存在3处或4处瑕疵的得2分；</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④以上内容存在5处或6处瑕疵的得1分；</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⑤以上内容存在7处及以上瑕疵的得0.5分；</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⑥未提供或提供内容完全不满足项目采购需求要求的不得分。</w:t>
            </w:r>
          </w:p>
          <w:p>
            <w:pPr>
              <w:widowControl/>
              <w:spacing w:line="360" w:lineRule="auto"/>
              <w:ind w:firstLine="420" w:firstLineChars="200"/>
              <w:jc w:val="left"/>
              <w:textAlignment w:val="center"/>
              <w:rPr>
                <w:rFonts w:ascii="宋体" w:hAnsi="宋体" w:cs="宋体"/>
                <w:color w:val="auto"/>
                <w:kern w:val="0"/>
                <w:szCs w:val="21"/>
              </w:rPr>
            </w:pPr>
            <w:r>
              <w:rPr>
                <w:rFonts w:hint="eastAsia" w:ascii="宋体" w:hAnsi="宋体" w:cs="宋体"/>
                <w:bCs/>
                <w:color w:val="auto"/>
                <w:szCs w:val="21"/>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782" w:type="dxa"/>
            <w:vAlign w:val="center"/>
          </w:tcPr>
          <w:p>
            <w:pPr>
              <w:widowControl/>
              <w:spacing w:line="360" w:lineRule="auto"/>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15" w:type="dxa"/>
            <w:vAlign w:val="center"/>
          </w:tcPr>
          <w:p>
            <w:pPr>
              <w:jc w:val="center"/>
              <w:rPr>
                <w:rFonts w:ascii="宋体" w:hAnsi="宋体" w:cs="宋体"/>
                <w:bCs/>
                <w:color w:val="auto"/>
                <w:szCs w:val="21"/>
              </w:rPr>
            </w:pPr>
            <w:r>
              <w:rPr>
                <w:rFonts w:hint="eastAsia" w:ascii="宋体" w:hAnsi="宋体" w:cs="宋体"/>
                <w:bCs/>
                <w:color w:val="auto"/>
                <w:szCs w:val="21"/>
              </w:rPr>
              <w:t>8</w:t>
            </w:r>
          </w:p>
        </w:tc>
        <w:tc>
          <w:tcPr>
            <w:tcW w:w="1620" w:type="dxa"/>
            <w:vAlign w:val="center"/>
          </w:tcPr>
          <w:p>
            <w:pPr>
              <w:jc w:val="center"/>
              <w:rPr>
                <w:rFonts w:ascii="宋体" w:hAnsi="宋体" w:cs="宋体"/>
                <w:bCs/>
                <w:color w:val="auto"/>
                <w:szCs w:val="21"/>
              </w:rPr>
            </w:pPr>
            <w:r>
              <w:rPr>
                <w:rFonts w:hint="eastAsia" w:ascii="宋体" w:hAnsi="宋体" w:cs="宋体"/>
                <w:bCs/>
                <w:color w:val="auto"/>
                <w:szCs w:val="21"/>
              </w:rPr>
              <w:t>易损件配备</w:t>
            </w:r>
          </w:p>
        </w:tc>
        <w:tc>
          <w:tcPr>
            <w:tcW w:w="6141" w:type="dxa"/>
            <w:vAlign w:val="center"/>
          </w:tcPr>
          <w:p>
            <w:pPr>
              <w:widowControl/>
              <w:snapToGrid w:val="0"/>
              <w:spacing w:line="360" w:lineRule="auto"/>
              <w:jc w:val="left"/>
              <w:rPr>
                <w:rFonts w:ascii="宋体" w:hAnsi="宋体" w:cs="宋体"/>
                <w:color w:val="auto"/>
                <w:szCs w:val="21"/>
              </w:rPr>
            </w:pPr>
            <w:r>
              <w:rPr>
                <w:rFonts w:hint="eastAsia" w:ascii="宋体" w:hAnsi="宋体" w:cs="宋体"/>
                <w:color w:val="auto"/>
                <w:kern w:val="0"/>
                <w:szCs w:val="21"/>
              </w:rPr>
              <w:t>根据</w:t>
            </w:r>
            <w:r>
              <w:rPr>
                <w:rFonts w:hint="eastAsia" w:ascii="宋体" w:hAnsi="宋体"/>
                <w:color w:val="auto"/>
                <w:szCs w:val="21"/>
              </w:rPr>
              <w:t>供应商</w:t>
            </w:r>
            <w:r>
              <w:rPr>
                <w:rFonts w:hint="eastAsia" w:ascii="宋体" w:hAnsi="宋体" w:cs="宋体"/>
                <w:color w:val="auto"/>
                <w:kern w:val="0"/>
                <w:szCs w:val="21"/>
              </w:rPr>
              <w:t>拟投入本项目所需的易损件等备品备件种类</w:t>
            </w:r>
            <w:r>
              <w:rPr>
                <w:rFonts w:hint="eastAsia" w:ascii="宋体" w:hAnsi="宋体" w:cs="宋体"/>
                <w:color w:val="auto"/>
                <w:szCs w:val="21"/>
              </w:rPr>
              <w:t>进行评审。</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①以上内容不存在瑕疵的得4分；</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②以上内容存在1处或2处瑕疵的得3分；</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③以上内容存在3处或4处瑕疵的得2分；</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④以上内容存在5处或6处瑕疵的得1分；</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⑤以上内容存在7处及以上瑕疵的得0.5分；</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⑥未提供或提供内容完全不满足项目采购需求要求的不得分。</w:t>
            </w:r>
          </w:p>
          <w:p>
            <w:pPr>
              <w:widowControl/>
              <w:snapToGrid w:val="0"/>
              <w:spacing w:line="360" w:lineRule="exact"/>
              <w:ind w:right="145" w:rightChars="69" w:firstLine="420" w:firstLineChars="200"/>
              <w:rPr>
                <w:rFonts w:ascii="宋体" w:hAnsi="宋体" w:cs="宋体"/>
                <w:bCs/>
                <w:color w:val="auto"/>
                <w:szCs w:val="21"/>
              </w:rPr>
            </w:pPr>
            <w:r>
              <w:rPr>
                <w:rFonts w:hint="eastAsia" w:ascii="宋体" w:hAnsi="宋体" w:cs="宋体"/>
                <w:bCs/>
                <w:color w:val="auto"/>
                <w:szCs w:val="21"/>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782" w:type="dxa"/>
            <w:vAlign w:val="center"/>
          </w:tcPr>
          <w:p>
            <w:pPr>
              <w:adjustRightInd w:val="0"/>
              <w:snapToGrid w:val="0"/>
              <w:spacing w:line="360" w:lineRule="exact"/>
              <w:jc w:val="center"/>
              <w:rPr>
                <w:rFonts w:ascii="宋体" w:hAnsi="宋体" w:cs="宋体"/>
                <w:color w:val="auto"/>
                <w:szCs w:val="21"/>
              </w:rPr>
            </w:pPr>
            <w:r>
              <w:rPr>
                <w:rFonts w:hint="eastAsia" w:ascii="宋体" w:hAnsi="宋体" w:cs="宋体"/>
                <w:color w:val="auto"/>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15" w:type="dxa"/>
            <w:vAlign w:val="center"/>
          </w:tcPr>
          <w:p>
            <w:pPr>
              <w:jc w:val="center"/>
              <w:rPr>
                <w:rFonts w:ascii="宋体" w:hAnsi="宋体" w:cs="宋体"/>
                <w:color w:val="auto"/>
                <w:szCs w:val="21"/>
              </w:rPr>
            </w:pPr>
            <w:r>
              <w:rPr>
                <w:rFonts w:hint="eastAsia" w:ascii="宋体" w:hAnsi="宋体" w:cs="宋体"/>
                <w:color w:val="auto"/>
                <w:szCs w:val="21"/>
              </w:rPr>
              <w:t>9</w:t>
            </w:r>
          </w:p>
        </w:tc>
        <w:tc>
          <w:tcPr>
            <w:tcW w:w="1620" w:type="dxa"/>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szCs w:val="21"/>
              </w:rPr>
              <w:t>内部管理措施及考核制度</w:t>
            </w:r>
          </w:p>
        </w:tc>
        <w:tc>
          <w:tcPr>
            <w:tcW w:w="6141" w:type="dxa"/>
            <w:vAlign w:val="center"/>
          </w:tcPr>
          <w:p>
            <w:pPr>
              <w:widowControl/>
              <w:snapToGrid w:val="0"/>
              <w:spacing w:line="360" w:lineRule="auto"/>
              <w:jc w:val="left"/>
              <w:rPr>
                <w:rFonts w:ascii="宋体" w:hAnsi="宋体" w:cs="宋体"/>
                <w:color w:val="auto"/>
                <w:szCs w:val="21"/>
              </w:rPr>
            </w:pPr>
            <w:r>
              <w:rPr>
                <w:rFonts w:hint="eastAsia" w:ascii="宋体" w:hAnsi="宋体" w:cs="宋体"/>
                <w:bCs/>
                <w:color w:val="auto"/>
                <w:szCs w:val="21"/>
              </w:rPr>
              <w:t>根据</w:t>
            </w:r>
            <w:r>
              <w:rPr>
                <w:rFonts w:hint="eastAsia" w:ascii="宋体" w:hAnsi="宋体"/>
                <w:color w:val="auto"/>
                <w:szCs w:val="21"/>
              </w:rPr>
              <w:t>供应商</w:t>
            </w:r>
            <w:r>
              <w:rPr>
                <w:rFonts w:hint="eastAsia" w:ascii="宋体" w:hAnsi="宋体" w:cs="宋体"/>
                <w:bCs/>
                <w:color w:val="auto"/>
                <w:szCs w:val="21"/>
              </w:rPr>
              <w:t>提供针对本项目制定的内部管理措施及考核制度</w:t>
            </w:r>
            <w:r>
              <w:rPr>
                <w:rFonts w:hint="eastAsia" w:ascii="宋体" w:hAnsi="宋体" w:cs="宋体"/>
                <w:color w:val="auto"/>
                <w:szCs w:val="21"/>
              </w:rPr>
              <w:t>进行评审。</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①以上内容不存在瑕疵的得4分；</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②以上内容存在1处或2处瑕疵的得3分；</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③以上内容存在3处或4处瑕疵的得2分；</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④以上内容存在5处或6处瑕疵的得1分；</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⑤以上内容存在7处及以上瑕疵的得0.5分；</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⑥未提供或提供内容完全不满足项目采购需求要求的不得分。</w:t>
            </w:r>
          </w:p>
          <w:p>
            <w:pPr>
              <w:widowControl/>
              <w:spacing w:line="360" w:lineRule="auto"/>
              <w:ind w:firstLine="420" w:firstLineChars="200"/>
              <w:textAlignment w:val="center"/>
              <w:rPr>
                <w:rFonts w:ascii="宋体" w:hAnsi="宋体" w:cs="宋体"/>
                <w:color w:val="auto"/>
                <w:kern w:val="0"/>
                <w:szCs w:val="21"/>
              </w:rPr>
            </w:pPr>
            <w:r>
              <w:rPr>
                <w:rFonts w:hint="eastAsia" w:ascii="宋体" w:hAnsi="宋体" w:cs="宋体"/>
                <w:bCs/>
                <w:color w:val="auto"/>
                <w:szCs w:val="21"/>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782" w:type="dxa"/>
            <w:vAlign w:val="center"/>
          </w:tcPr>
          <w:p>
            <w:pPr>
              <w:widowControl/>
              <w:spacing w:line="360" w:lineRule="auto"/>
              <w:ind w:firstLine="210" w:firstLineChars="100"/>
              <w:textAlignment w:val="center"/>
              <w:rPr>
                <w:rFonts w:ascii="宋体" w:hAnsi="宋体" w:cs="宋体"/>
                <w:color w:val="auto"/>
                <w:kern w:val="0"/>
                <w:szCs w:val="21"/>
                <w:lang w:bidi="ar"/>
              </w:rPr>
            </w:pPr>
            <w:r>
              <w:rPr>
                <w:rFonts w:hint="eastAsia" w:ascii="宋体" w:hAnsi="宋体" w:cs="宋体"/>
                <w:color w:val="auto"/>
                <w:kern w:val="0"/>
                <w:szCs w:val="21"/>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15" w:type="dxa"/>
            <w:vAlign w:val="center"/>
          </w:tcPr>
          <w:p>
            <w:pPr>
              <w:jc w:val="center"/>
              <w:rPr>
                <w:rFonts w:ascii="宋体" w:hAnsi="宋体" w:cs="宋体"/>
                <w:color w:val="auto"/>
                <w:szCs w:val="21"/>
              </w:rPr>
            </w:pPr>
            <w:r>
              <w:rPr>
                <w:rFonts w:hint="eastAsia" w:ascii="宋体" w:hAnsi="宋体" w:cs="宋体"/>
                <w:color w:val="auto"/>
                <w:szCs w:val="21"/>
              </w:rPr>
              <w:t>10</w:t>
            </w:r>
          </w:p>
        </w:tc>
        <w:tc>
          <w:tcPr>
            <w:tcW w:w="1620" w:type="dxa"/>
            <w:vAlign w:val="center"/>
          </w:tcPr>
          <w:p>
            <w:pPr>
              <w:widowControl/>
              <w:spacing w:line="360" w:lineRule="auto"/>
              <w:jc w:val="center"/>
              <w:textAlignment w:val="center"/>
              <w:rPr>
                <w:rFonts w:eastAsia="Times New Roman"/>
                <w:color w:val="auto"/>
              </w:rPr>
            </w:pPr>
            <w:r>
              <w:rPr>
                <w:rFonts w:hint="eastAsia" w:ascii="宋体" w:hAnsi="宋体" w:cs="宋体"/>
                <w:color w:val="auto"/>
                <w:szCs w:val="21"/>
              </w:rPr>
              <w:t>安全措施方案</w:t>
            </w:r>
          </w:p>
        </w:tc>
        <w:tc>
          <w:tcPr>
            <w:tcW w:w="6141" w:type="dxa"/>
            <w:vAlign w:val="center"/>
          </w:tcPr>
          <w:p>
            <w:pPr>
              <w:widowControl/>
              <w:snapToGrid w:val="0"/>
              <w:spacing w:line="360" w:lineRule="auto"/>
              <w:jc w:val="left"/>
              <w:rPr>
                <w:rFonts w:ascii="宋体" w:hAnsi="宋体" w:cs="宋体"/>
                <w:bCs/>
                <w:color w:val="auto"/>
                <w:szCs w:val="21"/>
              </w:rPr>
            </w:pPr>
            <w:r>
              <w:rPr>
                <w:rFonts w:hint="eastAsia" w:ascii="宋体" w:hAnsi="宋体" w:cs="宋体"/>
                <w:color w:val="auto"/>
                <w:kern w:val="0"/>
                <w:szCs w:val="21"/>
              </w:rPr>
              <w:t>根据</w:t>
            </w:r>
            <w:r>
              <w:rPr>
                <w:rFonts w:hint="eastAsia" w:ascii="宋体" w:hAnsi="宋体"/>
                <w:color w:val="auto"/>
                <w:szCs w:val="21"/>
              </w:rPr>
              <w:t>供应商</w:t>
            </w:r>
            <w:r>
              <w:rPr>
                <w:rFonts w:hint="eastAsia" w:ascii="宋体" w:hAnsi="宋体" w:cs="宋体"/>
                <w:color w:val="auto"/>
                <w:kern w:val="0"/>
                <w:szCs w:val="21"/>
              </w:rPr>
              <w:t>提供的针对本项目中加工中的安全防护措施方案（人、机、材等方面），如何保证避免安全事故的发生等</w:t>
            </w:r>
            <w:r>
              <w:rPr>
                <w:rFonts w:hint="eastAsia" w:ascii="宋体" w:hAnsi="宋体" w:cs="宋体"/>
                <w:bCs/>
                <w:color w:val="auto"/>
                <w:szCs w:val="21"/>
              </w:rPr>
              <w:t>进行</w:t>
            </w:r>
            <w:r>
              <w:rPr>
                <w:rFonts w:hint="eastAsia" w:ascii="宋体" w:hAnsi="宋体" w:cs="宋体"/>
                <w:color w:val="auto"/>
                <w:szCs w:val="21"/>
              </w:rPr>
              <w:t>综合评审。</w:t>
            </w:r>
            <w:r>
              <w:rPr>
                <w:rFonts w:hint="eastAsia" w:ascii="宋体" w:hAnsi="宋体" w:cs="宋体"/>
                <w:bCs/>
                <w:color w:val="auto"/>
                <w:szCs w:val="21"/>
              </w:rPr>
              <w:t>①以上内容不存在瑕疵的得4分；</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②以上内容存在1处或2处瑕疵的得3分；</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③以上内容存在3处或4处瑕疵的得2分；</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④以上内容存在5处或6处瑕疵的得1分；</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⑤以上内容存在7处及以上瑕疵的得0.5分；</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⑥未提供或提供内容完全不满足项目采购需求要求的不得分。</w:t>
            </w:r>
          </w:p>
          <w:p>
            <w:pPr>
              <w:widowControl/>
              <w:spacing w:line="360" w:lineRule="auto"/>
              <w:ind w:firstLine="420" w:firstLineChars="200"/>
              <w:textAlignment w:val="center"/>
              <w:rPr>
                <w:rFonts w:ascii="宋体" w:hAnsi="宋体" w:cs="宋体"/>
                <w:bCs/>
                <w:color w:val="auto"/>
                <w:szCs w:val="21"/>
              </w:rPr>
            </w:pPr>
            <w:r>
              <w:rPr>
                <w:rFonts w:hint="eastAsia" w:ascii="宋体" w:hAnsi="宋体" w:cs="宋体"/>
                <w:bCs/>
                <w:color w:val="auto"/>
                <w:szCs w:val="21"/>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782" w:type="dxa"/>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15" w:type="dxa"/>
            <w:vAlign w:val="center"/>
          </w:tcPr>
          <w:p>
            <w:pPr>
              <w:jc w:val="center"/>
              <w:rPr>
                <w:rFonts w:ascii="宋体" w:hAnsi="宋体" w:cs="宋体"/>
                <w:bCs/>
                <w:color w:val="auto"/>
                <w:szCs w:val="21"/>
              </w:rPr>
            </w:pPr>
            <w:r>
              <w:rPr>
                <w:rFonts w:hint="eastAsia" w:ascii="宋体" w:hAnsi="宋体" w:cs="宋体"/>
                <w:bCs/>
                <w:color w:val="auto"/>
                <w:szCs w:val="21"/>
              </w:rPr>
              <w:t>11</w:t>
            </w:r>
          </w:p>
        </w:tc>
        <w:tc>
          <w:tcPr>
            <w:tcW w:w="1620" w:type="dxa"/>
            <w:vAlign w:val="center"/>
          </w:tcPr>
          <w:p>
            <w:pPr>
              <w:widowControl/>
              <w:snapToGrid w:val="0"/>
              <w:spacing w:line="360" w:lineRule="auto"/>
              <w:jc w:val="center"/>
              <w:textAlignment w:val="center"/>
              <w:rPr>
                <w:rFonts w:ascii="宋体" w:hAnsi="宋体" w:cs="宋体"/>
                <w:bCs/>
                <w:color w:val="auto"/>
                <w:szCs w:val="21"/>
              </w:rPr>
            </w:pPr>
            <w:r>
              <w:rPr>
                <w:rFonts w:hint="eastAsia" w:ascii="宋体" w:hAnsi="宋体" w:cs="宋体"/>
                <w:color w:val="auto"/>
                <w:szCs w:val="21"/>
              </w:rPr>
              <w:t>应急响应措施方案</w:t>
            </w:r>
          </w:p>
        </w:tc>
        <w:tc>
          <w:tcPr>
            <w:tcW w:w="6141" w:type="dxa"/>
            <w:vAlign w:val="center"/>
          </w:tcPr>
          <w:p>
            <w:pPr>
              <w:widowControl/>
              <w:snapToGrid w:val="0"/>
              <w:spacing w:line="360" w:lineRule="auto"/>
              <w:jc w:val="left"/>
              <w:rPr>
                <w:rFonts w:ascii="宋体" w:hAnsi="宋体" w:cs="宋体"/>
                <w:color w:val="auto"/>
                <w:szCs w:val="21"/>
              </w:rPr>
            </w:pPr>
            <w:r>
              <w:rPr>
                <w:rFonts w:hint="eastAsia" w:ascii="宋体" w:hAnsi="宋体" w:cs="宋体"/>
                <w:color w:val="auto"/>
                <w:kern w:val="0"/>
                <w:szCs w:val="21"/>
              </w:rPr>
              <w:t>根据</w:t>
            </w:r>
            <w:r>
              <w:rPr>
                <w:rFonts w:hint="eastAsia" w:ascii="宋体" w:hAnsi="宋体"/>
                <w:color w:val="auto"/>
                <w:szCs w:val="21"/>
              </w:rPr>
              <w:t>供应商</w:t>
            </w:r>
            <w:r>
              <w:rPr>
                <w:rFonts w:hint="eastAsia" w:ascii="宋体" w:hAnsi="宋体" w:cs="宋体"/>
                <w:color w:val="auto"/>
                <w:szCs w:val="21"/>
              </w:rPr>
              <w:t>对后续实际项目实施中可能遇到的紧急事件、异常处理等是否具有详细完善的应急响应制度、实施保障方案等进行评审。</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①以上内容不存在瑕疵的得4分；</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②以上内容存在1处或2处瑕疵的得3分；</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③以上内容存在3处或4处瑕疵的得2分；</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④以上内容存在5处或6处瑕疵的得1分；</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⑤以上内容存在7处及以上瑕疵的得0.5分；</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⑥未提供或提供内容完全不满足项目采购需求要求的不得分。</w:t>
            </w:r>
          </w:p>
          <w:p>
            <w:pPr>
              <w:snapToGrid w:val="0"/>
              <w:spacing w:line="360" w:lineRule="auto"/>
              <w:ind w:firstLine="420" w:firstLineChars="200"/>
              <w:rPr>
                <w:rFonts w:ascii="宋体" w:hAnsi="宋体" w:cs="宋体"/>
                <w:color w:val="auto"/>
                <w:szCs w:val="21"/>
              </w:rPr>
            </w:pPr>
            <w:r>
              <w:rPr>
                <w:rFonts w:hint="eastAsia" w:ascii="宋体" w:hAnsi="宋体" w:cs="宋体"/>
                <w:bCs/>
                <w:color w:val="auto"/>
                <w:szCs w:val="21"/>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782" w:type="dxa"/>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615" w:type="dxa"/>
            <w:vAlign w:val="center"/>
          </w:tcPr>
          <w:p>
            <w:pPr>
              <w:pStyle w:val="21"/>
              <w:adjustRightInd w:val="0"/>
              <w:snapToGrid w:val="0"/>
              <w:ind w:firstLine="0"/>
              <w:jc w:val="center"/>
              <w:rPr>
                <w:rFonts w:ascii="宋体" w:hAnsi="宋体" w:cs="宋体"/>
                <w:bCs/>
                <w:color w:val="auto"/>
                <w:sz w:val="21"/>
                <w:szCs w:val="21"/>
              </w:rPr>
            </w:pPr>
            <w:r>
              <w:rPr>
                <w:rFonts w:hint="eastAsia" w:ascii="宋体" w:hAnsi="宋体" w:cs="宋体"/>
                <w:bCs/>
                <w:color w:val="auto"/>
                <w:sz w:val="21"/>
                <w:szCs w:val="21"/>
              </w:rPr>
              <w:t>12</w:t>
            </w:r>
          </w:p>
        </w:tc>
        <w:tc>
          <w:tcPr>
            <w:tcW w:w="1620" w:type="dxa"/>
            <w:vAlign w:val="center"/>
          </w:tcPr>
          <w:p>
            <w:pPr>
              <w:snapToGrid w:val="0"/>
              <w:spacing w:line="360" w:lineRule="auto"/>
              <w:jc w:val="center"/>
              <w:rPr>
                <w:rFonts w:ascii="宋体" w:hAnsi="宋体" w:cs="宋体"/>
                <w:bCs/>
                <w:color w:val="auto"/>
                <w:szCs w:val="21"/>
              </w:rPr>
            </w:pPr>
            <w:r>
              <w:rPr>
                <w:rFonts w:hint="eastAsia" w:ascii="宋体" w:hAnsi="宋体" w:cs="宋体"/>
                <w:bCs/>
                <w:color w:val="auto"/>
                <w:szCs w:val="21"/>
              </w:rPr>
              <w:t>淤泥处置方案</w:t>
            </w:r>
          </w:p>
        </w:tc>
        <w:tc>
          <w:tcPr>
            <w:tcW w:w="6141" w:type="dxa"/>
          </w:tcPr>
          <w:p>
            <w:pPr>
              <w:widowControl/>
              <w:snapToGrid w:val="0"/>
              <w:spacing w:line="360" w:lineRule="auto"/>
              <w:jc w:val="left"/>
              <w:rPr>
                <w:rFonts w:ascii="宋体" w:hAnsi="宋体" w:cs="宋体"/>
                <w:color w:val="auto"/>
                <w:szCs w:val="21"/>
              </w:rPr>
            </w:pPr>
            <w:r>
              <w:rPr>
                <w:rFonts w:hint="eastAsia" w:ascii="宋体" w:hAnsi="宋体" w:cs="宋体"/>
                <w:color w:val="auto"/>
                <w:szCs w:val="21"/>
              </w:rPr>
              <w:t>根据</w:t>
            </w:r>
            <w:r>
              <w:rPr>
                <w:rFonts w:hint="eastAsia" w:ascii="宋体" w:hAnsi="宋体"/>
                <w:color w:val="auto"/>
                <w:szCs w:val="21"/>
              </w:rPr>
              <w:t>供应商</w:t>
            </w:r>
            <w:r>
              <w:rPr>
                <w:rFonts w:hint="eastAsia" w:ascii="宋体" w:hAnsi="宋体" w:cs="宋体"/>
                <w:color w:val="auto"/>
                <w:szCs w:val="21"/>
              </w:rPr>
              <w:t>提供的淤泥处置方案以及是否有合理合规的淤泥堆放场地等进行评审。</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①以上内容不存在瑕疵的得4分；</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②以上内容存在1处或2处瑕疵的得3分；</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③以上内容存在3处或4处瑕疵的得2分；</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④以上内容存在5处或6处瑕疵的得1分；</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⑤以上内容存在7处及以上瑕疵的得0.5分；</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⑥未提供或提供内容完全不满足项目采购需求要求的不得分。</w:t>
            </w:r>
          </w:p>
          <w:p>
            <w:pPr>
              <w:snapToGrid w:val="0"/>
              <w:spacing w:line="360" w:lineRule="auto"/>
              <w:ind w:firstLine="420" w:firstLineChars="200"/>
              <w:rPr>
                <w:rFonts w:ascii="宋体" w:hAnsi="宋体" w:cs="宋体"/>
                <w:color w:val="auto"/>
                <w:szCs w:val="21"/>
              </w:rPr>
            </w:pPr>
            <w:r>
              <w:rPr>
                <w:rFonts w:hint="eastAsia" w:ascii="宋体" w:hAnsi="宋体" w:cs="宋体"/>
                <w:bCs/>
                <w:color w:val="auto"/>
                <w:szCs w:val="21"/>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782" w:type="dxa"/>
            <w:vAlign w:val="center"/>
          </w:tcPr>
          <w:p>
            <w:pPr>
              <w:widowControl/>
              <w:spacing w:line="360" w:lineRule="auto"/>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615" w:type="dxa"/>
            <w:vAlign w:val="center"/>
          </w:tcPr>
          <w:p>
            <w:pPr>
              <w:widowControl/>
              <w:jc w:val="center"/>
              <w:textAlignment w:val="center"/>
              <w:rPr>
                <w:rFonts w:ascii="宋体" w:hAnsi="宋体" w:cs="宋体"/>
                <w:bCs/>
                <w:color w:val="auto"/>
                <w:szCs w:val="21"/>
              </w:rPr>
            </w:pPr>
            <w:r>
              <w:rPr>
                <w:rFonts w:hint="eastAsia" w:ascii="宋体" w:hAnsi="宋体" w:cs="宋体"/>
                <w:bCs/>
                <w:color w:val="auto"/>
                <w:szCs w:val="21"/>
              </w:rPr>
              <w:t>13</w:t>
            </w:r>
          </w:p>
        </w:tc>
        <w:tc>
          <w:tcPr>
            <w:tcW w:w="1620" w:type="dxa"/>
            <w:vAlign w:val="center"/>
          </w:tcPr>
          <w:p>
            <w:pPr>
              <w:snapToGrid w:val="0"/>
              <w:spacing w:line="360" w:lineRule="auto"/>
              <w:jc w:val="center"/>
              <w:rPr>
                <w:rFonts w:ascii="宋体" w:hAnsi="宋体" w:cs="宋体"/>
                <w:color w:val="auto"/>
                <w:szCs w:val="21"/>
              </w:rPr>
            </w:pPr>
            <w:r>
              <w:rPr>
                <w:rFonts w:hint="eastAsia" w:ascii="宋体" w:hAnsi="宋体" w:cs="宋体"/>
                <w:color w:val="auto"/>
                <w:szCs w:val="21"/>
              </w:rPr>
              <w:t>退场方案</w:t>
            </w:r>
          </w:p>
        </w:tc>
        <w:tc>
          <w:tcPr>
            <w:tcW w:w="6141" w:type="dxa"/>
          </w:tcPr>
          <w:p>
            <w:pPr>
              <w:widowControl/>
              <w:snapToGrid w:val="0"/>
              <w:spacing w:line="360" w:lineRule="auto"/>
              <w:jc w:val="left"/>
              <w:rPr>
                <w:rFonts w:ascii="宋体" w:hAnsi="宋体" w:cs="宋体"/>
                <w:color w:val="auto"/>
                <w:szCs w:val="21"/>
              </w:rPr>
            </w:pPr>
            <w:r>
              <w:rPr>
                <w:rFonts w:hint="eastAsia" w:ascii="宋体" w:hAnsi="宋体" w:cs="宋体"/>
                <w:color w:val="auto"/>
                <w:kern w:val="0"/>
                <w:szCs w:val="21"/>
              </w:rPr>
              <w:t>服务期满后，根据</w:t>
            </w:r>
            <w:r>
              <w:rPr>
                <w:rFonts w:hint="eastAsia" w:ascii="宋体" w:hAnsi="宋体"/>
                <w:color w:val="auto"/>
                <w:szCs w:val="21"/>
              </w:rPr>
              <w:t>供应商</w:t>
            </w:r>
            <w:r>
              <w:rPr>
                <w:rFonts w:hint="eastAsia" w:ascii="宋体" w:hAnsi="宋体" w:cs="宋体"/>
                <w:color w:val="auto"/>
                <w:kern w:val="0"/>
                <w:szCs w:val="21"/>
              </w:rPr>
              <w:t>退场方案和时间安排的完整性、可行性</w:t>
            </w:r>
            <w:r>
              <w:rPr>
                <w:rFonts w:hint="eastAsia" w:ascii="宋体" w:hAnsi="宋体" w:cs="宋体"/>
                <w:bCs/>
                <w:color w:val="auto"/>
                <w:szCs w:val="21"/>
              </w:rPr>
              <w:t>进行</w:t>
            </w:r>
            <w:r>
              <w:rPr>
                <w:rFonts w:hint="eastAsia" w:ascii="宋体" w:hAnsi="宋体" w:cs="宋体"/>
                <w:color w:val="auto"/>
                <w:szCs w:val="21"/>
              </w:rPr>
              <w:t>评审。</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①以上内容不存在瑕疵的得4分；</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②以上内容存在1处或2处瑕疵的得3分；</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③以上内容存在3处或4处瑕疵的得2分；</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④以上内容存在5处或6处瑕疵的得1分；</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⑤以上内容存在7处及以上瑕疵的得0.5分；</w:t>
            </w:r>
          </w:p>
          <w:p>
            <w:pPr>
              <w:widowControl/>
              <w:snapToGrid w:val="0"/>
              <w:spacing w:line="360" w:lineRule="auto"/>
              <w:jc w:val="left"/>
              <w:rPr>
                <w:rFonts w:ascii="宋体" w:hAnsi="宋体" w:cs="宋体"/>
                <w:bCs/>
                <w:color w:val="auto"/>
                <w:szCs w:val="21"/>
              </w:rPr>
            </w:pPr>
            <w:r>
              <w:rPr>
                <w:rFonts w:hint="eastAsia" w:ascii="宋体" w:hAnsi="宋体" w:cs="宋体"/>
                <w:bCs/>
                <w:color w:val="auto"/>
                <w:szCs w:val="21"/>
              </w:rPr>
              <w:t>⑥未提供或提供内容完全不满足项目采购需求要求的不得分。</w:t>
            </w:r>
          </w:p>
          <w:p>
            <w:pPr>
              <w:snapToGrid w:val="0"/>
              <w:spacing w:line="360" w:lineRule="auto"/>
              <w:ind w:firstLine="420" w:firstLineChars="200"/>
              <w:rPr>
                <w:rFonts w:ascii="宋体" w:hAnsi="宋体" w:cs="宋体"/>
                <w:color w:val="auto"/>
                <w:szCs w:val="21"/>
              </w:rPr>
            </w:pPr>
            <w:r>
              <w:rPr>
                <w:rFonts w:hint="eastAsia" w:ascii="宋体" w:hAnsi="宋体" w:cs="宋体"/>
                <w:bCs/>
                <w:color w:val="auto"/>
                <w:szCs w:val="21"/>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782" w:type="dxa"/>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szCs w:val="21"/>
              </w:rPr>
              <w:t>4</w:t>
            </w:r>
          </w:p>
        </w:tc>
      </w:tr>
    </w:tbl>
    <w:p>
      <w:pPr>
        <w:spacing w:line="360" w:lineRule="auto"/>
        <w:ind w:firstLine="482" w:firstLineChars="200"/>
        <w:jc w:val="left"/>
        <w:rPr>
          <w:rFonts w:ascii="宋体" w:hAnsi="宋体"/>
          <w:b/>
          <w:color w:val="auto"/>
          <w:sz w:val="24"/>
        </w:rPr>
      </w:pPr>
      <w:r>
        <w:rPr>
          <w:rFonts w:hint="eastAsia" w:ascii="宋体" w:hAnsi="宋体"/>
          <w:b/>
          <w:color w:val="auto"/>
          <w:sz w:val="24"/>
        </w:rPr>
        <w:t>5.2报价分值为40分，权重为40%，由评标委员会根据以下内容统一计算打分：</w:t>
      </w:r>
    </w:p>
    <w:p>
      <w:pPr>
        <w:spacing w:line="360" w:lineRule="auto"/>
        <w:ind w:firstLine="240" w:firstLineChars="100"/>
        <w:rPr>
          <w:rFonts w:ascii="宋体" w:hAnsi="宋体"/>
          <w:color w:val="auto"/>
          <w:sz w:val="24"/>
        </w:rPr>
      </w:pPr>
      <w:r>
        <w:rPr>
          <w:rFonts w:hint="eastAsia" w:ascii="宋体" w:hAnsi="宋体"/>
          <w:color w:val="auto"/>
          <w:sz w:val="24"/>
        </w:rPr>
        <w:t>5.2.1报价评分应在投标报价范围口径一致的评标价基础上进行。属招标文件不清楚引起的报价内容和口径不一致的，则按有关规定统一调整投标报价内容和口径，计算出</w:t>
      </w:r>
      <w:r>
        <w:rPr>
          <w:rFonts w:hint="eastAsia" w:ascii="宋体" w:hAnsi="宋体"/>
          <w:color w:val="auto"/>
          <w:sz w:val="24"/>
          <w:szCs w:val="24"/>
        </w:rPr>
        <w:t>供应商</w:t>
      </w:r>
      <w:r>
        <w:rPr>
          <w:rFonts w:hint="eastAsia" w:ascii="宋体" w:hAnsi="宋体"/>
          <w:color w:val="auto"/>
          <w:sz w:val="24"/>
        </w:rPr>
        <w:t>的最终评定价。属</w:t>
      </w:r>
      <w:r>
        <w:rPr>
          <w:rFonts w:hint="eastAsia" w:ascii="宋体" w:hAnsi="宋体"/>
          <w:color w:val="auto"/>
          <w:sz w:val="24"/>
          <w:szCs w:val="24"/>
        </w:rPr>
        <w:t>供应商</w:t>
      </w:r>
      <w:r>
        <w:rPr>
          <w:rFonts w:hint="eastAsia" w:ascii="宋体" w:hAnsi="宋体"/>
          <w:color w:val="auto"/>
          <w:sz w:val="24"/>
        </w:rPr>
        <w:t>失误造成的报价差错和遗漏，不得调整。</w:t>
      </w:r>
    </w:p>
    <w:p>
      <w:pPr>
        <w:spacing w:line="360" w:lineRule="auto"/>
        <w:ind w:firstLine="240" w:firstLineChars="100"/>
        <w:rPr>
          <w:rFonts w:ascii="宋体" w:hAnsi="宋体" w:cs="宋体"/>
          <w:color w:val="auto"/>
          <w:sz w:val="24"/>
        </w:rPr>
      </w:pPr>
      <w:r>
        <w:rPr>
          <w:rFonts w:hint="eastAsia" w:ascii="宋体" w:hAnsi="宋体"/>
          <w:color w:val="auto"/>
          <w:sz w:val="24"/>
        </w:rPr>
        <w:t>▲5.2.2</w:t>
      </w:r>
      <w:r>
        <w:rPr>
          <w:rFonts w:hint="eastAsia" w:ascii="宋体" w:hAnsi="宋体" w:cs="宋体"/>
          <w:color w:val="auto"/>
          <w:sz w:val="24"/>
        </w:rPr>
        <w:t>最终报价超过最高限价的作无效标处理。</w:t>
      </w:r>
    </w:p>
    <w:p>
      <w:pPr>
        <w:spacing w:line="360" w:lineRule="auto"/>
        <w:ind w:firstLine="480" w:firstLineChars="200"/>
        <w:rPr>
          <w:rFonts w:ascii="宋体" w:hAnsi="宋体"/>
          <w:color w:val="auto"/>
          <w:sz w:val="24"/>
        </w:rPr>
      </w:pPr>
      <w:r>
        <w:rPr>
          <w:rFonts w:hint="eastAsia" w:ascii="宋体" w:hAnsi="宋体"/>
          <w:color w:val="auto"/>
          <w:sz w:val="24"/>
        </w:rPr>
        <w:t>5.2.3</w:t>
      </w:r>
      <w:r>
        <w:rPr>
          <w:rFonts w:hint="eastAsia" w:ascii="宋体" w:hAnsi="宋体" w:cs="宋体"/>
          <w:color w:val="auto"/>
          <w:sz w:val="24"/>
        </w:rPr>
        <w:t>最终报价有漏项的或报价数量少于</w:t>
      </w:r>
      <w:r>
        <w:rPr>
          <w:rFonts w:hint="eastAsia" w:ascii="宋体" w:hAnsi="宋体" w:cs="宋体"/>
          <w:color w:val="auto"/>
          <w:sz w:val="24"/>
          <w:lang w:eastAsia="zh-CN"/>
        </w:rPr>
        <w:t>采购</w:t>
      </w:r>
      <w:r>
        <w:rPr>
          <w:rFonts w:hint="eastAsia" w:ascii="宋体" w:hAnsi="宋体" w:cs="宋体"/>
          <w:color w:val="auto"/>
          <w:sz w:val="24"/>
        </w:rPr>
        <w:t>文件要求数量的作无效标处理。</w:t>
      </w:r>
    </w:p>
    <w:p>
      <w:pPr>
        <w:spacing w:line="360" w:lineRule="auto"/>
        <w:ind w:firstLine="482" w:firstLineChars="200"/>
        <w:rPr>
          <w:rFonts w:ascii="宋体" w:hAnsi="宋体"/>
          <w:b/>
          <w:color w:val="auto"/>
          <w:sz w:val="24"/>
        </w:rPr>
      </w:pPr>
      <w:bookmarkStart w:id="315" w:name="EB217c00f118724f6bb5745c5cec252819"/>
      <w:r>
        <w:rPr>
          <w:rFonts w:hint="eastAsia" w:ascii="宋体" w:hAnsi="宋体"/>
          <w:b/>
          <w:color w:val="auto"/>
          <w:sz w:val="24"/>
        </w:rPr>
        <w:t>5.2.3报价得分计算：</w:t>
      </w:r>
    </w:p>
    <w:p>
      <w:pPr>
        <w:spacing w:line="360" w:lineRule="auto"/>
        <w:ind w:firstLine="480" w:firstLineChars="200"/>
        <w:rPr>
          <w:rFonts w:ascii="宋体" w:hAnsi="宋体" w:cs="宋体"/>
          <w:color w:val="auto"/>
          <w:sz w:val="24"/>
        </w:rPr>
      </w:pPr>
      <w:r>
        <w:rPr>
          <w:rFonts w:hint="eastAsia" w:ascii="宋体" w:hAnsi="宋体" w:cs="宋体"/>
          <w:color w:val="auto"/>
          <w:sz w:val="24"/>
        </w:rPr>
        <w:t>（1）确定评审价：各供应商的最终有效报价；</w:t>
      </w:r>
    </w:p>
    <w:p>
      <w:pPr>
        <w:spacing w:line="360" w:lineRule="auto"/>
        <w:ind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eastAsia="zh-CN"/>
        </w:rPr>
        <w:t>评标</w:t>
      </w:r>
      <w:r>
        <w:rPr>
          <w:rFonts w:hint="eastAsia" w:ascii="宋体" w:hAnsi="宋体" w:cs="宋体"/>
          <w:color w:val="auto"/>
          <w:sz w:val="24"/>
        </w:rPr>
        <w:t>基准价=各有效供应商中的最低评审价；</w:t>
      </w:r>
    </w:p>
    <w:p>
      <w:pPr>
        <w:spacing w:line="360" w:lineRule="auto"/>
        <w:ind w:firstLine="480" w:firstLineChars="200"/>
        <w:rPr>
          <w:rFonts w:ascii="宋体" w:hAnsi="宋体" w:cs="宋体"/>
          <w:color w:val="auto"/>
          <w:sz w:val="24"/>
        </w:rPr>
      </w:pPr>
      <w:r>
        <w:rPr>
          <w:rFonts w:hint="eastAsia" w:ascii="宋体" w:hAnsi="宋体" w:cs="宋体"/>
          <w:color w:val="auto"/>
          <w:sz w:val="24"/>
        </w:rPr>
        <w:t>（3）评审价等于</w:t>
      </w:r>
      <w:r>
        <w:rPr>
          <w:rFonts w:hint="eastAsia" w:ascii="宋体" w:hAnsi="宋体" w:cs="宋体"/>
          <w:color w:val="auto"/>
          <w:sz w:val="24"/>
          <w:lang w:eastAsia="zh-CN"/>
        </w:rPr>
        <w:t>评标</w:t>
      </w:r>
      <w:r>
        <w:rPr>
          <w:rFonts w:hint="eastAsia" w:ascii="宋体" w:hAnsi="宋体" w:cs="宋体"/>
          <w:color w:val="auto"/>
          <w:sz w:val="24"/>
        </w:rPr>
        <w:t>基准价的得40分，其他供应商的报价得分按下列公式计算：</w:t>
      </w:r>
    </w:p>
    <w:p>
      <w:pPr>
        <w:spacing w:line="360" w:lineRule="auto"/>
        <w:ind w:firstLine="480" w:firstLineChars="200"/>
        <w:rPr>
          <w:rFonts w:ascii="宋体" w:hAnsi="宋体"/>
          <w:b/>
          <w:color w:val="auto"/>
          <w:sz w:val="24"/>
        </w:rPr>
      </w:pPr>
      <w:r>
        <w:rPr>
          <w:rFonts w:hint="eastAsia" w:ascii="宋体" w:hAnsi="宋体"/>
          <w:color w:val="auto"/>
          <w:sz w:val="24"/>
        </w:rPr>
        <w:t>报价得分=（</w:t>
      </w:r>
      <w:r>
        <w:rPr>
          <w:rFonts w:hint="eastAsia" w:ascii="宋体" w:hAnsi="宋体" w:cs="宋体"/>
          <w:color w:val="auto"/>
          <w:sz w:val="24"/>
          <w:lang w:eastAsia="zh-CN"/>
        </w:rPr>
        <w:t>评标</w:t>
      </w:r>
      <w:r>
        <w:rPr>
          <w:rFonts w:hint="eastAsia" w:ascii="宋体" w:hAnsi="宋体"/>
          <w:color w:val="auto"/>
          <w:sz w:val="24"/>
        </w:rPr>
        <w:t>基准价/最终</w:t>
      </w:r>
      <w:r>
        <w:rPr>
          <w:rFonts w:hint="eastAsia" w:ascii="宋体" w:hAnsi="宋体" w:cs="宋体"/>
          <w:color w:val="auto"/>
          <w:sz w:val="24"/>
        </w:rPr>
        <w:t>评审价</w:t>
      </w:r>
      <w:r>
        <w:rPr>
          <w:rFonts w:hint="eastAsia" w:ascii="宋体" w:hAnsi="宋体"/>
          <w:color w:val="auto"/>
          <w:sz w:val="24"/>
        </w:rPr>
        <w:t>）×报价权重×100。</w:t>
      </w:r>
    </w:p>
    <w:p>
      <w:pPr>
        <w:spacing w:line="360" w:lineRule="auto"/>
        <w:ind w:firstLine="482" w:firstLineChars="200"/>
        <w:rPr>
          <w:rFonts w:ascii="宋体" w:hAnsi="宋体"/>
          <w:b/>
          <w:color w:val="auto"/>
          <w:sz w:val="24"/>
        </w:rPr>
      </w:pPr>
      <w:r>
        <w:rPr>
          <w:rFonts w:ascii="宋体" w:hAnsi="宋体"/>
          <w:b/>
          <w:color w:val="auto"/>
          <w:sz w:val="24"/>
        </w:rPr>
        <w:t>5</w:t>
      </w:r>
      <w:r>
        <w:rPr>
          <w:rFonts w:hint="eastAsia" w:ascii="宋体" w:hAnsi="宋体"/>
          <w:b/>
          <w:color w:val="auto"/>
          <w:sz w:val="24"/>
        </w:rPr>
        <w:t>.3</w:t>
      </w:r>
      <w:r>
        <w:rPr>
          <w:rFonts w:ascii="宋体" w:hAnsi="宋体"/>
          <w:b/>
          <w:color w:val="auto"/>
          <w:sz w:val="24"/>
        </w:rPr>
        <w:t xml:space="preserve"> </w:t>
      </w:r>
      <w:r>
        <w:rPr>
          <w:rFonts w:hint="eastAsia" w:ascii="宋体" w:hAnsi="宋体"/>
          <w:b/>
          <w:color w:val="auto"/>
          <w:sz w:val="24"/>
        </w:rPr>
        <w:t>本项目最终得分=商务技术得分＋报价总得分。</w:t>
      </w:r>
    </w:p>
    <w:bookmarkEnd w:id="315"/>
    <w:p>
      <w:pPr>
        <w:pStyle w:val="4"/>
        <w:spacing w:before="240" w:after="240"/>
        <w:ind w:firstLine="0" w:firstLineChars="0"/>
        <w:rPr>
          <w:rFonts w:ascii="宋体" w:hAnsi="宋体" w:eastAsia="宋体"/>
          <w:bCs w:val="0"/>
          <w:color w:val="auto"/>
        </w:rPr>
      </w:pPr>
      <w:bookmarkStart w:id="316" w:name="_Toc494555896"/>
      <w:bookmarkStart w:id="317" w:name="_Toc335664301"/>
      <w:bookmarkStart w:id="318" w:name="_Toc493956082"/>
      <w:bookmarkStart w:id="319" w:name="_Toc25167"/>
      <w:r>
        <w:rPr>
          <w:rFonts w:hint="eastAsia" w:ascii="宋体" w:hAnsi="宋体" w:eastAsia="宋体"/>
          <w:bCs w:val="0"/>
          <w:color w:val="auto"/>
        </w:rPr>
        <w:t xml:space="preserve">六 </w:t>
      </w:r>
      <w:r>
        <w:rPr>
          <w:rFonts w:ascii="宋体" w:hAnsi="宋体" w:eastAsia="宋体"/>
          <w:bCs w:val="0"/>
          <w:color w:val="auto"/>
        </w:rPr>
        <w:t xml:space="preserve"> </w:t>
      </w:r>
      <w:r>
        <w:rPr>
          <w:rFonts w:hint="eastAsia" w:ascii="宋体" w:hAnsi="宋体" w:eastAsia="宋体"/>
          <w:bCs w:val="0"/>
          <w:color w:val="auto"/>
        </w:rPr>
        <w:t xml:space="preserve"> 评审纪律和要求</w:t>
      </w:r>
      <w:bookmarkEnd w:id="316"/>
      <w:bookmarkEnd w:id="317"/>
      <w:bookmarkEnd w:id="318"/>
      <w:bookmarkEnd w:id="319"/>
    </w:p>
    <w:p>
      <w:pPr>
        <w:spacing w:line="360" w:lineRule="auto"/>
        <w:ind w:firstLine="480" w:firstLineChars="200"/>
        <w:rPr>
          <w:rFonts w:ascii="宋体" w:hAnsi="宋体"/>
          <w:color w:val="auto"/>
          <w:sz w:val="24"/>
        </w:rPr>
      </w:pPr>
      <w:r>
        <w:rPr>
          <w:rFonts w:ascii="宋体" w:hAnsi="宋体"/>
          <w:color w:val="auto"/>
          <w:sz w:val="24"/>
        </w:rPr>
        <w:t>6</w:t>
      </w:r>
      <w:r>
        <w:rPr>
          <w:rFonts w:hint="eastAsia" w:ascii="宋体" w:hAnsi="宋体"/>
          <w:color w:val="auto"/>
          <w:sz w:val="24"/>
        </w:rPr>
        <w:t>.1</w:t>
      </w:r>
      <w:r>
        <w:rPr>
          <w:rFonts w:ascii="宋体" w:hAnsi="宋体"/>
          <w:color w:val="auto"/>
          <w:sz w:val="24"/>
        </w:rPr>
        <w:t xml:space="preserve"> </w:t>
      </w:r>
      <w:r>
        <w:rPr>
          <w:rFonts w:hint="eastAsia" w:ascii="宋体" w:hAnsi="宋体"/>
          <w:color w:val="auto"/>
          <w:sz w:val="24"/>
        </w:rPr>
        <w:t>评审专家必须公平、公正评审，遵纪守法，客观、廉洁地履行职责。</w:t>
      </w:r>
    </w:p>
    <w:p>
      <w:pPr>
        <w:spacing w:line="360" w:lineRule="auto"/>
        <w:ind w:firstLine="480" w:firstLineChars="200"/>
        <w:rPr>
          <w:rFonts w:ascii="宋体" w:hAnsi="宋体"/>
          <w:color w:val="auto"/>
          <w:sz w:val="24"/>
        </w:rPr>
      </w:pPr>
      <w:r>
        <w:rPr>
          <w:rFonts w:ascii="宋体" w:hAnsi="宋体"/>
          <w:color w:val="auto"/>
          <w:sz w:val="24"/>
        </w:rPr>
        <w:t>6</w:t>
      </w:r>
      <w:r>
        <w:rPr>
          <w:rFonts w:hint="eastAsia" w:ascii="宋体" w:hAnsi="宋体"/>
          <w:color w:val="auto"/>
          <w:sz w:val="24"/>
        </w:rPr>
        <w:t>.2</w:t>
      </w:r>
      <w:r>
        <w:rPr>
          <w:rFonts w:ascii="宋体" w:hAnsi="宋体"/>
          <w:color w:val="auto"/>
          <w:sz w:val="24"/>
        </w:rPr>
        <w:t xml:space="preserve"> </w:t>
      </w:r>
      <w:r>
        <w:rPr>
          <w:rFonts w:hint="eastAsia" w:ascii="宋体" w:hAnsi="宋体"/>
          <w:color w:val="auto"/>
          <w:sz w:val="24"/>
        </w:rPr>
        <w:t>评审专家在评审开始前，应关闭并上交随身携带的各种通信工具。</w:t>
      </w:r>
    </w:p>
    <w:p>
      <w:pPr>
        <w:spacing w:line="360" w:lineRule="auto"/>
        <w:ind w:firstLine="480" w:firstLineChars="200"/>
        <w:rPr>
          <w:rFonts w:ascii="宋体" w:hAnsi="宋体"/>
          <w:color w:val="auto"/>
          <w:sz w:val="24"/>
        </w:rPr>
      </w:pPr>
      <w:r>
        <w:rPr>
          <w:rFonts w:ascii="宋体" w:hAnsi="宋体"/>
          <w:color w:val="auto"/>
          <w:sz w:val="24"/>
        </w:rPr>
        <w:t>6</w:t>
      </w:r>
      <w:r>
        <w:rPr>
          <w:rFonts w:hint="eastAsia" w:ascii="宋体" w:hAnsi="宋体"/>
          <w:color w:val="auto"/>
          <w:sz w:val="24"/>
        </w:rPr>
        <w:t>.3</w:t>
      </w:r>
      <w:r>
        <w:rPr>
          <w:rFonts w:ascii="宋体" w:hAnsi="宋体"/>
          <w:color w:val="auto"/>
          <w:sz w:val="24"/>
        </w:rPr>
        <w:t xml:space="preserve"> </w:t>
      </w:r>
      <w:r>
        <w:rPr>
          <w:rFonts w:hint="eastAsia" w:ascii="宋体" w:hAnsi="宋体"/>
          <w:color w:val="auto"/>
          <w:sz w:val="24"/>
        </w:rPr>
        <w:t>评审专家在评审过程中，未经许可不得中途离开评审现场，不得迟到早退。</w:t>
      </w:r>
    </w:p>
    <w:p>
      <w:pPr>
        <w:spacing w:line="360" w:lineRule="auto"/>
        <w:ind w:firstLine="480" w:firstLineChars="200"/>
        <w:rPr>
          <w:rFonts w:ascii="宋体" w:hAnsi="宋体"/>
          <w:color w:val="auto"/>
          <w:sz w:val="24"/>
        </w:rPr>
      </w:pPr>
      <w:r>
        <w:rPr>
          <w:rFonts w:ascii="宋体" w:hAnsi="宋体"/>
          <w:color w:val="auto"/>
          <w:sz w:val="24"/>
        </w:rPr>
        <w:t>6</w:t>
      </w:r>
      <w:r>
        <w:rPr>
          <w:rFonts w:hint="eastAsia" w:ascii="宋体" w:hAnsi="宋体"/>
          <w:color w:val="auto"/>
          <w:sz w:val="24"/>
        </w:rPr>
        <w:t>.4</w:t>
      </w:r>
      <w:r>
        <w:rPr>
          <w:rFonts w:ascii="宋体" w:hAnsi="宋体"/>
          <w:color w:val="auto"/>
          <w:sz w:val="24"/>
        </w:rPr>
        <w:t xml:space="preserve"> </w:t>
      </w:r>
      <w:r>
        <w:rPr>
          <w:rFonts w:hint="eastAsia" w:ascii="宋体" w:hAnsi="宋体"/>
          <w:color w:val="auto"/>
          <w:sz w:val="24"/>
        </w:rPr>
        <w:t>评审专家和工作人员不得透露评审过程中的讨论情况和评审结果。</w:t>
      </w:r>
    </w:p>
    <w:p>
      <w:pPr>
        <w:spacing w:line="360" w:lineRule="auto"/>
        <w:ind w:firstLine="480"/>
        <w:rPr>
          <w:rFonts w:ascii="宋体" w:hAnsi="宋体"/>
          <w:color w:val="auto"/>
          <w:sz w:val="24"/>
        </w:rPr>
      </w:pPr>
      <w:r>
        <w:rPr>
          <w:rFonts w:ascii="宋体" w:hAnsi="宋体"/>
          <w:color w:val="auto"/>
          <w:sz w:val="24"/>
        </w:rPr>
        <w:t>6</w:t>
      </w:r>
      <w:r>
        <w:rPr>
          <w:rFonts w:hint="eastAsia" w:ascii="宋体" w:hAnsi="宋体"/>
          <w:color w:val="auto"/>
          <w:sz w:val="24"/>
        </w:rPr>
        <w:t>.5</w:t>
      </w:r>
      <w:r>
        <w:rPr>
          <w:rFonts w:ascii="宋体" w:hAnsi="宋体"/>
          <w:color w:val="auto"/>
          <w:sz w:val="24"/>
        </w:rPr>
        <w:t xml:space="preserve"> </w:t>
      </w:r>
      <w:r>
        <w:rPr>
          <w:rFonts w:hint="eastAsia" w:ascii="宋体" w:hAnsi="宋体"/>
          <w:color w:val="auto"/>
          <w:sz w:val="24"/>
        </w:rPr>
        <w:t>评审时，评审专家须按招标文件规定的程序、条件和标准，对</w:t>
      </w:r>
      <w:r>
        <w:rPr>
          <w:rFonts w:hint="eastAsia" w:ascii="宋体" w:hAnsi="宋体"/>
          <w:color w:val="auto"/>
          <w:sz w:val="24"/>
          <w:szCs w:val="24"/>
        </w:rPr>
        <w:t>供应商</w:t>
      </w:r>
      <w:r>
        <w:rPr>
          <w:rFonts w:hint="eastAsia" w:ascii="宋体" w:hAnsi="宋体"/>
          <w:color w:val="auto"/>
          <w:sz w:val="24"/>
        </w:rPr>
        <w:t>投标文件的合规性、完整性和有效性进行审查、比较和评估，其中对</w:t>
      </w:r>
      <w:r>
        <w:rPr>
          <w:rFonts w:hint="eastAsia" w:ascii="宋体" w:hAnsi="宋体"/>
          <w:color w:val="auto"/>
          <w:sz w:val="24"/>
          <w:szCs w:val="24"/>
        </w:rPr>
        <w:t>供应商</w:t>
      </w:r>
      <w:r>
        <w:rPr>
          <w:rFonts w:hint="eastAsia" w:ascii="宋体" w:hAnsi="宋体"/>
          <w:color w:val="auto"/>
          <w:sz w:val="24"/>
        </w:rPr>
        <w:t>的资格条件、主要技术参数、商务报价和其他评审要素等，评审专家应逐项进行审查、比较，不得漏评少评。如发现与招标文件要求相偏离的，应对其偏离情形进行必要的核实，并在工作底稿中予以说明；如属于实质性偏离或符合无效投标文件的，可询问</w:t>
      </w:r>
      <w:r>
        <w:rPr>
          <w:rFonts w:hint="eastAsia" w:ascii="宋体" w:hAnsi="宋体"/>
          <w:color w:val="auto"/>
          <w:sz w:val="24"/>
          <w:szCs w:val="24"/>
        </w:rPr>
        <w:t>供应商</w:t>
      </w:r>
      <w:r>
        <w:rPr>
          <w:rFonts w:hint="eastAsia" w:ascii="宋体" w:hAnsi="宋体"/>
          <w:color w:val="auto"/>
          <w:sz w:val="24"/>
        </w:rPr>
        <w:t>，并允许</w:t>
      </w:r>
      <w:r>
        <w:rPr>
          <w:rFonts w:hint="eastAsia" w:ascii="宋体" w:hAnsi="宋体"/>
          <w:color w:val="auto"/>
          <w:sz w:val="24"/>
          <w:szCs w:val="24"/>
        </w:rPr>
        <w:t>供应商</w:t>
      </w:r>
      <w:r>
        <w:rPr>
          <w:rFonts w:hint="eastAsia" w:ascii="宋体" w:hAnsi="宋体"/>
          <w:color w:val="auto"/>
          <w:sz w:val="24"/>
        </w:rPr>
        <w:t>进行陈述申辩，但不允许其对偏离条款进行补充、修正或撤回。</w:t>
      </w:r>
    </w:p>
    <w:p>
      <w:pPr>
        <w:spacing w:line="360" w:lineRule="auto"/>
        <w:ind w:firstLine="480" w:firstLineChars="200"/>
        <w:rPr>
          <w:rFonts w:ascii="宋体" w:hAnsi="宋体"/>
          <w:color w:val="auto"/>
          <w:sz w:val="24"/>
        </w:rPr>
      </w:pPr>
      <w:r>
        <w:rPr>
          <w:rFonts w:ascii="宋体" w:hAnsi="宋体"/>
          <w:color w:val="auto"/>
          <w:sz w:val="24"/>
        </w:rPr>
        <w:t>6</w:t>
      </w:r>
      <w:r>
        <w:rPr>
          <w:rFonts w:hint="eastAsia" w:ascii="宋体" w:hAnsi="宋体"/>
          <w:color w:val="auto"/>
          <w:sz w:val="24"/>
        </w:rPr>
        <w:t>.6</w:t>
      </w:r>
      <w:r>
        <w:rPr>
          <w:rFonts w:ascii="宋体" w:hAnsi="宋体"/>
          <w:color w:val="auto"/>
          <w:sz w:val="24"/>
        </w:rPr>
        <w:t xml:space="preserve"> </w:t>
      </w:r>
      <w:r>
        <w:rPr>
          <w:rFonts w:hint="eastAsia" w:ascii="宋体" w:hAnsi="宋体"/>
          <w:color w:val="auto"/>
          <w:sz w:val="24"/>
        </w:rPr>
        <w:t>采购人、采购代理机构不得向评标委员会的评审专家作倾向性、误导性的解释或者说明。</w:t>
      </w:r>
    </w:p>
    <w:p>
      <w:pPr>
        <w:spacing w:line="360" w:lineRule="auto"/>
        <w:ind w:firstLine="480" w:firstLineChars="200"/>
        <w:rPr>
          <w:rFonts w:ascii="宋体" w:hAnsi="宋体"/>
          <w:color w:val="auto"/>
          <w:sz w:val="24"/>
        </w:rPr>
      </w:pPr>
      <w:r>
        <w:rPr>
          <w:rFonts w:ascii="宋体" w:hAnsi="宋体"/>
          <w:color w:val="auto"/>
          <w:sz w:val="24"/>
        </w:rPr>
        <w:t>6</w:t>
      </w:r>
      <w:r>
        <w:rPr>
          <w:rFonts w:hint="eastAsia" w:ascii="宋体" w:hAnsi="宋体"/>
          <w:color w:val="auto"/>
          <w:sz w:val="24"/>
        </w:rPr>
        <w:t>.7</w:t>
      </w:r>
      <w:r>
        <w:rPr>
          <w:rFonts w:ascii="宋体" w:hAnsi="宋体"/>
          <w:color w:val="auto"/>
          <w:sz w:val="24"/>
        </w:rPr>
        <w:t xml:space="preserve"> </w:t>
      </w:r>
      <w:r>
        <w:rPr>
          <w:rFonts w:hint="eastAsia" w:ascii="宋体" w:hAnsi="宋体"/>
          <w:color w:val="auto"/>
          <w:sz w:val="24"/>
        </w:rPr>
        <w:t>采购代理机构应当为评审专家提供必要的评审条件和相应的评审工作底稿，并严格按规定程序组织评审专家有步骤地进行项目评审，对各评审专家的评审情况和评审意见进行合理性和合规性审查，对明显畸高、畸低的重大差异评审情况（其评审小组成员个人主观打分偏离所有评审小组成员主观打分平均值30%以上），提醒相关评审专家进行复核或书面说明理由。</w:t>
      </w:r>
    </w:p>
    <w:p>
      <w:pPr>
        <w:spacing w:line="360" w:lineRule="auto"/>
        <w:ind w:firstLine="480" w:firstLineChars="200"/>
        <w:rPr>
          <w:rFonts w:ascii="宋体" w:hAnsi="宋体"/>
          <w:color w:val="auto"/>
          <w:sz w:val="24"/>
        </w:rPr>
      </w:pPr>
      <w:r>
        <w:rPr>
          <w:rFonts w:ascii="宋体" w:hAnsi="宋体"/>
          <w:color w:val="auto"/>
          <w:sz w:val="24"/>
          <w:szCs w:val="21"/>
        </w:rPr>
        <w:t>6</w:t>
      </w:r>
      <w:r>
        <w:rPr>
          <w:rFonts w:hint="eastAsia" w:ascii="宋体" w:hAnsi="宋体"/>
          <w:color w:val="auto"/>
          <w:sz w:val="24"/>
          <w:szCs w:val="21"/>
        </w:rPr>
        <w:t>.8</w:t>
      </w:r>
      <w:r>
        <w:rPr>
          <w:rFonts w:ascii="宋体" w:hAnsi="宋体"/>
          <w:color w:val="auto"/>
          <w:sz w:val="24"/>
          <w:szCs w:val="21"/>
        </w:rPr>
        <w:t xml:space="preserve"> </w:t>
      </w:r>
      <w:r>
        <w:rPr>
          <w:rFonts w:hint="eastAsia" w:ascii="宋体" w:hAnsi="宋体"/>
          <w:color w:val="auto"/>
          <w:sz w:val="24"/>
          <w:szCs w:val="21"/>
        </w:rPr>
        <w:t>评审专家在评审过程中不得将自己的观点强加给其他评审专家，评审专家应自主发表见解，对评审意见承担个人责任。</w:t>
      </w:r>
    </w:p>
    <w:p>
      <w:pPr>
        <w:spacing w:line="360" w:lineRule="auto"/>
        <w:ind w:firstLine="480" w:firstLineChars="200"/>
        <w:rPr>
          <w:rFonts w:ascii="宋体" w:hAnsi="宋体"/>
          <w:color w:val="auto"/>
          <w:sz w:val="24"/>
        </w:rPr>
      </w:pPr>
      <w:r>
        <w:rPr>
          <w:rFonts w:ascii="宋体" w:hAnsi="宋体"/>
          <w:color w:val="auto"/>
          <w:sz w:val="24"/>
        </w:rPr>
        <w:t>6</w:t>
      </w:r>
      <w:r>
        <w:rPr>
          <w:rFonts w:hint="eastAsia" w:ascii="宋体" w:hAnsi="宋体"/>
          <w:color w:val="auto"/>
          <w:sz w:val="24"/>
        </w:rPr>
        <w:t>.9</w:t>
      </w:r>
      <w:r>
        <w:rPr>
          <w:rFonts w:ascii="宋体" w:hAnsi="宋体"/>
          <w:color w:val="auto"/>
          <w:sz w:val="24"/>
        </w:rPr>
        <w:t xml:space="preserve"> </w:t>
      </w:r>
      <w:r>
        <w:rPr>
          <w:rFonts w:hint="eastAsia" w:ascii="宋体" w:hAnsi="宋体"/>
          <w:color w:val="auto"/>
          <w:sz w:val="24"/>
        </w:rPr>
        <w:t>评审结束后，评标委员会应向采购代理机构提交项目评审报告。评审报告是采购人确定中标人的合法依据，评标委员会应当如实、客观地反映评审情况，按招标文件的评审办法和细则的规定推荐中标候选人，说明推荐理由，并重点对中标候选人的技术、服务和价格等情况进行评价和比较。如排名第一的</w:t>
      </w:r>
      <w:r>
        <w:rPr>
          <w:rFonts w:hint="eastAsia" w:ascii="宋体" w:hAnsi="宋体"/>
          <w:color w:val="auto"/>
          <w:sz w:val="24"/>
          <w:szCs w:val="24"/>
        </w:rPr>
        <w:t>供应商</w:t>
      </w:r>
      <w:r>
        <w:rPr>
          <w:rFonts w:hint="eastAsia" w:ascii="宋体" w:hAnsi="宋体"/>
          <w:color w:val="auto"/>
          <w:sz w:val="24"/>
        </w:rPr>
        <w:t>报价为最高报价的，评审报告中须对其报价的合理性等进行分析和特别说明。</w:t>
      </w:r>
    </w:p>
    <w:p>
      <w:pPr>
        <w:spacing w:line="360" w:lineRule="auto"/>
        <w:ind w:firstLine="480" w:firstLineChars="200"/>
        <w:rPr>
          <w:rFonts w:ascii="宋体" w:hAnsi="宋体"/>
          <w:color w:val="auto"/>
          <w:sz w:val="24"/>
        </w:rPr>
      </w:pPr>
      <w:r>
        <w:rPr>
          <w:rFonts w:ascii="宋体" w:hAnsi="宋体"/>
          <w:color w:val="auto"/>
          <w:sz w:val="24"/>
        </w:rPr>
        <w:t>6</w:t>
      </w:r>
      <w:r>
        <w:rPr>
          <w:rFonts w:hint="eastAsia" w:ascii="宋体" w:hAnsi="宋体"/>
          <w:color w:val="auto"/>
          <w:sz w:val="24"/>
        </w:rPr>
        <w:t>.10</w:t>
      </w:r>
      <w:r>
        <w:rPr>
          <w:rFonts w:ascii="宋体" w:hAnsi="宋体"/>
          <w:color w:val="auto"/>
          <w:sz w:val="24"/>
        </w:rPr>
        <w:t xml:space="preserve"> </w:t>
      </w:r>
      <w:r>
        <w:rPr>
          <w:rFonts w:hint="eastAsia" w:ascii="宋体" w:hAnsi="宋体"/>
          <w:color w:val="auto"/>
          <w:sz w:val="24"/>
        </w:rPr>
        <w:t>评审专家应当独立、客观、公正地提出评审意见，不得带有倾向性，不得影响其他评审专家评审，并在评审报告上签字；如对评审报告有异议的，可在报告上签署不同意见，并说明理由，否则将视为同意。</w:t>
      </w:r>
    </w:p>
    <w:p>
      <w:pPr>
        <w:spacing w:line="360" w:lineRule="auto"/>
        <w:ind w:firstLine="480" w:firstLineChars="200"/>
        <w:rPr>
          <w:rFonts w:ascii="宋体" w:hAnsi="宋体"/>
          <w:color w:val="auto"/>
          <w:sz w:val="24"/>
        </w:rPr>
      </w:pPr>
      <w:r>
        <w:rPr>
          <w:rFonts w:ascii="宋体" w:hAnsi="宋体"/>
          <w:color w:val="auto"/>
          <w:sz w:val="24"/>
        </w:rPr>
        <w:t>6</w:t>
      </w:r>
      <w:r>
        <w:rPr>
          <w:rFonts w:hint="eastAsia" w:ascii="宋体" w:hAnsi="宋体"/>
          <w:color w:val="auto"/>
          <w:sz w:val="24"/>
        </w:rPr>
        <w:t>.11</w:t>
      </w:r>
      <w:r>
        <w:rPr>
          <w:rFonts w:ascii="宋体" w:hAnsi="宋体"/>
          <w:color w:val="auto"/>
          <w:sz w:val="24"/>
        </w:rPr>
        <w:t xml:space="preserve"> </w:t>
      </w:r>
      <w:r>
        <w:rPr>
          <w:rFonts w:hint="eastAsia" w:ascii="宋体" w:hAnsi="宋体"/>
          <w:color w:val="auto"/>
          <w:sz w:val="24"/>
        </w:rPr>
        <w:t>评审专家应当遵守评审工作纪律，不得泄露评审文件、评审情况和评审中获悉的商业秘密。</w:t>
      </w:r>
    </w:p>
    <w:p>
      <w:pPr>
        <w:spacing w:line="360" w:lineRule="auto"/>
        <w:ind w:firstLine="480" w:firstLineChars="200"/>
        <w:rPr>
          <w:rFonts w:ascii="宋体" w:hAnsi="宋体"/>
          <w:color w:val="auto"/>
          <w:sz w:val="24"/>
        </w:rPr>
      </w:pPr>
      <w:r>
        <w:rPr>
          <w:rFonts w:hint="eastAsia" w:ascii="宋体" w:hAnsi="宋体"/>
          <w:color w:val="auto"/>
          <w:sz w:val="24"/>
        </w:rPr>
        <w:t>评标委员会在评审过程中发现</w:t>
      </w:r>
      <w:r>
        <w:rPr>
          <w:rFonts w:hint="eastAsia" w:ascii="宋体" w:hAnsi="宋体"/>
          <w:color w:val="auto"/>
          <w:sz w:val="24"/>
          <w:szCs w:val="24"/>
        </w:rPr>
        <w:t>供应商</w:t>
      </w:r>
      <w:r>
        <w:rPr>
          <w:rFonts w:hint="eastAsia" w:ascii="宋体" w:hAnsi="宋体"/>
          <w:color w:val="auto"/>
          <w:sz w:val="24"/>
        </w:rPr>
        <w:t>有行贿、提供虚假材料或者串通等违法行为的，应当及时向财政部门报告。</w:t>
      </w:r>
    </w:p>
    <w:p>
      <w:pPr>
        <w:spacing w:line="360" w:lineRule="auto"/>
        <w:ind w:firstLine="480" w:firstLineChars="200"/>
        <w:rPr>
          <w:rFonts w:ascii="宋体" w:hAnsi="宋体"/>
          <w:color w:val="auto"/>
          <w:sz w:val="24"/>
        </w:rPr>
      </w:pPr>
      <w:r>
        <w:rPr>
          <w:rFonts w:ascii="宋体" w:hAnsi="宋体"/>
          <w:color w:val="auto"/>
          <w:sz w:val="24"/>
        </w:rPr>
        <w:t>6</w:t>
      </w:r>
      <w:r>
        <w:rPr>
          <w:rFonts w:hint="eastAsia" w:ascii="宋体" w:hAnsi="宋体"/>
          <w:color w:val="auto"/>
          <w:sz w:val="24"/>
        </w:rPr>
        <w:t>.12</w:t>
      </w:r>
      <w:r>
        <w:rPr>
          <w:rFonts w:ascii="宋体" w:hAnsi="宋体"/>
          <w:color w:val="auto"/>
          <w:sz w:val="24"/>
        </w:rPr>
        <w:t xml:space="preserve"> </w:t>
      </w:r>
      <w:r>
        <w:rPr>
          <w:rFonts w:hint="eastAsia" w:ascii="宋体" w:hAnsi="宋体"/>
          <w:color w:val="auto"/>
          <w:sz w:val="24"/>
        </w:rPr>
        <w:t>招标文件内容违反国家有关强制性规定的，评标委员会应当停止评审并向采购代理机构说明情况。</w:t>
      </w:r>
    </w:p>
    <w:p>
      <w:pPr>
        <w:spacing w:line="360" w:lineRule="auto"/>
        <w:ind w:firstLine="480" w:firstLineChars="200"/>
        <w:rPr>
          <w:rFonts w:ascii="宋体" w:hAnsi="宋体"/>
          <w:color w:val="auto"/>
          <w:sz w:val="24"/>
        </w:rPr>
      </w:pPr>
      <w:r>
        <w:rPr>
          <w:rFonts w:ascii="宋体" w:hAnsi="宋体"/>
          <w:color w:val="auto"/>
          <w:sz w:val="24"/>
        </w:rPr>
        <w:t>6</w:t>
      </w:r>
      <w:r>
        <w:rPr>
          <w:rFonts w:hint="eastAsia" w:ascii="宋体" w:hAnsi="宋体"/>
          <w:color w:val="auto"/>
          <w:sz w:val="24"/>
        </w:rPr>
        <w:t>.13</w:t>
      </w:r>
      <w:r>
        <w:rPr>
          <w:rFonts w:ascii="宋体" w:hAnsi="宋体"/>
          <w:color w:val="auto"/>
          <w:sz w:val="24"/>
        </w:rPr>
        <w:t xml:space="preserve"> </w:t>
      </w:r>
      <w:r>
        <w:rPr>
          <w:rFonts w:hint="eastAsia" w:ascii="宋体" w:hAnsi="宋体"/>
          <w:color w:val="auto"/>
          <w:sz w:val="24"/>
        </w:rPr>
        <w:t>评审专家应当配合采购代理机构答复</w:t>
      </w:r>
      <w:r>
        <w:rPr>
          <w:rFonts w:hint="eastAsia" w:ascii="宋体" w:hAnsi="宋体"/>
          <w:color w:val="auto"/>
          <w:sz w:val="24"/>
          <w:szCs w:val="24"/>
        </w:rPr>
        <w:t>供应商</w:t>
      </w:r>
      <w:r>
        <w:rPr>
          <w:rFonts w:hint="eastAsia" w:ascii="宋体" w:hAnsi="宋体"/>
          <w:color w:val="auto"/>
          <w:sz w:val="24"/>
        </w:rPr>
        <w:t>提出的质疑。</w:t>
      </w:r>
    </w:p>
    <w:p>
      <w:pPr>
        <w:spacing w:line="360" w:lineRule="auto"/>
        <w:ind w:firstLine="480" w:firstLineChars="200"/>
        <w:rPr>
          <w:rFonts w:ascii="宋体" w:hAnsi="宋体"/>
          <w:color w:val="auto"/>
          <w:sz w:val="24"/>
        </w:rPr>
      </w:pPr>
      <w:r>
        <w:rPr>
          <w:rFonts w:ascii="宋体" w:hAnsi="宋体"/>
          <w:color w:val="auto"/>
          <w:sz w:val="24"/>
        </w:rPr>
        <w:t>6</w:t>
      </w:r>
      <w:r>
        <w:rPr>
          <w:rFonts w:hint="eastAsia" w:ascii="宋体" w:hAnsi="宋体"/>
          <w:color w:val="auto"/>
          <w:sz w:val="24"/>
        </w:rPr>
        <w:t>.14</w:t>
      </w:r>
      <w:r>
        <w:rPr>
          <w:rFonts w:ascii="宋体" w:hAnsi="宋体"/>
          <w:color w:val="auto"/>
          <w:sz w:val="24"/>
        </w:rPr>
        <w:t xml:space="preserve"> </w:t>
      </w:r>
      <w:r>
        <w:rPr>
          <w:rFonts w:hint="eastAsia" w:ascii="宋体" w:hAnsi="宋体"/>
          <w:color w:val="auto"/>
          <w:sz w:val="24"/>
        </w:rPr>
        <w:t>评审专家应当配合财政部门的投诉处理工作。</w:t>
      </w:r>
    </w:p>
    <w:p>
      <w:pPr>
        <w:spacing w:line="360" w:lineRule="auto"/>
        <w:ind w:firstLine="480" w:firstLineChars="200"/>
        <w:rPr>
          <w:rFonts w:ascii="宋体" w:hAnsi="宋体"/>
          <w:color w:val="auto"/>
          <w:sz w:val="24"/>
        </w:rPr>
      </w:pPr>
      <w:r>
        <w:rPr>
          <w:rFonts w:ascii="宋体" w:hAnsi="宋体"/>
          <w:color w:val="auto"/>
          <w:sz w:val="24"/>
        </w:rPr>
        <w:t>6</w:t>
      </w:r>
      <w:r>
        <w:rPr>
          <w:rFonts w:hint="eastAsia" w:ascii="宋体" w:hAnsi="宋体"/>
          <w:color w:val="auto"/>
          <w:sz w:val="24"/>
        </w:rPr>
        <w:t>.15评审专家有如下行为之一的，责令改正，给予警告，可以并处1000元以下的罚款：</w:t>
      </w:r>
    </w:p>
    <w:p>
      <w:pPr>
        <w:spacing w:line="360" w:lineRule="auto"/>
        <w:ind w:firstLine="480" w:firstLineChars="200"/>
        <w:rPr>
          <w:rFonts w:ascii="宋体" w:hAnsi="宋体"/>
          <w:color w:val="auto"/>
          <w:sz w:val="24"/>
        </w:rPr>
      </w:pPr>
      <w:r>
        <w:rPr>
          <w:rFonts w:ascii="宋体" w:hAnsi="宋体"/>
          <w:color w:val="auto"/>
          <w:sz w:val="24"/>
        </w:rPr>
        <w:t>6</w:t>
      </w:r>
      <w:r>
        <w:rPr>
          <w:rFonts w:hint="eastAsia" w:ascii="宋体" w:hAnsi="宋体"/>
          <w:color w:val="auto"/>
          <w:sz w:val="24"/>
        </w:rPr>
        <w:t>.15.1</w:t>
      </w:r>
      <w:r>
        <w:rPr>
          <w:rFonts w:ascii="宋体" w:hAnsi="宋体"/>
          <w:color w:val="auto"/>
          <w:sz w:val="24"/>
        </w:rPr>
        <w:t xml:space="preserve"> </w:t>
      </w:r>
      <w:r>
        <w:rPr>
          <w:rFonts w:hint="eastAsia" w:ascii="宋体" w:hAnsi="宋体"/>
          <w:color w:val="auto"/>
          <w:sz w:val="24"/>
        </w:rPr>
        <w:t>明知应当回避而未主动回避的；</w:t>
      </w:r>
    </w:p>
    <w:p>
      <w:pPr>
        <w:spacing w:line="360" w:lineRule="auto"/>
        <w:ind w:firstLine="480" w:firstLineChars="200"/>
        <w:rPr>
          <w:rFonts w:ascii="宋体" w:hAnsi="宋体"/>
          <w:color w:val="auto"/>
          <w:sz w:val="24"/>
        </w:rPr>
      </w:pPr>
      <w:r>
        <w:rPr>
          <w:rFonts w:ascii="宋体" w:hAnsi="宋体"/>
          <w:color w:val="auto"/>
          <w:sz w:val="24"/>
        </w:rPr>
        <w:t>6</w:t>
      </w:r>
      <w:r>
        <w:rPr>
          <w:rFonts w:hint="eastAsia" w:ascii="宋体" w:hAnsi="宋体"/>
          <w:color w:val="auto"/>
          <w:sz w:val="24"/>
        </w:rPr>
        <w:t>.15.2</w:t>
      </w:r>
      <w:r>
        <w:rPr>
          <w:rFonts w:ascii="宋体" w:hAnsi="宋体"/>
          <w:color w:val="auto"/>
          <w:sz w:val="24"/>
        </w:rPr>
        <w:t xml:space="preserve"> </w:t>
      </w:r>
      <w:r>
        <w:rPr>
          <w:rFonts w:hint="eastAsia" w:ascii="宋体" w:hAnsi="宋体"/>
          <w:color w:val="auto"/>
          <w:sz w:val="24"/>
        </w:rPr>
        <w:t>在知道自己为评审专家身份后至评审结束前的时段内私下接触</w:t>
      </w:r>
      <w:r>
        <w:rPr>
          <w:rFonts w:hint="eastAsia" w:ascii="宋体" w:hAnsi="宋体"/>
          <w:color w:val="auto"/>
          <w:sz w:val="24"/>
          <w:szCs w:val="24"/>
        </w:rPr>
        <w:t>供应商</w:t>
      </w:r>
      <w:r>
        <w:rPr>
          <w:rFonts w:hint="eastAsia" w:ascii="宋体" w:hAnsi="宋体"/>
          <w:color w:val="auto"/>
          <w:sz w:val="24"/>
        </w:rPr>
        <w:t>的；</w:t>
      </w:r>
    </w:p>
    <w:p>
      <w:pPr>
        <w:spacing w:line="360" w:lineRule="auto"/>
        <w:ind w:firstLine="480" w:firstLineChars="200"/>
        <w:rPr>
          <w:rFonts w:ascii="宋体" w:hAnsi="宋体"/>
          <w:color w:val="auto"/>
          <w:sz w:val="24"/>
        </w:rPr>
      </w:pPr>
      <w:r>
        <w:rPr>
          <w:rFonts w:ascii="宋体" w:hAnsi="宋体"/>
          <w:color w:val="auto"/>
          <w:sz w:val="24"/>
        </w:rPr>
        <w:t>6</w:t>
      </w:r>
      <w:r>
        <w:rPr>
          <w:rFonts w:hint="eastAsia" w:ascii="宋体" w:hAnsi="宋体"/>
          <w:color w:val="auto"/>
          <w:sz w:val="24"/>
        </w:rPr>
        <w:t>.15.3</w:t>
      </w:r>
      <w:r>
        <w:rPr>
          <w:rFonts w:ascii="宋体" w:hAnsi="宋体"/>
          <w:color w:val="auto"/>
          <w:sz w:val="24"/>
        </w:rPr>
        <w:t xml:space="preserve"> </w:t>
      </w:r>
      <w:r>
        <w:rPr>
          <w:rFonts w:hint="eastAsia" w:ascii="宋体" w:hAnsi="宋体"/>
          <w:color w:val="auto"/>
          <w:sz w:val="24"/>
        </w:rPr>
        <w:t>在评审过程中擅离职守，影响评审程序正常进行的；</w:t>
      </w:r>
    </w:p>
    <w:p>
      <w:pPr>
        <w:spacing w:line="360" w:lineRule="auto"/>
        <w:ind w:firstLine="480" w:firstLineChars="200"/>
        <w:rPr>
          <w:rFonts w:ascii="宋体" w:hAnsi="宋体"/>
          <w:color w:val="auto"/>
          <w:sz w:val="24"/>
        </w:rPr>
      </w:pPr>
      <w:r>
        <w:rPr>
          <w:rFonts w:ascii="宋体" w:hAnsi="宋体"/>
          <w:color w:val="auto"/>
          <w:sz w:val="24"/>
        </w:rPr>
        <w:t>6</w:t>
      </w:r>
      <w:r>
        <w:rPr>
          <w:rFonts w:hint="eastAsia" w:ascii="宋体" w:hAnsi="宋体"/>
          <w:color w:val="auto"/>
          <w:sz w:val="24"/>
        </w:rPr>
        <w:t>.15.4</w:t>
      </w:r>
      <w:r>
        <w:rPr>
          <w:rFonts w:ascii="宋体" w:hAnsi="宋体"/>
          <w:color w:val="auto"/>
          <w:sz w:val="24"/>
        </w:rPr>
        <w:t xml:space="preserve"> </w:t>
      </w:r>
      <w:r>
        <w:rPr>
          <w:rFonts w:hint="eastAsia" w:ascii="宋体" w:hAnsi="宋体"/>
          <w:color w:val="auto"/>
          <w:sz w:val="24"/>
        </w:rPr>
        <w:t>在评审过程有明显不合理或者不正当倾向性的；</w:t>
      </w:r>
    </w:p>
    <w:p>
      <w:pPr>
        <w:spacing w:line="360" w:lineRule="auto"/>
        <w:ind w:firstLine="480" w:firstLineChars="200"/>
        <w:rPr>
          <w:rFonts w:ascii="宋体" w:hAnsi="宋体"/>
          <w:color w:val="auto"/>
          <w:sz w:val="24"/>
        </w:rPr>
      </w:pPr>
      <w:r>
        <w:rPr>
          <w:rFonts w:ascii="宋体" w:hAnsi="宋体"/>
          <w:color w:val="auto"/>
          <w:sz w:val="24"/>
        </w:rPr>
        <w:t>6</w:t>
      </w:r>
      <w:r>
        <w:rPr>
          <w:rFonts w:hint="eastAsia" w:ascii="宋体" w:hAnsi="宋体"/>
          <w:color w:val="auto"/>
          <w:sz w:val="24"/>
        </w:rPr>
        <w:t>.15.5</w:t>
      </w:r>
      <w:r>
        <w:rPr>
          <w:rFonts w:ascii="宋体" w:hAnsi="宋体"/>
          <w:color w:val="auto"/>
          <w:sz w:val="24"/>
        </w:rPr>
        <w:t xml:space="preserve"> </w:t>
      </w:r>
      <w:r>
        <w:rPr>
          <w:rFonts w:hint="eastAsia" w:ascii="宋体" w:hAnsi="宋体"/>
          <w:color w:val="auto"/>
          <w:sz w:val="24"/>
        </w:rPr>
        <w:t>未按招标文件规定的评审方法和标准进行评审的。</w:t>
      </w:r>
    </w:p>
    <w:p>
      <w:pPr>
        <w:spacing w:line="360" w:lineRule="auto"/>
        <w:ind w:firstLine="480" w:firstLineChars="200"/>
        <w:rPr>
          <w:rFonts w:ascii="宋体" w:hAnsi="宋体"/>
          <w:color w:val="auto"/>
          <w:sz w:val="24"/>
        </w:rPr>
      </w:pPr>
      <w:r>
        <w:rPr>
          <w:rFonts w:ascii="宋体" w:hAnsi="宋体"/>
          <w:color w:val="auto"/>
          <w:sz w:val="24"/>
        </w:rPr>
        <w:t>6</w:t>
      </w:r>
      <w:r>
        <w:rPr>
          <w:rFonts w:hint="eastAsia" w:ascii="宋体" w:hAnsi="宋体"/>
          <w:color w:val="auto"/>
          <w:sz w:val="24"/>
        </w:rPr>
        <w:t>.15.6</w:t>
      </w:r>
      <w:r>
        <w:rPr>
          <w:rFonts w:ascii="宋体" w:hAnsi="宋体"/>
          <w:color w:val="auto"/>
          <w:sz w:val="24"/>
        </w:rPr>
        <w:t xml:space="preserve"> </w:t>
      </w:r>
      <w:r>
        <w:rPr>
          <w:rFonts w:hint="eastAsia" w:ascii="宋体" w:hAnsi="宋体"/>
          <w:color w:val="auto"/>
          <w:sz w:val="24"/>
        </w:rPr>
        <w:t>上述</w:t>
      </w:r>
      <w:r>
        <w:rPr>
          <w:rFonts w:ascii="宋体" w:hAnsi="宋体"/>
          <w:color w:val="auto"/>
          <w:sz w:val="24"/>
        </w:rPr>
        <w:t>6</w:t>
      </w:r>
      <w:r>
        <w:rPr>
          <w:rFonts w:hint="eastAsia" w:ascii="宋体" w:hAnsi="宋体"/>
          <w:color w:val="auto"/>
          <w:sz w:val="24"/>
        </w:rPr>
        <w:t>.15.1至</w:t>
      </w:r>
      <w:r>
        <w:rPr>
          <w:rFonts w:ascii="宋体" w:hAnsi="宋体"/>
          <w:color w:val="auto"/>
          <w:sz w:val="24"/>
        </w:rPr>
        <w:t>6</w:t>
      </w:r>
      <w:r>
        <w:rPr>
          <w:rFonts w:hint="eastAsia" w:ascii="宋体" w:hAnsi="宋体"/>
          <w:color w:val="auto"/>
          <w:sz w:val="24"/>
        </w:rPr>
        <w:t>.15.5行为影响中标结果的，中标结果无效。</w:t>
      </w:r>
    </w:p>
    <w:p>
      <w:pPr>
        <w:spacing w:line="360" w:lineRule="auto"/>
        <w:ind w:firstLine="480" w:firstLineChars="200"/>
        <w:rPr>
          <w:rFonts w:ascii="宋体" w:hAnsi="宋体"/>
          <w:color w:val="auto"/>
          <w:sz w:val="24"/>
        </w:rPr>
      </w:pPr>
      <w:r>
        <w:rPr>
          <w:rFonts w:ascii="宋体" w:hAnsi="宋体"/>
          <w:color w:val="auto"/>
          <w:sz w:val="24"/>
        </w:rPr>
        <w:t>6</w:t>
      </w:r>
      <w:r>
        <w:rPr>
          <w:rFonts w:hint="eastAsia" w:ascii="宋体" w:hAnsi="宋体"/>
          <w:color w:val="auto"/>
          <w:sz w:val="24"/>
        </w:rPr>
        <w:t>.16</w:t>
      </w:r>
      <w:r>
        <w:rPr>
          <w:rFonts w:ascii="宋体" w:hAnsi="宋体"/>
          <w:color w:val="auto"/>
          <w:sz w:val="24"/>
        </w:rPr>
        <w:t xml:space="preserve"> </w:t>
      </w:r>
      <w:r>
        <w:rPr>
          <w:rFonts w:hint="eastAsia" w:ascii="宋体" w:hAnsi="宋体"/>
          <w:color w:val="auto"/>
          <w:sz w:val="24"/>
        </w:rPr>
        <w:t>采购代理机构可对各评审专家的专业技术水平和职业道德素质等情况进行评价，并可将评价意见在评审结束后2个工作日内反馈给财政部门，财政部门以此作为对评审专家的考核管理依据。</w:t>
      </w:r>
    </w:p>
    <w:p>
      <w:pPr>
        <w:spacing w:line="360" w:lineRule="auto"/>
        <w:ind w:firstLine="480" w:firstLineChars="200"/>
        <w:rPr>
          <w:rFonts w:ascii="宋体" w:hAnsi="宋体"/>
          <w:color w:val="auto"/>
          <w:sz w:val="24"/>
        </w:rPr>
      </w:pPr>
      <w:r>
        <w:rPr>
          <w:rFonts w:ascii="宋体" w:hAnsi="宋体"/>
          <w:color w:val="auto"/>
          <w:sz w:val="24"/>
        </w:rPr>
        <w:t>6</w:t>
      </w:r>
      <w:r>
        <w:rPr>
          <w:rFonts w:hint="eastAsia" w:ascii="宋体" w:hAnsi="宋体"/>
          <w:color w:val="auto"/>
          <w:sz w:val="24"/>
        </w:rPr>
        <w:t>.17</w:t>
      </w:r>
      <w:r>
        <w:rPr>
          <w:rFonts w:ascii="宋体" w:hAnsi="宋体"/>
          <w:color w:val="auto"/>
          <w:sz w:val="24"/>
        </w:rPr>
        <w:t xml:space="preserve"> </w:t>
      </w:r>
      <w:r>
        <w:rPr>
          <w:rFonts w:hint="eastAsia" w:ascii="宋体" w:hAnsi="宋体"/>
          <w:color w:val="auto"/>
          <w:sz w:val="24"/>
        </w:rPr>
        <w:t>采购评审专家未按照招标文件规定的评审程序、评审方法和评审标准进行独立评审或者泄露评审文件、评审情况的，由财政部门给予警告，并处2000元以上20000元以下的罚款；影响中标、中标结果的，处20000元以上50000元以下的罚款，禁止其参加采购评审活动。</w:t>
      </w:r>
    </w:p>
    <w:p>
      <w:pPr>
        <w:spacing w:line="360" w:lineRule="auto"/>
        <w:ind w:firstLine="480" w:firstLineChars="200"/>
        <w:rPr>
          <w:rFonts w:ascii="宋体" w:hAnsi="宋体"/>
          <w:color w:val="auto"/>
          <w:sz w:val="24"/>
        </w:rPr>
      </w:pPr>
      <w:r>
        <w:rPr>
          <w:rFonts w:hint="eastAsia" w:ascii="宋体" w:hAnsi="宋体"/>
          <w:color w:val="auto"/>
          <w:sz w:val="24"/>
        </w:rPr>
        <w:t>采购评审专家与</w:t>
      </w:r>
      <w:r>
        <w:rPr>
          <w:rFonts w:hint="eastAsia" w:ascii="宋体" w:hAnsi="宋体"/>
          <w:color w:val="auto"/>
          <w:sz w:val="24"/>
          <w:szCs w:val="24"/>
        </w:rPr>
        <w:t>供应商</w:t>
      </w:r>
      <w:r>
        <w:rPr>
          <w:rFonts w:hint="eastAsia" w:ascii="宋体" w:hAnsi="宋体"/>
          <w:color w:val="auto"/>
          <w:sz w:val="24"/>
        </w:rPr>
        <w:t>存在利害关系未回避的，处20000元以上50000元以下的罚款，禁止其参加采购评审活动。</w:t>
      </w:r>
    </w:p>
    <w:p>
      <w:pPr>
        <w:spacing w:line="360" w:lineRule="auto"/>
        <w:ind w:firstLine="480" w:firstLineChars="200"/>
        <w:rPr>
          <w:rFonts w:ascii="宋体" w:hAnsi="宋体"/>
          <w:color w:val="auto"/>
          <w:sz w:val="24"/>
        </w:rPr>
      </w:pPr>
      <w:r>
        <w:rPr>
          <w:rFonts w:hint="eastAsia" w:ascii="宋体" w:hAnsi="宋体"/>
          <w:color w:val="auto"/>
          <w:sz w:val="24"/>
        </w:rPr>
        <w:t>采购评审专家收受采购人、采购代理机构、</w:t>
      </w:r>
      <w:r>
        <w:rPr>
          <w:rFonts w:hint="eastAsia" w:ascii="宋体" w:hAnsi="宋体"/>
          <w:color w:val="auto"/>
          <w:sz w:val="24"/>
          <w:szCs w:val="24"/>
        </w:rPr>
        <w:t>供应商</w:t>
      </w:r>
      <w:r>
        <w:rPr>
          <w:rFonts w:hint="eastAsia" w:ascii="宋体" w:hAnsi="宋体"/>
          <w:color w:val="auto"/>
          <w:sz w:val="24"/>
        </w:rPr>
        <w:t>贿赂或者获取其他不正当利益，构成犯罪的，依法追究刑事责任；尚不构成犯罪的，处20000元以上50000元以下的罚款，禁止其参加采购评审活动。</w:t>
      </w:r>
    </w:p>
    <w:p>
      <w:pPr>
        <w:pStyle w:val="29"/>
        <w:snapToGrid/>
        <w:spacing w:line="360" w:lineRule="auto"/>
        <w:ind w:firstLineChars="200"/>
        <w:rPr>
          <w:rFonts w:ascii="宋体" w:hAnsi="宋体" w:cs="宋体"/>
          <w:color w:val="auto"/>
        </w:rPr>
      </w:pPr>
      <w:r>
        <w:rPr>
          <w:rFonts w:hint="eastAsia" w:ascii="宋体" w:hAnsi="宋体" w:eastAsia="宋体"/>
          <w:color w:val="auto"/>
        </w:rPr>
        <w:t>采购评审专家有上述违法行为的，其评审意见无效，不得获取评审费；有违法所得的，没收违法所得；给他人造成损失的，依法承担民事责任</w:t>
      </w:r>
      <w:r>
        <w:rPr>
          <w:rFonts w:hint="eastAsia" w:ascii="宋体" w:hAnsi="宋体"/>
          <w:color w:val="auto"/>
        </w:rPr>
        <w:t>。</w:t>
      </w:r>
    </w:p>
    <w:p>
      <w:pPr>
        <w:rPr>
          <w:rFonts w:ascii="宋体" w:hAnsi="宋体" w:cs="宋体"/>
          <w:color w:val="auto"/>
          <w:sz w:val="24"/>
          <w:szCs w:val="24"/>
        </w:rPr>
      </w:pPr>
      <w:bookmarkStart w:id="320" w:name="_Toc34895626"/>
      <w:r>
        <w:rPr>
          <w:rFonts w:hint="eastAsia" w:ascii="宋体" w:hAnsi="宋体" w:cs="宋体"/>
          <w:color w:val="auto"/>
          <w:sz w:val="24"/>
          <w:szCs w:val="24"/>
        </w:rPr>
        <w:br w:type="page"/>
      </w:r>
    </w:p>
    <w:p>
      <w:pPr>
        <w:pStyle w:val="44"/>
        <w:spacing w:before="0" w:after="0" w:line="360" w:lineRule="auto"/>
        <w:jc w:val="left"/>
        <w:rPr>
          <w:rFonts w:ascii="宋体" w:hAnsi="宋体" w:cs="宋体"/>
          <w:sz w:val="24"/>
          <w:szCs w:val="24"/>
        </w:rPr>
      </w:pPr>
      <w:r>
        <w:rPr>
          <w:rFonts w:hint="eastAsia" w:ascii="宋体" w:hAnsi="宋体" w:cs="宋体"/>
          <w:sz w:val="24"/>
          <w:szCs w:val="24"/>
        </w:rPr>
        <w:t>附件：采购活动现场确认声明书</w:t>
      </w:r>
      <w:bookmarkEnd w:id="320"/>
    </w:p>
    <w:p>
      <w:pPr>
        <w:spacing w:line="360" w:lineRule="auto"/>
        <w:jc w:val="center"/>
        <w:rPr>
          <w:rFonts w:ascii="宋体" w:hAnsi="宋体" w:cs="宋体"/>
          <w:b/>
          <w:sz w:val="24"/>
          <w:szCs w:val="24"/>
        </w:rPr>
      </w:pPr>
      <w:r>
        <w:rPr>
          <w:rFonts w:hint="eastAsia" w:ascii="宋体" w:hAnsi="宋体" w:cs="宋体"/>
          <w:b/>
          <w:sz w:val="24"/>
          <w:szCs w:val="24"/>
        </w:rPr>
        <w:t>采购活动现场确认声明书</w:t>
      </w:r>
    </w:p>
    <w:p>
      <w:pPr>
        <w:spacing w:line="360" w:lineRule="auto"/>
        <w:jc w:val="left"/>
        <w:rPr>
          <w:rFonts w:ascii="宋体" w:hAnsi="宋体" w:cs="宋体"/>
          <w:sz w:val="24"/>
          <w:szCs w:val="24"/>
          <w:u w:val="single"/>
        </w:rPr>
      </w:pPr>
      <w:r>
        <w:rPr>
          <w:rFonts w:hint="eastAsia" w:ascii="宋体" w:hAnsi="宋体" w:cs="宋体"/>
          <w:sz w:val="24"/>
          <w:szCs w:val="24"/>
          <w:u w:val="single"/>
        </w:rPr>
        <w:t>浙江环德轩宇项目管理咨询有限公司：</w:t>
      </w:r>
    </w:p>
    <w:p>
      <w:pPr>
        <w:spacing w:line="360" w:lineRule="auto"/>
        <w:rPr>
          <w:rFonts w:ascii="宋体" w:hAnsi="宋体" w:cs="宋体"/>
          <w:sz w:val="24"/>
          <w:szCs w:val="24"/>
        </w:rPr>
      </w:pPr>
      <w:r>
        <w:rPr>
          <w:rFonts w:hint="eastAsia" w:ascii="宋体" w:hAnsi="宋体" w:cs="宋体"/>
          <w:sz w:val="24"/>
          <w:szCs w:val="24"/>
        </w:rPr>
        <w:t xml:space="preserve">    本人经由</w:t>
      </w:r>
      <w:r>
        <w:rPr>
          <w:rFonts w:hint="eastAsia" w:ascii="宋体" w:hAnsi="宋体" w:cs="宋体"/>
          <w:sz w:val="24"/>
          <w:szCs w:val="24"/>
          <w:u w:val="single"/>
        </w:rPr>
        <w:t xml:space="preserve">   （公司名称）      </w:t>
      </w:r>
      <w:r>
        <w:rPr>
          <w:rFonts w:hint="eastAsia" w:ascii="宋体" w:hAnsi="宋体" w:cs="宋体"/>
          <w:sz w:val="24"/>
          <w:szCs w:val="24"/>
        </w:rPr>
        <w:t>法定代表人（负责人）</w:t>
      </w:r>
      <w:r>
        <w:rPr>
          <w:rFonts w:hint="eastAsia" w:ascii="宋体" w:hAnsi="宋体" w:cs="宋体"/>
          <w:sz w:val="24"/>
          <w:szCs w:val="24"/>
          <w:u w:val="single"/>
        </w:rPr>
        <w:t xml:space="preserve">       </w:t>
      </w:r>
      <w:r>
        <w:rPr>
          <w:rFonts w:hint="eastAsia" w:ascii="宋体" w:hAnsi="宋体" w:cs="宋体"/>
          <w:sz w:val="24"/>
          <w:szCs w:val="24"/>
        </w:rPr>
        <w:t>，合法授权参加</w:t>
      </w:r>
      <w:r>
        <w:rPr>
          <w:rFonts w:hint="eastAsia" w:ascii="宋体" w:hAnsi="宋体" w:cs="宋体"/>
          <w:sz w:val="24"/>
          <w:szCs w:val="24"/>
          <w:u w:val="single"/>
        </w:rPr>
        <w:t xml:space="preserve">（项目名称）（项目编号：XXXX） </w:t>
      </w:r>
      <w:r>
        <w:rPr>
          <w:rFonts w:hint="eastAsia" w:ascii="宋体" w:hAnsi="宋体" w:cs="宋体"/>
          <w:sz w:val="24"/>
          <w:szCs w:val="24"/>
        </w:rPr>
        <w:t>采购活动，经与本单位法人代表（负责人）联系确认，现就有关公平竞争事项郑重声明如下：</w:t>
      </w:r>
    </w:p>
    <w:p>
      <w:pPr>
        <w:spacing w:line="360" w:lineRule="auto"/>
        <w:rPr>
          <w:rFonts w:ascii="宋体" w:hAnsi="宋体" w:cs="宋体"/>
          <w:sz w:val="24"/>
          <w:szCs w:val="24"/>
        </w:rPr>
      </w:pPr>
      <w:r>
        <w:rPr>
          <w:rFonts w:hint="eastAsia" w:ascii="宋体" w:hAnsi="宋体" w:cs="宋体"/>
          <w:sz w:val="24"/>
          <w:szCs w:val="24"/>
        </w:rPr>
        <w:t xml:space="preserve">    一、本单位与采购人之间 □不存在利害关系 □存在下列利害关系</w:t>
      </w:r>
      <w:r>
        <w:rPr>
          <w:rFonts w:hint="eastAsia" w:ascii="宋体" w:hAnsi="宋体" w:cs="宋体"/>
          <w:sz w:val="24"/>
          <w:szCs w:val="24"/>
          <w:u w:val="single"/>
        </w:rPr>
        <w:t xml:space="preserve">         </w:t>
      </w:r>
    </w:p>
    <w:p>
      <w:pPr>
        <w:spacing w:line="360" w:lineRule="auto"/>
        <w:rPr>
          <w:rFonts w:ascii="宋体" w:hAnsi="宋体" w:cs="宋体"/>
          <w:sz w:val="24"/>
          <w:szCs w:val="24"/>
        </w:rPr>
      </w:pPr>
      <w:r>
        <w:rPr>
          <w:rFonts w:hint="eastAsia" w:ascii="宋体" w:hAnsi="宋体" w:cs="宋体"/>
          <w:sz w:val="24"/>
          <w:szCs w:val="24"/>
        </w:rPr>
        <w:t xml:space="preserve">    A.投资关系    B.行政隶属关系    C.业务指导关系</w:t>
      </w:r>
    </w:p>
    <w:p>
      <w:pPr>
        <w:spacing w:line="360" w:lineRule="auto"/>
        <w:ind w:firstLine="480"/>
        <w:rPr>
          <w:rFonts w:ascii="宋体" w:hAnsi="宋体" w:cs="宋体"/>
          <w:sz w:val="24"/>
          <w:szCs w:val="24"/>
          <w:u w:val="single"/>
        </w:rPr>
      </w:pPr>
      <w:r>
        <w:rPr>
          <w:rFonts w:hint="eastAsia" w:ascii="宋体" w:hAnsi="宋体" w:cs="宋体"/>
          <w:sz w:val="24"/>
          <w:szCs w:val="24"/>
        </w:rPr>
        <w:t>D.其他可能影响采购公正的利害关系（如有，请如实说明）</w:t>
      </w:r>
      <w:r>
        <w:rPr>
          <w:rFonts w:hint="eastAsia" w:ascii="宋体" w:hAnsi="宋体" w:cs="宋体"/>
          <w:sz w:val="24"/>
          <w:szCs w:val="24"/>
          <w:u w:val="single"/>
        </w:rPr>
        <w:t xml:space="preserve">              </w:t>
      </w:r>
    </w:p>
    <w:p>
      <w:pPr>
        <w:spacing w:line="360" w:lineRule="auto"/>
        <w:ind w:firstLine="480"/>
        <w:rPr>
          <w:rFonts w:ascii="宋体" w:hAnsi="宋体" w:cs="宋体"/>
          <w:sz w:val="24"/>
          <w:szCs w:val="24"/>
        </w:rPr>
      </w:pPr>
      <w:r>
        <w:rPr>
          <w:rFonts w:hint="eastAsia" w:ascii="宋体" w:hAnsi="宋体" w:cs="宋体"/>
          <w:sz w:val="24"/>
          <w:szCs w:val="24"/>
        </w:rPr>
        <w:t>二、现已清楚知道参加本项目采购活动的其他所有供应商名称，本单位</w:t>
      </w:r>
    </w:p>
    <w:p>
      <w:pPr>
        <w:spacing w:line="360" w:lineRule="auto"/>
        <w:ind w:firstLine="480"/>
        <w:rPr>
          <w:rFonts w:ascii="宋体" w:hAnsi="宋体" w:cs="宋体"/>
          <w:sz w:val="24"/>
          <w:szCs w:val="24"/>
        </w:rPr>
      </w:pPr>
      <w:r>
        <w:rPr>
          <w:rFonts w:hint="eastAsia" w:ascii="宋体" w:hAnsi="宋体" w:cs="宋体"/>
          <w:sz w:val="24"/>
          <w:szCs w:val="24"/>
        </w:rPr>
        <w:t>□与其他所有供应商之间均不存在利害关系  □与</w:t>
      </w:r>
      <w:r>
        <w:rPr>
          <w:rFonts w:hint="eastAsia" w:ascii="宋体" w:hAnsi="宋体" w:cs="宋体"/>
          <w:sz w:val="24"/>
          <w:szCs w:val="24"/>
          <w:u w:val="single"/>
        </w:rPr>
        <w:t xml:space="preserve">（供应商名称）     </w:t>
      </w:r>
      <w:r>
        <w:rPr>
          <w:rFonts w:hint="eastAsia" w:ascii="宋体" w:hAnsi="宋体" w:cs="宋体"/>
          <w:sz w:val="24"/>
          <w:szCs w:val="24"/>
        </w:rPr>
        <w:t>之间存在下列利害关系</w:t>
      </w:r>
      <w:r>
        <w:rPr>
          <w:rFonts w:hint="eastAsia" w:ascii="宋体" w:hAnsi="宋体" w:cs="宋体"/>
          <w:sz w:val="24"/>
          <w:szCs w:val="24"/>
          <w:u w:val="single"/>
        </w:rPr>
        <w:t xml:space="preserve">        </w:t>
      </w:r>
      <w:r>
        <w:rPr>
          <w:rFonts w:hint="eastAsia" w:ascii="宋体" w:hAnsi="宋体" w:cs="宋体"/>
          <w:sz w:val="24"/>
          <w:szCs w:val="24"/>
        </w:rPr>
        <w:t>：</w:t>
      </w:r>
    </w:p>
    <w:p>
      <w:pPr>
        <w:spacing w:line="360" w:lineRule="auto"/>
        <w:rPr>
          <w:rFonts w:ascii="宋体" w:hAnsi="宋体" w:cs="宋体"/>
          <w:sz w:val="24"/>
          <w:szCs w:val="24"/>
        </w:rPr>
      </w:pPr>
      <w:r>
        <w:rPr>
          <w:rFonts w:hint="eastAsia" w:ascii="宋体" w:hAnsi="宋体" w:cs="宋体"/>
          <w:sz w:val="24"/>
          <w:szCs w:val="24"/>
        </w:rPr>
        <w:t xml:space="preserve">    A.法定代表人或负责人或实际控制人是同一人</w:t>
      </w:r>
    </w:p>
    <w:p>
      <w:pPr>
        <w:spacing w:line="360" w:lineRule="auto"/>
        <w:rPr>
          <w:rFonts w:ascii="宋体" w:hAnsi="宋体" w:cs="宋体"/>
          <w:sz w:val="24"/>
          <w:szCs w:val="24"/>
        </w:rPr>
      </w:pPr>
      <w:r>
        <w:rPr>
          <w:rFonts w:hint="eastAsia" w:ascii="宋体" w:hAnsi="宋体" w:cs="宋体"/>
          <w:sz w:val="24"/>
          <w:szCs w:val="24"/>
        </w:rPr>
        <w:t xml:space="preserve">    B.法定代表人或负责人或实际控制人是夫妻关系</w:t>
      </w:r>
    </w:p>
    <w:p>
      <w:pPr>
        <w:spacing w:line="360" w:lineRule="auto"/>
        <w:rPr>
          <w:rFonts w:ascii="宋体" w:hAnsi="宋体" w:cs="宋体"/>
          <w:sz w:val="24"/>
          <w:szCs w:val="24"/>
        </w:rPr>
      </w:pPr>
      <w:r>
        <w:rPr>
          <w:rFonts w:hint="eastAsia" w:ascii="宋体" w:hAnsi="宋体" w:cs="宋体"/>
          <w:sz w:val="24"/>
          <w:szCs w:val="24"/>
        </w:rPr>
        <w:t xml:space="preserve">    C.法定代表人或负责人或实际控制人是直系血亲关系</w:t>
      </w:r>
    </w:p>
    <w:p>
      <w:pPr>
        <w:spacing w:line="360" w:lineRule="auto"/>
        <w:rPr>
          <w:rFonts w:ascii="宋体" w:hAnsi="宋体" w:cs="宋体"/>
          <w:sz w:val="24"/>
          <w:szCs w:val="24"/>
        </w:rPr>
      </w:pPr>
      <w:r>
        <w:rPr>
          <w:rFonts w:hint="eastAsia" w:ascii="宋体" w:hAnsi="宋体" w:cs="宋体"/>
          <w:sz w:val="24"/>
          <w:szCs w:val="24"/>
        </w:rPr>
        <w:t xml:space="preserve">    D.法定代表人或负责人或实际控制人存在三代以内旁系血亲关系</w:t>
      </w:r>
    </w:p>
    <w:p>
      <w:pPr>
        <w:spacing w:line="360" w:lineRule="auto"/>
        <w:rPr>
          <w:rFonts w:ascii="宋体" w:hAnsi="宋体" w:cs="宋体"/>
          <w:sz w:val="24"/>
          <w:szCs w:val="24"/>
        </w:rPr>
      </w:pPr>
      <w:r>
        <w:rPr>
          <w:rFonts w:hint="eastAsia" w:ascii="宋体" w:hAnsi="宋体" w:cs="宋体"/>
          <w:sz w:val="24"/>
          <w:szCs w:val="24"/>
        </w:rPr>
        <w:t xml:space="preserve">    E.法定代表人或负责人或实际控制人存在近姻亲关系</w:t>
      </w:r>
    </w:p>
    <w:p>
      <w:pPr>
        <w:spacing w:line="360" w:lineRule="auto"/>
        <w:rPr>
          <w:rFonts w:ascii="宋体" w:hAnsi="宋体" w:cs="宋体"/>
          <w:sz w:val="24"/>
          <w:szCs w:val="24"/>
        </w:rPr>
      </w:pPr>
      <w:r>
        <w:rPr>
          <w:rFonts w:hint="eastAsia" w:ascii="宋体" w:hAnsi="宋体" w:cs="宋体"/>
          <w:sz w:val="24"/>
          <w:szCs w:val="24"/>
        </w:rPr>
        <w:t xml:space="preserve">    F.法定代表人或负责人或实际控制人存在股份控制或实际控制关系</w:t>
      </w:r>
    </w:p>
    <w:p>
      <w:pPr>
        <w:spacing w:line="360" w:lineRule="auto"/>
        <w:rPr>
          <w:rFonts w:ascii="宋体" w:hAnsi="宋体" w:cs="宋体"/>
          <w:sz w:val="24"/>
          <w:szCs w:val="24"/>
        </w:rPr>
      </w:pPr>
      <w:r>
        <w:rPr>
          <w:rFonts w:hint="eastAsia" w:ascii="宋体" w:hAnsi="宋体" w:cs="宋体"/>
          <w:sz w:val="24"/>
          <w:szCs w:val="24"/>
        </w:rPr>
        <w:t xml:space="preserve">    G.存在共同直接或间接投资设立子公司、联营企业和合营企业情况</w:t>
      </w:r>
    </w:p>
    <w:p>
      <w:pPr>
        <w:spacing w:line="360" w:lineRule="auto"/>
        <w:rPr>
          <w:rFonts w:ascii="宋体" w:hAnsi="宋体" w:cs="宋体"/>
          <w:sz w:val="24"/>
          <w:szCs w:val="24"/>
        </w:rPr>
      </w:pPr>
      <w:r>
        <w:rPr>
          <w:rFonts w:hint="eastAsia" w:ascii="宋体" w:hAnsi="宋体" w:cs="宋体"/>
          <w:sz w:val="24"/>
          <w:szCs w:val="24"/>
        </w:rPr>
        <w:t xml:space="preserve">    H.存在分级代理或代销关系、同一生产制造商关系、管理关系、重要业务（占主营业务收入50%以上）或重要财务往来关系（如融资）等其他实质性控制关系</w:t>
      </w:r>
    </w:p>
    <w:p>
      <w:pPr>
        <w:spacing w:line="360" w:lineRule="auto"/>
        <w:ind w:left="240" w:hanging="240" w:hangingChars="100"/>
        <w:rPr>
          <w:rFonts w:ascii="宋体" w:hAnsi="宋体" w:cs="宋体"/>
          <w:sz w:val="24"/>
          <w:szCs w:val="24"/>
        </w:rPr>
      </w:pPr>
      <w:r>
        <w:rPr>
          <w:rFonts w:hint="eastAsia" w:ascii="宋体" w:hAnsi="宋体" w:cs="宋体"/>
          <w:sz w:val="24"/>
          <w:szCs w:val="24"/>
        </w:rPr>
        <w:t xml:space="preserve">    I.其他利害关系情况 </w:t>
      </w:r>
      <w:r>
        <w:rPr>
          <w:rFonts w:hint="eastAsia" w:ascii="宋体" w:hAnsi="宋体" w:cs="宋体"/>
          <w:sz w:val="24"/>
          <w:szCs w:val="24"/>
          <w:u w:val="single"/>
        </w:rPr>
        <w:t xml:space="preserve">                 </w:t>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p>
    <w:p>
      <w:pPr>
        <w:spacing w:line="360" w:lineRule="auto"/>
        <w:ind w:firstLine="480"/>
        <w:rPr>
          <w:rFonts w:ascii="宋体" w:hAnsi="宋体" w:cs="宋体"/>
          <w:sz w:val="24"/>
          <w:szCs w:val="24"/>
        </w:rPr>
      </w:pPr>
      <w:r>
        <w:rPr>
          <w:rFonts w:hint="eastAsia" w:ascii="宋体" w:hAnsi="宋体" w:cs="宋体"/>
          <w:sz w:val="24"/>
          <w:szCs w:val="24"/>
        </w:rPr>
        <w:t>三、现已清楚知道并严格遵守政府采购法律法规和现场纪律。</w:t>
      </w:r>
    </w:p>
    <w:p>
      <w:pPr>
        <w:spacing w:line="360" w:lineRule="auto"/>
        <w:ind w:firstLine="480"/>
        <w:rPr>
          <w:rFonts w:ascii="宋体" w:hAnsi="宋体" w:cs="宋体"/>
          <w:sz w:val="24"/>
          <w:szCs w:val="24"/>
        </w:rPr>
      </w:pPr>
      <w:r>
        <w:rPr>
          <w:rFonts w:hint="eastAsia" w:ascii="宋体" w:hAnsi="宋体" w:cs="宋体"/>
          <w:sz w:val="24"/>
          <w:szCs w:val="24"/>
        </w:rPr>
        <w:t>四、我发现</w:t>
      </w:r>
      <w:r>
        <w:rPr>
          <w:rFonts w:hint="eastAsia" w:ascii="宋体" w:hAnsi="宋体" w:cs="宋体"/>
          <w:sz w:val="24"/>
          <w:szCs w:val="24"/>
          <w:u w:val="single"/>
        </w:rPr>
        <w:t xml:space="preserve">                      </w:t>
      </w:r>
      <w:r>
        <w:rPr>
          <w:rFonts w:hint="eastAsia" w:ascii="宋体" w:hAnsi="宋体" w:cs="宋体"/>
          <w:sz w:val="24"/>
          <w:szCs w:val="24"/>
        </w:rPr>
        <w:t>和</w:t>
      </w:r>
      <w:r>
        <w:rPr>
          <w:rFonts w:hint="eastAsia" w:ascii="宋体" w:hAnsi="宋体" w:cs="宋体"/>
          <w:sz w:val="24"/>
          <w:szCs w:val="24"/>
          <w:u w:val="single"/>
        </w:rPr>
        <w:t xml:space="preserve">                  </w:t>
      </w:r>
      <w:r>
        <w:rPr>
          <w:rFonts w:hint="eastAsia" w:ascii="宋体" w:hAnsi="宋体" w:cs="宋体"/>
          <w:sz w:val="24"/>
          <w:szCs w:val="24"/>
        </w:rPr>
        <w:t>供应商之间存在或可能存在上述第二条第</w:t>
      </w:r>
      <w:r>
        <w:rPr>
          <w:rFonts w:hint="eastAsia" w:ascii="宋体" w:hAnsi="宋体" w:cs="宋体"/>
          <w:sz w:val="24"/>
          <w:szCs w:val="24"/>
          <w:u w:val="single"/>
        </w:rPr>
        <w:t xml:space="preserve">        </w:t>
      </w:r>
      <w:r>
        <w:rPr>
          <w:rFonts w:hint="eastAsia" w:ascii="宋体" w:hAnsi="宋体" w:cs="宋体"/>
          <w:sz w:val="24"/>
          <w:szCs w:val="24"/>
        </w:rPr>
        <w:t xml:space="preserve">项利害关系。 </w:t>
      </w:r>
    </w:p>
    <w:p>
      <w:pPr>
        <w:spacing w:line="360" w:lineRule="auto"/>
        <w:ind w:firstLine="120" w:firstLineChars="50"/>
        <w:jc w:val="right"/>
        <w:rPr>
          <w:rFonts w:ascii="宋体" w:hAnsi="宋体" w:cs="宋体"/>
          <w:sz w:val="24"/>
          <w:szCs w:val="24"/>
        </w:rPr>
      </w:pPr>
      <w:r>
        <w:rPr>
          <w:rFonts w:hint="eastAsia" w:ascii="宋体" w:hAnsi="宋体" w:cs="宋体"/>
          <w:sz w:val="24"/>
          <w:szCs w:val="24"/>
        </w:rPr>
        <w:t xml:space="preserve">（供应商代表签名）：     </w:t>
      </w:r>
    </w:p>
    <w:p>
      <w:pPr>
        <w:spacing w:line="360" w:lineRule="auto"/>
        <w:rPr>
          <w:rFonts w:ascii="宋体" w:hAnsi="宋体" w:cs="宋体"/>
          <w:sz w:val="24"/>
          <w:szCs w:val="24"/>
        </w:rPr>
      </w:pPr>
      <w:r>
        <w:rPr>
          <w:rFonts w:hint="eastAsia" w:ascii="宋体" w:hAnsi="宋体" w:cs="宋体"/>
          <w:sz w:val="24"/>
          <w:szCs w:val="24"/>
        </w:rPr>
        <w:t xml:space="preserve">                                                          年   月   日</w:t>
      </w:r>
      <w:r>
        <w:rPr>
          <w:rFonts w:hint="eastAsia" w:ascii="宋体" w:hAnsi="宋体" w:cs="宋体"/>
          <w:sz w:val="24"/>
          <w:szCs w:val="24"/>
        </w:rPr>
        <w:tab/>
      </w:r>
      <w:r>
        <w:rPr>
          <w:rFonts w:hint="eastAsia" w:ascii="宋体" w:hAnsi="宋体" w:cs="宋体"/>
          <w:sz w:val="24"/>
          <w:szCs w:val="24"/>
        </w:rPr>
        <w:t xml:space="preserve">  </w:t>
      </w:r>
    </w:p>
    <w:p>
      <w:pPr>
        <w:rPr>
          <w:rFonts w:ascii="宋体" w:hAnsi="宋体" w:cs="宋体"/>
          <w:sz w:val="24"/>
          <w:szCs w:val="24"/>
        </w:rPr>
      </w:pPr>
      <w:r>
        <w:rPr>
          <w:rFonts w:hint="eastAsia" w:ascii="宋体" w:hAnsi="宋体" w:cs="宋体"/>
          <w:sz w:val="24"/>
          <w:szCs w:val="24"/>
        </w:rPr>
        <w:t>注：1、供应商认为有利害关系和需要回避的人员，应提供相关证明材料，与本声明书一同提交。由采购代理机构和财政监督部门负责询问核查；</w:t>
      </w:r>
    </w:p>
    <w:p>
      <w:pPr>
        <w:rPr>
          <w:rFonts w:ascii="宋体" w:hAnsi="宋体" w:cs="宋体"/>
          <w:sz w:val="24"/>
          <w:szCs w:val="24"/>
        </w:rPr>
      </w:pPr>
      <w:r>
        <w:rPr>
          <w:rFonts w:hint="eastAsia" w:ascii="宋体" w:hAnsi="宋体" w:cs="宋体"/>
          <w:sz w:val="24"/>
          <w:szCs w:val="24"/>
        </w:rPr>
        <w:t>2、该声明书在投标文件解密指令发出后30分钟内以邮件方式发送至邮箱</w:t>
      </w:r>
      <w:r>
        <w:fldChar w:fldCharType="begin"/>
      </w:r>
      <w:r>
        <w:instrText xml:space="preserve"> HYPERLINK "mailto:lsjyxggzyjyzx@163.com" </w:instrText>
      </w:r>
      <w:r>
        <w:fldChar w:fldCharType="separate"/>
      </w:r>
      <w:r>
        <w:rPr>
          <w:rFonts w:hint="eastAsia" w:ascii="宋体" w:hAnsi="宋体" w:cs="宋体"/>
          <w:sz w:val="24"/>
          <w:szCs w:val="24"/>
        </w:rPr>
        <w:t>935110941@qq.com</w:t>
      </w:r>
      <w:r>
        <w:rPr>
          <w:rFonts w:hint="eastAsia" w:ascii="宋体" w:hAnsi="宋体" w:cs="宋体"/>
          <w:sz w:val="24"/>
          <w:szCs w:val="24"/>
        </w:rPr>
        <w:fldChar w:fldCharType="end"/>
      </w:r>
      <w:r>
        <w:rPr>
          <w:rFonts w:hint="eastAsia" w:ascii="宋体" w:hAnsi="宋体" w:cs="宋体"/>
          <w:sz w:val="24"/>
          <w:szCs w:val="24"/>
        </w:rPr>
        <w:t>；</w:t>
      </w:r>
    </w:p>
    <w:p>
      <w:pPr>
        <w:rPr>
          <w:rFonts w:ascii="宋体" w:hAnsi="宋体" w:cs="宋体"/>
          <w:sz w:val="24"/>
          <w:szCs w:val="24"/>
        </w:rPr>
      </w:pPr>
      <w:r>
        <w:rPr>
          <w:rFonts w:hint="eastAsia" w:ascii="宋体" w:hAnsi="宋体" w:cs="宋体"/>
          <w:sz w:val="24"/>
          <w:szCs w:val="24"/>
        </w:rPr>
        <w:t>3、该声明书请各供应商在开标前提前准备好。</w:t>
      </w:r>
    </w:p>
    <w:sectPr>
      <w:pgSz w:w="11905" w:h="16838"/>
      <w:pgMar w:top="1440" w:right="1080" w:bottom="1440" w:left="1080" w:header="850" w:footer="850"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Helvetica">
    <w:panose1 w:val="020B0504020202030204"/>
    <w:charset w:val="00"/>
    <w:family w:val="swiss"/>
    <w:pitch w:val="default"/>
    <w:sig w:usb0="00000007" w:usb1="00000000" w:usb2="00000000" w:usb3="00000000" w:csb0="00000093" w:csb1="00000000"/>
  </w:font>
  <w:font w:name="Calibri Light">
    <w:panose1 w:val="020F0302020204030204"/>
    <w:charset w:val="00"/>
    <w:family w:val="swiss"/>
    <w:pitch w:val="default"/>
    <w:sig w:usb0="E4002EFF" w:usb1="C000247B" w:usb2="00000009" w:usb3="00000000" w:csb0="200001FF" w:csb1="00000000"/>
  </w:font>
  <w:font w:name="MS Mincho">
    <w:panose1 w:val="02020609040205080304"/>
    <w:charset w:val="80"/>
    <w:family w:val="roman"/>
    <w:pitch w:val="default"/>
    <w:sig w:usb0="A00002BF" w:usb1="68C7FCFB" w:usb2="00000010" w:usb3="00000000" w:csb0="4002009F" w:csb1="DFD70000"/>
  </w:font>
  <w:font w:name="Cambria Math">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1"/>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rFonts w:hint="eastAsia"/>
        <w:szCs w:val="20"/>
      </w:rPr>
      <w:t xml:space="preserve">浙江环德轩宇项目管理咨询有限公司                                          </w:t>
    </w:r>
    <w:r>
      <w:rPr>
        <w:rFonts w:hint="eastAsia"/>
      </w:rPr>
      <w:t xml:space="preserve"> </w:t>
    </w:r>
    <w:r>
      <w:rPr>
        <w:rFonts w:hint="eastAsia"/>
        <w:szCs w:val="20"/>
      </w:rPr>
      <w:t xml:space="preserve"> 联系电话：0578—3316398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top w:val="single" w:color="auto" w:sz="4" w:space="1"/>
        <w:left w:val="none" w:color="auto" w:sz="0" w:space="4"/>
        <w:bottom w:val="none" w:color="auto" w:sz="0" w:space="1"/>
        <w:right w:val="none" w:color="auto" w:sz="0" w:space="4"/>
      </w:pBdr>
      <w:ind w:right="360"/>
    </w:pPr>
    <w:r>
      <w:rPr>
        <w:rFonts w:hint="eastAsia"/>
        <w:szCs w:val="20"/>
      </w:rPr>
      <w:t xml:space="preserve">浙江环德轩宇项目管理咨询有限公司                                       </w:t>
    </w:r>
    <w:r>
      <w:rPr>
        <w:rFonts w:hint="eastAsia"/>
      </w:rPr>
      <w:t xml:space="preserve"> </w:t>
    </w:r>
    <w:r>
      <w:rPr>
        <w:rFonts w:hint="eastAsia"/>
        <w:szCs w:val="20"/>
      </w:rPr>
      <w:t xml:space="preserve"> 联系电话：0578—3316049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top w:val="single" w:color="auto" w:sz="4" w:space="1"/>
        <w:left w:val="none" w:color="auto" w:sz="0" w:space="4"/>
        <w:bottom w:val="none" w:color="auto" w:sz="0" w:space="1"/>
        <w:right w:val="none" w:color="auto" w:sz="0" w:space="4"/>
      </w:pBdr>
      <w:ind w:right="360"/>
    </w:pPr>
    <w:r>
      <w:rPr>
        <w:rFonts w:hint="eastAsia"/>
        <w:szCs w:val="20"/>
      </w:rPr>
      <w:t xml:space="preserve">浙江环德轩宇项目管理咨询有限公司                                          </w:t>
    </w:r>
    <w:r>
      <w:rPr>
        <w:rFonts w:hint="eastAsia"/>
      </w:rPr>
      <w:t xml:space="preserve"> </w:t>
    </w:r>
    <w:r>
      <w:rPr>
        <w:rFonts w:hint="eastAsia"/>
        <w:szCs w:val="20"/>
      </w:rPr>
      <w:t xml:space="preserve"> 联系电话：0578—3316398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2"/>
      </w:rPr>
    </w:pPr>
    <w:r>
      <w:fldChar w:fldCharType="begin"/>
    </w:r>
    <w:r>
      <w:rPr>
        <w:rStyle w:val="52"/>
        <w:highlight w:val="white"/>
      </w:rPr>
      <w:instrText xml:space="preserve">PAGE  </w:instrText>
    </w:r>
    <w:r>
      <w:fldChar w:fldCharType="separate"/>
    </w:r>
    <w:r>
      <w:rPr>
        <w:rStyle w:val="52"/>
        <w:highlight w:val="white"/>
      </w:rPr>
      <w:t>52</w:t>
    </w:r>
    <w:r>
      <w:fldChar w:fldCharType="end"/>
    </w:r>
  </w:p>
  <w:p>
    <w:pPr>
      <w:pStyle w:val="3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both"/>
      <w:rPr>
        <w:sz w:val="21"/>
        <w:szCs w:val="21"/>
      </w:rPr>
    </w:pPr>
    <w:r>
      <w:rPr>
        <w:rFonts w:hint="eastAsia"/>
        <w:sz w:val="21"/>
        <w:szCs w:val="21"/>
      </w:rPr>
      <w:t>缙云智慧环保平台建设工程政府采购项目公开招标文件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4"/>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wrap="none" lIns="0" tIns="0" rIns="0" bIns="0">
                      <a:spAutoFit/>
                    </wps:bodyPr>
                  </wps:wsp>
                </a:graphicData>
              </a:graphic>
            </wp:anchor>
          </w:drawing>
        </mc:Choice>
        <mc:Fallback>
          <w:pict>
            <v:shape id="文本框 1038"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lMeesUBAACRAwAADgAAAGRycy9lMm9Eb2MueG1srVNLbtswEN0XyB0I&#10;7mPKLlA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DW7CihLLDU78/P3b+cev88+v&#10;ZFm8LZNEvYcKM5885sbhzg2YPvsBnYn50AaTvsiJYBwFPl0ElkMkIj0qV2VZYEhgbL4gPnt+7gPE&#10;99IZkoyaBpxgFpYfHyGOqXNKqmbdvdI6T1HbvxyImTws9T72mKw47IaJ0M41J+TT4/BranHXKdEP&#10;FrVNezIbYTZ2k5FqgL89RCyc+0moI9RUDCeVGU1blVbhz3vOev6TN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LJTHnrFAQAAkQMAAA4AAAAAAAAAAQAgAAAAHgEAAGRycy9lMm9Eb2MueG1s&#10;UEsFBgAAAAAGAAYAWQEAAFUFAAAAAA==&#10;">
              <v:fill on="f" focussize="0,0"/>
              <v:stroke on="f"/>
              <v:imagedata o:title=""/>
              <o:lock v:ext="edit" aspectratio="f"/>
              <v:textbox inset="0mm,0mm,0mm,0mm" style="mso-fit-shape-to-text:t;">
                <w:txbxContent>
                  <w:p>
                    <w:pPr>
                      <w:pStyle w:val="34"/>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both"/>
    </w:pPr>
    <w:r>
      <w:rPr>
        <w:rFonts w:hint="eastAsia"/>
        <w:sz w:val="21"/>
      </w:rPr>
      <w:t>缙云县第二职业高中监控系统升级项目（第二次）</w:t>
    </w:r>
    <w:r>
      <w:rPr>
        <w:rFonts w:hint="eastAsia"/>
        <w:sz w:val="21"/>
        <w:szCs w:val="21"/>
      </w:rPr>
      <w:t>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single" w:color="auto" w:sz="4" w:space="1"/>
      </w:pBdr>
      <w:jc w:val="both"/>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4"/>
                          </w:pPr>
                          <w:r>
                            <w:t xml:space="preserve">第 </w:t>
                          </w:r>
                          <w:r>
                            <w:fldChar w:fldCharType="begin"/>
                          </w:r>
                          <w:r>
                            <w:instrText xml:space="preserve"> PAGE  \* MERGEFORMAT </w:instrText>
                          </w:r>
                          <w:r>
                            <w:fldChar w:fldCharType="separate"/>
                          </w:r>
                          <w:r>
                            <w:t>35</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wrap="none" lIns="0" tIns="0" rIns="0" bIns="0">
                      <a:spAutoFit/>
                    </wps:bodyPr>
                  </wps:wsp>
                </a:graphicData>
              </a:graphic>
            </wp:anchor>
          </w:drawing>
        </mc:Choice>
        <mc:Fallback>
          <w:pict>
            <v:shape id="文本框 1034"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zYWvsMBAACQAwAADgAAAGRycy9lMm9Eb2MueG1srVPNjtMwEL4j8Q6W&#10;79RpQ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4tgdtzjwy/dvlx+/Lj+/kmX1&#10;8lVWqA9QY+JdwNQ0vPUD7s3sB3Rm4oOKNn+REsE46nu+6iuHRER+tF6t1xWGBMbmC+Kzh+chQnon&#10;vSXZaGjEARZd+ekDpDF1TsnVnL/VxpQhGveXAzGzh+Xexx6zlYb9MBHa+/aMfHqcfUMdrjol5r1D&#10;afOazEacjf1k5BoQ3hwTFi79ZNQRaiqGgyqMpqXKm/DnvWQ9/Ej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XNha+wwEAAJADAAAOAAAAAAAAAAEAIAAAAB4BAABkcnMvZTJvRG9jLnhtbFBL&#10;BQYAAAAABgAGAFkBAABTBQAAAAA=&#10;">
              <v:fill on="f" focussize="0,0"/>
              <v:stroke on="f"/>
              <v:imagedata o:title=""/>
              <o:lock v:ext="edit" aspectratio="f"/>
              <v:textbox inset="0mm,0mm,0mm,0mm" style="mso-fit-shape-to-text:t;">
                <w:txbxContent>
                  <w:p>
                    <w:pPr>
                      <w:pStyle w:val="34"/>
                    </w:pPr>
                    <w:r>
                      <w:t xml:space="preserve">第 </w:t>
                    </w:r>
                    <w:r>
                      <w:fldChar w:fldCharType="begin"/>
                    </w:r>
                    <w:r>
                      <w:instrText xml:space="preserve"> PAGE  \* MERGEFORMAT </w:instrText>
                    </w:r>
                    <w:r>
                      <w:fldChar w:fldCharType="separate"/>
                    </w:r>
                    <w:r>
                      <w:t>35</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4"/>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wrap="none" lIns="0" tIns="0" rIns="0" bIns="0">
                      <a:spAutoFit/>
                    </wps:bodyPr>
                  </wps:wsp>
                </a:graphicData>
              </a:graphic>
            </wp:anchor>
          </w:drawing>
        </mc:Choice>
        <mc:Fallback>
          <w:pict>
            <v:shape id="文本框 103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sLSq8QBAACRAwAADgAAAGRycy9lMm9Eb2MueG1srVPNjtMwEL4j8Q6W&#10;79Rpk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3iJqAkjluc+OXH98vP35df38iy&#10;en2TJeoD1Jh5HzA3DW/9gOmzH9CZmQ8q2vxFTgTjiHa+CiyHRER+tF6t1xWGBMbmC+Kzh+chQnon&#10;vSXZaGjECRZh+ekDpDF1TsnVnL/TxpQpGveXAzGzh+Xexx6zlYb9MBHa+/aMfHocfkMd7jol5r1D&#10;bbG/NBtxNvaTkWtAeHNMWLj0k1FHqKkYTqowmrYqr8Lje8l6+JO2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EsLSq8QBAACRAwAADgAAAAAAAAABACAAAAAeAQAAZHJzL2Uyb0RvYy54bWxQ&#10;SwUGAAAAAAYABgBZAQAAVAUAAAAA&#10;">
              <v:fill on="f" focussize="0,0"/>
              <v:stroke on="f"/>
              <v:imagedata o:title=""/>
              <o:lock v:ext="edit" aspectratio="f"/>
              <v:textbox inset="0mm,0mm,0mm,0mm" style="mso-fit-shape-to-text:t;">
                <w:txbxContent>
                  <w:p>
                    <w:pPr>
                      <w:pStyle w:val="34"/>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5" name="文本框 10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4"/>
                          </w:pPr>
                          <w:r>
                            <w:t xml:space="preserve">第 </w:t>
                          </w:r>
                          <w:r>
                            <w:fldChar w:fldCharType="begin"/>
                          </w:r>
                          <w:r>
                            <w:instrText xml:space="preserve"> PAGE  \* MERGEFORMAT </w:instrText>
                          </w:r>
                          <w:r>
                            <w:fldChar w:fldCharType="separate"/>
                          </w:r>
                          <w:r>
                            <w:t>52</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wrap="none" lIns="0" tIns="0" rIns="0" bIns="0">
                      <a:spAutoFit/>
                    </wps:bodyPr>
                  </wps:wsp>
                </a:graphicData>
              </a:graphic>
            </wp:anchor>
          </w:drawing>
        </mc:Choice>
        <mc:Fallback>
          <w:pict>
            <v:shape id="文本框 1044"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71+6MQBAACRAwAADgAAAGRycy9lMm9Eb2MueG1srVPNjtMwEL4j8Q6W&#10;79RptaA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S8pcdzixC/fv11+/Lr8/EqW&#10;1c1NlqgPUGPmfcDcNLzxA6bPfkBnZj6oaPMXORGMo8Dnq8BySETkR+vVel1hSGBsviA+e3geIqS3&#10;0luSjYZGnGARlp/eQxpT55Rczfk7bUyZonF/ORAze1jufewxW2nYDxOhvW/PyKfH4TfU4a5TYt45&#10;1DbvyWzE2dhPRq4B4fUxYeHST0YdoaZiOKnCaNqqvAp/3kvWw5+0/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v71+6MQBAACRAwAADgAAAAAAAAABACAAAAAeAQAAZHJzL2Uyb0RvYy54bWxQ&#10;SwUGAAAAAAYABgBZAQAAVAUAAAAA&#10;">
              <v:fill on="f" focussize="0,0"/>
              <v:stroke on="f"/>
              <v:imagedata o:title=""/>
              <o:lock v:ext="edit" aspectratio="f"/>
              <v:textbox inset="0mm,0mm,0mm,0mm" style="mso-fit-shape-to-text:t;">
                <w:txbxContent>
                  <w:p>
                    <w:pPr>
                      <w:pStyle w:val="34"/>
                    </w:pPr>
                    <w:r>
                      <w:t xml:space="preserve">第 </w:t>
                    </w:r>
                    <w:r>
                      <w:fldChar w:fldCharType="begin"/>
                    </w:r>
                    <w:r>
                      <w:instrText xml:space="preserve"> PAGE  \* MERGEFORMAT </w:instrText>
                    </w:r>
                    <w:r>
                      <w:fldChar w:fldCharType="separate"/>
                    </w:r>
                    <w:r>
                      <w:t>52</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10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4"/>
                          </w:pPr>
                          <w:r>
                            <w:t xml:space="preserve">第 </w:t>
                          </w:r>
                          <w:r>
                            <w:fldChar w:fldCharType="begin"/>
                          </w:r>
                          <w:r>
                            <w:instrText xml:space="preserve"> PAGE  \* MERGEFORMAT </w:instrText>
                          </w:r>
                          <w:r>
                            <w:fldChar w:fldCharType="separate"/>
                          </w:r>
                          <w:r>
                            <w:t>53</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wrap="none" lIns="0" tIns="0" rIns="0" bIns="0">
                      <a:spAutoFit/>
                    </wps:bodyPr>
                  </wps:wsp>
                </a:graphicData>
              </a:graphic>
            </wp:anchor>
          </w:drawing>
        </mc:Choice>
        <mc:Fallback>
          <w:pict>
            <v:shape id="文本框 1043"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YkOtcQBAACRAwAADgAAAGRycy9lMm9Eb2MueG1srVPNjtMwEL4j8Q6W&#10;79RpF6E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hPRq4B4fUxYeHST0YdoaZiOKnCaNqqvAp/3kvWw5+0/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mYkOtcQBAACRAwAADgAAAAAAAAABACAAAAAeAQAAZHJzL2Uyb0RvYy54bWxQ&#10;SwUGAAAAAAYABgBZAQAAVAUAAAAA&#10;">
              <v:fill on="f" focussize="0,0"/>
              <v:stroke on="f"/>
              <v:imagedata o:title=""/>
              <o:lock v:ext="edit" aspectratio="f"/>
              <v:textbox inset="0mm,0mm,0mm,0mm" style="mso-fit-shape-to-text:t;">
                <w:txbxContent>
                  <w:p>
                    <w:pPr>
                      <w:pStyle w:val="34"/>
                    </w:pPr>
                    <w:r>
                      <w:t xml:space="preserve">第 </w:t>
                    </w:r>
                    <w:r>
                      <w:fldChar w:fldCharType="begin"/>
                    </w:r>
                    <w:r>
                      <w:instrText xml:space="preserve"> PAGE  \* MERGEFORMAT </w:instrText>
                    </w:r>
                    <w:r>
                      <w:fldChar w:fldCharType="separate"/>
                    </w:r>
                    <w:r>
                      <w:t>53</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4"/>
                          </w:pPr>
                          <w:r>
                            <w:t xml:space="preserve">第 </w:t>
                          </w:r>
                          <w:r>
                            <w:fldChar w:fldCharType="begin"/>
                          </w:r>
                          <w:r>
                            <w:instrText xml:space="preserve"> PAGE  \* MERGEFORMAT </w:instrText>
                          </w:r>
                          <w:r>
                            <w:fldChar w:fldCharType="separate"/>
                          </w:r>
                          <w:r>
                            <w:t>65</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wrap="none" lIns="0" tIns="0" rIns="0" bIns="0">
                      <a:spAutoFit/>
                    </wps:bodyPr>
                  </wps:wsp>
                </a:graphicData>
              </a:graphic>
            </wp:anchor>
          </w:drawing>
        </mc:Choice>
        <mc:Fallback>
          <w:pict>
            <v:shape id="文本框 1039"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b5s8QBAACRAwAADgAAAGRycy9lMm9Eb2MueG1srVNNrtMwEN4jcQfL&#10;e+q0IFS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BY34QUljluc+OX7t8uPX5efX8my&#10;ev4qS9QHqDHzLmBuGt74AdNnP6AzMx9UtPmLnAjGUeDzVWA5JCLyo/Vqva4wJDA2XxCf3T8PEdJb&#10;6S3JRkMjTrAIy0/vIY2pc0qu5vytNqZM0bi/HIiZPSz3PvaYrTTsh4nQ3rdn5NPj8BvqcNcpMe8c&#10;apv3ZDbibOwnI9eA8PqYsHDpJ6OOUFMxnFRhNG1VXoU/7yXr/k/a/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cpb5s8QBAACRAwAADgAAAAAAAAABACAAAAAeAQAAZHJzL2Uyb0RvYy54bWxQ&#10;SwUGAAAAAAYABgBZAQAAVAUAAAAA&#10;">
              <v:fill on="f" focussize="0,0"/>
              <v:stroke on="f"/>
              <v:imagedata o:title=""/>
              <o:lock v:ext="edit" aspectratio="f"/>
              <v:textbox inset="0mm,0mm,0mm,0mm" style="mso-fit-shape-to-text:t;">
                <w:txbxContent>
                  <w:p>
                    <w:pPr>
                      <w:pStyle w:val="34"/>
                    </w:pPr>
                    <w:r>
                      <w:t xml:space="preserve">第 </w:t>
                    </w:r>
                    <w:r>
                      <w:fldChar w:fldCharType="begin"/>
                    </w:r>
                    <w:r>
                      <w:instrText xml:space="preserve"> PAGE  \* MERGEFORMAT </w:instrText>
                    </w:r>
                    <w:r>
                      <w:fldChar w:fldCharType="separate"/>
                    </w:r>
                    <w:r>
                      <w:t>65</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70BB11"/>
    <w:multiLevelType w:val="singleLevel"/>
    <w:tmpl w:val="9B70BB11"/>
    <w:lvl w:ilvl="0" w:tentative="0">
      <w:start w:val="1"/>
      <w:numFmt w:val="decimal"/>
      <w:lvlText w:val="%1."/>
      <w:lvlJc w:val="left"/>
      <w:pPr>
        <w:tabs>
          <w:tab w:val="left" w:pos="312"/>
        </w:tabs>
      </w:pPr>
    </w:lvl>
  </w:abstractNum>
  <w:abstractNum w:abstractNumId="1">
    <w:nsid w:val="A39BD859"/>
    <w:multiLevelType w:val="singleLevel"/>
    <w:tmpl w:val="A39BD859"/>
    <w:lvl w:ilvl="0" w:tentative="0">
      <w:start w:val="5"/>
      <w:numFmt w:val="chineseCounting"/>
      <w:suff w:val="nothing"/>
      <w:lvlText w:val="%1、"/>
      <w:lvlJc w:val="left"/>
      <w:rPr>
        <w:rFonts w:hint="eastAsia"/>
      </w:rPr>
    </w:lvl>
  </w:abstractNum>
  <w:abstractNum w:abstractNumId="2">
    <w:nsid w:val="177B063D"/>
    <w:multiLevelType w:val="multilevel"/>
    <w:tmpl w:val="177B063D"/>
    <w:lvl w:ilvl="0" w:tentative="0">
      <w:start w:val="1"/>
      <w:numFmt w:val="decimal"/>
      <w:pStyle w:val="22"/>
      <w:lvlText w:val="%1、"/>
      <w:lvlJc w:val="left"/>
      <w:pPr>
        <w:tabs>
          <w:tab w:val="left" w:pos="360"/>
        </w:tabs>
        <w:ind w:left="360" w:hanging="360"/>
      </w:pPr>
      <w:rPr>
        <w:rFonts w:hint="eastAsia"/>
        <w:b w:val="0"/>
        <w:u w:val="no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93CA57E"/>
    <w:multiLevelType w:val="singleLevel"/>
    <w:tmpl w:val="693CA57E"/>
    <w:lvl w:ilvl="0" w:tentative="0">
      <w:start w:val="1"/>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autoHyphenation/>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mZDk1N2UwMWI4MWJlYjk3NGY2NTE1Yzg1ZDU0NzYifQ=="/>
  </w:docVars>
  <w:rsids>
    <w:rsidRoot w:val="008241EE"/>
    <w:rsid w:val="0000092F"/>
    <w:rsid w:val="00000A06"/>
    <w:rsid w:val="00001535"/>
    <w:rsid w:val="000030EF"/>
    <w:rsid w:val="0000383A"/>
    <w:rsid w:val="00003C7B"/>
    <w:rsid w:val="00004AFC"/>
    <w:rsid w:val="00004FD5"/>
    <w:rsid w:val="00007EA7"/>
    <w:rsid w:val="00010AEC"/>
    <w:rsid w:val="00012ADF"/>
    <w:rsid w:val="00012FF1"/>
    <w:rsid w:val="00013171"/>
    <w:rsid w:val="00015733"/>
    <w:rsid w:val="00015CBE"/>
    <w:rsid w:val="00016145"/>
    <w:rsid w:val="000174DF"/>
    <w:rsid w:val="000208C4"/>
    <w:rsid w:val="00020BA0"/>
    <w:rsid w:val="00020D0C"/>
    <w:rsid w:val="00023499"/>
    <w:rsid w:val="0002356A"/>
    <w:rsid w:val="000235E9"/>
    <w:rsid w:val="00023D41"/>
    <w:rsid w:val="00023DF4"/>
    <w:rsid w:val="00023FAD"/>
    <w:rsid w:val="000259F4"/>
    <w:rsid w:val="0002693D"/>
    <w:rsid w:val="0003055A"/>
    <w:rsid w:val="00031FB3"/>
    <w:rsid w:val="0003200F"/>
    <w:rsid w:val="000328E2"/>
    <w:rsid w:val="00032BF5"/>
    <w:rsid w:val="000330A5"/>
    <w:rsid w:val="00033D54"/>
    <w:rsid w:val="00037597"/>
    <w:rsid w:val="00040D71"/>
    <w:rsid w:val="00041881"/>
    <w:rsid w:val="000444CA"/>
    <w:rsid w:val="0004495D"/>
    <w:rsid w:val="00044DB2"/>
    <w:rsid w:val="00045BE7"/>
    <w:rsid w:val="00046546"/>
    <w:rsid w:val="000478C7"/>
    <w:rsid w:val="000478D4"/>
    <w:rsid w:val="00047B87"/>
    <w:rsid w:val="00047C47"/>
    <w:rsid w:val="00050B8F"/>
    <w:rsid w:val="0005124B"/>
    <w:rsid w:val="00051877"/>
    <w:rsid w:val="00051AA5"/>
    <w:rsid w:val="00051D5A"/>
    <w:rsid w:val="00052095"/>
    <w:rsid w:val="00053908"/>
    <w:rsid w:val="00054430"/>
    <w:rsid w:val="00054E45"/>
    <w:rsid w:val="00055535"/>
    <w:rsid w:val="0005629B"/>
    <w:rsid w:val="00056B63"/>
    <w:rsid w:val="00057DF4"/>
    <w:rsid w:val="00057E87"/>
    <w:rsid w:val="00060698"/>
    <w:rsid w:val="000609B4"/>
    <w:rsid w:val="00061C72"/>
    <w:rsid w:val="00061F80"/>
    <w:rsid w:val="000642F3"/>
    <w:rsid w:val="000660BA"/>
    <w:rsid w:val="0006667C"/>
    <w:rsid w:val="00066942"/>
    <w:rsid w:val="00066AE6"/>
    <w:rsid w:val="0006714F"/>
    <w:rsid w:val="0006750C"/>
    <w:rsid w:val="00070862"/>
    <w:rsid w:val="00070FE5"/>
    <w:rsid w:val="000717DD"/>
    <w:rsid w:val="00071EC4"/>
    <w:rsid w:val="00072311"/>
    <w:rsid w:val="00072AC1"/>
    <w:rsid w:val="00072BD3"/>
    <w:rsid w:val="00074470"/>
    <w:rsid w:val="000746D4"/>
    <w:rsid w:val="0007523A"/>
    <w:rsid w:val="00076636"/>
    <w:rsid w:val="00076C10"/>
    <w:rsid w:val="000774B7"/>
    <w:rsid w:val="00080482"/>
    <w:rsid w:val="0008076A"/>
    <w:rsid w:val="000816B7"/>
    <w:rsid w:val="00081729"/>
    <w:rsid w:val="00081D09"/>
    <w:rsid w:val="00081F92"/>
    <w:rsid w:val="0008270D"/>
    <w:rsid w:val="00085283"/>
    <w:rsid w:val="0008559D"/>
    <w:rsid w:val="00085A07"/>
    <w:rsid w:val="00085BF6"/>
    <w:rsid w:val="000862E3"/>
    <w:rsid w:val="0008634A"/>
    <w:rsid w:val="00087CE5"/>
    <w:rsid w:val="00092B1E"/>
    <w:rsid w:val="00093674"/>
    <w:rsid w:val="00094600"/>
    <w:rsid w:val="00094D86"/>
    <w:rsid w:val="00095148"/>
    <w:rsid w:val="00095B0B"/>
    <w:rsid w:val="00096893"/>
    <w:rsid w:val="0009706F"/>
    <w:rsid w:val="000972C9"/>
    <w:rsid w:val="00097346"/>
    <w:rsid w:val="000A0299"/>
    <w:rsid w:val="000A332C"/>
    <w:rsid w:val="000A4309"/>
    <w:rsid w:val="000A499E"/>
    <w:rsid w:val="000A55FC"/>
    <w:rsid w:val="000A5FBD"/>
    <w:rsid w:val="000A61A1"/>
    <w:rsid w:val="000A73C4"/>
    <w:rsid w:val="000B0525"/>
    <w:rsid w:val="000B0597"/>
    <w:rsid w:val="000B0603"/>
    <w:rsid w:val="000B3606"/>
    <w:rsid w:val="000B388B"/>
    <w:rsid w:val="000B396B"/>
    <w:rsid w:val="000B4E56"/>
    <w:rsid w:val="000B51DD"/>
    <w:rsid w:val="000B544F"/>
    <w:rsid w:val="000B56C0"/>
    <w:rsid w:val="000B5B05"/>
    <w:rsid w:val="000B7387"/>
    <w:rsid w:val="000B7A60"/>
    <w:rsid w:val="000C042D"/>
    <w:rsid w:val="000C05A1"/>
    <w:rsid w:val="000C08F1"/>
    <w:rsid w:val="000C0BA9"/>
    <w:rsid w:val="000C2B0E"/>
    <w:rsid w:val="000C2D6E"/>
    <w:rsid w:val="000C4F6A"/>
    <w:rsid w:val="000C53A3"/>
    <w:rsid w:val="000C70A1"/>
    <w:rsid w:val="000C713B"/>
    <w:rsid w:val="000C71EB"/>
    <w:rsid w:val="000C7816"/>
    <w:rsid w:val="000C7C98"/>
    <w:rsid w:val="000D1FF2"/>
    <w:rsid w:val="000D3028"/>
    <w:rsid w:val="000D4BA7"/>
    <w:rsid w:val="000D5036"/>
    <w:rsid w:val="000D58C1"/>
    <w:rsid w:val="000D6B03"/>
    <w:rsid w:val="000E1FCE"/>
    <w:rsid w:val="000E21F1"/>
    <w:rsid w:val="000E31E7"/>
    <w:rsid w:val="000E367C"/>
    <w:rsid w:val="000E719F"/>
    <w:rsid w:val="000F0487"/>
    <w:rsid w:val="000F06B3"/>
    <w:rsid w:val="000F1858"/>
    <w:rsid w:val="000F2FE3"/>
    <w:rsid w:val="000F423D"/>
    <w:rsid w:val="000F4471"/>
    <w:rsid w:val="000F474D"/>
    <w:rsid w:val="000F4A6C"/>
    <w:rsid w:val="000F4C3F"/>
    <w:rsid w:val="000F4E30"/>
    <w:rsid w:val="000F6296"/>
    <w:rsid w:val="000F742D"/>
    <w:rsid w:val="00100CFC"/>
    <w:rsid w:val="00101953"/>
    <w:rsid w:val="00102EC0"/>
    <w:rsid w:val="00104E78"/>
    <w:rsid w:val="00104F76"/>
    <w:rsid w:val="00105565"/>
    <w:rsid w:val="00105609"/>
    <w:rsid w:val="00107F90"/>
    <w:rsid w:val="00110256"/>
    <w:rsid w:val="001102A1"/>
    <w:rsid w:val="00111A20"/>
    <w:rsid w:val="00112E9F"/>
    <w:rsid w:val="00112FB4"/>
    <w:rsid w:val="00113A80"/>
    <w:rsid w:val="00113F87"/>
    <w:rsid w:val="0011467F"/>
    <w:rsid w:val="001146FF"/>
    <w:rsid w:val="001155FE"/>
    <w:rsid w:val="0011591C"/>
    <w:rsid w:val="00115E51"/>
    <w:rsid w:val="00115E86"/>
    <w:rsid w:val="001162CA"/>
    <w:rsid w:val="00116639"/>
    <w:rsid w:val="00116867"/>
    <w:rsid w:val="00116DBB"/>
    <w:rsid w:val="00121305"/>
    <w:rsid w:val="001214EE"/>
    <w:rsid w:val="001219F7"/>
    <w:rsid w:val="00122691"/>
    <w:rsid w:val="00122E47"/>
    <w:rsid w:val="00122ECF"/>
    <w:rsid w:val="001232F2"/>
    <w:rsid w:val="00123AD8"/>
    <w:rsid w:val="00123AF8"/>
    <w:rsid w:val="00124722"/>
    <w:rsid w:val="001248C2"/>
    <w:rsid w:val="00125C09"/>
    <w:rsid w:val="00125EB9"/>
    <w:rsid w:val="00127083"/>
    <w:rsid w:val="001274A5"/>
    <w:rsid w:val="00127685"/>
    <w:rsid w:val="00131536"/>
    <w:rsid w:val="001315A6"/>
    <w:rsid w:val="0013193A"/>
    <w:rsid w:val="00131CB9"/>
    <w:rsid w:val="001352BC"/>
    <w:rsid w:val="00135497"/>
    <w:rsid w:val="00135511"/>
    <w:rsid w:val="00135823"/>
    <w:rsid w:val="00135CAE"/>
    <w:rsid w:val="00140938"/>
    <w:rsid w:val="0014158B"/>
    <w:rsid w:val="00141CF9"/>
    <w:rsid w:val="00141E97"/>
    <w:rsid w:val="00142E5E"/>
    <w:rsid w:val="00143519"/>
    <w:rsid w:val="0014357B"/>
    <w:rsid w:val="00143BB3"/>
    <w:rsid w:val="001440E2"/>
    <w:rsid w:val="00144DFC"/>
    <w:rsid w:val="00145D57"/>
    <w:rsid w:val="001464AB"/>
    <w:rsid w:val="00146A42"/>
    <w:rsid w:val="001503DF"/>
    <w:rsid w:val="00150AFB"/>
    <w:rsid w:val="001518C0"/>
    <w:rsid w:val="00153042"/>
    <w:rsid w:val="00153926"/>
    <w:rsid w:val="0015502B"/>
    <w:rsid w:val="00157760"/>
    <w:rsid w:val="00157795"/>
    <w:rsid w:val="00157AE9"/>
    <w:rsid w:val="0016018D"/>
    <w:rsid w:val="0016262C"/>
    <w:rsid w:val="0016270E"/>
    <w:rsid w:val="001633DF"/>
    <w:rsid w:val="001637E2"/>
    <w:rsid w:val="00163E1A"/>
    <w:rsid w:val="001641CF"/>
    <w:rsid w:val="00165DC8"/>
    <w:rsid w:val="001660AB"/>
    <w:rsid w:val="001666DD"/>
    <w:rsid w:val="00170747"/>
    <w:rsid w:val="00170E59"/>
    <w:rsid w:val="00171D0B"/>
    <w:rsid w:val="0017210C"/>
    <w:rsid w:val="00173669"/>
    <w:rsid w:val="00173A38"/>
    <w:rsid w:val="00173DFF"/>
    <w:rsid w:val="00175117"/>
    <w:rsid w:val="001756CE"/>
    <w:rsid w:val="001759E8"/>
    <w:rsid w:val="00176C79"/>
    <w:rsid w:val="00177007"/>
    <w:rsid w:val="00177CAD"/>
    <w:rsid w:val="00177CEF"/>
    <w:rsid w:val="00180558"/>
    <w:rsid w:val="0018061F"/>
    <w:rsid w:val="00180E19"/>
    <w:rsid w:val="00181A25"/>
    <w:rsid w:val="00182304"/>
    <w:rsid w:val="00182870"/>
    <w:rsid w:val="00182B9F"/>
    <w:rsid w:val="001836B1"/>
    <w:rsid w:val="00183B3F"/>
    <w:rsid w:val="00184E69"/>
    <w:rsid w:val="001850AC"/>
    <w:rsid w:val="00185200"/>
    <w:rsid w:val="00185492"/>
    <w:rsid w:val="00185A7D"/>
    <w:rsid w:val="00185BF1"/>
    <w:rsid w:val="00185DBC"/>
    <w:rsid w:val="0018786B"/>
    <w:rsid w:val="00187AFD"/>
    <w:rsid w:val="001905B0"/>
    <w:rsid w:val="0019078B"/>
    <w:rsid w:val="00191D3C"/>
    <w:rsid w:val="0019245C"/>
    <w:rsid w:val="00192952"/>
    <w:rsid w:val="00192D38"/>
    <w:rsid w:val="001934AA"/>
    <w:rsid w:val="00193534"/>
    <w:rsid w:val="00193A9F"/>
    <w:rsid w:val="00193E34"/>
    <w:rsid w:val="001943E1"/>
    <w:rsid w:val="00194DC1"/>
    <w:rsid w:val="00196AE9"/>
    <w:rsid w:val="001A3CCB"/>
    <w:rsid w:val="001A3F06"/>
    <w:rsid w:val="001A4358"/>
    <w:rsid w:val="001A6554"/>
    <w:rsid w:val="001A6C4D"/>
    <w:rsid w:val="001A6EF3"/>
    <w:rsid w:val="001A7CF7"/>
    <w:rsid w:val="001B069E"/>
    <w:rsid w:val="001B46D2"/>
    <w:rsid w:val="001B4E3A"/>
    <w:rsid w:val="001B5A55"/>
    <w:rsid w:val="001B6997"/>
    <w:rsid w:val="001B6A48"/>
    <w:rsid w:val="001B6EC0"/>
    <w:rsid w:val="001C1F2F"/>
    <w:rsid w:val="001C23F2"/>
    <w:rsid w:val="001C2615"/>
    <w:rsid w:val="001C2C4C"/>
    <w:rsid w:val="001C30E5"/>
    <w:rsid w:val="001C3262"/>
    <w:rsid w:val="001C4A6F"/>
    <w:rsid w:val="001C6883"/>
    <w:rsid w:val="001C72A9"/>
    <w:rsid w:val="001C7521"/>
    <w:rsid w:val="001C79D3"/>
    <w:rsid w:val="001D09DE"/>
    <w:rsid w:val="001D197A"/>
    <w:rsid w:val="001D218F"/>
    <w:rsid w:val="001D2196"/>
    <w:rsid w:val="001D4326"/>
    <w:rsid w:val="001D4D1D"/>
    <w:rsid w:val="001D52EA"/>
    <w:rsid w:val="001D64BB"/>
    <w:rsid w:val="001D6D7F"/>
    <w:rsid w:val="001E02F0"/>
    <w:rsid w:val="001E03F3"/>
    <w:rsid w:val="001E0C69"/>
    <w:rsid w:val="001E11C5"/>
    <w:rsid w:val="001E16DA"/>
    <w:rsid w:val="001E1964"/>
    <w:rsid w:val="001E1FF6"/>
    <w:rsid w:val="001E5438"/>
    <w:rsid w:val="001E5A4B"/>
    <w:rsid w:val="001E620E"/>
    <w:rsid w:val="001E718F"/>
    <w:rsid w:val="001E7C8D"/>
    <w:rsid w:val="001F0D5C"/>
    <w:rsid w:val="001F0F1F"/>
    <w:rsid w:val="001F152C"/>
    <w:rsid w:val="001F1D61"/>
    <w:rsid w:val="001F1D80"/>
    <w:rsid w:val="001F2189"/>
    <w:rsid w:val="001F320F"/>
    <w:rsid w:val="001F421D"/>
    <w:rsid w:val="001F51A5"/>
    <w:rsid w:val="001F5F64"/>
    <w:rsid w:val="00201F28"/>
    <w:rsid w:val="00202880"/>
    <w:rsid w:val="002029FA"/>
    <w:rsid w:val="00202BEB"/>
    <w:rsid w:val="00206E75"/>
    <w:rsid w:val="002076E5"/>
    <w:rsid w:val="00210B18"/>
    <w:rsid w:val="0021137C"/>
    <w:rsid w:val="00211B97"/>
    <w:rsid w:val="002122FD"/>
    <w:rsid w:val="00212C81"/>
    <w:rsid w:val="00213750"/>
    <w:rsid w:val="00214C7E"/>
    <w:rsid w:val="002154EF"/>
    <w:rsid w:val="002172EB"/>
    <w:rsid w:val="00217D30"/>
    <w:rsid w:val="00220949"/>
    <w:rsid w:val="00221B98"/>
    <w:rsid w:val="0022256F"/>
    <w:rsid w:val="002229BF"/>
    <w:rsid w:val="0022361D"/>
    <w:rsid w:val="00224EDC"/>
    <w:rsid w:val="002250F0"/>
    <w:rsid w:val="0022565D"/>
    <w:rsid w:val="002257A2"/>
    <w:rsid w:val="00225A59"/>
    <w:rsid w:val="002260FD"/>
    <w:rsid w:val="00226DF3"/>
    <w:rsid w:val="00226E44"/>
    <w:rsid w:val="00232E89"/>
    <w:rsid w:val="00233AEA"/>
    <w:rsid w:val="00233FA2"/>
    <w:rsid w:val="00234249"/>
    <w:rsid w:val="00234A5C"/>
    <w:rsid w:val="002367BA"/>
    <w:rsid w:val="00243557"/>
    <w:rsid w:val="00243770"/>
    <w:rsid w:val="00243B14"/>
    <w:rsid w:val="00244930"/>
    <w:rsid w:val="00244B03"/>
    <w:rsid w:val="002459B5"/>
    <w:rsid w:val="00246028"/>
    <w:rsid w:val="00246C83"/>
    <w:rsid w:val="00250991"/>
    <w:rsid w:val="002522C6"/>
    <w:rsid w:val="0025283C"/>
    <w:rsid w:val="0025294B"/>
    <w:rsid w:val="00252A0A"/>
    <w:rsid w:val="002530A9"/>
    <w:rsid w:val="002531D3"/>
    <w:rsid w:val="002534CD"/>
    <w:rsid w:val="002547C5"/>
    <w:rsid w:val="00256A55"/>
    <w:rsid w:val="00257B97"/>
    <w:rsid w:val="00260AE5"/>
    <w:rsid w:val="00262368"/>
    <w:rsid w:val="00265492"/>
    <w:rsid w:val="00265714"/>
    <w:rsid w:val="00266246"/>
    <w:rsid w:val="00270E56"/>
    <w:rsid w:val="00271273"/>
    <w:rsid w:val="00271765"/>
    <w:rsid w:val="00271A1D"/>
    <w:rsid w:val="0027246F"/>
    <w:rsid w:val="00272DD8"/>
    <w:rsid w:val="002749CB"/>
    <w:rsid w:val="00275451"/>
    <w:rsid w:val="00275F3F"/>
    <w:rsid w:val="00275F57"/>
    <w:rsid w:val="0027704D"/>
    <w:rsid w:val="0028046B"/>
    <w:rsid w:val="00281FB0"/>
    <w:rsid w:val="00283082"/>
    <w:rsid w:val="00286D47"/>
    <w:rsid w:val="00286DEE"/>
    <w:rsid w:val="002878DC"/>
    <w:rsid w:val="0029032A"/>
    <w:rsid w:val="00291174"/>
    <w:rsid w:val="00292256"/>
    <w:rsid w:val="00297B2B"/>
    <w:rsid w:val="00297D4D"/>
    <w:rsid w:val="002A01EF"/>
    <w:rsid w:val="002A05A1"/>
    <w:rsid w:val="002A05B3"/>
    <w:rsid w:val="002A1F54"/>
    <w:rsid w:val="002A2292"/>
    <w:rsid w:val="002A2691"/>
    <w:rsid w:val="002A354E"/>
    <w:rsid w:val="002A3763"/>
    <w:rsid w:val="002A3ED9"/>
    <w:rsid w:val="002A516F"/>
    <w:rsid w:val="002A5A0F"/>
    <w:rsid w:val="002A6616"/>
    <w:rsid w:val="002A6ED4"/>
    <w:rsid w:val="002B02AB"/>
    <w:rsid w:val="002B036E"/>
    <w:rsid w:val="002B1CB0"/>
    <w:rsid w:val="002B245C"/>
    <w:rsid w:val="002B26F8"/>
    <w:rsid w:val="002B2F47"/>
    <w:rsid w:val="002B33D9"/>
    <w:rsid w:val="002B444E"/>
    <w:rsid w:val="002B4D2F"/>
    <w:rsid w:val="002B5889"/>
    <w:rsid w:val="002B66EB"/>
    <w:rsid w:val="002C06F1"/>
    <w:rsid w:val="002C08B9"/>
    <w:rsid w:val="002C0C8B"/>
    <w:rsid w:val="002C2953"/>
    <w:rsid w:val="002C2FC2"/>
    <w:rsid w:val="002C30F1"/>
    <w:rsid w:val="002C34E2"/>
    <w:rsid w:val="002C575D"/>
    <w:rsid w:val="002C6858"/>
    <w:rsid w:val="002C7180"/>
    <w:rsid w:val="002D02A8"/>
    <w:rsid w:val="002D0368"/>
    <w:rsid w:val="002D2DFC"/>
    <w:rsid w:val="002D332E"/>
    <w:rsid w:val="002D355E"/>
    <w:rsid w:val="002D3CD2"/>
    <w:rsid w:val="002D439D"/>
    <w:rsid w:val="002D6738"/>
    <w:rsid w:val="002E0029"/>
    <w:rsid w:val="002E0861"/>
    <w:rsid w:val="002E11E7"/>
    <w:rsid w:val="002E2D08"/>
    <w:rsid w:val="002E501D"/>
    <w:rsid w:val="002E667C"/>
    <w:rsid w:val="002E7312"/>
    <w:rsid w:val="002E76A0"/>
    <w:rsid w:val="002F071B"/>
    <w:rsid w:val="002F0EB3"/>
    <w:rsid w:val="002F2099"/>
    <w:rsid w:val="002F2C62"/>
    <w:rsid w:val="002F2E6A"/>
    <w:rsid w:val="002F36AC"/>
    <w:rsid w:val="002F3D3F"/>
    <w:rsid w:val="002F6AE5"/>
    <w:rsid w:val="003003E4"/>
    <w:rsid w:val="0030203D"/>
    <w:rsid w:val="00303428"/>
    <w:rsid w:val="00303E97"/>
    <w:rsid w:val="00304D74"/>
    <w:rsid w:val="00304FDA"/>
    <w:rsid w:val="003054DD"/>
    <w:rsid w:val="00306C93"/>
    <w:rsid w:val="0031046C"/>
    <w:rsid w:val="0031275C"/>
    <w:rsid w:val="003145D3"/>
    <w:rsid w:val="003150DA"/>
    <w:rsid w:val="00315313"/>
    <w:rsid w:val="00316615"/>
    <w:rsid w:val="003166EB"/>
    <w:rsid w:val="00316F78"/>
    <w:rsid w:val="0031713E"/>
    <w:rsid w:val="00320D68"/>
    <w:rsid w:val="003214BA"/>
    <w:rsid w:val="00321864"/>
    <w:rsid w:val="00322432"/>
    <w:rsid w:val="0032290C"/>
    <w:rsid w:val="00323AB6"/>
    <w:rsid w:val="003252D5"/>
    <w:rsid w:val="00325911"/>
    <w:rsid w:val="00326106"/>
    <w:rsid w:val="003264BF"/>
    <w:rsid w:val="00326A78"/>
    <w:rsid w:val="00326E20"/>
    <w:rsid w:val="00327F50"/>
    <w:rsid w:val="00331D17"/>
    <w:rsid w:val="00332FCE"/>
    <w:rsid w:val="0033316B"/>
    <w:rsid w:val="00333221"/>
    <w:rsid w:val="003350B0"/>
    <w:rsid w:val="003369E1"/>
    <w:rsid w:val="00337D64"/>
    <w:rsid w:val="00342A0E"/>
    <w:rsid w:val="00343E2A"/>
    <w:rsid w:val="00344591"/>
    <w:rsid w:val="00344DA4"/>
    <w:rsid w:val="00345678"/>
    <w:rsid w:val="003471E1"/>
    <w:rsid w:val="003516F7"/>
    <w:rsid w:val="00353424"/>
    <w:rsid w:val="00353A38"/>
    <w:rsid w:val="00353C03"/>
    <w:rsid w:val="00354C4C"/>
    <w:rsid w:val="0035603E"/>
    <w:rsid w:val="003600D2"/>
    <w:rsid w:val="00361121"/>
    <w:rsid w:val="003613A4"/>
    <w:rsid w:val="00362307"/>
    <w:rsid w:val="0036452A"/>
    <w:rsid w:val="00366D66"/>
    <w:rsid w:val="003679B6"/>
    <w:rsid w:val="00370C33"/>
    <w:rsid w:val="00371B82"/>
    <w:rsid w:val="00371D6D"/>
    <w:rsid w:val="003725BC"/>
    <w:rsid w:val="00373098"/>
    <w:rsid w:val="003730DF"/>
    <w:rsid w:val="00375303"/>
    <w:rsid w:val="00376972"/>
    <w:rsid w:val="003772E4"/>
    <w:rsid w:val="0037766A"/>
    <w:rsid w:val="00377F07"/>
    <w:rsid w:val="00377F09"/>
    <w:rsid w:val="00380A30"/>
    <w:rsid w:val="003815A0"/>
    <w:rsid w:val="0038269D"/>
    <w:rsid w:val="0038383B"/>
    <w:rsid w:val="0038497E"/>
    <w:rsid w:val="00384C37"/>
    <w:rsid w:val="00384E35"/>
    <w:rsid w:val="00384F97"/>
    <w:rsid w:val="0038704E"/>
    <w:rsid w:val="00391269"/>
    <w:rsid w:val="00391F30"/>
    <w:rsid w:val="0039347D"/>
    <w:rsid w:val="003939A2"/>
    <w:rsid w:val="00393D8C"/>
    <w:rsid w:val="00393E70"/>
    <w:rsid w:val="0039429B"/>
    <w:rsid w:val="003950B9"/>
    <w:rsid w:val="00396C72"/>
    <w:rsid w:val="00396DBC"/>
    <w:rsid w:val="003979A2"/>
    <w:rsid w:val="00397F18"/>
    <w:rsid w:val="003A0391"/>
    <w:rsid w:val="003A0C0F"/>
    <w:rsid w:val="003A0EF7"/>
    <w:rsid w:val="003A4210"/>
    <w:rsid w:val="003A6001"/>
    <w:rsid w:val="003A6038"/>
    <w:rsid w:val="003B0779"/>
    <w:rsid w:val="003B07A4"/>
    <w:rsid w:val="003B07FD"/>
    <w:rsid w:val="003B092A"/>
    <w:rsid w:val="003B0F08"/>
    <w:rsid w:val="003B181A"/>
    <w:rsid w:val="003B18AF"/>
    <w:rsid w:val="003B34B6"/>
    <w:rsid w:val="003B57A3"/>
    <w:rsid w:val="003B595A"/>
    <w:rsid w:val="003B5F62"/>
    <w:rsid w:val="003B65E6"/>
    <w:rsid w:val="003B79BB"/>
    <w:rsid w:val="003C07AF"/>
    <w:rsid w:val="003C0EE3"/>
    <w:rsid w:val="003C0F54"/>
    <w:rsid w:val="003C1835"/>
    <w:rsid w:val="003C2168"/>
    <w:rsid w:val="003C3FC9"/>
    <w:rsid w:val="003C60C3"/>
    <w:rsid w:val="003C75A0"/>
    <w:rsid w:val="003C7C0F"/>
    <w:rsid w:val="003C7E38"/>
    <w:rsid w:val="003D0153"/>
    <w:rsid w:val="003D0C89"/>
    <w:rsid w:val="003D1208"/>
    <w:rsid w:val="003D1642"/>
    <w:rsid w:val="003D1B33"/>
    <w:rsid w:val="003D2AB2"/>
    <w:rsid w:val="003D3ADD"/>
    <w:rsid w:val="003D616C"/>
    <w:rsid w:val="003D6BEC"/>
    <w:rsid w:val="003D7E01"/>
    <w:rsid w:val="003E034F"/>
    <w:rsid w:val="003E1BED"/>
    <w:rsid w:val="003E2B69"/>
    <w:rsid w:val="003E2F30"/>
    <w:rsid w:val="003E4391"/>
    <w:rsid w:val="003E6F25"/>
    <w:rsid w:val="003E75D7"/>
    <w:rsid w:val="003E75FD"/>
    <w:rsid w:val="003F03B1"/>
    <w:rsid w:val="003F1EAD"/>
    <w:rsid w:val="003F46EC"/>
    <w:rsid w:val="003F4B36"/>
    <w:rsid w:val="003F7BAF"/>
    <w:rsid w:val="004008B0"/>
    <w:rsid w:val="0040177A"/>
    <w:rsid w:val="00401AB3"/>
    <w:rsid w:val="00402603"/>
    <w:rsid w:val="00403F0B"/>
    <w:rsid w:val="0040427F"/>
    <w:rsid w:val="004045F9"/>
    <w:rsid w:val="00405963"/>
    <w:rsid w:val="004059A7"/>
    <w:rsid w:val="00406801"/>
    <w:rsid w:val="00406AA8"/>
    <w:rsid w:val="00410350"/>
    <w:rsid w:val="004120A9"/>
    <w:rsid w:val="00412BD3"/>
    <w:rsid w:val="004146DD"/>
    <w:rsid w:val="0041653B"/>
    <w:rsid w:val="00416572"/>
    <w:rsid w:val="004202D2"/>
    <w:rsid w:val="004203B0"/>
    <w:rsid w:val="0042086C"/>
    <w:rsid w:val="00420FAF"/>
    <w:rsid w:val="00422148"/>
    <w:rsid w:val="00422749"/>
    <w:rsid w:val="004255E6"/>
    <w:rsid w:val="00426915"/>
    <w:rsid w:val="004305E0"/>
    <w:rsid w:val="00430AC0"/>
    <w:rsid w:val="00430B7F"/>
    <w:rsid w:val="00431267"/>
    <w:rsid w:val="00431510"/>
    <w:rsid w:val="004337F8"/>
    <w:rsid w:val="00434BF0"/>
    <w:rsid w:val="00434DFF"/>
    <w:rsid w:val="0043506B"/>
    <w:rsid w:val="00436027"/>
    <w:rsid w:val="004375DE"/>
    <w:rsid w:val="00440078"/>
    <w:rsid w:val="0044151B"/>
    <w:rsid w:val="00441845"/>
    <w:rsid w:val="00442B43"/>
    <w:rsid w:val="00444C30"/>
    <w:rsid w:val="00444C9A"/>
    <w:rsid w:val="0044672A"/>
    <w:rsid w:val="00446773"/>
    <w:rsid w:val="004509AC"/>
    <w:rsid w:val="00451AAB"/>
    <w:rsid w:val="004520B3"/>
    <w:rsid w:val="004536EA"/>
    <w:rsid w:val="00454548"/>
    <w:rsid w:val="004546B8"/>
    <w:rsid w:val="00454C36"/>
    <w:rsid w:val="00455751"/>
    <w:rsid w:val="0045663F"/>
    <w:rsid w:val="0045772E"/>
    <w:rsid w:val="004600FD"/>
    <w:rsid w:val="00461D6D"/>
    <w:rsid w:val="00463596"/>
    <w:rsid w:val="00466051"/>
    <w:rsid w:val="00466B54"/>
    <w:rsid w:val="004674B7"/>
    <w:rsid w:val="00467640"/>
    <w:rsid w:val="00467AFC"/>
    <w:rsid w:val="00470551"/>
    <w:rsid w:val="004715BA"/>
    <w:rsid w:val="0047170C"/>
    <w:rsid w:val="00471FF8"/>
    <w:rsid w:val="0047274D"/>
    <w:rsid w:val="004730D6"/>
    <w:rsid w:val="004739F5"/>
    <w:rsid w:val="0047404D"/>
    <w:rsid w:val="004753E8"/>
    <w:rsid w:val="0047733E"/>
    <w:rsid w:val="004779DE"/>
    <w:rsid w:val="00480C1C"/>
    <w:rsid w:val="004813D8"/>
    <w:rsid w:val="00482190"/>
    <w:rsid w:val="0048236F"/>
    <w:rsid w:val="0048328E"/>
    <w:rsid w:val="00483709"/>
    <w:rsid w:val="00483D3E"/>
    <w:rsid w:val="004846DA"/>
    <w:rsid w:val="00484F31"/>
    <w:rsid w:val="00485FDD"/>
    <w:rsid w:val="004860A4"/>
    <w:rsid w:val="00486DC5"/>
    <w:rsid w:val="00493115"/>
    <w:rsid w:val="004940D8"/>
    <w:rsid w:val="0049496B"/>
    <w:rsid w:val="004960A8"/>
    <w:rsid w:val="00496F88"/>
    <w:rsid w:val="00497A68"/>
    <w:rsid w:val="004A0171"/>
    <w:rsid w:val="004A07D0"/>
    <w:rsid w:val="004A0B9E"/>
    <w:rsid w:val="004A3451"/>
    <w:rsid w:val="004A3FE5"/>
    <w:rsid w:val="004A41D1"/>
    <w:rsid w:val="004A43C5"/>
    <w:rsid w:val="004A4688"/>
    <w:rsid w:val="004A5E58"/>
    <w:rsid w:val="004A63C0"/>
    <w:rsid w:val="004A6474"/>
    <w:rsid w:val="004A7032"/>
    <w:rsid w:val="004B076A"/>
    <w:rsid w:val="004B1656"/>
    <w:rsid w:val="004B2751"/>
    <w:rsid w:val="004B46EE"/>
    <w:rsid w:val="004B53FA"/>
    <w:rsid w:val="004B67FD"/>
    <w:rsid w:val="004B6E53"/>
    <w:rsid w:val="004C0C88"/>
    <w:rsid w:val="004C0D00"/>
    <w:rsid w:val="004C0EF9"/>
    <w:rsid w:val="004C1E0D"/>
    <w:rsid w:val="004C23CD"/>
    <w:rsid w:val="004C3485"/>
    <w:rsid w:val="004C438D"/>
    <w:rsid w:val="004C6062"/>
    <w:rsid w:val="004C6256"/>
    <w:rsid w:val="004C63EC"/>
    <w:rsid w:val="004C6AB2"/>
    <w:rsid w:val="004C7627"/>
    <w:rsid w:val="004C7BE3"/>
    <w:rsid w:val="004C7E03"/>
    <w:rsid w:val="004D060D"/>
    <w:rsid w:val="004D1A0B"/>
    <w:rsid w:val="004D1E36"/>
    <w:rsid w:val="004D2726"/>
    <w:rsid w:val="004D2894"/>
    <w:rsid w:val="004D4359"/>
    <w:rsid w:val="004D464E"/>
    <w:rsid w:val="004D7359"/>
    <w:rsid w:val="004D78FB"/>
    <w:rsid w:val="004E02D5"/>
    <w:rsid w:val="004E0654"/>
    <w:rsid w:val="004E3068"/>
    <w:rsid w:val="004E5A7D"/>
    <w:rsid w:val="004E694C"/>
    <w:rsid w:val="004E6F06"/>
    <w:rsid w:val="004E6F2C"/>
    <w:rsid w:val="004F0183"/>
    <w:rsid w:val="004F08F1"/>
    <w:rsid w:val="004F0F50"/>
    <w:rsid w:val="004F1585"/>
    <w:rsid w:val="004F18EE"/>
    <w:rsid w:val="004F1C07"/>
    <w:rsid w:val="004F1EDC"/>
    <w:rsid w:val="004F251F"/>
    <w:rsid w:val="004F269C"/>
    <w:rsid w:val="004F4F78"/>
    <w:rsid w:val="004F590F"/>
    <w:rsid w:val="004F6127"/>
    <w:rsid w:val="004F612A"/>
    <w:rsid w:val="004F6446"/>
    <w:rsid w:val="004F6B17"/>
    <w:rsid w:val="004F6B72"/>
    <w:rsid w:val="004F7C7B"/>
    <w:rsid w:val="004F7E26"/>
    <w:rsid w:val="00501D3E"/>
    <w:rsid w:val="00503B0C"/>
    <w:rsid w:val="00503B40"/>
    <w:rsid w:val="00505310"/>
    <w:rsid w:val="00505EAB"/>
    <w:rsid w:val="00506585"/>
    <w:rsid w:val="00506EB9"/>
    <w:rsid w:val="00507A6E"/>
    <w:rsid w:val="00507E23"/>
    <w:rsid w:val="005104E1"/>
    <w:rsid w:val="00510A22"/>
    <w:rsid w:val="005126D1"/>
    <w:rsid w:val="005138DF"/>
    <w:rsid w:val="005139B8"/>
    <w:rsid w:val="00520FD8"/>
    <w:rsid w:val="005213F1"/>
    <w:rsid w:val="00523419"/>
    <w:rsid w:val="005243B4"/>
    <w:rsid w:val="005253C5"/>
    <w:rsid w:val="005262EB"/>
    <w:rsid w:val="00526DBE"/>
    <w:rsid w:val="00527B9A"/>
    <w:rsid w:val="00530CB9"/>
    <w:rsid w:val="0053246E"/>
    <w:rsid w:val="00532787"/>
    <w:rsid w:val="00533203"/>
    <w:rsid w:val="005343EE"/>
    <w:rsid w:val="00535173"/>
    <w:rsid w:val="0053704D"/>
    <w:rsid w:val="00537407"/>
    <w:rsid w:val="00537A9C"/>
    <w:rsid w:val="005410C6"/>
    <w:rsid w:val="00541871"/>
    <w:rsid w:val="00542B0D"/>
    <w:rsid w:val="005439B1"/>
    <w:rsid w:val="005501EA"/>
    <w:rsid w:val="0055078C"/>
    <w:rsid w:val="00551664"/>
    <w:rsid w:val="0055192E"/>
    <w:rsid w:val="00552CD3"/>
    <w:rsid w:val="00552ED5"/>
    <w:rsid w:val="00553171"/>
    <w:rsid w:val="005537C6"/>
    <w:rsid w:val="0055417D"/>
    <w:rsid w:val="0055493E"/>
    <w:rsid w:val="00554E4E"/>
    <w:rsid w:val="00555147"/>
    <w:rsid w:val="00555D71"/>
    <w:rsid w:val="00555F95"/>
    <w:rsid w:val="00555FAE"/>
    <w:rsid w:val="00555FEF"/>
    <w:rsid w:val="00560434"/>
    <w:rsid w:val="00560770"/>
    <w:rsid w:val="005626E5"/>
    <w:rsid w:val="00562E65"/>
    <w:rsid w:val="00563B90"/>
    <w:rsid w:val="00565245"/>
    <w:rsid w:val="005664B4"/>
    <w:rsid w:val="00567CEA"/>
    <w:rsid w:val="00567D58"/>
    <w:rsid w:val="00567F3D"/>
    <w:rsid w:val="00567F8A"/>
    <w:rsid w:val="00572E16"/>
    <w:rsid w:val="00573631"/>
    <w:rsid w:val="0057424C"/>
    <w:rsid w:val="00576003"/>
    <w:rsid w:val="0057622D"/>
    <w:rsid w:val="00577BF6"/>
    <w:rsid w:val="0058076B"/>
    <w:rsid w:val="00581A66"/>
    <w:rsid w:val="00582097"/>
    <w:rsid w:val="005820C4"/>
    <w:rsid w:val="00584C22"/>
    <w:rsid w:val="00585585"/>
    <w:rsid w:val="00585639"/>
    <w:rsid w:val="00585B9E"/>
    <w:rsid w:val="00585F1F"/>
    <w:rsid w:val="00586378"/>
    <w:rsid w:val="005864BA"/>
    <w:rsid w:val="005871EC"/>
    <w:rsid w:val="00591556"/>
    <w:rsid w:val="00592050"/>
    <w:rsid w:val="00592FCA"/>
    <w:rsid w:val="00594366"/>
    <w:rsid w:val="00594DE2"/>
    <w:rsid w:val="00597354"/>
    <w:rsid w:val="005A068A"/>
    <w:rsid w:val="005A1BB5"/>
    <w:rsid w:val="005A3237"/>
    <w:rsid w:val="005B038A"/>
    <w:rsid w:val="005B06D8"/>
    <w:rsid w:val="005B06E5"/>
    <w:rsid w:val="005B1AA6"/>
    <w:rsid w:val="005B209A"/>
    <w:rsid w:val="005B3314"/>
    <w:rsid w:val="005B5120"/>
    <w:rsid w:val="005B58AA"/>
    <w:rsid w:val="005B5AA1"/>
    <w:rsid w:val="005B6227"/>
    <w:rsid w:val="005B75EF"/>
    <w:rsid w:val="005C1BB2"/>
    <w:rsid w:val="005C235D"/>
    <w:rsid w:val="005C2B0F"/>
    <w:rsid w:val="005C3B38"/>
    <w:rsid w:val="005C4803"/>
    <w:rsid w:val="005C4BF9"/>
    <w:rsid w:val="005C4C17"/>
    <w:rsid w:val="005C4CC8"/>
    <w:rsid w:val="005C4FDD"/>
    <w:rsid w:val="005C5F3B"/>
    <w:rsid w:val="005C72E8"/>
    <w:rsid w:val="005C7681"/>
    <w:rsid w:val="005D0278"/>
    <w:rsid w:val="005D176D"/>
    <w:rsid w:val="005D18AA"/>
    <w:rsid w:val="005D1BAA"/>
    <w:rsid w:val="005D33F0"/>
    <w:rsid w:val="005D3966"/>
    <w:rsid w:val="005D3CE5"/>
    <w:rsid w:val="005D4B8C"/>
    <w:rsid w:val="005D4FA2"/>
    <w:rsid w:val="005D59C4"/>
    <w:rsid w:val="005D656F"/>
    <w:rsid w:val="005E07EE"/>
    <w:rsid w:val="005E43EF"/>
    <w:rsid w:val="005E453E"/>
    <w:rsid w:val="005E4DA1"/>
    <w:rsid w:val="005E586B"/>
    <w:rsid w:val="005E5A29"/>
    <w:rsid w:val="005E7D77"/>
    <w:rsid w:val="005F070C"/>
    <w:rsid w:val="005F2568"/>
    <w:rsid w:val="005F2DE9"/>
    <w:rsid w:val="005F2F31"/>
    <w:rsid w:val="005F3B18"/>
    <w:rsid w:val="005F40D4"/>
    <w:rsid w:val="005F43CE"/>
    <w:rsid w:val="005F46B0"/>
    <w:rsid w:val="005F4F03"/>
    <w:rsid w:val="005F4F61"/>
    <w:rsid w:val="005F5064"/>
    <w:rsid w:val="005F63B2"/>
    <w:rsid w:val="005F72D5"/>
    <w:rsid w:val="00601E57"/>
    <w:rsid w:val="00602BCB"/>
    <w:rsid w:val="006041D7"/>
    <w:rsid w:val="00605D56"/>
    <w:rsid w:val="00605FF4"/>
    <w:rsid w:val="00606ADD"/>
    <w:rsid w:val="00606BA2"/>
    <w:rsid w:val="00606C2E"/>
    <w:rsid w:val="006070FC"/>
    <w:rsid w:val="00607C47"/>
    <w:rsid w:val="00610896"/>
    <w:rsid w:val="006108D6"/>
    <w:rsid w:val="00612E7D"/>
    <w:rsid w:val="0061487F"/>
    <w:rsid w:val="00614AE3"/>
    <w:rsid w:val="0061568B"/>
    <w:rsid w:val="006157B6"/>
    <w:rsid w:val="00616B32"/>
    <w:rsid w:val="00621A2B"/>
    <w:rsid w:val="00621C79"/>
    <w:rsid w:val="00621E6B"/>
    <w:rsid w:val="00622A1E"/>
    <w:rsid w:val="0062320F"/>
    <w:rsid w:val="00624279"/>
    <w:rsid w:val="00624648"/>
    <w:rsid w:val="00626889"/>
    <w:rsid w:val="0062691A"/>
    <w:rsid w:val="00627EEA"/>
    <w:rsid w:val="0063105F"/>
    <w:rsid w:val="00631EFB"/>
    <w:rsid w:val="0063215F"/>
    <w:rsid w:val="00632298"/>
    <w:rsid w:val="00632E6D"/>
    <w:rsid w:val="00633D32"/>
    <w:rsid w:val="00634112"/>
    <w:rsid w:val="0063439E"/>
    <w:rsid w:val="00635068"/>
    <w:rsid w:val="0063533D"/>
    <w:rsid w:val="00635736"/>
    <w:rsid w:val="00636D83"/>
    <w:rsid w:val="006372D4"/>
    <w:rsid w:val="00637C65"/>
    <w:rsid w:val="00637CE0"/>
    <w:rsid w:val="00640025"/>
    <w:rsid w:val="00641432"/>
    <w:rsid w:val="00642126"/>
    <w:rsid w:val="00643DEC"/>
    <w:rsid w:val="006443BD"/>
    <w:rsid w:val="00645746"/>
    <w:rsid w:val="00647624"/>
    <w:rsid w:val="00647F83"/>
    <w:rsid w:val="00647F8A"/>
    <w:rsid w:val="00650445"/>
    <w:rsid w:val="00650466"/>
    <w:rsid w:val="00652085"/>
    <w:rsid w:val="00652A28"/>
    <w:rsid w:val="0065575C"/>
    <w:rsid w:val="00656B0A"/>
    <w:rsid w:val="0066003C"/>
    <w:rsid w:val="00660B89"/>
    <w:rsid w:val="00661A93"/>
    <w:rsid w:val="00662026"/>
    <w:rsid w:val="00662485"/>
    <w:rsid w:val="00662C71"/>
    <w:rsid w:val="00663BD3"/>
    <w:rsid w:val="0066533F"/>
    <w:rsid w:val="0066647F"/>
    <w:rsid w:val="006664C0"/>
    <w:rsid w:val="00667028"/>
    <w:rsid w:val="0066740E"/>
    <w:rsid w:val="00667718"/>
    <w:rsid w:val="00667D70"/>
    <w:rsid w:val="006701B8"/>
    <w:rsid w:val="00670CB0"/>
    <w:rsid w:val="006717E2"/>
    <w:rsid w:val="00674541"/>
    <w:rsid w:val="00675A25"/>
    <w:rsid w:val="00677796"/>
    <w:rsid w:val="006777E9"/>
    <w:rsid w:val="00677AC1"/>
    <w:rsid w:val="0068042A"/>
    <w:rsid w:val="0068045F"/>
    <w:rsid w:val="00681695"/>
    <w:rsid w:val="00681720"/>
    <w:rsid w:val="00682FF8"/>
    <w:rsid w:val="00684FFE"/>
    <w:rsid w:val="00685675"/>
    <w:rsid w:val="006858C8"/>
    <w:rsid w:val="006863B6"/>
    <w:rsid w:val="00686688"/>
    <w:rsid w:val="006868AA"/>
    <w:rsid w:val="006872CF"/>
    <w:rsid w:val="00691FE7"/>
    <w:rsid w:val="00692903"/>
    <w:rsid w:val="00692C3F"/>
    <w:rsid w:val="00693C1C"/>
    <w:rsid w:val="00693C27"/>
    <w:rsid w:val="006946C5"/>
    <w:rsid w:val="0069480E"/>
    <w:rsid w:val="00694CA6"/>
    <w:rsid w:val="006956C3"/>
    <w:rsid w:val="00696325"/>
    <w:rsid w:val="00696BC7"/>
    <w:rsid w:val="006978B8"/>
    <w:rsid w:val="00697B43"/>
    <w:rsid w:val="00697DEE"/>
    <w:rsid w:val="006A256B"/>
    <w:rsid w:val="006A2F03"/>
    <w:rsid w:val="006A2F5F"/>
    <w:rsid w:val="006A3BE4"/>
    <w:rsid w:val="006A40E1"/>
    <w:rsid w:val="006A4402"/>
    <w:rsid w:val="006A4CBE"/>
    <w:rsid w:val="006A4DD6"/>
    <w:rsid w:val="006A4E73"/>
    <w:rsid w:val="006A5A77"/>
    <w:rsid w:val="006A5C99"/>
    <w:rsid w:val="006A67F4"/>
    <w:rsid w:val="006B1566"/>
    <w:rsid w:val="006B1EF2"/>
    <w:rsid w:val="006B284F"/>
    <w:rsid w:val="006B2F2D"/>
    <w:rsid w:val="006B30C8"/>
    <w:rsid w:val="006B3263"/>
    <w:rsid w:val="006B3C09"/>
    <w:rsid w:val="006B44DF"/>
    <w:rsid w:val="006B54AB"/>
    <w:rsid w:val="006B5E3A"/>
    <w:rsid w:val="006B6E22"/>
    <w:rsid w:val="006C0CDA"/>
    <w:rsid w:val="006C2ACE"/>
    <w:rsid w:val="006C2B17"/>
    <w:rsid w:val="006C3599"/>
    <w:rsid w:val="006C35AA"/>
    <w:rsid w:val="006C3B28"/>
    <w:rsid w:val="006C414B"/>
    <w:rsid w:val="006C76B8"/>
    <w:rsid w:val="006D1671"/>
    <w:rsid w:val="006D2306"/>
    <w:rsid w:val="006D25E6"/>
    <w:rsid w:val="006D2821"/>
    <w:rsid w:val="006D2CD2"/>
    <w:rsid w:val="006D2F0F"/>
    <w:rsid w:val="006D3ED6"/>
    <w:rsid w:val="006D480C"/>
    <w:rsid w:val="006D50F3"/>
    <w:rsid w:val="006D65B6"/>
    <w:rsid w:val="006D6D0A"/>
    <w:rsid w:val="006E1434"/>
    <w:rsid w:val="006E16BE"/>
    <w:rsid w:val="006E2182"/>
    <w:rsid w:val="006E23A9"/>
    <w:rsid w:val="006E2B68"/>
    <w:rsid w:val="006E2CC8"/>
    <w:rsid w:val="006E3841"/>
    <w:rsid w:val="006E3A88"/>
    <w:rsid w:val="006E3AF2"/>
    <w:rsid w:val="006E3C39"/>
    <w:rsid w:val="006E41A0"/>
    <w:rsid w:val="006E439D"/>
    <w:rsid w:val="006E4530"/>
    <w:rsid w:val="006E73A6"/>
    <w:rsid w:val="006F02A4"/>
    <w:rsid w:val="006F05E0"/>
    <w:rsid w:val="006F15E5"/>
    <w:rsid w:val="006F2378"/>
    <w:rsid w:val="006F27E4"/>
    <w:rsid w:val="006F59FA"/>
    <w:rsid w:val="006F5CBE"/>
    <w:rsid w:val="006F6983"/>
    <w:rsid w:val="00704037"/>
    <w:rsid w:val="007055DC"/>
    <w:rsid w:val="00707A08"/>
    <w:rsid w:val="007116CD"/>
    <w:rsid w:val="00711828"/>
    <w:rsid w:val="00712453"/>
    <w:rsid w:val="007129ED"/>
    <w:rsid w:val="007133A4"/>
    <w:rsid w:val="00714D2F"/>
    <w:rsid w:val="00714EA0"/>
    <w:rsid w:val="007151D4"/>
    <w:rsid w:val="00715C2E"/>
    <w:rsid w:val="00717599"/>
    <w:rsid w:val="00717A30"/>
    <w:rsid w:val="00717EE9"/>
    <w:rsid w:val="007208CE"/>
    <w:rsid w:val="00720A6F"/>
    <w:rsid w:val="0072163A"/>
    <w:rsid w:val="00721F70"/>
    <w:rsid w:val="0072205A"/>
    <w:rsid w:val="0072289C"/>
    <w:rsid w:val="00723F5F"/>
    <w:rsid w:val="007244EC"/>
    <w:rsid w:val="0072791D"/>
    <w:rsid w:val="00730640"/>
    <w:rsid w:val="007306E9"/>
    <w:rsid w:val="00731203"/>
    <w:rsid w:val="0073209C"/>
    <w:rsid w:val="00732EDD"/>
    <w:rsid w:val="00733F32"/>
    <w:rsid w:val="0073415A"/>
    <w:rsid w:val="0073448D"/>
    <w:rsid w:val="00734546"/>
    <w:rsid w:val="007350BF"/>
    <w:rsid w:val="00735235"/>
    <w:rsid w:val="00735D63"/>
    <w:rsid w:val="00736A6E"/>
    <w:rsid w:val="007378DD"/>
    <w:rsid w:val="00737D35"/>
    <w:rsid w:val="007414D4"/>
    <w:rsid w:val="00742203"/>
    <w:rsid w:val="007429BC"/>
    <w:rsid w:val="00743225"/>
    <w:rsid w:val="00743DD0"/>
    <w:rsid w:val="007452EB"/>
    <w:rsid w:val="00746706"/>
    <w:rsid w:val="00746BAD"/>
    <w:rsid w:val="0074783E"/>
    <w:rsid w:val="0074797F"/>
    <w:rsid w:val="00747BFB"/>
    <w:rsid w:val="007508A6"/>
    <w:rsid w:val="00750D51"/>
    <w:rsid w:val="007512A4"/>
    <w:rsid w:val="007516FC"/>
    <w:rsid w:val="007522B5"/>
    <w:rsid w:val="00754B59"/>
    <w:rsid w:val="00755958"/>
    <w:rsid w:val="007568ED"/>
    <w:rsid w:val="00756BB6"/>
    <w:rsid w:val="007570C8"/>
    <w:rsid w:val="007609D9"/>
    <w:rsid w:val="007621F4"/>
    <w:rsid w:val="0076332F"/>
    <w:rsid w:val="00764519"/>
    <w:rsid w:val="0076646A"/>
    <w:rsid w:val="00766E29"/>
    <w:rsid w:val="00767910"/>
    <w:rsid w:val="00767F77"/>
    <w:rsid w:val="0077013D"/>
    <w:rsid w:val="0077027D"/>
    <w:rsid w:val="00770D8B"/>
    <w:rsid w:val="007716E5"/>
    <w:rsid w:val="00771A81"/>
    <w:rsid w:val="00772728"/>
    <w:rsid w:val="00774834"/>
    <w:rsid w:val="0077630A"/>
    <w:rsid w:val="0077633B"/>
    <w:rsid w:val="00776B09"/>
    <w:rsid w:val="007770A7"/>
    <w:rsid w:val="0077710E"/>
    <w:rsid w:val="00780071"/>
    <w:rsid w:val="007800D8"/>
    <w:rsid w:val="00780419"/>
    <w:rsid w:val="007806C7"/>
    <w:rsid w:val="007849CD"/>
    <w:rsid w:val="00784B01"/>
    <w:rsid w:val="00784BCE"/>
    <w:rsid w:val="00785773"/>
    <w:rsid w:val="00787CEF"/>
    <w:rsid w:val="00787DE5"/>
    <w:rsid w:val="00787F3F"/>
    <w:rsid w:val="007906DC"/>
    <w:rsid w:val="007912DF"/>
    <w:rsid w:val="00791B6B"/>
    <w:rsid w:val="0079202C"/>
    <w:rsid w:val="007921A4"/>
    <w:rsid w:val="0079232B"/>
    <w:rsid w:val="007948AC"/>
    <w:rsid w:val="00795036"/>
    <w:rsid w:val="00795120"/>
    <w:rsid w:val="00795368"/>
    <w:rsid w:val="007956BA"/>
    <w:rsid w:val="00795829"/>
    <w:rsid w:val="007A00B9"/>
    <w:rsid w:val="007A0C29"/>
    <w:rsid w:val="007A12EA"/>
    <w:rsid w:val="007A158D"/>
    <w:rsid w:val="007A2656"/>
    <w:rsid w:val="007A2B14"/>
    <w:rsid w:val="007A37B3"/>
    <w:rsid w:val="007A3880"/>
    <w:rsid w:val="007A3BE3"/>
    <w:rsid w:val="007A3F43"/>
    <w:rsid w:val="007A40FF"/>
    <w:rsid w:val="007A47FD"/>
    <w:rsid w:val="007A7328"/>
    <w:rsid w:val="007A7C11"/>
    <w:rsid w:val="007B0DCD"/>
    <w:rsid w:val="007B12FF"/>
    <w:rsid w:val="007B1D04"/>
    <w:rsid w:val="007B23D7"/>
    <w:rsid w:val="007B24CF"/>
    <w:rsid w:val="007B2FB3"/>
    <w:rsid w:val="007B462A"/>
    <w:rsid w:val="007B4F47"/>
    <w:rsid w:val="007B5865"/>
    <w:rsid w:val="007B64DA"/>
    <w:rsid w:val="007B6AA6"/>
    <w:rsid w:val="007C02B3"/>
    <w:rsid w:val="007C03BD"/>
    <w:rsid w:val="007C0957"/>
    <w:rsid w:val="007C0BE9"/>
    <w:rsid w:val="007C0D5D"/>
    <w:rsid w:val="007C2AAC"/>
    <w:rsid w:val="007C2F9A"/>
    <w:rsid w:val="007C3096"/>
    <w:rsid w:val="007C408C"/>
    <w:rsid w:val="007C43B3"/>
    <w:rsid w:val="007C5D78"/>
    <w:rsid w:val="007C5FAC"/>
    <w:rsid w:val="007D13EE"/>
    <w:rsid w:val="007D172E"/>
    <w:rsid w:val="007D17BE"/>
    <w:rsid w:val="007D180F"/>
    <w:rsid w:val="007D260E"/>
    <w:rsid w:val="007D488E"/>
    <w:rsid w:val="007D6790"/>
    <w:rsid w:val="007D6B08"/>
    <w:rsid w:val="007D6D3D"/>
    <w:rsid w:val="007D6E32"/>
    <w:rsid w:val="007D71A2"/>
    <w:rsid w:val="007D7D2C"/>
    <w:rsid w:val="007E1CD8"/>
    <w:rsid w:val="007E278C"/>
    <w:rsid w:val="007E2A71"/>
    <w:rsid w:val="007E3498"/>
    <w:rsid w:val="007E40B6"/>
    <w:rsid w:val="007E579B"/>
    <w:rsid w:val="007E64DC"/>
    <w:rsid w:val="007E7415"/>
    <w:rsid w:val="007E77E5"/>
    <w:rsid w:val="007F0272"/>
    <w:rsid w:val="007F10B9"/>
    <w:rsid w:val="007F23B7"/>
    <w:rsid w:val="007F23F1"/>
    <w:rsid w:val="007F28EF"/>
    <w:rsid w:val="007F5831"/>
    <w:rsid w:val="007F61B9"/>
    <w:rsid w:val="00800A2B"/>
    <w:rsid w:val="00800D12"/>
    <w:rsid w:val="00801526"/>
    <w:rsid w:val="00801824"/>
    <w:rsid w:val="0080229F"/>
    <w:rsid w:val="00804282"/>
    <w:rsid w:val="0080443E"/>
    <w:rsid w:val="00805148"/>
    <w:rsid w:val="008066BE"/>
    <w:rsid w:val="00806728"/>
    <w:rsid w:val="00807039"/>
    <w:rsid w:val="00810DDF"/>
    <w:rsid w:val="00811B11"/>
    <w:rsid w:val="00812704"/>
    <w:rsid w:val="00814A19"/>
    <w:rsid w:val="00814E24"/>
    <w:rsid w:val="00815BB8"/>
    <w:rsid w:val="00816204"/>
    <w:rsid w:val="0081647C"/>
    <w:rsid w:val="0082048B"/>
    <w:rsid w:val="008204E6"/>
    <w:rsid w:val="00820C03"/>
    <w:rsid w:val="00821D67"/>
    <w:rsid w:val="00822CE5"/>
    <w:rsid w:val="00822FF4"/>
    <w:rsid w:val="00823F73"/>
    <w:rsid w:val="008241EE"/>
    <w:rsid w:val="0082503C"/>
    <w:rsid w:val="00826F2F"/>
    <w:rsid w:val="008315F2"/>
    <w:rsid w:val="00831A58"/>
    <w:rsid w:val="00831CAC"/>
    <w:rsid w:val="008340F0"/>
    <w:rsid w:val="008343B3"/>
    <w:rsid w:val="00834F73"/>
    <w:rsid w:val="00835A5C"/>
    <w:rsid w:val="00835D6A"/>
    <w:rsid w:val="00835ED8"/>
    <w:rsid w:val="00836B40"/>
    <w:rsid w:val="00837EA8"/>
    <w:rsid w:val="00841535"/>
    <w:rsid w:val="00841DB1"/>
    <w:rsid w:val="00843AED"/>
    <w:rsid w:val="00843CAA"/>
    <w:rsid w:val="00844E8A"/>
    <w:rsid w:val="008452D5"/>
    <w:rsid w:val="0084551F"/>
    <w:rsid w:val="00845DC7"/>
    <w:rsid w:val="008461CD"/>
    <w:rsid w:val="00847C2E"/>
    <w:rsid w:val="00850788"/>
    <w:rsid w:val="00851DEE"/>
    <w:rsid w:val="008521B2"/>
    <w:rsid w:val="00852914"/>
    <w:rsid w:val="0085293B"/>
    <w:rsid w:val="00852A9B"/>
    <w:rsid w:val="00852DA2"/>
    <w:rsid w:val="0085496B"/>
    <w:rsid w:val="008553B3"/>
    <w:rsid w:val="00855A7B"/>
    <w:rsid w:val="0085633E"/>
    <w:rsid w:val="00857660"/>
    <w:rsid w:val="00857FB4"/>
    <w:rsid w:val="00860412"/>
    <w:rsid w:val="00861A4F"/>
    <w:rsid w:val="00863B77"/>
    <w:rsid w:val="00863DE8"/>
    <w:rsid w:val="008640AA"/>
    <w:rsid w:val="00864AB1"/>
    <w:rsid w:val="00865313"/>
    <w:rsid w:val="008654FE"/>
    <w:rsid w:val="0086562C"/>
    <w:rsid w:val="00865957"/>
    <w:rsid w:val="00866292"/>
    <w:rsid w:val="00866F52"/>
    <w:rsid w:val="00866FDC"/>
    <w:rsid w:val="00870759"/>
    <w:rsid w:val="00870FCE"/>
    <w:rsid w:val="00871083"/>
    <w:rsid w:val="00871B4D"/>
    <w:rsid w:val="008727AA"/>
    <w:rsid w:val="00872FAB"/>
    <w:rsid w:val="00873E8E"/>
    <w:rsid w:val="00874078"/>
    <w:rsid w:val="00874930"/>
    <w:rsid w:val="00874DD7"/>
    <w:rsid w:val="00874EB6"/>
    <w:rsid w:val="00877579"/>
    <w:rsid w:val="00877811"/>
    <w:rsid w:val="00877C98"/>
    <w:rsid w:val="00877D7B"/>
    <w:rsid w:val="00880B26"/>
    <w:rsid w:val="00881888"/>
    <w:rsid w:val="008819C6"/>
    <w:rsid w:val="0088372E"/>
    <w:rsid w:val="0088387C"/>
    <w:rsid w:val="00883DE1"/>
    <w:rsid w:val="0088442D"/>
    <w:rsid w:val="00885318"/>
    <w:rsid w:val="00885C1C"/>
    <w:rsid w:val="00886DBC"/>
    <w:rsid w:val="00887022"/>
    <w:rsid w:val="00887A6A"/>
    <w:rsid w:val="00887BA5"/>
    <w:rsid w:val="008930DF"/>
    <w:rsid w:val="008931E3"/>
    <w:rsid w:val="0089347F"/>
    <w:rsid w:val="00893C40"/>
    <w:rsid w:val="00895341"/>
    <w:rsid w:val="00895D28"/>
    <w:rsid w:val="0089749A"/>
    <w:rsid w:val="00897E47"/>
    <w:rsid w:val="008A009B"/>
    <w:rsid w:val="008A0702"/>
    <w:rsid w:val="008A0D5D"/>
    <w:rsid w:val="008A18F4"/>
    <w:rsid w:val="008A261C"/>
    <w:rsid w:val="008A284D"/>
    <w:rsid w:val="008A36CE"/>
    <w:rsid w:val="008A3D4A"/>
    <w:rsid w:val="008A3E1C"/>
    <w:rsid w:val="008A4233"/>
    <w:rsid w:val="008A4A5E"/>
    <w:rsid w:val="008A7B0E"/>
    <w:rsid w:val="008B0681"/>
    <w:rsid w:val="008B0796"/>
    <w:rsid w:val="008B27E9"/>
    <w:rsid w:val="008B2C84"/>
    <w:rsid w:val="008B41CE"/>
    <w:rsid w:val="008B440F"/>
    <w:rsid w:val="008B4412"/>
    <w:rsid w:val="008B5CAD"/>
    <w:rsid w:val="008B60F5"/>
    <w:rsid w:val="008B7BC7"/>
    <w:rsid w:val="008C0B63"/>
    <w:rsid w:val="008C0EBA"/>
    <w:rsid w:val="008C21DF"/>
    <w:rsid w:val="008C28ED"/>
    <w:rsid w:val="008C2955"/>
    <w:rsid w:val="008C30E8"/>
    <w:rsid w:val="008C340C"/>
    <w:rsid w:val="008C3E41"/>
    <w:rsid w:val="008C436A"/>
    <w:rsid w:val="008C6037"/>
    <w:rsid w:val="008C6054"/>
    <w:rsid w:val="008C64E9"/>
    <w:rsid w:val="008C6E9C"/>
    <w:rsid w:val="008C78DC"/>
    <w:rsid w:val="008D12E0"/>
    <w:rsid w:val="008D2502"/>
    <w:rsid w:val="008D4564"/>
    <w:rsid w:val="008D4B8E"/>
    <w:rsid w:val="008D51D9"/>
    <w:rsid w:val="008D562D"/>
    <w:rsid w:val="008D5C57"/>
    <w:rsid w:val="008D698D"/>
    <w:rsid w:val="008D69D5"/>
    <w:rsid w:val="008D7E7B"/>
    <w:rsid w:val="008E493B"/>
    <w:rsid w:val="008E64EC"/>
    <w:rsid w:val="008E65F6"/>
    <w:rsid w:val="008E7DB3"/>
    <w:rsid w:val="008F0D28"/>
    <w:rsid w:val="008F1D7E"/>
    <w:rsid w:val="008F204A"/>
    <w:rsid w:val="008F262B"/>
    <w:rsid w:val="008F3100"/>
    <w:rsid w:val="008F3AE2"/>
    <w:rsid w:val="008F42A2"/>
    <w:rsid w:val="008F42ED"/>
    <w:rsid w:val="008F451A"/>
    <w:rsid w:val="008F4E01"/>
    <w:rsid w:val="008F513C"/>
    <w:rsid w:val="008F53B4"/>
    <w:rsid w:val="008F5AD3"/>
    <w:rsid w:val="008F73AC"/>
    <w:rsid w:val="008F7A4B"/>
    <w:rsid w:val="009003D1"/>
    <w:rsid w:val="00901467"/>
    <w:rsid w:val="00903A63"/>
    <w:rsid w:val="00904AE9"/>
    <w:rsid w:val="00904B8F"/>
    <w:rsid w:val="00905FD8"/>
    <w:rsid w:val="00906812"/>
    <w:rsid w:val="00907630"/>
    <w:rsid w:val="00910B98"/>
    <w:rsid w:val="0091175D"/>
    <w:rsid w:val="00911B5B"/>
    <w:rsid w:val="009179B4"/>
    <w:rsid w:val="00920750"/>
    <w:rsid w:val="00920AAB"/>
    <w:rsid w:val="00920E27"/>
    <w:rsid w:val="009233F6"/>
    <w:rsid w:val="00923877"/>
    <w:rsid w:val="00924B10"/>
    <w:rsid w:val="00924DAA"/>
    <w:rsid w:val="00924DE6"/>
    <w:rsid w:val="00925DFA"/>
    <w:rsid w:val="00926179"/>
    <w:rsid w:val="00926281"/>
    <w:rsid w:val="00926610"/>
    <w:rsid w:val="009277F9"/>
    <w:rsid w:val="00927934"/>
    <w:rsid w:val="00930E82"/>
    <w:rsid w:val="00933FD3"/>
    <w:rsid w:val="009345B0"/>
    <w:rsid w:val="00934F5C"/>
    <w:rsid w:val="00937191"/>
    <w:rsid w:val="0093722C"/>
    <w:rsid w:val="009379C0"/>
    <w:rsid w:val="00937A3D"/>
    <w:rsid w:val="00940A55"/>
    <w:rsid w:val="00941B99"/>
    <w:rsid w:val="00945D1A"/>
    <w:rsid w:val="00946181"/>
    <w:rsid w:val="00946A22"/>
    <w:rsid w:val="00946DA0"/>
    <w:rsid w:val="00946EA3"/>
    <w:rsid w:val="00950FE3"/>
    <w:rsid w:val="00951171"/>
    <w:rsid w:val="00951C7D"/>
    <w:rsid w:val="009529B1"/>
    <w:rsid w:val="009531B2"/>
    <w:rsid w:val="009546FE"/>
    <w:rsid w:val="00955023"/>
    <w:rsid w:val="0095524E"/>
    <w:rsid w:val="00955E6E"/>
    <w:rsid w:val="0095674A"/>
    <w:rsid w:val="0096226C"/>
    <w:rsid w:val="009624D7"/>
    <w:rsid w:val="00962B71"/>
    <w:rsid w:val="00963545"/>
    <w:rsid w:val="00963DD3"/>
    <w:rsid w:val="0096452F"/>
    <w:rsid w:val="00964E6A"/>
    <w:rsid w:val="00965E2A"/>
    <w:rsid w:val="00966A1E"/>
    <w:rsid w:val="00966BF3"/>
    <w:rsid w:val="00970324"/>
    <w:rsid w:val="0097115F"/>
    <w:rsid w:val="00971457"/>
    <w:rsid w:val="00971E70"/>
    <w:rsid w:val="00973510"/>
    <w:rsid w:val="00974EDD"/>
    <w:rsid w:val="00975CC6"/>
    <w:rsid w:val="00976B3F"/>
    <w:rsid w:val="00976DF6"/>
    <w:rsid w:val="009801F5"/>
    <w:rsid w:val="0098053F"/>
    <w:rsid w:val="00980835"/>
    <w:rsid w:val="0098083F"/>
    <w:rsid w:val="00982553"/>
    <w:rsid w:val="0098296A"/>
    <w:rsid w:val="00982AE9"/>
    <w:rsid w:val="00983109"/>
    <w:rsid w:val="00984333"/>
    <w:rsid w:val="00984E00"/>
    <w:rsid w:val="00985913"/>
    <w:rsid w:val="009874C0"/>
    <w:rsid w:val="0099008F"/>
    <w:rsid w:val="00990253"/>
    <w:rsid w:val="00990FB6"/>
    <w:rsid w:val="00991DF6"/>
    <w:rsid w:val="009925AE"/>
    <w:rsid w:val="00992FB3"/>
    <w:rsid w:val="00993056"/>
    <w:rsid w:val="0099332E"/>
    <w:rsid w:val="00993617"/>
    <w:rsid w:val="00993846"/>
    <w:rsid w:val="00994172"/>
    <w:rsid w:val="0099508D"/>
    <w:rsid w:val="009953B8"/>
    <w:rsid w:val="00996D64"/>
    <w:rsid w:val="00997FE6"/>
    <w:rsid w:val="009A0210"/>
    <w:rsid w:val="009A09BC"/>
    <w:rsid w:val="009A1841"/>
    <w:rsid w:val="009A7D6A"/>
    <w:rsid w:val="009B13AE"/>
    <w:rsid w:val="009B16A0"/>
    <w:rsid w:val="009B2727"/>
    <w:rsid w:val="009B31E9"/>
    <w:rsid w:val="009B5D6E"/>
    <w:rsid w:val="009B6116"/>
    <w:rsid w:val="009B6197"/>
    <w:rsid w:val="009B6AA4"/>
    <w:rsid w:val="009B70E2"/>
    <w:rsid w:val="009C0106"/>
    <w:rsid w:val="009C0841"/>
    <w:rsid w:val="009C09F7"/>
    <w:rsid w:val="009C2727"/>
    <w:rsid w:val="009C353E"/>
    <w:rsid w:val="009C3FCC"/>
    <w:rsid w:val="009C53C5"/>
    <w:rsid w:val="009C63A1"/>
    <w:rsid w:val="009C77C4"/>
    <w:rsid w:val="009D0B37"/>
    <w:rsid w:val="009D1E59"/>
    <w:rsid w:val="009D1F1F"/>
    <w:rsid w:val="009D2172"/>
    <w:rsid w:val="009D27E5"/>
    <w:rsid w:val="009D3369"/>
    <w:rsid w:val="009D3757"/>
    <w:rsid w:val="009D5B96"/>
    <w:rsid w:val="009D5F91"/>
    <w:rsid w:val="009D6E21"/>
    <w:rsid w:val="009D7352"/>
    <w:rsid w:val="009D7447"/>
    <w:rsid w:val="009D7A02"/>
    <w:rsid w:val="009D7BDF"/>
    <w:rsid w:val="009E071F"/>
    <w:rsid w:val="009E1184"/>
    <w:rsid w:val="009E1AB8"/>
    <w:rsid w:val="009E2286"/>
    <w:rsid w:val="009E22CA"/>
    <w:rsid w:val="009E3FC5"/>
    <w:rsid w:val="009E4341"/>
    <w:rsid w:val="009E5B03"/>
    <w:rsid w:val="009E73B3"/>
    <w:rsid w:val="009F0321"/>
    <w:rsid w:val="009F0394"/>
    <w:rsid w:val="009F0904"/>
    <w:rsid w:val="009F0F58"/>
    <w:rsid w:val="009F2AE0"/>
    <w:rsid w:val="009F3928"/>
    <w:rsid w:val="009F4C51"/>
    <w:rsid w:val="009F4ECE"/>
    <w:rsid w:val="009F5608"/>
    <w:rsid w:val="009F5785"/>
    <w:rsid w:val="009F611F"/>
    <w:rsid w:val="009F6431"/>
    <w:rsid w:val="00A008C3"/>
    <w:rsid w:val="00A02C1D"/>
    <w:rsid w:val="00A031BE"/>
    <w:rsid w:val="00A03EC2"/>
    <w:rsid w:val="00A0401B"/>
    <w:rsid w:val="00A06AC2"/>
    <w:rsid w:val="00A07753"/>
    <w:rsid w:val="00A104FB"/>
    <w:rsid w:val="00A10E3F"/>
    <w:rsid w:val="00A10FF6"/>
    <w:rsid w:val="00A11B34"/>
    <w:rsid w:val="00A11B69"/>
    <w:rsid w:val="00A1232C"/>
    <w:rsid w:val="00A14158"/>
    <w:rsid w:val="00A1437A"/>
    <w:rsid w:val="00A158C3"/>
    <w:rsid w:val="00A16950"/>
    <w:rsid w:val="00A16CD1"/>
    <w:rsid w:val="00A17D0F"/>
    <w:rsid w:val="00A2083F"/>
    <w:rsid w:val="00A21E28"/>
    <w:rsid w:val="00A22A7A"/>
    <w:rsid w:val="00A23970"/>
    <w:rsid w:val="00A23DA2"/>
    <w:rsid w:val="00A24244"/>
    <w:rsid w:val="00A262E0"/>
    <w:rsid w:val="00A26C9B"/>
    <w:rsid w:val="00A275A1"/>
    <w:rsid w:val="00A27908"/>
    <w:rsid w:val="00A301DB"/>
    <w:rsid w:val="00A302E3"/>
    <w:rsid w:val="00A30A05"/>
    <w:rsid w:val="00A310A5"/>
    <w:rsid w:val="00A312F1"/>
    <w:rsid w:val="00A316E1"/>
    <w:rsid w:val="00A328C4"/>
    <w:rsid w:val="00A34005"/>
    <w:rsid w:val="00A34168"/>
    <w:rsid w:val="00A34253"/>
    <w:rsid w:val="00A34D92"/>
    <w:rsid w:val="00A36088"/>
    <w:rsid w:val="00A3680E"/>
    <w:rsid w:val="00A36D75"/>
    <w:rsid w:val="00A37261"/>
    <w:rsid w:val="00A40121"/>
    <w:rsid w:val="00A42A72"/>
    <w:rsid w:val="00A43414"/>
    <w:rsid w:val="00A436AE"/>
    <w:rsid w:val="00A45113"/>
    <w:rsid w:val="00A47902"/>
    <w:rsid w:val="00A47A41"/>
    <w:rsid w:val="00A47F58"/>
    <w:rsid w:val="00A503B8"/>
    <w:rsid w:val="00A50879"/>
    <w:rsid w:val="00A50981"/>
    <w:rsid w:val="00A50E9A"/>
    <w:rsid w:val="00A518EA"/>
    <w:rsid w:val="00A5220D"/>
    <w:rsid w:val="00A527F6"/>
    <w:rsid w:val="00A52A75"/>
    <w:rsid w:val="00A551EA"/>
    <w:rsid w:val="00A55489"/>
    <w:rsid w:val="00A55585"/>
    <w:rsid w:val="00A558C4"/>
    <w:rsid w:val="00A55F78"/>
    <w:rsid w:val="00A566A4"/>
    <w:rsid w:val="00A63D36"/>
    <w:rsid w:val="00A654A3"/>
    <w:rsid w:val="00A670C4"/>
    <w:rsid w:val="00A67BBD"/>
    <w:rsid w:val="00A722AA"/>
    <w:rsid w:val="00A722D9"/>
    <w:rsid w:val="00A72AE5"/>
    <w:rsid w:val="00A73251"/>
    <w:rsid w:val="00A7331C"/>
    <w:rsid w:val="00A73C67"/>
    <w:rsid w:val="00A75E17"/>
    <w:rsid w:val="00A76D04"/>
    <w:rsid w:val="00A7796E"/>
    <w:rsid w:val="00A80CF4"/>
    <w:rsid w:val="00A81951"/>
    <w:rsid w:val="00A82556"/>
    <w:rsid w:val="00A8264C"/>
    <w:rsid w:val="00A839F2"/>
    <w:rsid w:val="00A845BA"/>
    <w:rsid w:val="00A84630"/>
    <w:rsid w:val="00A8465C"/>
    <w:rsid w:val="00A84E6F"/>
    <w:rsid w:val="00A85F3A"/>
    <w:rsid w:val="00A86010"/>
    <w:rsid w:val="00A86155"/>
    <w:rsid w:val="00A86DD5"/>
    <w:rsid w:val="00A86F63"/>
    <w:rsid w:val="00A90005"/>
    <w:rsid w:val="00A90DBE"/>
    <w:rsid w:val="00A910DF"/>
    <w:rsid w:val="00A914CA"/>
    <w:rsid w:val="00A921E4"/>
    <w:rsid w:val="00A930A2"/>
    <w:rsid w:val="00A936DA"/>
    <w:rsid w:val="00A942F7"/>
    <w:rsid w:val="00A946D1"/>
    <w:rsid w:val="00A95AC1"/>
    <w:rsid w:val="00A95B00"/>
    <w:rsid w:val="00A95D37"/>
    <w:rsid w:val="00A9712D"/>
    <w:rsid w:val="00A978FC"/>
    <w:rsid w:val="00AA09E4"/>
    <w:rsid w:val="00AA2866"/>
    <w:rsid w:val="00AA38FD"/>
    <w:rsid w:val="00AA5950"/>
    <w:rsid w:val="00AA67BD"/>
    <w:rsid w:val="00AA6A76"/>
    <w:rsid w:val="00AA6BED"/>
    <w:rsid w:val="00AA6E14"/>
    <w:rsid w:val="00AA706E"/>
    <w:rsid w:val="00AB0008"/>
    <w:rsid w:val="00AB01E9"/>
    <w:rsid w:val="00AB0DB9"/>
    <w:rsid w:val="00AB213C"/>
    <w:rsid w:val="00AB378B"/>
    <w:rsid w:val="00AB3E52"/>
    <w:rsid w:val="00AB49F8"/>
    <w:rsid w:val="00AB5511"/>
    <w:rsid w:val="00AB556D"/>
    <w:rsid w:val="00AB60D5"/>
    <w:rsid w:val="00AB62E9"/>
    <w:rsid w:val="00AC1D70"/>
    <w:rsid w:val="00AC281F"/>
    <w:rsid w:val="00AC2F7D"/>
    <w:rsid w:val="00AC333B"/>
    <w:rsid w:val="00AC4461"/>
    <w:rsid w:val="00AC5007"/>
    <w:rsid w:val="00AC5166"/>
    <w:rsid w:val="00AC63F8"/>
    <w:rsid w:val="00AD10B6"/>
    <w:rsid w:val="00AD159F"/>
    <w:rsid w:val="00AD3977"/>
    <w:rsid w:val="00AD43FF"/>
    <w:rsid w:val="00AD47FE"/>
    <w:rsid w:val="00AD4D04"/>
    <w:rsid w:val="00AD5E2B"/>
    <w:rsid w:val="00AE1706"/>
    <w:rsid w:val="00AE29B7"/>
    <w:rsid w:val="00AE4EDF"/>
    <w:rsid w:val="00AE5E3B"/>
    <w:rsid w:val="00AE7114"/>
    <w:rsid w:val="00AE7A88"/>
    <w:rsid w:val="00AE7C75"/>
    <w:rsid w:val="00AF017D"/>
    <w:rsid w:val="00AF125B"/>
    <w:rsid w:val="00AF1329"/>
    <w:rsid w:val="00AF283E"/>
    <w:rsid w:val="00AF2C73"/>
    <w:rsid w:val="00AF2F13"/>
    <w:rsid w:val="00AF34B3"/>
    <w:rsid w:val="00AF3905"/>
    <w:rsid w:val="00AF4A52"/>
    <w:rsid w:val="00AF5954"/>
    <w:rsid w:val="00AF6D2F"/>
    <w:rsid w:val="00AF7144"/>
    <w:rsid w:val="00AF7D3F"/>
    <w:rsid w:val="00B0081D"/>
    <w:rsid w:val="00B0131B"/>
    <w:rsid w:val="00B02354"/>
    <w:rsid w:val="00B02656"/>
    <w:rsid w:val="00B029EB"/>
    <w:rsid w:val="00B0379D"/>
    <w:rsid w:val="00B03A3D"/>
    <w:rsid w:val="00B04014"/>
    <w:rsid w:val="00B0469F"/>
    <w:rsid w:val="00B04B2D"/>
    <w:rsid w:val="00B0576E"/>
    <w:rsid w:val="00B064A9"/>
    <w:rsid w:val="00B10DB2"/>
    <w:rsid w:val="00B12903"/>
    <w:rsid w:val="00B12C52"/>
    <w:rsid w:val="00B139C1"/>
    <w:rsid w:val="00B13C24"/>
    <w:rsid w:val="00B1494C"/>
    <w:rsid w:val="00B162EB"/>
    <w:rsid w:val="00B16847"/>
    <w:rsid w:val="00B16EE9"/>
    <w:rsid w:val="00B170F4"/>
    <w:rsid w:val="00B178F2"/>
    <w:rsid w:val="00B17EAE"/>
    <w:rsid w:val="00B20413"/>
    <w:rsid w:val="00B20E54"/>
    <w:rsid w:val="00B2226C"/>
    <w:rsid w:val="00B22EE0"/>
    <w:rsid w:val="00B234A4"/>
    <w:rsid w:val="00B24549"/>
    <w:rsid w:val="00B25CAC"/>
    <w:rsid w:val="00B25CF1"/>
    <w:rsid w:val="00B27A3A"/>
    <w:rsid w:val="00B31EC5"/>
    <w:rsid w:val="00B3217C"/>
    <w:rsid w:val="00B323F1"/>
    <w:rsid w:val="00B329B3"/>
    <w:rsid w:val="00B33AFB"/>
    <w:rsid w:val="00B34263"/>
    <w:rsid w:val="00B34792"/>
    <w:rsid w:val="00B35D0E"/>
    <w:rsid w:val="00B35FAE"/>
    <w:rsid w:val="00B4058E"/>
    <w:rsid w:val="00B406F3"/>
    <w:rsid w:val="00B40C00"/>
    <w:rsid w:val="00B4127D"/>
    <w:rsid w:val="00B43217"/>
    <w:rsid w:val="00B43237"/>
    <w:rsid w:val="00B4421B"/>
    <w:rsid w:val="00B44CF1"/>
    <w:rsid w:val="00B454BF"/>
    <w:rsid w:val="00B4743E"/>
    <w:rsid w:val="00B475C2"/>
    <w:rsid w:val="00B4763D"/>
    <w:rsid w:val="00B47BBB"/>
    <w:rsid w:val="00B51E9D"/>
    <w:rsid w:val="00B52760"/>
    <w:rsid w:val="00B52D85"/>
    <w:rsid w:val="00B52E67"/>
    <w:rsid w:val="00B55090"/>
    <w:rsid w:val="00B559B6"/>
    <w:rsid w:val="00B60914"/>
    <w:rsid w:val="00B61841"/>
    <w:rsid w:val="00B649A6"/>
    <w:rsid w:val="00B64CEC"/>
    <w:rsid w:val="00B65382"/>
    <w:rsid w:val="00B66941"/>
    <w:rsid w:val="00B671A4"/>
    <w:rsid w:val="00B70265"/>
    <w:rsid w:val="00B71680"/>
    <w:rsid w:val="00B73E7E"/>
    <w:rsid w:val="00B75348"/>
    <w:rsid w:val="00B76210"/>
    <w:rsid w:val="00B767B5"/>
    <w:rsid w:val="00B802E9"/>
    <w:rsid w:val="00B8171B"/>
    <w:rsid w:val="00B81878"/>
    <w:rsid w:val="00B81CC0"/>
    <w:rsid w:val="00B8224E"/>
    <w:rsid w:val="00B84C27"/>
    <w:rsid w:val="00B85245"/>
    <w:rsid w:val="00B85BCB"/>
    <w:rsid w:val="00B865F2"/>
    <w:rsid w:val="00B86DC5"/>
    <w:rsid w:val="00B878B5"/>
    <w:rsid w:val="00B87F91"/>
    <w:rsid w:val="00B90A5C"/>
    <w:rsid w:val="00B90B8D"/>
    <w:rsid w:val="00B90F20"/>
    <w:rsid w:val="00B920C6"/>
    <w:rsid w:val="00B925FC"/>
    <w:rsid w:val="00B93BD5"/>
    <w:rsid w:val="00B94735"/>
    <w:rsid w:val="00B94A9D"/>
    <w:rsid w:val="00B9530B"/>
    <w:rsid w:val="00B9572D"/>
    <w:rsid w:val="00B972C1"/>
    <w:rsid w:val="00BA03D0"/>
    <w:rsid w:val="00BA0878"/>
    <w:rsid w:val="00BA0B6E"/>
    <w:rsid w:val="00BA3305"/>
    <w:rsid w:val="00BA3901"/>
    <w:rsid w:val="00BA3C7D"/>
    <w:rsid w:val="00BA4CF4"/>
    <w:rsid w:val="00BA5BB9"/>
    <w:rsid w:val="00BA65C6"/>
    <w:rsid w:val="00BA6D88"/>
    <w:rsid w:val="00BA7745"/>
    <w:rsid w:val="00BB0E4F"/>
    <w:rsid w:val="00BB296F"/>
    <w:rsid w:val="00BB31BD"/>
    <w:rsid w:val="00BB4CF5"/>
    <w:rsid w:val="00BB58E5"/>
    <w:rsid w:val="00BB7358"/>
    <w:rsid w:val="00BB7378"/>
    <w:rsid w:val="00BB7523"/>
    <w:rsid w:val="00BB7C5F"/>
    <w:rsid w:val="00BC0357"/>
    <w:rsid w:val="00BC0B61"/>
    <w:rsid w:val="00BC177B"/>
    <w:rsid w:val="00BC19DD"/>
    <w:rsid w:val="00BC2E97"/>
    <w:rsid w:val="00BC49EA"/>
    <w:rsid w:val="00BC643B"/>
    <w:rsid w:val="00BC6920"/>
    <w:rsid w:val="00BC69B8"/>
    <w:rsid w:val="00BC6DFC"/>
    <w:rsid w:val="00BC6F74"/>
    <w:rsid w:val="00BC707B"/>
    <w:rsid w:val="00BD1082"/>
    <w:rsid w:val="00BD15D4"/>
    <w:rsid w:val="00BD24B9"/>
    <w:rsid w:val="00BD33D8"/>
    <w:rsid w:val="00BD41BB"/>
    <w:rsid w:val="00BD5ABB"/>
    <w:rsid w:val="00BD620D"/>
    <w:rsid w:val="00BD67F8"/>
    <w:rsid w:val="00BD77EB"/>
    <w:rsid w:val="00BE01CB"/>
    <w:rsid w:val="00BE0314"/>
    <w:rsid w:val="00BE0660"/>
    <w:rsid w:val="00BE0959"/>
    <w:rsid w:val="00BE09AF"/>
    <w:rsid w:val="00BE13C0"/>
    <w:rsid w:val="00BE13E8"/>
    <w:rsid w:val="00BE2B4D"/>
    <w:rsid w:val="00BE4347"/>
    <w:rsid w:val="00BE4BDF"/>
    <w:rsid w:val="00BE4E76"/>
    <w:rsid w:val="00BE5763"/>
    <w:rsid w:val="00BE5F59"/>
    <w:rsid w:val="00BE5FD8"/>
    <w:rsid w:val="00BE7AE4"/>
    <w:rsid w:val="00BE7D39"/>
    <w:rsid w:val="00BF00AC"/>
    <w:rsid w:val="00BF08BB"/>
    <w:rsid w:val="00BF125C"/>
    <w:rsid w:val="00BF160C"/>
    <w:rsid w:val="00BF1958"/>
    <w:rsid w:val="00BF204E"/>
    <w:rsid w:val="00BF447A"/>
    <w:rsid w:val="00BF6358"/>
    <w:rsid w:val="00BF6735"/>
    <w:rsid w:val="00BF6FF3"/>
    <w:rsid w:val="00BF7B9E"/>
    <w:rsid w:val="00C0030C"/>
    <w:rsid w:val="00C0165A"/>
    <w:rsid w:val="00C02461"/>
    <w:rsid w:val="00C028B3"/>
    <w:rsid w:val="00C02CBE"/>
    <w:rsid w:val="00C03F86"/>
    <w:rsid w:val="00C046E1"/>
    <w:rsid w:val="00C04B4A"/>
    <w:rsid w:val="00C04E03"/>
    <w:rsid w:val="00C05439"/>
    <w:rsid w:val="00C060A9"/>
    <w:rsid w:val="00C060AB"/>
    <w:rsid w:val="00C07C11"/>
    <w:rsid w:val="00C101BF"/>
    <w:rsid w:val="00C10577"/>
    <w:rsid w:val="00C106FE"/>
    <w:rsid w:val="00C10928"/>
    <w:rsid w:val="00C10F9F"/>
    <w:rsid w:val="00C11FC2"/>
    <w:rsid w:val="00C12055"/>
    <w:rsid w:val="00C12554"/>
    <w:rsid w:val="00C12AE6"/>
    <w:rsid w:val="00C12FDD"/>
    <w:rsid w:val="00C13C35"/>
    <w:rsid w:val="00C14223"/>
    <w:rsid w:val="00C14626"/>
    <w:rsid w:val="00C15B6E"/>
    <w:rsid w:val="00C16625"/>
    <w:rsid w:val="00C16A60"/>
    <w:rsid w:val="00C16F99"/>
    <w:rsid w:val="00C176E8"/>
    <w:rsid w:val="00C17B8A"/>
    <w:rsid w:val="00C17DCC"/>
    <w:rsid w:val="00C20A04"/>
    <w:rsid w:val="00C20E10"/>
    <w:rsid w:val="00C20E2F"/>
    <w:rsid w:val="00C21C06"/>
    <w:rsid w:val="00C23900"/>
    <w:rsid w:val="00C24726"/>
    <w:rsid w:val="00C2542E"/>
    <w:rsid w:val="00C2666B"/>
    <w:rsid w:val="00C2672B"/>
    <w:rsid w:val="00C270AC"/>
    <w:rsid w:val="00C27D1F"/>
    <w:rsid w:val="00C30209"/>
    <w:rsid w:val="00C304D9"/>
    <w:rsid w:val="00C30BC8"/>
    <w:rsid w:val="00C31023"/>
    <w:rsid w:val="00C31470"/>
    <w:rsid w:val="00C32296"/>
    <w:rsid w:val="00C32301"/>
    <w:rsid w:val="00C32ACF"/>
    <w:rsid w:val="00C33553"/>
    <w:rsid w:val="00C337F0"/>
    <w:rsid w:val="00C3425F"/>
    <w:rsid w:val="00C34E45"/>
    <w:rsid w:val="00C3565F"/>
    <w:rsid w:val="00C357B4"/>
    <w:rsid w:val="00C35EBE"/>
    <w:rsid w:val="00C37211"/>
    <w:rsid w:val="00C377DC"/>
    <w:rsid w:val="00C40148"/>
    <w:rsid w:val="00C41250"/>
    <w:rsid w:val="00C417CB"/>
    <w:rsid w:val="00C4269E"/>
    <w:rsid w:val="00C4289A"/>
    <w:rsid w:val="00C42BF3"/>
    <w:rsid w:val="00C43651"/>
    <w:rsid w:val="00C43E6A"/>
    <w:rsid w:val="00C45B7B"/>
    <w:rsid w:val="00C46D6D"/>
    <w:rsid w:val="00C47931"/>
    <w:rsid w:val="00C47E5E"/>
    <w:rsid w:val="00C51495"/>
    <w:rsid w:val="00C51C87"/>
    <w:rsid w:val="00C52004"/>
    <w:rsid w:val="00C52140"/>
    <w:rsid w:val="00C52B2F"/>
    <w:rsid w:val="00C5303B"/>
    <w:rsid w:val="00C53BBA"/>
    <w:rsid w:val="00C540BE"/>
    <w:rsid w:val="00C54AF2"/>
    <w:rsid w:val="00C54EDE"/>
    <w:rsid w:val="00C55386"/>
    <w:rsid w:val="00C60612"/>
    <w:rsid w:val="00C60E19"/>
    <w:rsid w:val="00C61C5F"/>
    <w:rsid w:val="00C61DFE"/>
    <w:rsid w:val="00C62274"/>
    <w:rsid w:val="00C62705"/>
    <w:rsid w:val="00C6291E"/>
    <w:rsid w:val="00C62B3A"/>
    <w:rsid w:val="00C63EDF"/>
    <w:rsid w:val="00C6513F"/>
    <w:rsid w:val="00C652CC"/>
    <w:rsid w:val="00C65D5D"/>
    <w:rsid w:val="00C6773F"/>
    <w:rsid w:val="00C67841"/>
    <w:rsid w:val="00C705B2"/>
    <w:rsid w:val="00C71576"/>
    <w:rsid w:val="00C72E77"/>
    <w:rsid w:val="00C72FB6"/>
    <w:rsid w:val="00C7304E"/>
    <w:rsid w:val="00C7484C"/>
    <w:rsid w:val="00C750F5"/>
    <w:rsid w:val="00C760E2"/>
    <w:rsid w:val="00C76174"/>
    <w:rsid w:val="00C76B0A"/>
    <w:rsid w:val="00C76E8B"/>
    <w:rsid w:val="00C76FEB"/>
    <w:rsid w:val="00C81260"/>
    <w:rsid w:val="00C81604"/>
    <w:rsid w:val="00C81FCA"/>
    <w:rsid w:val="00C82157"/>
    <w:rsid w:val="00C82B13"/>
    <w:rsid w:val="00C83F54"/>
    <w:rsid w:val="00C84251"/>
    <w:rsid w:val="00C84A61"/>
    <w:rsid w:val="00C863C7"/>
    <w:rsid w:val="00C869A9"/>
    <w:rsid w:val="00C86D5D"/>
    <w:rsid w:val="00C87245"/>
    <w:rsid w:val="00C913EF"/>
    <w:rsid w:val="00C91A45"/>
    <w:rsid w:val="00C934A7"/>
    <w:rsid w:val="00C943C8"/>
    <w:rsid w:val="00C94517"/>
    <w:rsid w:val="00C94B74"/>
    <w:rsid w:val="00C951B8"/>
    <w:rsid w:val="00C96751"/>
    <w:rsid w:val="00C97FF3"/>
    <w:rsid w:val="00CA0F82"/>
    <w:rsid w:val="00CA122C"/>
    <w:rsid w:val="00CA2208"/>
    <w:rsid w:val="00CA2B6E"/>
    <w:rsid w:val="00CA3599"/>
    <w:rsid w:val="00CA4CF3"/>
    <w:rsid w:val="00CA560B"/>
    <w:rsid w:val="00CA652C"/>
    <w:rsid w:val="00CA7732"/>
    <w:rsid w:val="00CA7B40"/>
    <w:rsid w:val="00CA7BCF"/>
    <w:rsid w:val="00CA7E2B"/>
    <w:rsid w:val="00CB001F"/>
    <w:rsid w:val="00CB2C87"/>
    <w:rsid w:val="00CB392F"/>
    <w:rsid w:val="00CB43B6"/>
    <w:rsid w:val="00CB46E1"/>
    <w:rsid w:val="00CB48D0"/>
    <w:rsid w:val="00CB51C6"/>
    <w:rsid w:val="00CB5AF3"/>
    <w:rsid w:val="00CB6B7C"/>
    <w:rsid w:val="00CC0130"/>
    <w:rsid w:val="00CC1BD3"/>
    <w:rsid w:val="00CC1C3F"/>
    <w:rsid w:val="00CC2ADF"/>
    <w:rsid w:val="00CC4BBC"/>
    <w:rsid w:val="00CC544D"/>
    <w:rsid w:val="00CC5CBF"/>
    <w:rsid w:val="00CC6FC9"/>
    <w:rsid w:val="00CC7958"/>
    <w:rsid w:val="00CD2D70"/>
    <w:rsid w:val="00CD33BE"/>
    <w:rsid w:val="00CD3608"/>
    <w:rsid w:val="00CD3874"/>
    <w:rsid w:val="00CD46EC"/>
    <w:rsid w:val="00CD5A0A"/>
    <w:rsid w:val="00CD7E39"/>
    <w:rsid w:val="00CD7E76"/>
    <w:rsid w:val="00CE0CAD"/>
    <w:rsid w:val="00CE1413"/>
    <w:rsid w:val="00CE2293"/>
    <w:rsid w:val="00CE28D2"/>
    <w:rsid w:val="00CE4244"/>
    <w:rsid w:val="00CE440B"/>
    <w:rsid w:val="00CE4CEF"/>
    <w:rsid w:val="00CF06AD"/>
    <w:rsid w:val="00CF0C03"/>
    <w:rsid w:val="00CF1233"/>
    <w:rsid w:val="00CF2515"/>
    <w:rsid w:val="00CF2B32"/>
    <w:rsid w:val="00CF4A68"/>
    <w:rsid w:val="00CF4BC2"/>
    <w:rsid w:val="00CF52B7"/>
    <w:rsid w:val="00CF59CE"/>
    <w:rsid w:val="00CF7AF6"/>
    <w:rsid w:val="00D00F20"/>
    <w:rsid w:val="00D02058"/>
    <w:rsid w:val="00D0224B"/>
    <w:rsid w:val="00D03F85"/>
    <w:rsid w:val="00D04635"/>
    <w:rsid w:val="00D05D5D"/>
    <w:rsid w:val="00D05EB1"/>
    <w:rsid w:val="00D0637F"/>
    <w:rsid w:val="00D06935"/>
    <w:rsid w:val="00D078DF"/>
    <w:rsid w:val="00D1140A"/>
    <w:rsid w:val="00D1215D"/>
    <w:rsid w:val="00D13064"/>
    <w:rsid w:val="00D13E0E"/>
    <w:rsid w:val="00D1407D"/>
    <w:rsid w:val="00D16C64"/>
    <w:rsid w:val="00D173ED"/>
    <w:rsid w:val="00D179D8"/>
    <w:rsid w:val="00D17DBE"/>
    <w:rsid w:val="00D21DF7"/>
    <w:rsid w:val="00D23302"/>
    <w:rsid w:val="00D23B38"/>
    <w:rsid w:val="00D2528E"/>
    <w:rsid w:val="00D26074"/>
    <w:rsid w:val="00D30262"/>
    <w:rsid w:val="00D311C2"/>
    <w:rsid w:val="00D31252"/>
    <w:rsid w:val="00D31AEC"/>
    <w:rsid w:val="00D32260"/>
    <w:rsid w:val="00D33754"/>
    <w:rsid w:val="00D33D97"/>
    <w:rsid w:val="00D3614B"/>
    <w:rsid w:val="00D36553"/>
    <w:rsid w:val="00D40258"/>
    <w:rsid w:val="00D40ADB"/>
    <w:rsid w:val="00D41F04"/>
    <w:rsid w:val="00D4243C"/>
    <w:rsid w:val="00D42464"/>
    <w:rsid w:val="00D42F4D"/>
    <w:rsid w:val="00D430B2"/>
    <w:rsid w:val="00D431A0"/>
    <w:rsid w:val="00D441EE"/>
    <w:rsid w:val="00D4436E"/>
    <w:rsid w:val="00D44C18"/>
    <w:rsid w:val="00D46A1D"/>
    <w:rsid w:val="00D46C13"/>
    <w:rsid w:val="00D479F7"/>
    <w:rsid w:val="00D47B0A"/>
    <w:rsid w:val="00D5134A"/>
    <w:rsid w:val="00D51B39"/>
    <w:rsid w:val="00D520A7"/>
    <w:rsid w:val="00D558AA"/>
    <w:rsid w:val="00D56145"/>
    <w:rsid w:val="00D579B6"/>
    <w:rsid w:val="00D57BC3"/>
    <w:rsid w:val="00D60299"/>
    <w:rsid w:val="00D616FC"/>
    <w:rsid w:val="00D62579"/>
    <w:rsid w:val="00D62C94"/>
    <w:rsid w:val="00D638EA"/>
    <w:rsid w:val="00D63C53"/>
    <w:rsid w:val="00D657FB"/>
    <w:rsid w:val="00D66667"/>
    <w:rsid w:val="00D66F15"/>
    <w:rsid w:val="00D671AF"/>
    <w:rsid w:val="00D71356"/>
    <w:rsid w:val="00D71F37"/>
    <w:rsid w:val="00D72FEB"/>
    <w:rsid w:val="00D730C0"/>
    <w:rsid w:val="00D7438B"/>
    <w:rsid w:val="00D74959"/>
    <w:rsid w:val="00D7534B"/>
    <w:rsid w:val="00D75C78"/>
    <w:rsid w:val="00D77AD9"/>
    <w:rsid w:val="00D800C0"/>
    <w:rsid w:val="00D8025C"/>
    <w:rsid w:val="00D80708"/>
    <w:rsid w:val="00D810C2"/>
    <w:rsid w:val="00D814F3"/>
    <w:rsid w:val="00D82208"/>
    <w:rsid w:val="00D82D6F"/>
    <w:rsid w:val="00D83068"/>
    <w:rsid w:val="00D8509B"/>
    <w:rsid w:val="00D863F5"/>
    <w:rsid w:val="00D90379"/>
    <w:rsid w:val="00D911A9"/>
    <w:rsid w:val="00D916F9"/>
    <w:rsid w:val="00D919F4"/>
    <w:rsid w:val="00D933CF"/>
    <w:rsid w:val="00D9344B"/>
    <w:rsid w:val="00D934E7"/>
    <w:rsid w:val="00D94258"/>
    <w:rsid w:val="00D94EE5"/>
    <w:rsid w:val="00D94F1C"/>
    <w:rsid w:val="00D955C8"/>
    <w:rsid w:val="00D966FF"/>
    <w:rsid w:val="00D96950"/>
    <w:rsid w:val="00D96A0C"/>
    <w:rsid w:val="00D96A16"/>
    <w:rsid w:val="00D97173"/>
    <w:rsid w:val="00D97E8B"/>
    <w:rsid w:val="00DA014E"/>
    <w:rsid w:val="00DA10E7"/>
    <w:rsid w:val="00DA3753"/>
    <w:rsid w:val="00DA3A73"/>
    <w:rsid w:val="00DA4359"/>
    <w:rsid w:val="00DA4E65"/>
    <w:rsid w:val="00DA5111"/>
    <w:rsid w:val="00DA562B"/>
    <w:rsid w:val="00DA57FE"/>
    <w:rsid w:val="00DA5E3E"/>
    <w:rsid w:val="00DA6B77"/>
    <w:rsid w:val="00DA70AB"/>
    <w:rsid w:val="00DA7182"/>
    <w:rsid w:val="00DA7481"/>
    <w:rsid w:val="00DA78A6"/>
    <w:rsid w:val="00DB1B2C"/>
    <w:rsid w:val="00DB25F7"/>
    <w:rsid w:val="00DB3190"/>
    <w:rsid w:val="00DB31D9"/>
    <w:rsid w:val="00DB34ED"/>
    <w:rsid w:val="00DB40F1"/>
    <w:rsid w:val="00DB4692"/>
    <w:rsid w:val="00DB5693"/>
    <w:rsid w:val="00DB5EED"/>
    <w:rsid w:val="00DB6A14"/>
    <w:rsid w:val="00DB7FD8"/>
    <w:rsid w:val="00DC2DDB"/>
    <w:rsid w:val="00DC3FEC"/>
    <w:rsid w:val="00DC59A9"/>
    <w:rsid w:val="00DD0D13"/>
    <w:rsid w:val="00DD1827"/>
    <w:rsid w:val="00DD1F2D"/>
    <w:rsid w:val="00DD3F73"/>
    <w:rsid w:val="00DE0005"/>
    <w:rsid w:val="00DE23E4"/>
    <w:rsid w:val="00DE466D"/>
    <w:rsid w:val="00DE4851"/>
    <w:rsid w:val="00DE557D"/>
    <w:rsid w:val="00DE6B2C"/>
    <w:rsid w:val="00DE7196"/>
    <w:rsid w:val="00DE7B2C"/>
    <w:rsid w:val="00DE7ECE"/>
    <w:rsid w:val="00DF01EB"/>
    <w:rsid w:val="00DF029E"/>
    <w:rsid w:val="00DF0BEC"/>
    <w:rsid w:val="00DF1FCC"/>
    <w:rsid w:val="00DF32D9"/>
    <w:rsid w:val="00DF3A49"/>
    <w:rsid w:val="00DF3A7F"/>
    <w:rsid w:val="00DF4288"/>
    <w:rsid w:val="00DF5A54"/>
    <w:rsid w:val="00DF675A"/>
    <w:rsid w:val="00DF6F12"/>
    <w:rsid w:val="00E00F4A"/>
    <w:rsid w:val="00E01F20"/>
    <w:rsid w:val="00E020E1"/>
    <w:rsid w:val="00E02550"/>
    <w:rsid w:val="00E02599"/>
    <w:rsid w:val="00E03B8A"/>
    <w:rsid w:val="00E056DE"/>
    <w:rsid w:val="00E05E34"/>
    <w:rsid w:val="00E05E72"/>
    <w:rsid w:val="00E062DE"/>
    <w:rsid w:val="00E101B5"/>
    <w:rsid w:val="00E10E53"/>
    <w:rsid w:val="00E11E6A"/>
    <w:rsid w:val="00E12CF1"/>
    <w:rsid w:val="00E133ED"/>
    <w:rsid w:val="00E13931"/>
    <w:rsid w:val="00E15104"/>
    <w:rsid w:val="00E151AC"/>
    <w:rsid w:val="00E15931"/>
    <w:rsid w:val="00E16503"/>
    <w:rsid w:val="00E204E8"/>
    <w:rsid w:val="00E20B7D"/>
    <w:rsid w:val="00E2157F"/>
    <w:rsid w:val="00E21B57"/>
    <w:rsid w:val="00E231F0"/>
    <w:rsid w:val="00E252CF"/>
    <w:rsid w:val="00E25E24"/>
    <w:rsid w:val="00E26271"/>
    <w:rsid w:val="00E277B3"/>
    <w:rsid w:val="00E27C45"/>
    <w:rsid w:val="00E303D2"/>
    <w:rsid w:val="00E30898"/>
    <w:rsid w:val="00E31E93"/>
    <w:rsid w:val="00E32C30"/>
    <w:rsid w:val="00E34943"/>
    <w:rsid w:val="00E34AE5"/>
    <w:rsid w:val="00E407F3"/>
    <w:rsid w:val="00E41EE5"/>
    <w:rsid w:val="00E42B07"/>
    <w:rsid w:val="00E434FD"/>
    <w:rsid w:val="00E43C30"/>
    <w:rsid w:val="00E449AA"/>
    <w:rsid w:val="00E45110"/>
    <w:rsid w:val="00E45D57"/>
    <w:rsid w:val="00E45E0F"/>
    <w:rsid w:val="00E51219"/>
    <w:rsid w:val="00E51288"/>
    <w:rsid w:val="00E51C73"/>
    <w:rsid w:val="00E51DA0"/>
    <w:rsid w:val="00E52AEA"/>
    <w:rsid w:val="00E53107"/>
    <w:rsid w:val="00E5335F"/>
    <w:rsid w:val="00E54EC2"/>
    <w:rsid w:val="00E56BCC"/>
    <w:rsid w:val="00E577F7"/>
    <w:rsid w:val="00E60741"/>
    <w:rsid w:val="00E609F7"/>
    <w:rsid w:val="00E60CE8"/>
    <w:rsid w:val="00E60EB2"/>
    <w:rsid w:val="00E61762"/>
    <w:rsid w:val="00E61BE2"/>
    <w:rsid w:val="00E6206E"/>
    <w:rsid w:val="00E620C6"/>
    <w:rsid w:val="00E62C5C"/>
    <w:rsid w:val="00E63968"/>
    <w:rsid w:val="00E6401D"/>
    <w:rsid w:val="00E64B51"/>
    <w:rsid w:val="00E70093"/>
    <w:rsid w:val="00E70622"/>
    <w:rsid w:val="00E71F1D"/>
    <w:rsid w:val="00E72BDB"/>
    <w:rsid w:val="00E73A51"/>
    <w:rsid w:val="00E7460A"/>
    <w:rsid w:val="00E76BF8"/>
    <w:rsid w:val="00E76FA6"/>
    <w:rsid w:val="00E775D6"/>
    <w:rsid w:val="00E77AA0"/>
    <w:rsid w:val="00E80671"/>
    <w:rsid w:val="00E806F1"/>
    <w:rsid w:val="00E819D2"/>
    <w:rsid w:val="00E8252B"/>
    <w:rsid w:val="00E82E9C"/>
    <w:rsid w:val="00E83911"/>
    <w:rsid w:val="00E84EF9"/>
    <w:rsid w:val="00E8510D"/>
    <w:rsid w:val="00E85552"/>
    <w:rsid w:val="00E874BF"/>
    <w:rsid w:val="00E87C2F"/>
    <w:rsid w:val="00E87E02"/>
    <w:rsid w:val="00E906AF"/>
    <w:rsid w:val="00E912F6"/>
    <w:rsid w:val="00E91CFE"/>
    <w:rsid w:val="00E927DA"/>
    <w:rsid w:val="00E92F44"/>
    <w:rsid w:val="00E9358A"/>
    <w:rsid w:val="00E938EB"/>
    <w:rsid w:val="00E93F3E"/>
    <w:rsid w:val="00E944EA"/>
    <w:rsid w:val="00E94B09"/>
    <w:rsid w:val="00E95D4C"/>
    <w:rsid w:val="00E95E2B"/>
    <w:rsid w:val="00E95FB5"/>
    <w:rsid w:val="00E969B9"/>
    <w:rsid w:val="00E97858"/>
    <w:rsid w:val="00EA0BCB"/>
    <w:rsid w:val="00EA1116"/>
    <w:rsid w:val="00EA1F3F"/>
    <w:rsid w:val="00EA2886"/>
    <w:rsid w:val="00EA2F24"/>
    <w:rsid w:val="00EA392D"/>
    <w:rsid w:val="00EA4091"/>
    <w:rsid w:val="00EA4A1D"/>
    <w:rsid w:val="00EA4D6D"/>
    <w:rsid w:val="00EA4FBC"/>
    <w:rsid w:val="00EA4FE6"/>
    <w:rsid w:val="00EA5862"/>
    <w:rsid w:val="00EA6B57"/>
    <w:rsid w:val="00EA6D27"/>
    <w:rsid w:val="00EB03F0"/>
    <w:rsid w:val="00EB0AB1"/>
    <w:rsid w:val="00EB224E"/>
    <w:rsid w:val="00EB2B57"/>
    <w:rsid w:val="00EB4A77"/>
    <w:rsid w:val="00EB4AB2"/>
    <w:rsid w:val="00EB5351"/>
    <w:rsid w:val="00EB5522"/>
    <w:rsid w:val="00EB5588"/>
    <w:rsid w:val="00EB5E47"/>
    <w:rsid w:val="00EB62F4"/>
    <w:rsid w:val="00EB7491"/>
    <w:rsid w:val="00EC09E6"/>
    <w:rsid w:val="00EC26F6"/>
    <w:rsid w:val="00EC399F"/>
    <w:rsid w:val="00EC44D3"/>
    <w:rsid w:val="00EC50F9"/>
    <w:rsid w:val="00EC53B4"/>
    <w:rsid w:val="00EC6B47"/>
    <w:rsid w:val="00EC7841"/>
    <w:rsid w:val="00ED0346"/>
    <w:rsid w:val="00ED27CC"/>
    <w:rsid w:val="00ED37B7"/>
    <w:rsid w:val="00ED3E44"/>
    <w:rsid w:val="00ED4196"/>
    <w:rsid w:val="00ED6A13"/>
    <w:rsid w:val="00ED6A39"/>
    <w:rsid w:val="00ED6B56"/>
    <w:rsid w:val="00EE181A"/>
    <w:rsid w:val="00EE26BA"/>
    <w:rsid w:val="00EE2DAC"/>
    <w:rsid w:val="00EE2F5B"/>
    <w:rsid w:val="00EE39D3"/>
    <w:rsid w:val="00EE3D21"/>
    <w:rsid w:val="00EE5021"/>
    <w:rsid w:val="00EE5719"/>
    <w:rsid w:val="00EE7192"/>
    <w:rsid w:val="00EE7260"/>
    <w:rsid w:val="00EF0648"/>
    <w:rsid w:val="00EF2C2F"/>
    <w:rsid w:val="00EF4798"/>
    <w:rsid w:val="00EF48EA"/>
    <w:rsid w:val="00EF5FE6"/>
    <w:rsid w:val="00EF638D"/>
    <w:rsid w:val="00EF65E0"/>
    <w:rsid w:val="00EF6999"/>
    <w:rsid w:val="00EF7A7C"/>
    <w:rsid w:val="00EF7E99"/>
    <w:rsid w:val="00F000DF"/>
    <w:rsid w:val="00F0089A"/>
    <w:rsid w:val="00F01141"/>
    <w:rsid w:val="00F01BB0"/>
    <w:rsid w:val="00F022F2"/>
    <w:rsid w:val="00F02F1B"/>
    <w:rsid w:val="00F0357C"/>
    <w:rsid w:val="00F04244"/>
    <w:rsid w:val="00F05C49"/>
    <w:rsid w:val="00F1022A"/>
    <w:rsid w:val="00F13638"/>
    <w:rsid w:val="00F141FD"/>
    <w:rsid w:val="00F14205"/>
    <w:rsid w:val="00F14785"/>
    <w:rsid w:val="00F160C8"/>
    <w:rsid w:val="00F22DEA"/>
    <w:rsid w:val="00F23DBA"/>
    <w:rsid w:val="00F260B7"/>
    <w:rsid w:val="00F26575"/>
    <w:rsid w:val="00F275A3"/>
    <w:rsid w:val="00F27E32"/>
    <w:rsid w:val="00F30686"/>
    <w:rsid w:val="00F30BCB"/>
    <w:rsid w:val="00F315D9"/>
    <w:rsid w:val="00F31E41"/>
    <w:rsid w:val="00F3342D"/>
    <w:rsid w:val="00F334DC"/>
    <w:rsid w:val="00F33964"/>
    <w:rsid w:val="00F342F9"/>
    <w:rsid w:val="00F34464"/>
    <w:rsid w:val="00F36491"/>
    <w:rsid w:val="00F3702F"/>
    <w:rsid w:val="00F374AF"/>
    <w:rsid w:val="00F37A3F"/>
    <w:rsid w:val="00F37AE8"/>
    <w:rsid w:val="00F405E0"/>
    <w:rsid w:val="00F409BF"/>
    <w:rsid w:val="00F40E17"/>
    <w:rsid w:val="00F4198F"/>
    <w:rsid w:val="00F41C48"/>
    <w:rsid w:val="00F43A83"/>
    <w:rsid w:val="00F44691"/>
    <w:rsid w:val="00F467A3"/>
    <w:rsid w:val="00F47475"/>
    <w:rsid w:val="00F47C47"/>
    <w:rsid w:val="00F50768"/>
    <w:rsid w:val="00F51F95"/>
    <w:rsid w:val="00F52B46"/>
    <w:rsid w:val="00F533B1"/>
    <w:rsid w:val="00F53658"/>
    <w:rsid w:val="00F540DA"/>
    <w:rsid w:val="00F5532A"/>
    <w:rsid w:val="00F564C2"/>
    <w:rsid w:val="00F56F40"/>
    <w:rsid w:val="00F61778"/>
    <w:rsid w:val="00F619E2"/>
    <w:rsid w:val="00F620B7"/>
    <w:rsid w:val="00F625D3"/>
    <w:rsid w:val="00F625DC"/>
    <w:rsid w:val="00F62F44"/>
    <w:rsid w:val="00F64146"/>
    <w:rsid w:val="00F65DAF"/>
    <w:rsid w:val="00F66167"/>
    <w:rsid w:val="00F668D7"/>
    <w:rsid w:val="00F71A39"/>
    <w:rsid w:val="00F722EA"/>
    <w:rsid w:val="00F72A52"/>
    <w:rsid w:val="00F73908"/>
    <w:rsid w:val="00F7589C"/>
    <w:rsid w:val="00F761B1"/>
    <w:rsid w:val="00F7633C"/>
    <w:rsid w:val="00F76859"/>
    <w:rsid w:val="00F77AFD"/>
    <w:rsid w:val="00F80F0F"/>
    <w:rsid w:val="00F82B72"/>
    <w:rsid w:val="00F82FFC"/>
    <w:rsid w:val="00F834FD"/>
    <w:rsid w:val="00F837DE"/>
    <w:rsid w:val="00F83A49"/>
    <w:rsid w:val="00F84ECF"/>
    <w:rsid w:val="00F853D3"/>
    <w:rsid w:val="00F85445"/>
    <w:rsid w:val="00F85472"/>
    <w:rsid w:val="00F8655A"/>
    <w:rsid w:val="00F8719B"/>
    <w:rsid w:val="00F874B1"/>
    <w:rsid w:val="00F90E52"/>
    <w:rsid w:val="00F92FCD"/>
    <w:rsid w:val="00F945C3"/>
    <w:rsid w:val="00F948EF"/>
    <w:rsid w:val="00F963C8"/>
    <w:rsid w:val="00F97A97"/>
    <w:rsid w:val="00FA1A65"/>
    <w:rsid w:val="00FA1D90"/>
    <w:rsid w:val="00FA3BB7"/>
    <w:rsid w:val="00FA400D"/>
    <w:rsid w:val="00FA4728"/>
    <w:rsid w:val="00FA70C8"/>
    <w:rsid w:val="00FB05F9"/>
    <w:rsid w:val="00FB09D6"/>
    <w:rsid w:val="00FB1325"/>
    <w:rsid w:val="00FB2D50"/>
    <w:rsid w:val="00FB4257"/>
    <w:rsid w:val="00FC0726"/>
    <w:rsid w:val="00FC0EC5"/>
    <w:rsid w:val="00FC1C15"/>
    <w:rsid w:val="00FC2A0E"/>
    <w:rsid w:val="00FC2B14"/>
    <w:rsid w:val="00FC2BCD"/>
    <w:rsid w:val="00FC2BDD"/>
    <w:rsid w:val="00FC4B3E"/>
    <w:rsid w:val="00FC66D5"/>
    <w:rsid w:val="00FC735A"/>
    <w:rsid w:val="00FC784C"/>
    <w:rsid w:val="00FC7F05"/>
    <w:rsid w:val="00FD0915"/>
    <w:rsid w:val="00FD1D7D"/>
    <w:rsid w:val="00FD22CE"/>
    <w:rsid w:val="00FD546E"/>
    <w:rsid w:val="00FD5DBF"/>
    <w:rsid w:val="00FD673A"/>
    <w:rsid w:val="00FD6CB7"/>
    <w:rsid w:val="00FD78C1"/>
    <w:rsid w:val="00FD7F5F"/>
    <w:rsid w:val="00FE12C4"/>
    <w:rsid w:val="00FE29DD"/>
    <w:rsid w:val="00FE2A92"/>
    <w:rsid w:val="00FE3F09"/>
    <w:rsid w:val="00FE445C"/>
    <w:rsid w:val="00FE4755"/>
    <w:rsid w:val="00FE4D97"/>
    <w:rsid w:val="00FE5A38"/>
    <w:rsid w:val="00FE6CFA"/>
    <w:rsid w:val="00FE6E95"/>
    <w:rsid w:val="00FE763A"/>
    <w:rsid w:val="00FE7FC7"/>
    <w:rsid w:val="00FF0A7E"/>
    <w:rsid w:val="00FF19C3"/>
    <w:rsid w:val="00FF255E"/>
    <w:rsid w:val="00FF28F9"/>
    <w:rsid w:val="00FF2B23"/>
    <w:rsid w:val="00FF4311"/>
    <w:rsid w:val="00FF69F9"/>
    <w:rsid w:val="00FF70A1"/>
    <w:rsid w:val="00FF7594"/>
    <w:rsid w:val="01176E30"/>
    <w:rsid w:val="018053BD"/>
    <w:rsid w:val="018676EC"/>
    <w:rsid w:val="01D02A83"/>
    <w:rsid w:val="02216AF1"/>
    <w:rsid w:val="023629AD"/>
    <w:rsid w:val="02367E8D"/>
    <w:rsid w:val="024B18D7"/>
    <w:rsid w:val="02AF4E9E"/>
    <w:rsid w:val="02FB14B3"/>
    <w:rsid w:val="03531379"/>
    <w:rsid w:val="03993BA4"/>
    <w:rsid w:val="03E0343C"/>
    <w:rsid w:val="04393BEF"/>
    <w:rsid w:val="04D72D96"/>
    <w:rsid w:val="050000DF"/>
    <w:rsid w:val="051B4FCE"/>
    <w:rsid w:val="05317DA0"/>
    <w:rsid w:val="06833872"/>
    <w:rsid w:val="07370F2E"/>
    <w:rsid w:val="073857B7"/>
    <w:rsid w:val="0773003B"/>
    <w:rsid w:val="07A610B3"/>
    <w:rsid w:val="07DC5648"/>
    <w:rsid w:val="07DF7652"/>
    <w:rsid w:val="07E8024D"/>
    <w:rsid w:val="07F84735"/>
    <w:rsid w:val="080D0C18"/>
    <w:rsid w:val="080E24B2"/>
    <w:rsid w:val="08474FFD"/>
    <w:rsid w:val="084C1570"/>
    <w:rsid w:val="085D1644"/>
    <w:rsid w:val="086155AF"/>
    <w:rsid w:val="08973190"/>
    <w:rsid w:val="09153575"/>
    <w:rsid w:val="092A6446"/>
    <w:rsid w:val="09475232"/>
    <w:rsid w:val="096C1CE5"/>
    <w:rsid w:val="09783577"/>
    <w:rsid w:val="097A129B"/>
    <w:rsid w:val="09942CE4"/>
    <w:rsid w:val="09C31997"/>
    <w:rsid w:val="09E43B35"/>
    <w:rsid w:val="0A210FAB"/>
    <w:rsid w:val="0A887CA7"/>
    <w:rsid w:val="0AC679F6"/>
    <w:rsid w:val="0AD13A9D"/>
    <w:rsid w:val="0B3F7519"/>
    <w:rsid w:val="0B4318B9"/>
    <w:rsid w:val="0B510E78"/>
    <w:rsid w:val="0CFA5C4A"/>
    <w:rsid w:val="0CFE610A"/>
    <w:rsid w:val="0D3B5B2E"/>
    <w:rsid w:val="0D401EA5"/>
    <w:rsid w:val="0D96363A"/>
    <w:rsid w:val="0E763749"/>
    <w:rsid w:val="0ED355F8"/>
    <w:rsid w:val="0EDB30A8"/>
    <w:rsid w:val="0EF11A4D"/>
    <w:rsid w:val="0F24110D"/>
    <w:rsid w:val="0F3863C9"/>
    <w:rsid w:val="0F3B2377"/>
    <w:rsid w:val="0F80616E"/>
    <w:rsid w:val="0F96368D"/>
    <w:rsid w:val="0FDA034D"/>
    <w:rsid w:val="103A2D3B"/>
    <w:rsid w:val="10950834"/>
    <w:rsid w:val="10BB38EA"/>
    <w:rsid w:val="10D206E2"/>
    <w:rsid w:val="10DB0973"/>
    <w:rsid w:val="11074ED3"/>
    <w:rsid w:val="117E74A8"/>
    <w:rsid w:val="11913F0A"/>
    <w:rsid w:val="11A6579B"/>
    <w:rsid w:val="12107727"/>
    <w:rsid w:val="126007ED"/>
    <w:rsid w:val="12DD7666"/>
    <w:rsid w:val="131D13D7"/>
    <w:rsid w:val="13397A61"/>
    <w:rsid w:val="13C7256C"/>
    <w:rsid w:val="13E53842"/>
    <w:rsid w:val="13E7723E"/>
    <w:rsid w:val="143E576A"/>
    <w:rsid w:val="146D4758"/>
    <w:rsid w:val="14802B33"/>
    <w:rsid w:val="15185059"/>
    <w:rsid w:val="155C2CCA"/>
    <w:rsid w:val="16777C42"/>
    <w:rsid w:val="1689545A"/>
    <w:rsid w:val="169D4813"/>
    <w:rsid w:val="16A9294A"/>
    <w:rsid w:val="16AF1573"/>
    <w:rsid w:val="16D50A43"/>
    <w:rsid w:val="1706559C"/>
    <w:rsid w:val="173F62E5"/>
    <w:rsid w:val="17992C7D"/>
    <w:rsid w:val="17A032FB"/>
    <w:rsid w:val="1801634E"/>
    <w:rsid w:val="18A53363"/>
    <w:rsid w:val="18B361F9"/>
    <w:rsid w:val="18D17D9F"/>
    <w:rsid w:val="190803C0"/>
    <w:rsid w:val="19810F0A"/>
    <w:rsid w:val="19901907"/>
    <w:rsid w:val="19A855E6"/>
    <w:rsid w:val="1A0758B3"/>
    <w:rsid w:val="1A0E3897"/>
    <w:rsid w:val="1A4C0A4D"/>
    <w:rsid w:val="1A613FFC"/>
    <w:rsid w:val="1A6F5DDD"/>
    <w:rsid w:val="1A8A70D2"/>
    <w:rsid w:val="1A9B3C96"/>
    <w:rsid w:val="1AA90718"/>
    <w:rsid w:val="1AC90E04"/>
    <w:rsid w:val="1B051A85"/>
    <w:rsid w:val="1B1B09AD"/>
    <w:rsid w:val="1B355314"/>
    <w:rsid w:val="1B6060AB"/>
    <w:rsid w:val="1B707488"/>
    <w:rsid w:val="1B7662F5"/>
    <w:rsid w:val="1B862808"/>
    <w:rsid w:val="1BA252A7"/>
    <w:rsid w:val="1C097110"/>
    <w:rsid w:val="1C0A51E7"/>
    <w:rsid w:val="1C2678F4"/>
    <w:rsid w:val="1C813A25"/>
    <w:rsid w:val="1CB92C1E"/>
    <w:rsid w:val="1CDE3BEF"/>
    <w:rsid w:val="1CE47810"/>
    <w:rsid w:val="1D16621C"/>
    <w:rsid w:val="1DA06F36"/>
    <w:rsid w:val="1DC94430"/>
    <w:rsid w:val="1DF227C6"/>
    <w:rsid w:val="1E0E445A"/>
    <w:rsid w:val="1EE439F7"/>
    <w:rsid w:val="1FB266E5"/>
    <w:rsid w:val="1FD06747"/>
    <w:rsid w:val="1FDB2AB9"/>
    <w:rsid w:val="20111A2B"/>
    <w:rsid w:val="20154EAE"/>
    <w:rsid w:val="202F600A"/>
    <w:rsid w:val="205F479A"/>
    <w:rsid w:val="20CD4631"/>
    <w:rsid w:val="21091F11"/>
    <w:rsid w:val="211424A6"/>
    <w:rsid w:val="213A1A8E"/>
    <w:rsid w:val="215703A7"/>
    <w:rsid w:val="21667ED7"/>
    <w:rsid w:val="21973595"/>
    <w:rsid w:val="21AF5F7C"/>
    <w:rsid w:val="22934769"/>
    <w:rsid w:val="229926BC"/>
    <w:rsid w:val="22AD768B"/>
    <w:rsid w:val="22B0199A"/>
    <w:rsid w:val="22D12E37"/>
    <w:rsid w:val="22D95913"/>
    <w:rsid w:val="22DC2412"/>
    <w:rsid w:val="22FE4C9E"/>
    <w:rsid w:val="23000F6E"/>
    <w:rsid w:val="230D08A8"/>
    <w:rsid w:val="231D38D6"/>
    <w:rsid w:val="23EE4601"/>
    <w:rsid w:val="2419690F"/>
    <w:rsid w:val="24427302"/>
    <w:rsid w:val="244D4889"/>
    <w:rsid w:val="259B1522"/>
    <w:rsid w:val="25B31EED"/>
    <w:rsid w:val="25CA34F3"/>
    <w:rsid w:val="25CC4D99"/>
    <w:rsid w:val="25DF40AE"/>
    <w:rsid w:val="262B29C0"/>
    <w:rsid w:val="264A42D9"/>
    <w:rsid w:val="268F110A"/>
    <w:rsid w:val="26AB7DB6"/>
    <w:rsid w:val="26F0287E"/>
    <w:rsid w:val="26FA58CF"/>
    <w:rsid w:val="27333C55"/>
    <w:rsid w:val="276829CD"/>
    <w:rsid w:val="277C33E5"/>
    <w:rsid w:val="27894B22"/>
    <w:rsid w:val="27C43291"/>
    <w:rsid w:val="281178A5"/>
    <w:rsid w:val="286F3B43"/>
    <w:rsid w:val="28AC7553"/>
    <w:rsid w:val="28AF1DD3"/>
    <w:rsid w:val="28C630D5"/>
    <w:rsid w:val="28D545CF"/>
    <w:rsid w:val="290A0F1C"/>
    <w:rsid w:val="294D11A1"/>
    <w:rsid w:val="29A25B0D"/>
    <w:rsid w:val="29AB7A5C"/>
    <w:rsid w:val="29BD199A"/>
    <w:rsid w:val="29E26A62"/>
    <w:rsid w:val="2A9B50DD"/>
    <w:rsid w:val="2AE632C3"/>
    <w:rsid w:val="2AF07382"/>
    <w:rsid w:val="2B0B322A"/>
    <w:rsid w:val="2B327DD2"/>
    <w:rsid w:val="2B9777BC"/>
    <w:rsid w:val="2C0D4D65"/>
    <w:rsid w:val="2C1A6CD5"/>
    <w:rsid w:val="2C232173"/>
    <w:rsid w:val="2C71465B"/>
    <w:rsid w:val="2CCD6294"/>
    <w:rsid w:val="2CF345F4"/>
    <w:rsid w:val="2D0F7452"/>
    <w:rsid w:val="2D2355EA"/>
    <w:rsid w:val="2D26533C"/>
    <w:rsid w:val="2D404C14"/>
    <w:rsid w:val="2D471454"/>
    <w:rsid w:val="2D67693D"/>
    <w:rsid w:val="2D776930"/>
    <w:rsid w:val="2D83614B"/>
    <w:rsid w:val="2D8B1421"/>
    <w:rsid w:val="2DF46238"/>
    <w:rsid w:val="2E112405"/>
    <w:rsid w:val="2E2D349A"/>
    <w:rsid w:val="2E55612F"/>
    <w:rsid w:val="2EA62581"/>
    <w:rsid w:val="2EB3170E"/>
    <w:rsid w:val="2EC32544"/>
    <w:rsid w:val="2F111EF9"/>
    <w:rsid w:val="2F15663A"/>
    <w:rsid w:val="2F2E7744"/>
    <w:rsid w:val="2F472FED"/>
    <w:rsid w:val="2F642F4F"/>
    <w:rsid w:val="2F6A0915"/>
    <w:rsid w:val="2F73631D"/>
    <w:rsid w:val="2FEB2DF5"/>
    <w:rsid w:val="30096EA5"/>
    <w:rsid w:val="30197F0D"/>
    <w:rsid w:val="30647AA8"/>
    <w:rsid w:val="307B5E2D"/>
    <w:rsid w:val="30AB0680"/>
    <w:rsid w:val="31413001"/>
    <w:rsid w:val="318C6AFD"/>
    <w:rsid w:val="31A50CFB"/>
    <w:rsid w:val="31BB30CC"/>
    <w:rsid w:val="323078D2"/>
    <w:rsid w:val="3266257C"/>
    <w:rsid w:val="32B36180"/>
    <w:rsid w:val="32BA6DC4"/>
    <w:rsid w:val="32CB7BC6"/>
    <w:rsid w:val="32CE3C04"/>
    <w:rsid w:val="33766E71"/>
    <w:rsid w:val="33DB04E2"/>
    <w:rsid w:val="33DC3B19"/>
    <w:rsid w:val="33E214FA"/>
    <w:rsid w:val="341D41B4"/>
    <w:rsid w:val="345F129A"/>
    <w:rsid w:val="3487708F"/>
    <w:rsid w:val="34902DE8"/>
    <w:rsid w:val="349151EB"/>
    <w:rsid w:val="34C226AB"/>
    <w:rsid w:val="34C9347E"/>
    <w:rsid w:val="352F0817"/>
    <w:rsid w:val="35472BB0"/>
    <w:rsid w:val="355B59C0"/>
    <w:rsid w:val="357F2EA9"/>
    <w:rsid w:val="35C40914"/>
    <w:rsid w:val="3628643F"/>
    <w:rsid w:val="3691136B"/>
    <w:rsid w:val="36CB2977"/>
    <w:rsid w:val="36CB6FE5"/>
    <w:rsid w:val="36F152FA"/>
    <w:rsid w:val="3720190B"/>
    <w:rsid w:val="375326E5"/>
    <w:rsid w:val="37674BA0"/>
    <w:rsid w:val="37A74282"/>
    <w:rsid w:val="37B54183"/>
    <w:rsid w:val="37D2648F"/>
    <w:rsid w:val="381623EB"/>
    <w:rsid w:val="382F0057"/>
    <w:rsid w:val="382F217B"/>
    <w:rsid w:val="38716ED0"/>
    <w:rsid w:val="38A41B99"/>
    <w:rsid w:val="38B40B6C"/>
    <w:rsid w:val="38B844F1"/>
    <w:rsid w:val="38C33D05"/>
    <w:rsid w:val="38E034D7"/>
    <w:rsid w:val="390640ED"/>
    <w:rsid w:val="391E0ABB"/>
    <w:rsid w:val="399C230A"/>
    <w:rsid w:val="39A846A7"/>
    <w:rsid w:val="39CC7EA9"/>
    <w:rsid w:val="39D15286"/>
    <w:rsid w:val="39EB26A4"/>
    <w:rsid w:val="3A08724C"/>
    <w:rsid w:val="3A830B2E"/>
    <w:rsid w:val="3A864483"/>
    <w:rsid w:val="3B266871"/>
    <w:rsid w:val="3B7E3914"/>
    <w:rsid w:val="3B85040D"/>
    <w:rsid w:val="3BA8728C"/>
    <w:rsid w:val="3BEC7FF3"/>
    <w:rsid w:val="3C0831B2"/>
    <w:rsid w:val="3C300BFF"/>
    <w:rsid w:val="3C77277E"/>
    <w:rsid w:val="3CB10B54"/>
    <w:rsid w:val="3CBA5A0B"/>
    <w:rsid w:val="3CC10E85"/>
    <w:rsid w:val="3CCF4949"/>
    <w:rsid w:val="3CE8405E"/>
    <w:rsid w:val="3D000624"/>
    <w:rsid w:val="3D431E6D"/>
    <w:rsid w:val="3D533873"/>
    <w:rsid w:val="3D8631AA"/>
    <w:rsid w:val="3DAF2C78"/>
    <w:rsid w:val="3DB05716"/>
    <w:rsid w:val="3DC92CFC"/>
    <w:rsid w:val="3DE715AA"/>
    <w:rsid w:val="3E183665"/>
    <w:rsid w:val="3E204206"/>
    <w:rsid w:val="3E35751A"/>
    <w:rsid w:val="3E3627BF"/>
    <w:rsid w:val="3E4B5851"/>
    <w:rsid w:val="3E6536D8"/>
    <w:rsid w:val="3F077101"/>
    <w:rsid w:val="3F08400F"/>
    <w:rsid w:val="3F304BD1"/>
    <w:rsid w:val="3FEF5CFE"/>
    <w:rsid w:val="40591AF1"/>
    <w:rsid w:val="405C79C5"/>
    <w:rsid w:val="405F2DA0"/>
    <w:rsid w:val="40DB0ACA"/>
    <w:rsid w:val="40E67391"/>
    <w:rsid w:val="411B266F"/>
    <w:rsid w:val="41354204"/>
    <w:rsid w:val="413D3E30"/>
    <w:rsid w:val="417B7EE2"/>
    <w:rsid w:val="418F69B0"/>
    <w:rsid w:val="41F42885"/>
    <w:rsid w:val="4231761F"/>
    <w:rsid w:val="429C3080"/>
    <w:rsid w:val="42A96109"/>
    <w:rsid w:val="42EE1FA4"/>
    <w:rsid w:val="42F73D8A"/>
    <w:rsid w:val="4305282A"/>
    <w:rsid w:val="433B2FE8"/>
    <w:rsid w:val="43A7763B"/>
    <w:rsid w:val="43A85162"/>
    <w:rsid w:val="43B753A5"/>
    <w:rsid w:val="43F9776B"/>
    <w:rsid w:val="43FA5041"/>
    <w:rsid w:val="440305EA"/>
    <w:rsid w:val="44173D57"/>
    <w:rsid w:val="44553B4C"/>
    <w:rsid w:val="445E1769"/>
    <w:rsid w:val="44AF5EE3"/>
    <w:rsid w:val="44DF4BB3"/>
    <w:rsid w:val="44F2735A"/>
    <w:rsid w:val="45047DD2"/>
    <w:rsid w:val="45333238"/>
    <w:rsid w:val="454E71F2"/>
    <w:rsid w:val="45656704"/>
    <w:rsid w:val="457A0289"/>
    <w:rsid w:val="457E6947"/>
    <w:rsid w:val="463E45A3"/>
    <w:rsid w:val="466158A0"/>
    <w:rsid w:val="46AE3EFE"/>
    <w:rsid w:val="46DE35EF"/>
    <w:rsid w:val="473F3173"/>
    <w:rsid w:val="479F414E"/>
    <w:rsid w:val="47DD3886"/>
    <w:rsid w:val="480924B4"/>
    <w:rsid w:val="48166B3E"/>
    <w:rsid w:val="482E5F50"/>
    <w:rsid w:val="4835510C"/>
    <w:rsid w:val="48411333"/>
    <w:rsid w:val="48B336AA"/>
    <w:rsid w:val="48C335C1"/>
    <w:rsid w:val="48D832C3"/>
    <w:rsid w:val="490D541F"/>
    <w:rsid w:val="49517ADD"/>
    <w:rsid w:val="4954081B"/>
    <w:rsid w:val="49603BD0"/>
    <w:rsid w:val="49742157"/>
    <w:rsid w:val="49C20FC5"/>
    <w:rsid w:val="49FE45E4"/>
    <w:rsid w:val="4A014DF8"/>
    <w:rsid w:val="4A226317"/>
    <w:rsid w:val="4AB63130"/>
    <w:rsid w:val="4AC22FAD"/>
    <w:rsid w:val="4ACC0377"/>
    <w:rsid w:val="4B3E6269"/>
    <w:rsid w:val="4BAB3AAF"/>
    <w:rsid w:val="4BC0573E"/>
    <w:rsid w:val="4BCF2EFE"/>
    <w:rsid w:val="4BDA60D4"/>
    <w:rsid w:val="4C2A54C8"/>
    <w:rsid w:val="4C2D7457"/>
    <w:rsid w:val="4C59524B"/>
    <w:rsid w:val="4C875991"/>
    <w:rsid w:val="4CF3502C"/>
    <w:rsid w:val="4D2E41C0"/>
    <w:rsid w:val="4D3C5AB2"/>
    <w:rsid w:val="4D4D25D3"/>
    <w:rsid w:val="4DAF3384"/>
    <w:rsid w:val="4E1F714F"/>
    <w:rsid w:val="4E680BC4"/>
    <w:rsid w:val="4E7C3473"/>
    <w:rsid w:val="4E7E543D"/>
    <w:rsid w:val="4E8F3136"/>
    <w:rsid w:val="4E9407BC"/>
    <w:rsid w:val="4EB31370"/>
    <w:rsid w:val="4EE57439"/>
    <w:rsid w:val="4EEB158E"/>
    <w:rsid w:val="4EFB452E"/>
    <w:rsid w:val="4F1D4C56"/>
    <w:rsid w:val="4F224CEA"/>
    <w:rsid w:val="4F7B1730"/>
    <w:rsid w:val="4F815907"/>
    <w:rsid w:val="4FBB2E14"/>
    <w:rsid w:val="506E1D17"/>
    <w:rsid w:val="507D1D79"/>
    <w:rsid w:val="50AF018E"/>
    <w:rsid w:val="50B6041E"/>
    <w:rsid w:val="50E63CA9"/>
    <w:rsid w:val="50F257CF"/>
    <w:rsid w:val="510556D5"/>
    <w:rsid w:val="515B1FFC"/>
    <w:rsid w:val="517E26C8"/>
    <w:rsid w:val="51AC245D"/>
    <w:rsid w:val="51AE6039"/>
    <w:rsid w:val="51EE6435"/>
    <w:rsid w:val="524550AA"/>
    <w:rsid w:val="526D37FE"/>
    <w:rsid w:val="527D2FB8"/>
    <w:rsid w:val="528C3A0F"/>
    <w:rsid w:val="52B4634D"/>
    <w:rsid w:val="52DB4C0C"/>
    <w:rsid w:val="52F334CD"/>
    <w:rsid w:val="5308640C"/>
    <w:rsid w:val="533D37C0"/>
    <w:rsid w:val="53607807"/>
    <w:rsid w:val="538C0776"/>
    <w:rsid w:val="539C5362"/>
    <w:rsid w:val="5471110A"/>
    <w:rsid w:val="548271C9"/>
    <w:rsid w:val="54EB1388"/>
    <w:rsid w:val="5539678D"/>
    <w:rsid w:val="55543F4F"/>
    <w:rsid w:val="556B315E"/>
    <w:rsid w:val="55C5768A"/>
    <w:rsid w:val="55F578A4"/>
    <w:rsid w:val="55F935FB"/>
    <w:rsid w:val="568F27E9"/>
    <w:rsid w:val="56A56250"/>
    <w:rsid w:val="56B16F11"/>
    <w:rsid w:val="5736246C"/>
    <w:rsid w:val="5745179A"/>
    <w:rsid w:val="577E265B"/>
    <w:rsid w:val="57971760"/>
    <w:rsid w:val="57C30761"/>
    <w:rsid w:val="58BD70AF"/>
    <w:rsid w:val="58E26AB6"/>
    <w:rsid w:val="58F66434"/>
    <w:rsid w:val="58F95B49"/>
    <w:rsid w:val="58FE7CD0"/>
    <w:rsid w:val="590E02CD"/>
    <w:rsid w:val="59271C66"/>
    <w:rsid w:val="595474C6"/>
    <w:rsid w:val="595947BE"/>
    <w:rsid w:val="59797C48"/>
    <w:rsid w:val="59853B23"/>
    <w:rsid w:val="59C04B5B"/>
    <w:rsid w:val="59CD70AF"/>
    <w:rsid w:val="5A02392D"/>
    <w:rsid w:val="5A3908E9"/>
    <w:rsid w:val="5A3D6003"/>
    <w:rsid w:val="5A8C7199"/>
    <w:rsid w:val="5AE52645"/>
    <w:rsid w:val="5AF87B10"/>
    <w:rsid w:val="5B4C7482"/>
    <w:rsid w:val="5B833264"/>
    <w:rsid w:val="5BB52136"/>
    <w:rsid w:val="5C7119C0"/>
    <w:rsid w:val="5CA81FA0"/>
    <w:rsid w:val="5CB26A8D"/>
    <w:rsid w:val="5CED5C47"/>
    <w:rsid w:val="5CF60606"/>
    <w:rsid w:val="5D0A792C"/>
    <w:rsid w:val="5D5B721E"/>
    <w:rsid w:val="5D5F69B2"/>
    <w:rsid w:val="5D7F3F72"/>
    <w:rsid w:val="5D8D51AB"/>
    <w:rsid w:val="5D9C4203"/>
    <w:rsid w:val="5DA45F8C"/>
    <w:rsid w:val="5E192CBD"/>
    <w:rsid w:val="5E2751A9"/>
    <w:rsid w:val="5E2F0501"/>
    <w:rsid w:val="5EAD0156"/>
    <w:rsid w:val="5F2E3949"/>
    <w:rsid w:val="5F401EA5"/>
    <w:rsid w:val="5FE17B4D"/>
    <w:rsid w:val="600D6620"/>
    <w:rsid w:val="602F6822"/>
    <w:rsid w:val="603A5B4D"/>
    <w:rsid w:val="60600E46"/>
    <w:rsid w:val="606B05DA"/>
    <w:rsid w:val="60BE7394"/>
    <w:rsid w:val="60FD07C4"/>
    <w:rsid w:val="61000A2B"/>
    <w:rsid w:val="614E19B4"/>
    <w:rsid w:val="618B5A4F"/>
    <w:rsid w:val="61CA2B83"/>
    <w:rsid w:val="61F869F1"/>
    <w:rsid w:val="627666FF"/>
    <w:rsid w:val="62825388"/>
    <w:rsid w:val="62A20890"/>
    <w:rsid w:val="62B82DD0"/>
    <w:rsid w:val="62BD2CE4"/>
    <w:rsid w:val="62D97BF1"/>
    <w:rsid w:val="633847B7"/>
    <w:rsid w:val="634C7460"/>
    <w:rsid w:val="638E7A78"/>
    <w:rsid w:val="63AE4E62"/>
    <w:rsid w:val="63B10477"/>
    <w:rsid w:val="63BD1F0B"/>
    <w:rsid w:val="63D67397"/>
    <w:rsid w:val="643978F1"/>
    <w:rsid w:val="64492537"/>
    <w:rsid w:val="64684F8F"/>
    <w:rsid w:val="64760A5F"/>
    <w:rsid w:val="647829F1"/>
    <w:rsid w:val="648136ED"/>
    <w:rsid w:val="64CD680B"/>
    <w:rsid w:val="64D6128B"/>
    <w:rsid w:val="64E04304"/>
    <w:rsid w:val="653812D2"/>
    <w:rsid w:val="653B6E81"/>
    <w:rsid w:val="657809E0"/>
    <w:rsid w:val="65FE7137"/>
    <w:rsid w:val="668D0B35"/>
    <w:rsid w:val="66A86080"/>
    <w:rsid w:val="66AD586B"/>
    <w:rsid w:val="66D278F5"/>
    <w:rsid w:val="66D32372"/>
    <w:rsid w:val="67327BEB"/>
    <w:rsid w:val="67346B89"/>
    <w:rsid w:val="67892D0E"/>
    <w:rsid w:val="67997B87"/>
    <w:rsid w:val="67C579C7"/>
    <w:rsid w:val="680D50E3"/>
    <w:rsid w:val="681D1727"/>
    <w:rsid w:val="690E575F"/>
    <w:rsid w:val="692844CB"/>
    <w:rsid w:val="6946511F"/>
    <w:rsid w:val="696F3ACB"/>
    <w:rsid w:val="697E4BB0"/>
    <w:rsid w:val="69C96CF5"/>
    <w:rsid w:val="6A02574B"/>
    <w:rsid w:val="6A1310C8"/>
    <w:rsid w:val="6A2C3A91"/>
    <w:rsid w:val="6A4854C8"/>
    <w:rsid w:val="6A744A0A"/>
    <w:rsid w:val="6ABA4776"/>
    <w:rsid w:val="6ACB521A"/>
    <w:rsid w:val="6AD519BD"/>
    <w:rsid w:val="6B253BE8"/>
    <w:rsid w:val="6B340F05"/>
    <w:rsid w:val="6BA411BF"/>
    <w:rsid w:val="6BA9315F"/>
    <w:rsid w:val="6C010D5E"/>
    <w:rsid w:val="6C28229E"/>
    <w:rsid w:val="6C357AF8"/>
    <w:rsid w:val="6C424CF0"/>
    <w:rsid w:val="6C5C4BB7"/>
    <w:rsid w:val="6CBB69A2"/>
    <w:rsid w:val="6CBD6D8A"/>
    <w:rsid w:val="6D222AD3"/>
    <w:rsid w:val="6D6F319C"/>
    <w:rsid w:val="6E0F27B7"/>
    <w:rsid w:val="6E155BF1"/>
    <w:rsid w:val="6E196277"/>
    <w:rsid w:val="6E2D30E8"/>
    <w:rsid w:val="6E403449"/>
    <w:rsid w:val="6E596524"/>
    <w:rsid w:val="6E8D13AD"/>
    <w:rsid w:val="6EC815A8"/>
    <w:rsid w:val="6EEA26EE"/>
    <w:rsid w:val="6F842EE3"/>
    <w:rsid w:val="6FF91A96"/>
    <w:rsid w:val="705C0D4B"/>
    <w:rsid w:val="7081400B"/>
    <w:rsid w:val="70AD7A5E"/>
    <w:rsid w:val="70B524C0"/>
    <w:rsid w:val="70DD40E0"/>
    <w:rsid w:val="710A6C73"/>
    <w:rsid w:val="71AE0DB3"/>
    <w:rsid w:val="71C56D9D"/>
    <w:rsid w:val="71CE4B65"/>
    <w:rsid w:val="71D02D5C"/>
    <w:rsid w:val="71F6266A"/>
    <w:rsid w:val="72310A41"/>
    <w:rsid w:val="723D2644"/>
    <w:rsid w:val="72684D99"/>
    <w:rsid w:val="729508EA"/>
    <w:rsid w:val="72E51CBA"/>
    <w:rsid w:val="72E6431E"/>
    <w:rsid w:val="72FA21B3"/>
    <w:rsid w:val="730B5425"/>
    <w:rsid w:val="73137F9A"/>
    <w:rsid w:val="73216F03"/>
    <w:rsid w:val="73A97061"/>
    <w:rsid w:val="73BC3EFF"/>
    <w:rsid w:val="74077EB6"/>
    <w:rsid w:val="7487479C"/>
    <w:rsid w:val="74941128"/>
    <w:rsid w:val="74CD0811"/>
    <w:rsid w:val="75125BB1"/>
    <w:rsid w:val="759A48EE"/>
    <w:rsid w:val="76405810"/>
    <w:rsid w:val="7683785B"/>
    <w:rsid w:val="76AE3190"/>
    <w:rsid w:val="76E41423"/>
    <w:rsid w:val="76F112D5"/>
    <w:rsid w:val="77B01A8D"/>
    <w:rsid w:val="77B546E2"/>
    <w:rsid w:val="77C6382D"/>
    <w:rsid w:val="77E820F8"/>
    <w:rsid w:val="781C169F"/>
    <w:rsid w:val="782642CC"/>
    <w:rsid w:val="78704CFC"/>
    <w:rsid w:val="787A6402"/>
    <w:rsid w:val="78BD493D"/>
    <w:rsid w:val="78C94AA4"/>
    <w:rsid w:val="78DA3C10"/>
    <w:rsid w:val="79050385"/>
    <w:rsid w:val="7951772C"/>
    <w:rsid w:val="79881C20"/>
    <w:rsid w:val="79E83A55"/>
    <w:rsid w:val="7A3769AB"/>
    <w:rsid w:val="7A3860A3"/>
    <w:rsid w:val="7A8A6C94"/>
    <w:rsid w:val="7A9E639B"/>
    <w:rsid w:val="7AB53FD5"/>
    <w:rsid w:val="7AE07D5A"/>
    <w:rsid w:val="7AEF4016"/>
    <w:rsid w:val="7B065C1C"/>
    <w:rsid w:val="7B327EE4"/>
    <w:rsid w:val="7B3C017E"/>
    <w:rsid w:val="7B3D348F"/>
    <w:rsid w:val="7B7726BE"/>
    <w:rsid w:val="7B7A7441"/>
    <w:rsid w:val="7B910152"/>
    <w:rsid w:val="7BBB7BC6"/>
    <w:rsid w:val="7BCF73E4"/>
    <w:rsid w:val="7BD55E7C"/>
    <w:rsid w:val="7C037170"/>
    <w:rsid w:val="7C4F79CC"/>
    <w:rsid w:val="7C991510"/>
    <w:rsid w:val="7CA273CD"/>
    <w:rsid w:val="7CEB6210"/>
    <w:rsid w:val="7CF86A13"/>
    <w:rsid w:val="7D59126B"/>
    <w:rsid w:val="7D5D42EC"/>
    <w:rsid w:val="7D8339B0"/>
    <w:rsid w:val="7D900D8E"/>
    <w:rsid w:val="7DF638BE"/>
    <w:rsid w:val="7DFA3527"/>
    <w:rsid w:val="7E223731"/>
    <w:rsid w:val="7E464D67"/>
    <w:rsid w:val="7E646B76"/>
    <w:rsid w:val="7EB359E4"/>
    <w:rsid w:val="7F0A5E31"/>
    <w:rsid w:val="7FCB7450"/>
    <w:rsid w:val="7FD23B0E"/>
    <w:rsid w:val="7FE54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366"/>
    <w:qFormat/>
    <w:uiPriority w:val="0"/>
    <w:pPr>
      <w:keepNext/>
      <w:autoSpaceDE w:val="0"/>
      <w:autoSpaceDN w:val="0"/>
      <w:spacing w:line="360" w:lineRule="auto"/>
      <w:jc w:val="center"/>
      <w:textAlignment w:val="bottom"/>
      <w:outlineLvl w:val="0"/>
    </w:pPr>
    <w:rPr>
      <w:rFonts w:ascii="仿宋_GB2312" w:eastAsia="仿宋_GB2312"/>
      <w:b/>
      <w:sz w:val="44"/>
    </w:rPr>
  </w:style>
  <w:style w:type="paragraph" w:styleId="2">
    <w:name w:val="heading 2"/>
    <w:basedOn w:val="1"/>
    <w:next w:val="1"/>
    <w:link w:val="58"/>
    <w:qFormat/>
    <w:uiPriority w:val="0"/>
    <w:pPr>
      <w:keepNext/>
      <w:adjustRightInd w:val="0"/>
      <w:snapToGrid w:val="0"/>
      <w:spacing w:before="120" w:after="120" w:line="360" w:lineRule="auto"/>
      <w:jc w:val="center"/>
      <w:textAlignment w:val="baseline"/>
      <w:outlineLvl w:val="1"/>
    </w:pPr>
    <w:rPr>
      <w:rFonts w:ascii="仿宋_GB2312" w:eastAsia="仿宋_GB2312"/>
      <w:b/>
      <w:kern w:val="0"/>
      <w:sz w:val="36"/>
      <w:szCs w:val="20"/>
    </w:rPr>
  </w:style>
  <w:style w:type="paragraph" w:styleId="4">
    <w:name w:val="heading 3"/>
    <w:basedOn w:val="1"/>
    <w:next w:val="1"/>
    <w:link w:val="60"/>
    <w:qFormat/>
    <w:uiPriority w:val="0"/>
    <w:pPr>
      <w:keepNext/>
      <w:keepLines/>
      <w:spacing w:before="260" w:after="260" w:line="360" w:lineRule="auto"/>
      <w:ind w:firstLine="602" w:firstLineChars="200"/>
      <w:outlineLvl w:val="2"/>
    </w:pPr>
    <w:rPr>
      <w:rFonts w:ascii="仿宋_GB2312" w:eastAsia="仿宋_GB2312"/>
      <w:b/>
      <w:bCs/>
      <w:sz w:val="30"/>
      <w:szCs w:val="20"/>
    </w:rPr>
  </w:style>
  <w:style w:type="paragraph" w:styleId="5">
    <w:name w:val="heading 4"/>
    <w:basedOn w:val="1"/>
    <w:next w:val="1"/>
    <w:link w:val="61"/>
    <w:qFormat/>
    <w:uiPriority w:val="0"/>
    <w:pPr>
      <w:keepLines/>
      <w:widowControl/>
      <w:spacing w:before="280" w:after="290" w:line="372" w:lineRule="auto"/>
      <w:outlineLvl w:val="3"/>
    </w:pPr>
    <w:rPr>
      <w:rFonts w:ascii="Arial" w:hAnsi="Arial" w:eastAsia="黑体"/>
      <w:b/>
      <w:color w:val="000000"/>
      <w:sz w:val="28"/>
      <w:szCs w:val="20"/>
    </w:rPr>
  </w:style>
  <w:style w:type="paragraph" w:styleId="6">
    <w:name w:val="heading 5"/>
    <w:basedOn w:val="1"/>
    <w:next w:val="1"/>
    <w:link w:val="62"/>
    <w:qFormat/>
    <w:uiPriority w:val="0"/>
    <w:pPr>
      <w:keepLines/>
      <w:widowControl/>
      <w:spacing w:before="280" w:after="290" w:line="372" w:lineRule="auto"/>
      <w:outlineLvl w:val="4"/>
    </w:pPr>
    <w:rPr>
      <w:b/>
      <w:color w:val="000000"/>
      <w:sz w:val="28"/>
      <w:szCs w:val="20"/>
    </w:rPr>
  </w:style>
  <w:style w:type="paragraph" w:styleId="7">
    <w:name w:val="heading 6"/>
    <w:basedOn w:val="1"/>
    <w:next w:val="1"/>
    <w:link w:val="63"/>
    <w:qFormat/>
    <w:uiPriority w:val="0"/>
    <w:pPr>
      <w:keepLines/>
      <w:widowControl/>
      <w:spacing w:before="240" w:after="64" w:line="312" w:lineRule="auto"/>
      <w:outlineLvl w:val="5"/>
    </w:pPr>
    <w:rPr>
      <w:rFonts w:ascii="Arial" w:hAnsi="Arial" w:eastAsia="黑体"/>
      <w:b/>
      <w:color w:val="000000"/>
      <w:sz w:val="24"/>
      <w:szCs w:val="20"/>
    </w:rPr>
  </w:style>
  <w:style w:type="paragraph" w:styleId="8">
    <w:name w:val="heading 7"/>
    <w:basedOn w:val="1"/>
    <w:next w:val="1"/>
    <w:link w:val="64"/>
    <w:qFormat/>
    <w:uiPriority w:val="0"/>
    <w:pPr>
      <w:keepLines/>
      <w:widowControl/>
      <w:spacing w:before="240" w:after="64" w:line="312" w:lineRule="auto"/>
      <w:outlineLvl w:val="6"/>
    </w:pPr>
    <w:rPr>
      <w:b/>
      <w:color w:val="000000"/>
      <w:sz w:val="24"/>
      <w:szCs w:val="20"/>
    </w:rPr>
  </w:style>
  <w:style w:type="paragraph" w:styleId="9">
    <w:name w:val="heading 8"/>
    <w:basedOn w:val="1"/>
    <w:next w:val="1"/>
    <w:link w:val="65"/>
    <w:qFormat/>
    <w:uiPriority w:val="0"/>
    <w:pPr>
      <w:keepLines/>
      <w:widowControl/>
      <w:spacing w:before="240" w:after="64" w:line="312" w:lineRule="auto"/>
      <w:outlineLvl w:val="7"/>
    </w:pPr>
    <w:rPr>
      <w:rFonts w:ascii="Arial" w:hAnsi="Arial" w:eastAsia="黑体"/>
      <w:color w:val="000000"/>
      <w:sz w:val="24"/>
      <w:szCs w:val="20"/>
    </w:rPr>
  </w:style>
  <w:style w:type="paragraph" w:styleId="10">
    <w:name w:val="heading 9"/>
    <w:basedOn w:val="1"/>
    <w:next w:val="1"/>
    <w:link w:val="66"/>
    <w:qFormat/>
    <w:uiPriority w:val="0"/>
    <w:pPr>
      <w:keepLines/>
      <w:widowControl/>
      <w:spacing w:before="240" w:after="64" w:line="312" w:lineRule="auto"/>
      <w:outlineLvl w:val="8"/>
    </w:pPr>
    <w:rPr>
      <w:rFonts w:ascii="Arial" w:hAnsi="Arial" w:eastAsia="黑体"/>
      <w:color w:val="000000"/>
      <w:szCs w:val="20"/>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1260"/>
      <w:jc w:val="left"/>
    </w:pPr>
    <w:rPr>
      <w:rFonts w:ascii="Calibri" w:hAnsi="Calibri"/>
      <w:sz w:val="18"/>
      <w:szCs w:val="18"/>
    </w:rPr>
  </w:style>
  <w:style w:type="paragraph" w:styleId="12">
    <w:name w:val="table of authorities"/>
    <w:basedOn w:val="1"/>
    <w:next w:val="1"/>
    <w:qFormat/>
    <w:uiPriority w:val="0"/>
    <w:pPr>
      <w:ind w:left="420" w:leftChars="200"/>
    </w:pPr>
  </w:style>
  <w:style w:type="paragraph" w:styleId="13">
    <w:name w:val="List Number"/>
    <w:basedOn w:val="1"/>
    <w:qFormat/>
    <w:uiPriority w:val="0"/>
    <w:pPr>
      <w:tabs>
        <w:tab w:val="left" w:pos="360"/>
      </w:tabs>
      <w:ind w:left="360" w:hanging="360"/>
    </w:pPr>
    <w:rPr>
      <w:szCs w:val="24"/>
    </w:rPr>
  </w:style>
  <w:style w:type="paragraph" w:styleId="14">
    <w:name w:val="Normal Indent"/>
    <w:basedOn w:val="1"/>
    <w:next w:val="15"/>
    <w:link w:val="67"/>
    <w:qFormat/>
    <w:uiPriority w:val="0"/>
    <w:pPr>
      <w:ind w:firstLine="420"/>
    </w:pPr>
    <w:rPr>
      <w:szCs w:val="20"/>
    </w:rPr>
  </w:style>
  <w:style w:type="paragraph" w:customStyle="1" w:styleId="15">
    <w:name w:val="正文缩进5"/>
    <w:next w:val="1"/>
    <w:qFormat/>
    <w:uiPriority w:val="0"/>
    <w:pPr>
      <w:wordWrap w:val="0"/>
      <w:ind w:left="3400"/>
      <w:jc w:val="both"/>
    </w:pPr>
    <w:rPr>
      <w:rFonts w:ascii="Calibri" w:hAnsi="Calibri" w:eastAsia="宋体" w:cs="Times New Roman"/>
      <w:sz w:val="21"/>
      <w:lang w:val="en-US" w:eastAsia="zh-CN" w:bidi="ar-SA"/>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link w:val="68"/>
    <w:qFormat/>
    <w:uiPriority w:val="0"/>
    <w:pPr>
      <w:shd w:val="clear" w:color="auto" w:fill="000080"/>
    </w:pPr>
  </w:style>
  <w:style w:type="paragraph" w:styleId="18">
    <w:name w:val="annotation text"/>
    <w:basedOn w:val="1"/>
    <w:link w:val="69"/>
    <w:qFormat/>
    <w:uiPriority w:val="0"/>
    <w:pPr>
      <w:jc w:val="left"/>
    </w:pPr>
  </w:style>
  <w:style w:type="paragraph" w:styleId="19">
    <w:name w:val="Body Text 3"/>
    <w:basedOn w:val="1"/>
    <w:link w:val="70"/>
    <w:qFormat/>
    <w:uiPriority w:val="0"/>
    <w:pPr>
      <w:widowControl/>
      <w:spacing w:line="360" w:lineRule="auto"/>
    </w:pPr>
    <w:rPr>
      <w:rFonts w:ascii="仿宋_GB2312" w:eastAsia="仿宋_GB2312"/>
      <w:sz w:val="24"/>
      <w:szCs w:val="20"/>
    </w:rPr>
  </w:style>
  <w:style w:type="paragraph" w:styleId="20">
    <w:name w:val="Body Text"/>
    <w:basedOn w:val="1"/>
    <w:link w:val="71"/>
    <w:qFormat/>
    <w:uiPriority w:val="99"/>
    <w:pPr>
      <w:tabs>
        <w:tab w:val="left" w:pos="208"/>
      </w:tabs>
      <w:spacing w:line="432" w:lineRule="auto"/>
    </w:pPr>
    <w:rPr>
      <w:rFonts w:ascii="仿宋_GB2312" w:eastAsia="仿宋_GB2312"/>
      <w:sz w:val="28"/>
    </w:rPr>
  </w:style>
  <w:style w:type="paragraph" w:styleId="21">
    <w:name w:val="Body Text Indent"/>
    <w:basedOn w:val="1"/>
    <w:next w:val="1"/>
    <w:link w:val="73"/>
    <w:qFormat/>
    <w:uiPriority w:val="0"/>
    <w:pPr>
      <w:ind w:firstLine="540"/>
    </w:pPr>
    <w:rPr>
      <w:sz w:val="28"/>
      <w:szCs w:val="20"/>
    </w:rPr>
  </w:style>
  <w:style w:type="paragraph" w:styleId="22">
    <w:name w:val="List Number 3"/>
    <w:basedOn w:val="1"/>
    <w:qFormat/>
    <w:uiPriority w:val="0"/>
    <w:pPr>
      <w:widowControl/>
      <w:numPr>
        <w:ilvl w:val="0"/>
        <w:numId w:val="1"/>
      </w:numPr>
      <w:tabs>
        <w:tab w:val="left" w:pos="482"/>
        <w:tab w:val="left" w:pos="645"/>
      </w:tabs>
      <w:spacing w:after="50" w:afterLines="50"/>
      <w:ind w:left="482" w:hanging="340"/>
      <w:jc w:val="left"/>
    </w:pPr>
    <w:rPr>
      <w:kern w:val="0"/>
      <w:sz w:val="24"/>
      <w:szCs w:val="20"/>
    </w:rPr>
  </w:style>
  <w:style w:type="paragraph" w:styleId="23">
    <w:name w:val="List 2"/>
    <w:basedOn w:val="1"/>
    <w:qFormat/>
    <w:uiPriority w:val="0"/>
    <w:pPr>
      <w:ind w:left="100" w:leftChars="200" w:hanging="200" w:hangingChars="200"/>
    </w:pPr>
    <w:rPr>
      <w:szCs w:val="24"/>
    </w:rPr>
  </w:style>
  <w:style w:type="paragraph" w:styleId="24">
    <w:name w:val="toc 5"/>
    <w:basedOn w:val="1"/>
    <w:next w:val="1"/>
    <w:unhideWhenUsed/>
    <w:qFormat/>
    <w:uiPriority w:val="39"/>
    <w:pPr>
      <w:ind w:left="840"/>
      <w:jc w:val="left"/>
    </w:pPr>
    <w:rPr>
      <w:rFonts w:ascii="Calibri" w:hAnsi="Calibri"/>
      <w:sz w:val="18"/>
      <w:szCs w:val="18"/>
    </w:rPr>
  </w:style>
  <w:style w:type="paragraph" w:styleId="25">
    <w:name w:val="toc 3"/>
    <w:basedOn w:val="1"/>
    <w:next w:val="1"/>
    <w:qFormat/>
    <w:uiPriority w:val="39"/>
    <w:pPr>
      <w:spacing w:before="40" w:after="40"/>
      <w:ind w:left="200" w:leftChars="200"/>
      <w:jc w:val="left"/>
    </w:pPr>
    <w:rPr>
      <w:rFonts w:ascii="Calibri" w:hAnsi="Calibri" w:eastAsia="仿宋_GB2312"/>
      <w:iCs/>
      <w:sz w:val="20"/>
      <w:szCs w:val="20"/>
    </w:rPr>
  </w:style>
  <w:style w:type="paragraph" w:styleId="26">
    <w:name w:val="Plain Text"/>
    <w:basedOn w:val="1"/>
    <w:next w:val="27"/>
    <w:link w:val="74"/>
    <w:qFormat/>
    <w:uiPriority w:val="0"/>
    <w:rPr>
      <w:rFonts w:ascii="宋体" w:hAnsi="Courier New"/>
      <w:szCs w:val="20"/>
    </w:rPr>
  </w:style>
  <w:style w:type="paragraph" w:styleId="27">
    <w:name w:val="Date"/>
    <w:basedOn w:val="1"/>
    <w:next w:val="1"/>
    <w:link w:val="75"/>
    <w:qFormat/>
    <w:uiPriority w:val="0"/>
    <w:pPr>
      <w:adjustRightInd w:val="0"/>
      <w:spacing w:line="312" w:lineRule="atLeast"/>
    </w:pPr>
    <w:rPr>
      <w:rFonts w:ascii="仿宋_GB2312" w:eastAsia="仿宋_GB2312"/>
      <w:kern w:val="0"/>
      <w:sz w:val="28"/>
      <w:szCs w:val="20"/>
    </w:rPr>
  </w:style>
  <w:style w:type="paragraph" w:styleId="28">
    <w:name w:val="toc 8"/>
    <w:basedOn w:val="1"/>
    <w:next w:val="1"/>
    <w:unhideWhenUsed/>
    <w:qFormat/>
    <w:uiPriority w:val="39"/>
    <w:pPr>
      <w:ind w:left="1470"/>
      <w:jc w:val="left"/>
    </w:pPr>
    <w:rPr>
      <w:rFonts w:ascii="Calibri" w:hAnsi="Calibri"/>
      <w:sz w:val="18"/>
      <w:szCs w:val="18"/>
    </w:rPr>
  </w:style>
  <w:style w:type="paragraph" w:styleId="29">
    <w:name w:val="Body Text Indent 2"/>
    <w:basedOn w:val="1"/>
    <w:link w:val="76"/>
    <w:qFormat/>
    <w:uiPriority w:val="0"/>
    <w:pPr>
      <w:snapToGrid w:val="0"/>
      <w:spacing w:line="400" w:lineRule="exact"/>
      <w:ind w:firstLine="480"/>
    </w:pPr>
    <w:rPr>
      <w:rFonts w:eastAsia="仿宋_GB2312"/>
      <w:sz w:val="24"/>
    </w:rPr>
  </w:style>
  <w:style w:type="paragraph" w:styleId="30">
    <w:name w:val="endnote text"/>
    <w:basedOn w:val="1"/>
    <w:link w:val="77"/>
    <w:qFormat/>
    <w:uiPriority w:val="0"/>
    <w:pPr>
      <w:snapToGrid w:val="0"/>
      <w:jc w:val="left"/>
    </w:pPr>
  </w:style>
  <w:style w:type="paragraph" w:styleId="31">
    <w:name w:val="Balloon Text"/>
    <w:basedOn w:val="1"/>
    <w:link w:val="78"/>
    <w:qFormat/>
    <w:uiPriority w:val="0"/>
    <w:rPr>
      <w:sz w:val="18"/>
      <w:szCs w:val="18"/>
    </w:rPr>
  </w:style>
  <w:style w:type="paragraph" w:styleId="32">
    <w:name w:val="footer"/>
    <w:basedOn w:val="1"/>
    <w:link w:val="79"/>
    <w:qFormat/>
    <w:uiPriority w:val="99"/>
    <w:pPr>
      <w:tabs>
        <w:tab w:val="center" w:pos="4153"/>
        <w:tab w:val="right" w:pos="8306"/>
      </w:tabs>
      <w:snapToGrid w:val="0"/>
      <w:jc w:val="left"/>
    </w:pPr>
    <w:rPr>
      <w:sz w:val="18"/>
      <w:szCs w:val="18"/>
    </w:rPr>
  </w:style>
  <w:style w:type="paragraph" w:styleId="33">
    <w:name w:val="envelope return"/>
    <w:basedOn w:val="1"/>
    <w:qFormat/>
    <w:uiPriority w:val="0"/>
    <w:pPr>
      <w:snapToGrid w:val="0"/>
    </w:pPr>
    <w:rPr>
      <w:rFonts w:ascii="Arial" w:hAnsi="Arial"/>
    </w:rPr>
  </w:style>
  <w:style w:type="paragraph" w:styleId="34">
    <w:name w:val="header"/>
    <w:basedOn w:val="1"/>
    <w:link w:val="80"/>
    <w:qFormat/>
    <w:uiPriority w:val="99"/>
    <w:pPr>
      <w:pBdr>
        <w:bottom w:val="single" w:color="auto" w:sz="6" w:space="1"/>
      </w:pBdr>
      <w:tabs>
        <w:tab w:val="center" w:pos="4153"/>
        <w:tab w:val="right" w:pos="8306"/>
      </w:tabs>
      <w:adjustRightInd w:val="0"/>
      <w:spacing w:line="240" w:lineRule="atLeast"/>
      <w:jc w:val="center"/>
    </w:pPr>
    <w:rPr>
      <w:kern w:val="0"/>
      <w:sz w:val="18"/>
      <w:szCs w:val="20"/>
    </w:rPr>
  </w:style>
  <w:style w:type="paragraph" w:styleId="35">
    <w:name w:val="toc 1"/>
    <w:basedOn w:val="1"/>
    <w:next w:val="1"/>
    <w:qFormat/>
    <w:uiPriority w:val="0"/>
    <w:pPr>
      <w:tabs>
        <w:tab w:val="right" w:leader="dot" w:pos="9060"/>
      </w:tabs>
      <w:spacing w:before="40" w:after="40"/>
      <w:jc w:val="left"/>
    </w:pPr>
    <w:rPr>
      <w:rFonts w:ascii="Calibri" w:hAnsi="Calibri" w:eastAsia="仿宋_GB2312"/>
      <w:b/>
      <w:bCs/>
      <w:caps/>
      <w:sz w:val="20"/>
      <w:szCs w:val="20"/>
    </w:rPr>
  </w:style>
  <w:style w:type="paragraph" w:styleId="36">
    <w:name w:val="toc 4"/>
    <w:basedOn w:val="1"/>
    <w:next w:val="1"/>
    <w:unhideWhenUsed/>
    <w:qFormat/>
    <w:uiPriority w:val="39"/>
    <w:pPr>
      <w:ind w:left="630"/>
      <w:jc w:val="left"/>
    </w:pPr>
    <w:rPr>
      <w:rFonts w:ascii="Calibri" w:hAnsi="Calibri"/>
      <w:sz w:val="18"/>
      <w:szCs w:val="18"/>
    </w:rPr>
  </w:style>
  <w:style w:type="paragraph" w:styleId="37">
    <w:name w:val="List"/>
    <w:basedOn w:val="1"/>
    <w:qFormat/>
    <w:uiPriority w:val="0"/>
    <w:pPr>
      <w:ind w:left="200" w:hanging="200" w:hangingChars="200"/>
    </w:pPr>
    <w:rPr>
      <w:szCs w:val="24"/>
    </w:rPr>
  </w:style>
  <w:style w:type="paragraph" w:styleId="38">
    <w:name w:val="toc 6"/>
    <w:basedOn w:val="1"/>
    <w:next w:val="1"/>
    <w:unhideWhenUsed/>
    <w:qFormat/>
    <w:uiPriority w:val="39"/>
    <w:pPr>
      <w:ind w:left="1050"/>
      <w:jc w:val="left"/>
    </w:pPr>
    <w:rPr>
      <w:rFonts w:ascii="Calibri" w:hAnsi="Calibri"/>
      <w:sz w:val="18"/>
      <w:szCs w:val="18"/>
    </w:rPr>
  </w:style>
  <w:style w:type="paragraph" w:styleId="39">
    <w:name w:val="Body Text Indent 3"/>
    <w:basedOn w:val="1"/>
    <w:link w:val="81"/>
    <w:qFormat/>
    <w:uiPriority w:val="0"/>
    <w:pPr>
      <w:spacing w:line="360" w:lineRule="auto"/>
      <w:ind w:left="220"/>
      <w:jc w:val="left"/>
    </w:pPr>
    <w:rPr>
      <w:rFonts w:ascii="仿宋_GB2312" w:eastAsia="仿宋_GB2312"/>
      <w:color w:val="000000"/>
      <w:sz w:val="24"/>
    </w:rPr>
  </w:style>
  <w:style w:type="paragraph" w:styleId="40">
    <w:name w:val="toc 2"/>
    <w:basedOn w:val="1"/>
    <w:next w:val="1"/>
    <w:qFormat/>
    <w:uiPriority w:val="39"/>
    <w:pPr>
      <w:tabs>
        <w:tab w:val="right" w:leader="dot" w:pos="9060"/>
      </w:tabs>
      <w:spacing w:before="40" w:after="40" w:line="360" w:lineRule="auto"/>
      <w:ind w:left="210" w:leftChars="100"/>
      <w:jc w:val="left"/>
    </w:pPr>
    <w:rPr>
      <w:rFonts w:ascii="Calibri" w:hAnsi="Calibri" w:eastAsia="仿宋_GB2312"/>
      <w:b/>
      <w:smallCaps/>
      <w:sz w:val="20"/>
      <w:szCs w:val="20"/>
    </w:rPr>
  </w:style>
  <w:style w:type="paragraph" w:styleId="41">
    <w:name w:val="toc 9"/>
    <w:basedOn w:val="1"/>
    <w:next w:val="1"/>
    <w:unhideWhenUsed/>
    <w:qFormat/>
    <w:uiPriority w:val="39"/>
    <w:pPr>
      <w:ind w:left="1680"/>
      <w:jc w:val="left"/>
    </w:pPr>
    <w:rPr>
      <w:rFonts w:ascii="Calibri" w:hAnsi="Calibri"/>
      <w:sz w:val="18"/>
      <w:szCs w:val="18"/>
    </w:rPr>
  </w:style>
  <w:style w:type="paragraph" w:styleId="42">
    <w:name w:val="Body Text 2"/>
    <w:basedOn w:val="1"/>
    <w:link w:val="82"/>
    <w:qFormat/>
    <w:uiPriority w:val="0"/>
    <w:pPr>
      <w:spacing w:line="560" w:lineRule="exact"/>
    </w:pPr>
    <w:rPr>
      <w:rFonts w:ascii="仿宋_GB2312" w:eastAsia="仿宋_GB2312"/>
      <w:sz w:val="24"/>
    </w:rPr>
  </w:style>
  <w:style w:type="paragraph" w:styleId="43">
    <w:name w:val="Normal (Web)"/>
    <w:basedOn w:val="1"/>
    <w:link w:val="83"/>
    <w:qFormat/>
    <w:uiPriority w:val="0"/>
    <w:pPr>
      <w:widowControl/>
      <w:spacing w:before="100" w:beforeAutospacing="1" w:after="100" w:afterAutospacing="1"/>
      <w:jc w:val="left"/>
    </w:pPr>
    <w:rPr>
      <w:rFonts w:ascii="宋体" w:hAnsi="宋体"/>
      <w:kern w:val="0"/>
      <w:sz w:val="24"/>
    </w:rPr>
  </w:style>
  <w:style w:type="paragraph" w:styleId="44">
    <w:name w:val="Title"/>
    <w:basedOn w:val="1"/>
    <w:next w:val="1"/>
    <w:link w:val="84"/>
    <w:qFormat/>
    <w:uiPriority w:val="0"/>
    <w:pPr>
      <w:spacing w:before="240" w:after="60"/>
      <w:jc w:val="center"/>
      <w:outlineLvl w:val="0"/>
    </w:pPr>
    <w:rPr>
      <w:rFonts w:ascii="Arial" w:hAnsi="Arial"/>
      <w:b/>
      <w:bCs/>
      <w:sz w:val="32"/>
      <w:szCs w:val="32"/>
    </w:rPr>
  </w:style>
  <w:style w:type="paragraph" w:styleId="45">
    <w:name w:val="annotation subject"/>
    <w:basedOn w:val="18"/>
    <w:next w:val="18"/>
    <w:link w:val="85"/>
    <w:qFormat/>
    <w:uiPriority w:val="0"/>
    <w:rPr>
      <w:b/>
      <w:bCs/>
    </w:rPr>
  </w:style>
  <w:style w:type="paragraph" w:styleId="46">
    <w:name w:val="Body Text First Indent"/>
    <w:basedOn w:val="20"/>
    <w:link w:val="72"/>
    <w:qFormat/>
    <w:uiPriority w:val="0"/>
    <w:pPr>
      <w:spacing w:after="120" w:line="240" w:lineRule="auto"/>
      <w:ind w:firstLine="420" w:firstLineChars="100"/>
    </w:pPr>
    <w:rPr>
      <w:sz w:val="21"/>
    </w:rPr>
  </w:style>
  <w:style w:type="paragraph" w:styleId="47">
    <w:name w:val="Body Text First Indent 2"/>
    <w:basedOn w:val="21"/>
    <w:link w:val="86"/>
    <w:qFormat/>
    <w:uiPriority w:val="0"/>
    <w:pPr>
      <w:tabs>
        <w:tab w:val="left" w:pos="900"/>
      </w:tabs>
      <w:autoSpaceDE w:val="0"/>
      <w:autoSpaceDN w:val="0"/>
      <w:adjustRightInd w:val="0"/>
      <w:spacing w:line="540" w:lineRule="exact"/>
      <w:ind w:firstLine="420"/>
    </w:pPr>
    <w:rPr>
      <w:rFonts w:ascii="仿宋_GB2312" w:eastAsia="仿宋_GB2312"/>
      <w:kern w:val="0"/>
      <w:sz w:val="20"/>
      <w:szCs w:val="28"/>
      <w:lang w:val="zh-CN"/>
    </w:rPr>
  </w:style>
  <w:style w:type="table" w:styleId="49">
    <w:name w:val="Table Grid"/>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0"/>
    <w:rPr>
      <w:b/>
      <w:bCs/>
    </w:rPr>
  </w:style>
  <w:style w:type="character" w:styleId="52">
    <w:name w:val="page number"/>
    <w:qFormat/>
    <w:uiPriority w:val="99"/>
  </w:style>
  <w:style w:type="character" w:styleId="53">
    <w:name w:val="FollowedHyperlink"/>
    <w:qFormat/>
    <w:uiPriority w:val="0"/>
    <w:rPr>
      <w:color w:val="800080"/>
      <w:u w:val="single"/>
    </w:rPr>
  </w:style>
  <w:style w:type="character" w:styleId="54">
    <w:name w:val="Emphasis"/>
    <w:qFormat/>
    <w:uiPriority w:val="20"/>
    <w:rPr>
      <w:i/>
      <w:iCs/>
    </w:rPr>
  </w:style>
  <w:style w:type="character" w:styleId="55">
    <w:name w:val="Hyperlink"/>
    <w:qFormat/>
    <w:uiPriority w:val="99"/>
    <w:rPr>
      <w:color w:val="0000FF"/>
      <w:u w:val="single"/>
    </w:rPr>
  </w:style>
  <w:style w:type="character" w:styleId="56">
    <w:name w:val="annotation reference"/>
    <w:qFormat/>
    <w:uiPriority w:val="0"/>
    <w:rPr>
      <w:sz w:val="21"/>
      <w:szCs w:val="21"/>
    </w:rPr>
  </w:style>
  <w:style w:type="paragraph" w:customStyle="1" w:styleId="57">
    <w:name w:val="正文首行缩进1"/>
    <w:basedOn w:val="20"/>
    <w:qFormat/>
    <w:uiPriority w:val="0"/>
    <w:pPr>
      <w:spacing w:after="120"/>
      <w:ind w:firstLine="420" w:firstLineChars="100"/>
    </w:pPr>
    <w:rPr>
      <w:rFonts w:ascii="Calibri" w:hAnsi="Calibri"/>
      <w:sz w:val="21"/>
    </w:rPr>
  </w:style>
  <w:style w:type="character" w:customStyle="1" w:styleId="58">
    <w:name w:val="标题 2 Char"/>
    <w:link w:val="2"/>
    <w:qFormat/>
    <w:uiPriority w:val="0"/>
    <w:rPr>
      <w:rFonts w:ascii="仿宋_GB2312" w:hAnsi="Calibri" w:eastAsia="仿宋_GB2312"/>
      <w:b/>
      <w:sz w:val="36"/>
    </w:rPr>
  </w:style>
  <w:style w:type="character" w:customStyle="1" w:styleId="59">
    <w:name w:val="标题 1 字符"/>
    <w:qFormat/>
    <w:uiPriority w:val="0"/>
    <w:rPr>
      <w:rFonts w:ascii="仿宋_GB2312" w:hAnsi="Calibri" w:eastAsia="仿宋_GB2312"/>
      <w:b/>
      <w:kern w:val="2"/>
      <w:sz w:val="44"/>
      <w:szCs w:val="22"/>
    </w:rPr>
  </w:style>
  <w:style w:type="character" w:customStyle="1" w:styleId="60">
    <w:name w:val="标题 3 Char"/>
    <w:link w:val="4"/>
    <w:qFormat/>
    <w:uiPriority w:val="0"/>
    <w:rPr>
      <w:rFonts w:ascii="仿宋_GB2312" w:hAnsi="Calibri" w:eastAsia="仿宋_GB2312"/>
      <w:b/>
      <w:bCs/>
      <w:kern w:val="2"/>
      <w:sz w:val="30"/>
    </w:rPr>
  </w:style>
  <w:style w:type="character" w:customStyle="1" w:styleId="61">
    <w:name w:val="标题 4 Char"/>
    <w:link w:val="5"/>
    <w:qFormat/>
    <w:uiPriority w:val="0"/>
    <w:rPr>
      <w:rFonts w:ascii="Arial" w:hAnsi="Arial" w:eastAsia="黑体"/>
      <w:b/>
      <w:color w:val="000000"/>
      <w:kern w:val="2"/>
      <w:sz w:val="28"/>
    </w:rPr>
  </w:style>
  <w:style w:type="character" w:customStyle="1" w:styleId="62">
    <w:name w:val="标题 5 Char"/>
    <w:link w:val="6"/>
    <w:qFormat/>
    <w:uiPriority w:val="0"/>
    <w:rPr>
      <w:rFonts w:ascii="Calibri" w:hAnsi="Calibri"/>
      <w:b/>
      <w:color w:val="000000"/>
      <w:kern w:val="2"/>
      <w:sz w:val="28"/>
    </w:rPr>
  </w:style>
  <w:style w:type="character" w:customStyle="1" w:styleId="63">
    <w:name w:val="标题 6 Char"/>
    <w:link w:val="7"/>
    <w:qFormat/>
    <w:uiPriority w:val="0"/>
    <w:rPr>
      <w:rFonts w:ascii="Arial" w:hAnsi="Arial" w:eastAsia="黑体"/>
      <w:b/>
      <w:color w:val="000000"/>
      <w:kern w:val="2"/>
      <w:sz w:val="24"/>
    </w:rPr>
  </w:style>
  <w:style w:type="character" w:customStyle="1" w:styleId="64">
    <w:name w:val="标题 7 Char"/>
    <w:link w:val="8"/>
    <w:qFormat/>
    <w:uiPriority w:val="0"/>
    <w:rPr>
      <w:rFonts w:ascii="Calibri" w:hAnsi="Calibri"/>
      <w:b/>
      <w:color w:val="000000"/>
      <w:kern w:val="2"/>
      <w:sz w:val="24"/>
    </w:rPr>
  </w:style>
  <w:style w:type="character" w:customStyle="1" w:styleId="65">
    <w:name w:val="标题 8 Char"/>
    <w:link w:val="9"/>
    <w:qFormat/>
    <w:uiPriority w:val="0"/>
    <w:rPr>
      <w:rFonts w:ascii="Arial" w:hAnsi="Arial" w:eastAsia="黑体"/>
      <w:color w:val="000000"/>
      <w:kern w:val="2"/>
      <w:sz w:val="24"/>
    </w:rPr>
  </w:style>
  <w:style w:type="character" w:customStyle="1" w:styleId="66">
    <w:name w:val="标题 9 Char"/>
    <w:link w:val="10"/>
    <w:qFormat/>
    <w:uiPriority w:val="0"/>
    <w:rPr>
      <w:rFonts w:ascii="Arial" w:hAnsi="Arial" w:eastAsia="黑体"/>
      <w:color w:val="000000"/>
      <w:kern w:val="2"/>
      <w:sz w:val="21"/>
    </w:rPr>
  </w:style>
  <w:style w:type="character" w:customStyle="1" w:styleId="67">
    <w:name w:val="正文缩进 Char"/>
    <w:link w:val="14"/>
    <w:qFormat/>
    <w:uiPriority w:val="0"/>
    <w:rPr>
      <w:rFonts w:eastAsia="宋体"/>
      <w:kern w:val="2"/>
      <w:sz w:val="21"/>
      <w:lang w:val="en-US" w:eastAsia="zh-CN" w:bidi="ar-SA"/>
    </w:rPr>
  </w:style>
  <w:style w:type="character" w:customStyle="1" w:styleId="68">
    <w:name w:val="文档结构图 Char"/>
    <w:link w:val="17"/>
    <w:qFormat/>
    <w:uiPriority w:val="0"/>
    <w:rPr>
      <w:rFonts w:ascii="Calibri" w:hAnsi="Calibri"/>
      <w:kern w:val="2"/>
      <w:sz w:val="21"/>
      <w:szCs w:val="22"/>
      <w:shd w:val="clear" w:color="auto" w:fill="000080"/>
    </w:rPr>
  </w:style>
  <w:style w:type="character" w:customStyle="1" w:styleId="69">
    <w:name w:val="批注文字 Char"/>
    <w:link w:val="18"/>
    <w:qFormat/>
    <w:uiPriority w:val="0"/>
    <w:rPr>
      <w:rFonts w:ascii="Calibri" w:hAnsi="Calibri"/>
      <w:kern w:val="2"/>
      <w:sz w:val="21"/>
      <w:szCs w:val="22"/>
    </w:rPr>
  </w:style>
  <w:style w:type="character" w:customStyle="1" w:styleId="70">
    <w:name w:val="正文文本 3 Char"/>
    <w:link w:val="19"/>
    <w:qFormat/>
    <w:uiPriority w:val="0"/>
    <w:rPr>
      <w:rFonts w:ascii="仿宋_GB2312" w:hAnsi="Calibri" w:eastAsia="仿宋_GB2312"/>
      <w:kern w:val="2"/>
      <w:sz w:val="24"/>
    </w:rPr>
  </w:style>
  <w:style w:type="character" w:customStyle="1" w:styleId="71">
    <w:name w:val="正文文本 Char"/>
    <w:link w:val="20"/>
    <w:qFormat/>
    <w:uiPriority w:val="99"/>
    <w:rPr>
      <w:rFonts w:ascii="仿宋_GB2312" w:hAnsi="Calibri" w:eastAsia="仿宋_GB2312"/>
      <w:kern w:val="2"/>
      <w:sz w:val="28"/>
      <w:szCs w:val="22"/>
    </w:rPr>
  </w:style>
  <w:style w:type="character" w:customStyle="1" w:styleId="72">
    <w:name w:val="正文首行缩进 Char"/>
    <w:link w:val="46"/>
    <w:qFormat/>
    <w:uiPriority w:val="0"/>
    <w:rPr>
      <w:rFonts w:ascii="仿宋_GB2312" w:hAnsi="Calibri" w:eastAsia="仿宋_GB2312"/>
      <w:kern w:val="2"/>
      <w:sz w:val="21"/>
      <w:szCs w:val="22"/>
    </w:rPr>
  </w:style>
  <w:style w:type="character" w:customStyle="1" w:styleId="73">
    <w:name w:val="正文文本缩进 Char"/>
    <w:link w:val="21"/>
    <w:qFormat/>
    <w:uiPriority w:val="0"/>
    <w:rPr>
      <w:rFonts w:ascii="Calibri" w:hAnsi="Calibri"/>
      <w:kern w:val="2"/>
      <w:sz w:val="28"/>
    </w:rPr>
  </w:style>
  <w:style w:type="character" w:customStyle="1" w:styleId="74">
    <w:name w:val="纯文本 Char"/>
    <w:link w:val="26"/>
    <w:qFormat/>
    <w:uiPriority w:val="0"/>
    <w:rPr>
      <w:rFonts w:ascii="宋体" w:hAnsi="Courier New" w:eastAsia="宋体"/>
      <w:kern w:val="2"/>
      <w:sz w:val="21"/>
      <w:lang w:val="en-US" w:eastAsia="zh-CN" w:bidi="ar-SA"/>
    </w:rPr>
  </w:style>
  <w:style w:type="character" w:customStyle="1" w:styleId="75">
    <w:name w:val="日期 Char"/>
    <w:link w:val="27"/>
    <w:qFormat/>
    <w:uiPriority w:val="0"/>
    <w:rPr>
      <w:rFonts w:ascii="仿宋_GB2312" w:hAnsi="Calibri" w:eastAsia="仿宋_GB2312"/>
      <w:sz w:val="28"/>
    </w:rPr>
  </w:style>
  <w:style w:type="character" w:customStyle="1" w:styleId="76">
    <w:name w:val="正文文本缩进 2 Char1"/>
    <w:link w:val="29"/>
    <w:qFormat/>
    <w:uiPriority w:val="0"/>
    <w:rPr>
      <w:rFonts w:ascii="Calibri" w:hAnsi="Calibri" w:eastAsia="仿宋_GB2312"/>
      <w:kern w:val="2"/>
      <w:sz w:val="24"/>
      <w:szCs w:val="22"/>
    </w:rPr>
  </w:style>
  <w:style w:type="character" w:customStyle="1" w:styleId="77">
    <w:name w:val="尾注文本 Char"/>
    <w:link w:val="30"/>
    <w:qFormat/>
    <w:uiPriority w:val="0"/>
    <w:rPr>
      <w:rFonts w:ascii="Calibri" w:hAnsi="Calibri"/>
      <w:kern w:val="2"/>
      <w:sz w:val="21"/>
      <w:szCs w:val="22"/>
    </w:rPr>
  </w:style>
  <w:style w:type="character" w:customStyle="1" w:styleId="78">
    <w:name w:val="批注框文本 Char"/>
    <w:link w:val="31"/>
    <w:qFormat/>
    <w:uiPriority w:val="0"/>
    <w:rPr>
      <w:kern w:val="2"/>
      <w:sz w:val="18"/>
      <w:szCs w:val="18"/>
    </w:rPr>
  </w:style>
  <w:style w:type="character" w:customStyle="1" w:styleId="79">
    <w:name w:val="页脚 Char"/>
    <w:link w:val="32"/>
    <w:qFormat/>
    <w:uiPriority w:val="99"/>
    <w:rPr>
      <w:kern w:val="2"/>
      <w:sz w:val="18"/>
      <w:szCs w:val="18"/>
    </w:rPr>
  </w:style>
  <w:style w:type="character" w:customStyle="1" w:styleId="80">
    <w:name w:val="页眉 Char"/>
    <w:link w:val="34"/>
    <w:qFormat/>
    <w:uiPriority w:val="99"/>
    <w:rPr>
      <w:sz w:val="18"/>
    </w:rPr>
  </w:style>
  <w:style w:type="character" w:customStyle="1" w:styleId="81">
    <w:name w:val="正文文本缩进 3 Char"/>
    <w:link w:val="39"/>
    <w:qFormat/>
    <w:uiPriority w:val="0"/>
    <w:rPr>
      <w:rFonts w:ascii="仿宋_GB2312" w:hAnsi="Calibri" w:eastAsia="仿宋_GB2312"/>
      <w:color w:val="000000"/>
      <w:kern w:val="2"/>
      <w:sz w:val="24"/>
      <w:szCs w:val="22"/>
    </w:rPr>
  </w:style>
  <w:style w:type="character" w:customStyle="1" w:styleId="82">
    <w:name w:val="正文文本 2 Char"/>
    <w:link w:val="42"/>
    <w:qFormat/>
    <w:uiPriority w:val="0"/>
    <w:rPr>
      <w:rFonts w:ascii="仿宋_GB2312" w:hAnsi="Calibri" w:eastAsia="仿宋_GB2312"/>
      <w:kern w:val="2"/>
      <w:sz w:val="24"/>
      <w:szCs w:val="22"/>
    </w:rPr>
  </w:style>
  <w:style w:type="character" w:customStyle="1" w:styleId="83">
    <w:name w:val="普通(网站) Char"/>
    <w:link w:val="43"/>
    <w:qFormat/>
    <w:uiPriority w:val="0"/>
    <w:rPr>
      <w:rFonts w:ascii="宋体" w:hAnsi="宋体"/>
      <w:sz w:val="24"/>
      <w:szCs w:val="22"/>
    </w:rPr>
  </w:style>
  <w:style w:type="character" w:customStyle="1" w:styleId="84">
    <w:name w:val="标题 Char"/>
    <w:link w:val="44"/>
    <w:qFormat/>
    <w:uiPriority w:val="0"/>
    <w:rPr>
      <w:rFonts w:ascii="Arial" w:hAnsi="Arial" w:cs="Arial"/>
      <w:b/>
      <w:bCs/>
      <w:kern w:val="2"/>
      <w:sz w:val="32"/>
      <w:szCs w:val="32"/>
    </w:rPr>
  </w:style>
  <w:style w:type="character" w:customStyle="1" w:styleId="85">
    <w:name w:val="批注主题 Char"/>
    <w:link w:val="45"/>
    <w:qFormat/>
    <w:uiPriority w:val="0"/>
    <w:rPr>
      <w:rFonts w:ascii="Calibri" w:hAnsi="Calibri"/>
      <w:b/>
      <w:bCs/>
      <w:kern w:val="2"/>
      <w:sz w:val="21"/>
      <w:szCs w:val="22"/>
    </w:rPr>
  </w:style>
  <w:style w:type="character" w:customStyle="1" w:styleId="86">
    <w:name w:val="正文首行缩进 2 Char"/>
    <w:link w:val="47"/>
    <w:qFormat/>
    <w:uiPriority w:val="0"/>
    <w:rPr>
      <w:rFonts w:ascii="仿宋_GB2312" w:eastAsia="仿宋_GB2312"/>
      <w:szCs w:val="28"/>
      <w:lang w:val="zh-CN"/>
    </w:rPr>
  </w:style>
  <w:style w:type="paragraph" w:customStyle="1" w:styleId="87">
    <w:name w:val="目录 62"/>
    <w:next w:val="1"/>
    <w:qFormat/>
    <w:uiPriority w:val="0"/>
    <w:rPr>
      <w:rFonts w:ascii="Times New Roman" w:hAnsi="Times New Roman" w:eastAsia="宋体" w:cs="Times New Roman"/>
      <w:sz w:val="21"/>
      <w:lang w:val="en-US" w:eastAsia="zh-CN" w:bidi="ar-SA"/>
    </w:rPr>
  </w:style>
  <w:style w:type="paragraph" w:customStyle="1" w:styleId="88">
    <w:name w:val="BodyText1I2"/>
    <w:basedOn w:val="89"/>
    <w:qFormat/>
    <w:uiPriority w:val="0"/>
    <w:pPr>
      <w:spacing w:after="120" w:line="240" w:lineRule="auto"/>
      <w:ind w:left="420" w:leftChars="200" w:firstLine="420"/>
    </w:pPr>
    <w:rPr>
      <w:sz w:val="28"/>
    </w:rPr>
  </w:style>
  <w:style w:type="paragraph" w:customStyle="1" w:styleId="89">
    <w:name w:val="BodyTextIndent"/>
    <w:qFormat/>
    <w:uiPriority w:val="0"/>
    <w:pPr>
      <w:widowControl w:val="0"/>
      <w:spacing w:line="440" w:lineRule="atLeast"/>
      <w:ind w:firstLine="465" w:firstLineChars="200"/>
      <w:jc w:val="both"/>
    </w:pPr>
    <w:rPr>
      <w:rFonts w:ascii="Times New Roman" w:hAnsi="Times New Roman" w:eastAsia="宋体" w:cs="Times New Roman"/>
      <w:spacing w:val="12"/>
      <w:kern w:val="2"/>
      <w:sz w:val="24"/>
      <w:lang w:val="en-US" w:eastAsia="zh-CN" w:bidi="ar-SA"/>
    </w:rPr>
  </w:style>
  <w:style w:type="character" w:customStyle="1" w:styleId="90">
    <w:name w:val="普通文字 Char Char1_2"/>
    <w:link w:val="91"/>
    <w:qFormat/>
    <w:uiPriority w:val="0"/>
    <w:rPr>
      <w:rFonts w:ascii="宋体" w:hAnsi="Courier New"/>
      <w:kern w:val="2"/>
      <w:sz w:val="21"/>
    </w:rPr>
  </w:style>
  <w:style w:type="paragraph" w:customStyle="1" w:styleId="91">
    <w:name w:val="纯文本_5"/>
    <w:basedOn w:val="92"/>
    <w:link w:val="90"/>
    <w:qFormat/>
    <w:uiPriority w:val="0"/>
    <w:rPr>
      <w:rFonts w:ascii="宋体" w:hAnsi="Courier New"/>
      <w:szCs w:val="20"/>
    </w:rPr>
  </w:style>
  <w:style w:type="paragraph" w:customStyle="1" w:styleId="92">
    <w:name w:val="正文_6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3">
    <w:name w:val="纯文本 Char1"/>
    <w:qFormat/>
    <w:uiPriority w:val="0"/>
    <w:rPr>
      <w:rFonts w:ascii="宋体" w:hAnsi="Courier New" w:eastAsia="宋体" w:cs="Times New Roman"/>
      <w:szCs w:val="20"/>
    </w:rPr>
  </w:style>
  <w:style w:type="character" w:customStyle="1" w:styleId="94">
    <w:name w:val="highlight1"/>
    <w:qFormat/>
    <w:uiPriority w:val="0"/>
    <w:rPr>
      <w:sz w:val="22"/>
      <w:szCs w:val="22"/>
    </w:rPr>
  </w:style>
  <w:style w:type="character" w:customStyle="1" w:styleId="95">
    <w:name w:val="htd0"/>
    <w:qFormat/>
    <w:uiPriority w:val="0"/>
  </w:style>
  <w:style w:type="character" w:customStyle="1" w:styleId="96">
    <w:name w:val="标题 2 Char Char"/>
    <w:qFormat/>
    <w:uiPriority w:val="0"/>
    <w:rPr>
      <w:rFonts w:ascii="宋体" w:hAnsi="宋体" w:eastAsia="黑体"/>
      <w:b/>
      <w:bCs/>
      <w:kern w:val="2"/>
      <w:sz w:val="24"/>
      <w:szCs w:val="32"/>
      <w:lang w:val="en-US" w:eastAsia="zh-CN" w:bidi="ar-SA"/>
    </w:rPr>
  </w:style>
  <w:style w:type="character" w:customStyle="1" w:styleId="97">
    <w:name w:val="apple-converted-space"/>
    <w:qFormat/>
    <w:uiPriority w:val="0"/>
  </w:style>
  <w:style w:type="character" w:customStyle="1" w:styleId="98">
    <w:name w:val="样式 正文（首行缩进两字） + 宋体 Char"/>
    <w:qFormat/>
    <w:uiPriority w:val="0"/>
    <w:rPr>
      <w:rFonts w:hint="eastAsia" w:ascii="宋体" w:hAnsi="宋体" w:eastAsia="宋体" w:cs="Times New Roman"/>
      <w:spacing w:val="6"/>
      <w:kern w:val="24"/>
      <w:sz w:val="24"/>
      <w:szCs w:val="24"/>
      <w:lang w:val="en-US" w:eastAsia="zh-CN" w:bidi="ar-SA"/>
    </w:rPr>
  </w:style>
  <w:style w:type="character" w:customStyle="1" w:styleId="99">
    <w:name w:val="textfont1"/>
    <w:qFormat/>
    <w:uiPriority w:val="0"/>
  </w:style>
  <w:style w:type="character" w:customStyle="1" w:styleId="100">
    <w:name w:val="font3"/>
    <w:qFormat/>
    <w:uiPriority w:val="0"/>
  </w:style>
  <w:style w:type="character" w:customStyle="1" w:styleId="101">
    <w:name w:val="正文文本缩进 2 Char"/>
    <w:link w:val="102"/>
    <w:qFormat/>
    <w:uiPriority w:val="0"/>
    <w:rPr>
      <w:rFonts w:eastAsia="仿宋_GB2312"/>
      <w:kern w:val="2"/>
      <w:sz w:val="24"/>
      <w:szCs w:val="22"/>
    </w:rPr>
  </w:style>
  <w:style w:type="paragraph" w:customStyle="1" w:styleId="102">
    <w:name w:val="正文文本缩进 2_0"/>
    <w:basedOn w:val="103"/>
    <w:link w:val="101"/>
    <w:unhideWhenUsed/>
    <w:qFormat/>
    <w:uiPriority w:val="0"/>
    <w:pPr>
      <w:snapToGrid w:val="0"/>
      <w:spacing w:line="400" w:lineRule="exact"/>
      <w:ind w:firstLine="480"/>
    </w:pPr>
    <w:rPr>
      <w:rFonts w:eastAsia="仿宋_GB2312"/>
      <w:sz w:val="24"/>
      <w:szCs w:val="22"/>
    </w:rPr>
  </w:style>
  <w:style w:type="paragraph" w:customStyle="1" w:styleId="103">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4">
    <w:name w:val="font61"/>
    <w:qFormat/>
    <w:uiPriority w:val="0"/>
    <w:rPr>
      <w:rFonts w:hint="eastAsia" w:ascii="宋体" w:hAnsi="宋体" w:eastAsia="宋体" w:cs="宋体"/>
      <w:color w:val="000000"/>
      <w:sz w:val="24"/>
      <w:szCs w:val="24"/>
      <w:u w:val="none"/>
    </w:rPr>
  </w:style>
  <w:style w:type="character" w:customStyle="1" w:styleId="105">
    <w:name w:val="正文首行缩进2字符 Char"/>
    <w:link w:val="106"/>
    <w:qFormat/>
    <w:locked/>
    <w:uiPriority w:val="0"/>
    <w:rPr>
      <w:rFonts w:eastAsia="仿宋"/>
      <w:sz w:val="28"/>
    </w:rPr>
  </w:style>
  <w:style w:type="paragraph" w:customStyle="1" w:styleId="106">
    <w:name w:val="正文首行缩进2字符"/>
    <w:basedOn w:val="1"/>
    <w:link w:val="105"/>
    <w:qFormat/>
    <w:uiPriority w:val="0"/>
    <w:pPr>
      <w:spacing w:line="360" w:lineRule="auto"/>
      <w:ind w:firstLine="200" w:firstLineChars="200"/>
    </w:pPr>
    <w:rPr>
      <w:rFonts w:eastAsia="仿宋"/>
      <w:kern w:val="0"/>
      <w:sz w:val="28"/>
      <w:szCs w:val="20"/>
    </w:rPr>
  </w:style>
  <w:style w:type="character" w:customStyle="1" w:styleId="107">
    <w:name w:val="Char Char2"/>
    <w:qFormat/>
    <w:uiPriority w:val="0"/>
    <w:rPr>
      <w:rFonts w:ascii="宋体" w:hAnsi="Courier New" w:eastAsia="宋体"/>
      <w:sz w:val="21"/>
      <w:lang w:val="en-US" w:eastAsia="zh-CN" w:bidi="ar-SA"/>
    </w:rPr>
  </w:style>
  <w:style w:type="character" w:customStyle="1" w:styleId="108">
    <w:name w:val="纯文本 Char1_4_1"/>
    <w:link w:val="109"/>
    <w:qFormat/>
    <w:uiPriority w:val="0"/>
    <w:rPr>
      <w:rFonts w:ascii="宋体" w:hAnsi="Courier New"/>
      <w:kern w:val="2"/>
      <w:sz w:val="21"/>
    </w:rPr>
  </w:style>
  <w:style w:type="paragraph" w:customStyle="1" w:styleId="109">
    <w:name w:val="纯文本_4_1"/>
    <w:basedOn w:val="110"/>
    <w:link w:val="108"/>
    <w:qFormat/>
    <w:uiPriority w:val="0"/>
    <w:rPr>
      <w:rFonts w:ascii="宋体" w:hAnsi="Courier New"/>
      <w:szCs w:val="20"/>
    </w:rPr>
  </w:style>
  <w:style w:type="paragraph" w:customStyle="1" w:styleId="110">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11">
    <w:name w:val="unnamed11"/>
    <w:qFormat/>
    <w:uiPriority w:val="0"/>
    <w:rPr>
      <w:sz w:val="20"/>
    </w:rPr>
  </w:style>
  <w:style w:type="character" w:customStyle="1" w:styleId="112">
    <w:name w:val="large1"/>
    <w:qFormat/>
    <w:uiPriority w:val="0"/>
    <w:rPr>
      <w:rFonts w:hint="eastAsia" w:ascii="宋体" w:hAnsi="宋体" w:eastAsia="宋体"/>
      <w:sz w:val="21"/>
      <w:szCs w:val="21"/>
    </w:rPr>
  </w:style>
  <w:style w:type="character" w:customStyle="1" w:styleId="113">
    <w:name w:val="招标-标题1 字符"/>
    <w:link w:val="114"/>
    <w:qFormat/>
    <w:uiPriority w:val="0"/>
    <w:rPr>
      <w:rFonts w:ascii="宋体" w:hAnsi="宋体"/>
      <w:b/>
      <w:bCs/>
      <w:sz w:val="28"/>
      <w:szCs w:val="21"/>
    </w:rPr>
  </w:style>
  <w:style w:type="paragraph" w:customStyle="1" w:styleId="114">
    <w:name w:val="招标-标题1"/>
    <w:basedOn w:val="1"/>
    <w:link w:val="113"/>
    <w:qFormat/>
    <w:uiPriority w:val="0"/>
    <w:pPr>
      <w:spacing w:line="300" w:lineRule="auto"/>
      <w:ind w:left="560"/>
    </w:pPr>
    <w:rPr>
      <w:rFonts w:ascii="宋体" w:hAnsi="宋体"/>
      <w:b/>
      <w:bCs/>
      <w:kern w:val="0"/>
      <w:sz w:val="28"/>
      <w:szCs w:val="21"/>
    </w:rPr>
  </w:style>
  <w:style w:type="character" w:customStyle="1" w:styleId="115">
    <w:name w:val="纯文本 Char1_3"/>
    <w:link w:val="116"/>
    <w:qFormat/>
    <w:uiPriority w:val="0"/>
    <w:rPr>
      <w:rFonts w:ascii="宋体" w:hAnsi="Courier New"/>
      <w:kern w:val="2"/>
      <w:sz w:val="21"/>
    </w:rPr>
  </w:style>
  <w:style w:type="paragraph" w:customStyle="1" w:styleId="116">
    <w:name w:val="纯文本_3"/>
    <w:basedOn w:val="117"/>
    <w:link w:val="115"/>
    <w:qFormat/>
    <w:uiPriority w:val="0"/>
    <w:rPr>
      <w:rFonts w:ascii="宋体" w:hAnsi="Courier New"/>
      <w:szCs w:val="20"/>
    </w:rPr>
  </w:style>
  <w:style w:type="paragraph" w:customStyle="1" w:styleId="117">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8">
    <w:name w:val="Char Char1"/>
    <w:link w:val="119"/>
    <w:qFormat/>
    <w:uiPriority w:val="0"/>
    <w:rPr>
      <w:rFonts w:ascii="Tahoma" w:hAnsi="Tahoma"/>
      <w:sz w:val="24"/>
    </w:rPr>
  </w:style>
  <w:style w:type="paragraph" w:customStyle="1" w:styleId="119">
    <w:name w:val="Char"/>
    <w:basedOn w:val="1"/>
    <w:link w:val="118"/>
    <w:qFormat/>
    <w:uiPriority w:val="0"/>
    <w:rPr>
      <w:rFonts w:ascii="Tahoma" w:hAnsi="Tahoma"/>
      <w:kern w:val="0"/>
      <w:sz w:val="24"/>
      <w:szCs w:val="20"/>
    </w:rPr>
  </w:style>
  <w:style w:type="character" w:customStyle="1" w:styleId="120">
    <w:name w:val="纯文本 Char1_4_0"/>
    <w:link w:val="121"/>
    <w:qFormat/>
    <w:uiPriority w:val="0"/>
    <w:rPr>
      <w:rFonts w:ascii="宋体" w:hAnsi="Courier New"/>
      <w:kern w:val="2"/>
      <w:sz w:val="21"/>
    </w:rPr>
  </w:style>
  <w:style w:type="paragraph" w:customStyle="1" w:styleId="121">
    <w:name w:val="纯文本_4_0"/>
    <w:basedOn w:val="122"/>
    <w:link w:val="120"/>
    <w:qFormat/>
    <w:uiPriority w:val="0"/>
    <w:rPr>
      <w:rFonts w:ascii="宋体" w:hAnsi="Courier New"/>
      <w:szCs w:val="20"/>
    </w:rPr>
  </w:style>
  <w:style w:type="paragraph" w:customStyle="1" w:styleId="122">
    <w:name w:val="正文_9"/>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3">
    <w:name w:val="标题 1 Char Char"/>
    <w:qFormat/>
    <w:uiPriority w:val="0"/>
    <w:rPr>
      <w:rFonts w:eastAsia="宋体"/>
      <w:b/>
      <w:spacing w:val="-2"/>
      <w:sz w:val="24"/>
      <w:lang w:val="en-US" w:eastAsia="zh-CN" w:bidi="ar-SA"/>
    </w:rPr>
  </w:style>
  <w:style w:type="character" w:customStyle="1" w:styleId="124">
    <w:name w:val="普通文字 Char Char1"/>
    <w:qFormat/>
    <w:locked/>
    <w:uiPriority w:val="0"/>
    <w:rPr>
      <w:rFonts w:ascii="宋体" w:hAnsi="Courier New" w:eastAsia="宋体"/>
      <w:kern w:val="2"/>
      <w:sz w:val="21"/>
      <w:lang w:val="en-US" w:eastAsia="zh-CN" w:bidi="ar-SA"/>
    </w:rPr>
  </w:style>
  <w:style w:type="character" w:customStyle="1" w:styleId="125">
    <w:name w:val="纯文本 Char1_4_4"/>
    <w:link w:val="126"/>
    <w:qFormat/>
    <w:uiPriority w:val="0"/>
    <w:rPr>
      <w:rFonts w:ascii="宋体" w:hAnsi="Courier New"/>
      <w:kern w:val="2"/>
      <w:sz w:val="21"/>
    </w:rPr>
  </w:style>
  <w:style w:type="paragraph" w:customStyle="1" w:styleId="126">
    <w:name w:val="纯文本_4_3"/>
    <w:basedOn w:val="127"/>
    <w:link w:val="125"/>
    <w:qFormat/>
    <w:uiPriority w:val="0"/>
    <w:rPr>
      <w:rFonts w:ascii="宋体" w:hAnsi="Courier New"/>
      <w:szCs w:val="20"/>
    </w:rPr>
  </w:style>
  <w:style w:type="paragraph" w:customStyle="1" w:styleId="127">
    <w:name w:val="正文_1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8">
    <w:name w:val="纯文本 Char1_4_2"/>
    <w:link w:val="129"/>
    <w:qFormat/>
    <w:uiPriority w:val="0"/>
    <w:rPr>
      <w:rFonts w:ascii="宋体" w:hAnsi="Courier New"/>
      <w:kern w:val="2"/>
      <w:sz w:val="21"/>
    </w:rPr>
  </w:style>
  <w:style w:type="paragraph" w:customStyle="1" w:styleId="129">
    <w:name w:val="纯文本_4_2"/>
    <w:basedOn w:val="130"/>
    <w:link w:val="128"/>
    <w:qFormat/>
    <w:uiPriority w:val="0"/>
    <w:rPr>
      <w:rFonts w:ascii="宋体" w:hAnsi="Courier New"/>
      <w:szCs w:val="20"/>
    </w:rPr>
  </w:style>
  <w:style w:type="paragraph" w:customStyle="1" w:styleId="130">
    <w:name w:val="正文_1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31">
    <w:name w:val="表格标题 Char"/>
    <w:link w:val="132"/>
    <w:qFormat/>
    <w:uiPriority w:val="0"/>
    <w:rPr>
      <w:rFonts w:cs="Times New Roman"/>
      <w:b/>
      <w:kern w:val="2"/>
      <w:sz w:val="28"/>
      <w:szCs w:val="28"/>
    </w:rPr>
  </w:style>
  <w:style w:type="paragraph" w:customStyle="1" w:styleId="132">
    <w:name w:val="表格标题"/>
    <w:basedOn w:val="1"/>
    <w:link w:val="131"/>
    <w:qFormat/>
    <w:uiPriority w:val="0"/>
    <w:pPr>
      <w:spacing w:line="520" w:lineRule="exact"/>
      <w:jc w:val="center"/>
    </w:pPr>
    <w:rPr>
      <w:b/>
      <w:sz w:val="28"/>
      <w:szCs w:val="28"/>
    </w:rPr>
  </w:style>
  <w:style w:type="character" w:customStyle="1" w:styleId="133">
    <w:name w:val="font01"/>
    <w:qFormat/>
    <w:uiPriority w:val="0"/>
    <w:rPr>
      <w:rFonts w:hint="eastAsia" w:ascii="宋体" w:hAnsi="宋体" w:eastAsia="宋体" w:cs="宋体"/>
      <w:color w:val="000000"/>
      <w:sz w:val="22"/>
      <w:szCs w:val="22"/>
      <w:u w:val="none"/>
    </w:rPr>
  </w:style>
  <w:style w:type="character" w:customStyle="1" w:styleId="134">
    <w:name w:val="纯文本 Char1_1"/>
    <w:link w:val="135"/>
    <w:qFormat/>
    <w:uiPriority w:val="0"/>
    <w:rPr>
      <w:rFonts w:ascii="宋体" w:hAnsi="Courier New"/>
      <w:kern w:val="2"/>
      <w:sz w:val="21"/>
    </w:rPr>
  </w:style>
  <w:style w:type="paragraph" w:customStyle="1" w:styleId="135">
    <w:name w:val="纯文本_1"/>
    <w:basedOn w:val="136"/>
    <w:link w:val="134"/>
    <w:qFormat/>
    <w:uiPriority w:val="0"/>
    <w:rPr>
      <w:rFonts w:ascii="宋体" w:hAnsi="Courier New"/>
      <w:szCs w:val="20"/>
    </w:rPr>
  </w:style>
  <w:style w:type="paragraph" w:customStyle="1" w:styleId="136">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7">
    <w:name w:val="正文缩进 字符2"/>
    <w:qFormat/>
    <w:locked/>
    <w:uiPriority w:val="0"/>
    <w:rPr>
      <w:sz w:val="24"/>
      <w:szCs w:val="21"/>
    </w:rPr>
  </w:style>
  <w:style w:type="character" w:customStyle="1" w:styleId="138">
    <w:name w:val="Char Char21"/>
    <w:qFormat/>
    <w:uiPriority w:val="0"/>
    <w:rPr>
      <w:rFonts w:hint="eastAsia" w:ascii="宋体" w:hAnsi="Courier New" w:eastAsia="宋体"/>
      <w:sz w:val="21"/>
      <w:lang w:val="en-US" w:eastAsia="zh-CN" w:bidi="ar-SA"/>
    </w:rPr>
  </w:style>
  <w:style w:type="character" w:customStyle="1" w:styleId="139">
    <w:name w:val="纯文本 Char1_0"/>
    <w:link w:val="140"/>
    <w:qFormat/>
    <w:locked/>
    <w:uiPriority w:val="0"/>
    <w:rPr>
      <w:rFonts w:ascii="宋体" w:hAnsi="Courier New"/>
    </w:rPr>
  </w:style>
  <w:style w:type="paragraph" w:customStyle="1" w:styleId="140">
    <w:name w:val="纯文本_0"/>
    <w:basedOn w:val="141"/>
    <w:link w:val="139"/>
    <w:unhideWhenUsed/>
    <w:qFormat/>
    <w:uiPriority w:val="0"/>
    <w:rPr>
      <w:rFonts w:ascii="宋体" w:hAnsi="Courier New"/>
      <w:kern w:val="0"/>
      <w:sz w:val="20"/>
      <w:szCs w:val="20"/>
    </w:rPr>
  </w:style>
  <w:style w:type="paragraph" w:customStyle="1" w:styleId="141">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42">
    <w:name w:val="标题 2 Char1"/>
    <w:qFormat/>
    <w:uiPriority w:val="0"/>
    <w:rPr>
      <w:rFonts w:ascii="Arial" w:hAnsi="Arial" w:eastAsia="黑体"/>
      <w:b/>
      <w:bCs/>
      <w:kern w:val="2"/>
      <w:sz w:val="32"/>
      <w:szCs w:val="32"/>
    </w:rPr>
  </w:style>
  <w:style w:type="character" w:customStyle="1" w:styleId="143">
    <w:name w:val="bulletintext1"/>
    <w:qFormat/>
    <w:uiPriority w:val="0"/>
    <w:rPr>
      <w:color w:val="000000"/>
      <w:sz w:val="18"/>
      <w:szCs w:val="18"/>
    </w:rPr>
  </w:style>
  <w:style w:type="character" w:customStyle="1" w:styleId="144">
    <w:name w:val="Char Char1_0"/>
    <w:link w:val="145"/>
    <w:qFormat/>
    <w:uiPriority w:val="0"/>
    <w:rPr>
      <w:rFonts w:ascii="Tahoma" w:hAnsi="Tahoma"/>
      <w:sz w:val="24"/>
    </w:rPr>
  </w:style>
  <w:style w:type="paragraph" w:customStyle="1" w:styleId="145">
    <w:name w:val="Char_0"/>
    <w:basedOn w:val="146"/>
    <w:link w:val="144"/>
    <w:qFormat/>
    <w:uiPriority w:val="0"/>
    <w:rPr>
      <w:rFonts w:ascii="Tahoma" w:hAnsi="Tahoma"/>
      <w:kern w:val="0"/>
      <w:sz w:val="24"/>
      <w:szCs w:val="20"/>
    </w:rPr>
  </w:style>
  <w:style w:type="paragraph" w:customStyle="1" w:styleId="146">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7">
    <w:name w:val="投标正文 Char"/>
    <w:link w:val="148"/>
    <w:qFormat/>
    <w:locked/>
    <w:uiPriority w:val="0"/>
    <w:rPr>
      <w:sz w:val="24"/>
      <w:szCs w:val="24"/>
    </w:rPr>
  </w:style>
  <w:style w:type="paragraph" w:customStyle="1" w:styleId="148">
    <w:name w:val="投标正文"/>
    <w:basedOn w:val="1"/>
    <w:link w:val="147"/>
    <w:qFormat/>
    <w:uiPriority w:val="0"/>
    <w:pPr>
      <w:adjustRightInd w:val="0"/>
      <w:snapToGrid w:val="0"/>
      <w:spacing w:line="360" w:lineRule="auto"/>
      <w:ind w:firstLine="200" w:firstLineChars="200"/>
    </w:pPr>
    <w:rPr>
      <w:kern w:val="0"/>
      <w:sz w:val="24"/>
      <w:szCs w:val="24"/>
    </w:rPr>
  </w:style>
  <w:style w:type="character" w:customStyle="1" w:styleId="149">
    <w:name w:val="纯文本 Char1_4_3"/>
    <w:link w:val="150"/>
    <w:qFormat/>
    <w:uiPriority w:val="0"/>
    <w:rPr>
      <w:rFonts w:ascii="宋体" w:hAnsi="Courier New"/>
      <w:kern w:val="2"/>
      <w:sz w:val="21"/>
    </w:rPr>
  </w:style>
  <w:style w:type="paragraph" w:customStyle="1" w:styleId="150">
    <w:name w:val="纯文本_5_0"/>
    <w:basedOn w:val="151"/>
    <w:link w:val="149"/>
    <w:qFormat/>
    <w:uiPriority w:val="0"/>
    <w:rPr>
      <w:rFonts w:ascii="宋体" w:hAnsi="Courier New"/>
      <w:szCs w:val="20"/>
    </w:rPr>
  </w:style>
  <w:style w:type="paragraph" w:customStyle="1" w:styleId="151">
    <w:name w:val="正文_14"/>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52">
    <w:name w:val="尾注文本 Char1"/>
    <w:qFormat/>
    <w:uiPriority w:val="99"/>
    <w:rPr>
      <w:rFonts w:ascii="Calibri" w:hAnsi="Calibri"/>
      <w:kern w:val="2"/>
      <w:sz w:val="21"/>
      <w:szCs w:val="22"/>
    </w:rPr>
  </w:style>
  <w:style w:type="character" w:customStyle="1" w:styleId="153">
    <w:name w:val="纯文本 Char_0_0_0"/>
    <w:link w:val="154"/>
    <w:qFormat/>
    <w:uiPriority w:val="0"/>
    <w:rPr>
      <w:rFonts w:ascii="宋体" w:hAnsi="Courier New"/>
      <w:kern w:val="2"/>
      <w:sz w:val="21"/>
    </w:rPr>
  </w:style>
  <w:style w:type="paragraph" w:customStyle="1" w:styleId="154">
    <w:name w:val="纯文本_6_1"/>
    <w:basedOn w:val="155"/>
    <w:link w:val="153"/>
    <w:qFormat/>
    <w:uiPriority w:val="0"/>
    <w:rPr>
      <w:rFonts w:ascii="宋体" w:hAnsi="Courier New"/>
      <w:szCs w:val="20"/>
    </w:rPr>
  </w:style>
  <w:style w:type="paragraph" w:customStyle="1" w:styleId="155">
    <w:name w:val="正文_10_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56">
    <w:name w:val="标题 Char1"/>
    <w:qFormat/>
    <w:locked/>
    <w:uiPriority w:val="0"/>
    <w:rPr>
      <w:rFonts w:ascii="Arial" w:hAnsi="Arial"/>
      <w:b/>
      <w:sz w:val="36"/>
      <w:lang w:eastAsia="en-US"/>
    </w:rPr>
  </w:style>
  <w:style w:type="character" w:customStyle="1" w:styleId="157">
    <w:name w:val="标题 Char2"/>
    <w:qFormat/>
    <w:uiPriority w:val="0"/>
    <w:rPr>
      <w:rFonts w:ascii="Cambria" w:hAnsi="Cambria" w:eastAsia="宋体" w:cs="Times New Roman"/>
      <w:b/>
      <w:bCs/>
      <w:sz w:val="32"/>
      <w:szCs w:val="32"/>
    </w:rPr>
  </w:style>
  <w:style w:type="character" w:customStyle="1" w:styleId="158">
    <w:name w:val="Char Char1_01"/>
    <w:link w:val="159"/>
    <w:qFormat/>
    <w:uiPriority w:val="0"/>
    <w:rPr>
      <w:rFonts w:ascii="Tahoma" w:hAnsi="Tahoma"/>
      <w:kern w:val="2"/>
      <w:sz w:val="24"/>
    </w:rPr>
  </w:style>
  <w:style w:type="paragraph" w:customStyle="1" w:styleId="159">
    <w:name w:val="Char_01"/>
    <w:basedOn w:val="146"/>
    <w:link w:val="158"/>
    <w:qFormat/>
    <w:uiPriority w:val="0"/>
    <w:rPr>
      <w:rFonts w:ascii="Tahoma" w:hAnsi="Tahoma"/>
      <w:sz w:val="24"/>
      <w:szCs w:val="20"/>
    </w:rPr>
  </w:style>
  <w:style w:type="character" w:customStyle="1" w:styleId="160">
    <w:name w:val="标题 3 Char_0"/>
    <w:link w:val="161"/>
    <w:qFormat/>
    <w:uiPriority w:val="0"/>
    <w:rPr>
      <w:rFonts w:ascii="仿宋_GB2312" w:eastAsia="仿宋_GB2312"/>
      <w:b/>
      <w:bCs/>
      <w:kern w:val="2"/>
      <w:sz w:val="30"/>
    </w:rPr>
  </w:style>
  <w:style w:type="paragraph" w:customStyle="1" w:styleId="161">
    <w:name w:val="标题 3_0"/>
    <w:basedOn w:val="103"/>
    <w:next w:val="162"/>
    <w:link w:val="160"/>
    <w:unhideWhenUsed/>
    <w:qFormat/>
    <w:uiPriority w:val="0"/>
    <w:pPr>
      <w:keepNext/>
      <w:keepLines/>
      <w:spacing w:before="260" w:after="260" w:line="360" w:lineRule="auto"/>
      <w:ind w:firstLine="602" w:firstLineChars="200"/>
      <w:outlineLvl w:val="2"/>
    </w:pPr>
    <w:rPr>
      <w:rFonts w:ascii="仿宋_GB2312" w:eastAsia="仿宋_GB2312"/>
      <w:b/>
      <w:bCs/>
      <w:sz w:val="30"/>
      <w:szCs w:val="20"/>
    </w:rPr>
  </w:style>
  <w:style w:type="paragraph" w:customStyle="1" w:styleId="162">
    <w:name w:val="正文缩进_0"/>
    <w:basedOn w:val="103"/>
    <w:link w:val="163"/>
    <w:unhideWhenUsed/>
    <w:qFormat/>
    <w:uiPriority w:val="0"/>
    <w:pPr>
      <w:ind w:firstLine="420"/>
    </w:pPr>
    <w:rPr>
      <w:szCs w:val="20"/>
    </w:rPr>
  </w:style>
  <w:style w:type="character" w:customStyle="1" w:styleId="163">
    <w:name w:val="正文缩进 Char_0"/>
    <w:link w:val="162"/>
    <w:qFormat/>
    <w:locked/>
    <w:uiPriority w:val="0"/>
    <w:rPr>
      <w:kern w:val="2"/>
      <w:sz w:val="21"/>
    </w:rPr>
  </w:style>
  <w:style w:type="character" w:customStyle="1" w:styleId="164">
    <w:name w:val="方案正文 Char"/>
    <w:link w:val="165"/>
    <w:qFormat/>
    <w:locked/>
    <w:uiPriority w:val="0"/>
    <w:rPr>
      <w:rFonts w:ascii="Calibri" w:hAnsi="Calibri"/>
      <w:sz w:val="24"/>
      <w:szCs w:val="24"/>
    </w:rPr>
  </w:style>
  <w:style w:type="paragraph" w:customStyle="1" w:styleId="165">
    <w:name w:val="方案正文"/>
    <w:basedOn w:val="1"/>
    <w:link w:val="164"/>
    <w:qFormat/>
    <w:uiPriority w:val="0"/>
    <w:pPr>
      <w:adjustRightInd w:val="0"/>
      <w:snapToGrid w:val="0"/>
      <w:spacing w:line="360" w:lineRule="auto"/>
      <w:ind w:firstLine="480" w:firstLineChars="200"/>
      <w:jc w:val="left"/>
    </w:pPr>
    <w:rPr>
      <w:kern w:val="0"/>
      <w:sz w:val="24"/>
      <w:szCs w:val="24"/>
    </w:rPr>
  </w:style>
  <w:style w:type="character" w:customStyle="1" w:styleId="166">
    <w:name w:val="纯文本 Char_0"/>
    <w:link w:val="167"/>
    <w:qFormat/>
    <w:uiPriority w:val="0"/>
    <w:rPr>
      <w:rFonts w:ascii="宋体" w:hAnsi="Courier New"/>
      <w:kern w:val="2"/>
      <w:sz w:val="21"/>
      <w:szCs w:val="21"/>
    </w:rPr>
  </w:style>
  <w:style w:type="paragraph" w:customStyle="1" w:styleId="167">
    <w:name w:val="纯文本_0_0"/>
    <w:basedOn w:val="168"/>
    <w:link w:val="166"/>
    <w:qFormat/>
    <w:uiPriority w:val="0"/>
    <w:rPr>
      <w:rFonts w:ascii="宋体" w:hAnsi="Courier New"/>
      <w:szCs w:val="21"/>
    </w:rPr>
  </w:style>
  <w:style w:type="paragraph" w:customStyle="1" w:styleId="16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9">
    <w:name w:val="Char Char11"/>
    <w:link w:val="170"/>
    <w:qFormat/>
    <w:uiPriority w:val="0"/>
    <w:rPr>
      <w:rFonts w:ascii="Tahoma" w:hAnsi="Tahoma" w:eastAsia="宋体"/>
      <w:kern w:val="2"/>
      <w:sz w:val="24"/>
      <w:lang w:val="en-US" w:eastAsia="zh-CN" w:bidi="ar-SA"/>
    </w:rPr>
  </w:style>
  <w:style w:type="paragraph" w:customStyle="1" w:styleId="170">
    <w:name w:val="Char1"/>
    <w:basedOn w:val="1"/>
    <w:link w:val="169"/>
    <w:qFormat/>
    <w:uiPriority w:val="0"/>
    <w:rPr>
      <w:rFonts w:ascii="Tahoma" w:hAnsi="Tahoma"/>
      <w:sz w:val="24"/>
      <w:szCs w:val="20"/>
    </w:rPr>
  </w:style>
  <w:style w:type="character" w:customStyle="1" w:styleId="171">
    <w:name w:val="纯文本 Char_0_0"/>
    <w:link w:val="172"/>
    <w:qFormat/>
    <w:uiPriority w:val="0"/>
    <w:rPr>
      <w:rFonts w:ascii="宋体" w:hAnsi="Courier New" w:eastAsia="宋体" w:cs="Times New Roman"/>
      <w:szCs w:val="20"/>
      <w:lang w:val="en-US" w:eastAsia="zh-CN"/>
    </w:rPr>
  </w:style>
  <w:style w:type="paragraph" w:customStyle="1" w:styleId="172">
    <w:name w:val="纯文本_6"/>
    <w:basedOn w:val="130"/>
    <w:link w:val="171"/>
    <w:qFormat/>
    <w:uiPriority w:val="0"/>
    <w:rPr>
      <w:rFonts w:ascii="宋体" w:hAnsi="Courier New"/>
      <w:kern w:val="0"/>
      <w:sz w:val="20"/>
      <w:szCs w:val="20"/>
    </w:rPr>
  </w:style>
  <w:style w:type="character" w:customStyle="1" w:styleId="173">
    <w:name w:val="正文首行缩进2字符2 Char"/>
    <w:link w:val="174"/>
    <w:qFormat/>
    <w:uiPriority w:val="0"/>
    <w:rPr>
      <w:rFonts w:eastAsia="仿宋"/>
      <w:kern w:val="2"/>
      <w:sz w:val="28"/>
      <w:szCs w:val="22"/>
      <w:lang w:val="zh-CN"/>
    </w:rPr>
  </w:style>
  <w:style w:type="paragraph" w:customStyle="1" w:styleId="174">
    <w:name w:val="正文首行缩进2字符2"/>
    <w:basedOn w:val="1"/>
    <w:link w:val="173"/>
    <w:qFormat/>
    <w:uiPriority w:val="0"/>
    <w:pPr>
      <w:spacing w:line="360" w:lineRule="auto"/>
      <w:ind w:firstLine="480" w:firstLineChars="200"/>
    </w:pPr>
    <w:rPr>
      <w:rFonts w:eastAsia="仿宋"/>
      <w:sz w:val="28"/>
      <w:lang w:val="zh-CN"/>
    </w:rPr>
  </w:style>
  <w:style w:type="paragraph" w:customStyle="1" w:styleId="175">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0"/>
      <w:szCs w:val="20"/>
    </w:rPr>
  </w:style>
  <w:style w:type="paragraph" w:customStyle="1" w:styleId="176">
    <w:name w:val="xl5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177">
    <w:name w:val="xl45"/>
    <w:basedOn w:val="1"/>
    <w:qFormat/>
    <w:uiPriority w:val="0"/>
    <w:pPr>
      <w:widowControl/>
      <w:pBdr>
        <w:top w:val="single" w:color="auto" w:sz="8"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宋体" w:hAnsi="宋体"/>
      <w:b/>
      <w:bCs/>
      <w:kern w:val="0"/>
      <w:sz w:val="20"/>
      <w:szCs w:val="20"/>
    </w:rPr>
  </w:style>
  <w:style w:type="paragraph" w:customStyle="1" w:styleId="178">
    <w:name w:val="xl69"/>
    <w:basedOn w:val="1"/>
    <w:qFormat/>
    <w:uiPriority w:val="0"/>
    <w:pPr>
      <w:widowControl/>
      <w:pBdr>
        <w:top w:val="single" w:color="auto" w:sz="4" w:space="0"/>
        <w:bottom w:val="single" w:color="auto" w:sz="8" w:space="0"/>
      </w:pBdr>
      <w:spacing w:before="100" w:beforeAutospacing="1" w:after="100" w:afterAutospacing="1"/>
      <w:jc w:val="left"/>
    </w:pPr>
    <w:rPr>
      <w:b/>
      <w:bCs/>
      <w:kern w:val="0"/>
      <w:sz w:val="20"/>
      <w:szCs w:val="20"/>
    </w:rPr>
  </w:style>
  <w:style w:type="paragraph" w:customStyle="1" w:styleId="179">
    <w:name w:val="正文_1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0">
    <w:name w:val="正文2"/>
    <w:basedOn w:val="1"/>
    <w:qFormat/>
    <w:uiPriority w:val="0"/>
    <w:pPr>
      <w:spacing w:before="156" w:line="360" w:lineRule="auto"/>
      <w:ind w:firstLine="510" w:firstLineChars="200"/>
    </w:pPr>
    <w:rPr>
      <w:sz w:val="24"/>
      <w:szCs w:val="20"/>
    </w:rPr>
  </w:style>
  <w:style w:type="paragraph" w:customStyle="1" w:styleId="181">
    <w:name w:val="普通(网站)_0"/>
    <w:basedOn w:val="146"/>
    <w:unhideWhenUsed/>
    <w:qFormat/>
    <w:uiPriority w:val="0"/>
    <w:pPr>
      <w:widowControl/>
      <w:spacing w:before="100" w:beforeAutospacing="1" w:after="100" w:afterAutospacing="1"/>
      <w:jc w:val="left"/>
    </w:pPr>
    <w:rPr>
      <w:rFonts w:ascii="宋体" w:hAnsi="宋体"/>
      <w:kern w:val="0"/>
      <w:sz w:val="24"/>
      <w:szCs w:val="22"/>
    </w:rPr>
  </w:style>
  <w:style w:type="paragraph" w:customStyle="1" w:styleId="182">
    <w:name w:val="样式 标题 4h4H4PIM 4Ref Heading 1rh1Heading sqlsect 1.2.3.4h..."/>
    <w:basedOn w:val="5"/>
    <w:qFormat/>
    <w:uiPriority w:val="0"/>
    <w:pPr>
      <w:keepNext/>
      <w:widowControl w:val="0"/>
      <w:spacing w:line="376" w:lineRule="auto"/>
    </w:pPr>
    <w:rPr>
      <w:bCs/>
      <w:color w:val="auto"/>
      <w:sz w:val="32"/>
      <w:szCs w:val="28"/>
    </w:rPr>
  </w:style>
  <w:style w:type="paragraph" w:customStyle="1" w:styleId="18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i/>
      <w:iCs/>
      <w:kern w:val="0"/>
      <w:sz w:val="24"/>
    </w:rPr>
  </w:style>
  <w:style w:type="paragraph" w:customStyle="1" w:styleId="184">
    <w:name w:val="页码1"/>
    <w:basedOn w:val="1"/>
    <w:next w:val="1"/>
    <w:qFormat/>
    <w:uiPriority w:val="0"/>
    <w:pPr>
      <w:widowControl/>
    </w:pPr>
    <w:rPr>
      <w:color w:val="000000"/>
      <w:szCs w:val="20"/>
    </w:rPr>
  </w:style>
  <w:style w:type="paragraph" w:customStyle="1" w:styleId="185">
    <w:name w:val="样式1"/>
    <w:basedOn w:val="2"/>
    <w:qFormat/>
    <w:uiPriority w:val="0"/>
    <w:pPr>
      <w:keepLines/>
      <w:adjustRightInd/>
      <w:snapToGrid/>
      <w:spacing w:before="260" w:after="260" w:line="416" w:lineRule="auto"/>
      <w:textAlignment w:val="auto"/>
    </w:pPr>
    <w:rPr>
      <w:rFonts w:ascii="宋体" w:hAnsi="宋体" w:eastAsia="黑体"/>
      <w:bCs/>
      <w:kern w:val="2"/>
      <w:szCs w:val="36"/>
    </w:rPr>
  </w:style>
  <w:style w:type="paragraph" w:customStyle="1" w:styleId="186">
    <w:name w:val="标题3正文"/>
    <w:basedOn w:val="1"/>
    <w:qFormat/>
    <w:uiPriority w:val="0"/>
    <w:pPr>
      <w:spacing w:line="360" w:lineRule="auto"/>
      <w:ind w:left="200" w:leftChars="200" w:firstLine="200" w:firstLineChars="200"/>
      <w:jc w:val="left"/>
    </w:pPr>
    <w:rPr>
      <w:sz w:val="24"/>
    </w:rPr>
  </w:style>
  <w:style w:type="paragraph" w:customStyle="1" w:styleId="187">
    <w:name w:val="xl5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188">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9">
    <w:name w:val="xl5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b/>
      <w:bCs/>
      <w:kern w:val="0"/>
      <w:sz w:val="22"/>
    </w:rPr>
  </w:style>
  <w:style w:type="paragraph" w:customStyle="1" w:styleId="19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color w:val="000000"/>
      <w:kern w:val="0"/>
      <w:sz w:val="20"/>
      <w:szCs w:val="20"/>
    </w:rPr>
  </w:style>
  <w:style w:type="paragraph" w:customStyle="1" w:styleId="191">
    <w:name w:val="标题 31"/>
    <w:basedOn w:val="1"/>
    <w:qFormat/>
    <w:uiPriority w:val="1"/>
    <w:pPr>
      <w:autoSpaceDE w:val="0"/>
      <w:autoSpaceDN w:val="0"/>
      <w:adjustRightInd w:val="0"/>
      <w:spacing w:before="11"/>
      <w:ind w:left="1140"/>
      <w:jc w:val="left"/>
      <w:outlineLvl w:val="2"/>
    </w:pPr>
    <w:rPr>
      <w:rFonts w:ascii="宋体" w:cs="宋体"/>
      <w:kern w:val="0"/>
      <w:sz w:val="32"/>
      <w:szCs w:val="32"/>
    </w:rPr>
  </w:style>
  <w:style w:type="paragraph" w:customStyle="1" w:styleId="192">
    <w:name w:val="xl44"/>
    <w:basedOn w:val="1"/>
    <w:qFormat/>
    <w:uiPriority w:val="0"/>
    <w:pPr>
      <w:widowControl/>
      <w:pBdr>
        <w:top w:val="single" w:color="auto" w:sz="8" w:space="0"/>
        <w:left w:val="single" w:color="auto" w:sz="8" w:space="0"/>
        <w:bottom w:val="single" w:color="auto" w:sz="4" w:space="0"/>
        <w:right w:val="single" w:color="auto" w:sz="4" w:space="0"/>
      </w:pBdr>
      <w:shd w:val="clear" w:color="auto" w:fill="C0C0C0"/>
      <w:spacing w:before="100" w:beforeAutospacing="1" w:after="100" w:afterAutospacing="1"/>
      <w:jc w:val="center"/>
    </w:pPr>
    <w:rPr>
      <w:rFonts w:ascii="宋体" w:hAnsi="宋体"/>
      <w:b/>
      <w:bCs/>
      <w:kern w:val="0"/>
      <w:sz w:val="20"/>
      <w:szCs w:val="20"/>
    </w:rPr>
  </w:style>
  <w:style w:type="paragraph" w:customStyle="1" w:styleId="19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20"/>
      <w:szCs w:val="20"/>
    </w:rPr>
  </w:style>
  <w:style w:type="paragraph" w:customStyle="1" w:styleId="19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195">
    <w:name w:val="Normal_20"/>
    <w:qFormat/>
    <w:uiPriority w:val="0"/>
    <w:rPr>
      <w:rFonts w:ascii="黑体" w:hAnsi="黑体" w:eastAsia="黑体" w:cs="Times New Roman"/>
      <w:b/>
      <w:sz w:val="32"/>
      <w:szCs w:val="24"/>
      <w:lang w:val="en-US" w:eastAsia="zh-CN" w:bidi="ar-SA"/>
    </w:rPr>
  </w:style>
  <w:style w:type="paragraph" w:customStyle="1" w:styleId="196">
    <w:name w:val="Char Char Char Char Char Char Char"/>
    <w:basedOn w:val="1"/>
    <w:qFormat/>
    <w:uiPriority w:val="0"/>
    <w:pPr>
      <w:tabs>
        <w:tab w:val="left" w:pos="432"/>
      </w:tabs>
      <w:ind w:left="432" w:hanging="432"/>
      <w:jc w:val="center"/>
    </w:pPr>
    <w:rPr>
      <w:rFonts w:ascii="仿宋_GB2312" w:hAnsi="Tahoma" w:eastAsia="仿宋_GB2312"/>
      <w:sz w:val="24"/>
    </w:rPr>
  </w:style>
  <w:style w:type="paragraph" w:customStyle="1" w:styleId="197">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000000"/>
      <w:kern w:val="0"/>
      <w:sz w:val="20"/>
      <w:szCs w:val="20"/>
    </w:rPr>
  </w:style>
  <w:style w:type="paragraph" w:customStyle="1" w:styleId="19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99">
    <w:name w:val="正文1"/>
    <w:next w:val="1"/>
    <w:qFormat/>
    <w:uiPriority w:val="0"/>
    <w:rPr>
      <w:rFonts w:ascii="Times New Roman" w:hAnsi="Times New Roman" w:eastAsia="Times New Roman" w:cs="Times New Roman"/>
      <w:sz w:val="24"/>
      <w:szCs w:val="24"/>
      <w:lang w:val="en-US" w:eastAsia="zh-CN" w:bidi="ar-SA"/>
    </w:rPr>
  </w:style>
  <w:style w:type="paragraph" w:customStyle="1" w:styleId="200">
    <w:name w:val="Char Char Char Char"/>
    <w:basedOn w:val="1"/>
    <w:qFormat/>
    <w:uiPriority w:val="0"/>
    <w:pPr>
      <w:adjustRightInd w:val="0"/>
      <w:spacing w:line="360" w:lineRule="auto"/>
    </w:pPr>
    <w:rPr>
      <w:kern w:val="0"/>
      <w:sz w:val="24"/>
      <w:szCs w:val="20"/>
    </w:rPr>
  </w:style>
  <w:style w:type="paragraph" w:customStyle="1" w:styleId="201">
    <w:name w:val="xl78"/>
    <w:basedOn w:val="1"/>
    <w:qFormat/>
    <w:uiPriority w:val="0"/>
    <w:pPr>
      <w:widowControl/>
      <w:pBdr>
        <w:top w:val="single" w:color="auto" w:sz="4" w:space="0"/>
        <w:bottom w:val="double" w:color="auto" w:sz="6" w:space="0"/>
      </w:pBdr>
      <w:spacing w:before="100" w:beforeAutospacing="1" w:after="100" w:afterAutospacing="1"/>
      <w:jc w:val="left"/>
    </w:pPr>
    <w:rPr>
      <w:rFonts w:ascii="宋体" w:hAnsi="宋体"/>
      <w:b/>
      <w:bCs/>
      <w:kern w:val="0"/>
      <w:sz w:val="20"/>
      <w:szCs w:val="20"/>
    </w:rPr>
  </w:style>
  <w:style w:type="paragraph" w:customStyle="1" w:styleId="202">
    <w:name w:val="普通(网站)_0_0"/>
    <w:basedOn w:val="203"/>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203">
    <w:name w:val="正文_1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4">
    <w:name w:val="正文缩进1"/>
    <w:basedOn w:val="1"/>
    <w:qFormat/>
    <w:uiPriority w:val="0"/>
    <w:pPr>
      <w:spacing w:line="300" w:lineRule="auto"/>
      <w:ind w:firstLine="425"/>
    </w:pPr>
    <w:rPr>
      <w:szCs w:val="20"/>
    </w:rPr>
  </w:style>
  <w:style w:type="paragraph" w:customStyle="1" w:styleId="205">
    <w:name w:val="xl4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b/>
      <w:bCs/>
      <w:kern w:val="0"/>
      <w:sz w:val="20"/>
      <w:szCs w:val="20"/>
    </w:rPr>
  </w:style>
  <w:style w:type="paragraph" w:customStyle="1" w:styleId="206">
    <w:name w:val="tabletext"/>
    <w:basedOn w:val="1"/>
    <w:qFormat/>
    <w:uiPriority w:val="0"/>
    <w:pPr>
      <w:widowControl/>
      <w:spacing w:before="100" w:beforeAutospacing="1" w:after="100" w:afterAutospacing="1"/>
      <w:jc w:val="left"/>
    </w:pPr>
    <w:rPr>
      <w:rFonts w:ascii="宋体" w:hAnsi="宋体"/>
      <w:kern w:val="0"/>
      <w:sz w:val="24"/>
    </w:rPr>
  </w:style>
  <w:style w:type="paragraph" w:customStyle="1" w:styleId="207">
    <w:name w:val="xl77"/>
    <w:basedOn w:val="1"/>
    <w:qFormat/>
    <w:uiPriority w:val="0"/>
    <w:pPr>
      <w:widowControl/>
      <w:pBdr>
        <w:top w:val="single" w:color="auto" w:sz="4" w:space="0"/>
        <w:left w:val="single" w:color="auto" w:sz="4" w:space="0"/>
        <w:bottom w:val="double" w:color="auto" w:sz="6" w:space="0"/>
      </w:pBdr>
      <w:spacing w:before="100" w:beforeAutospacing="1" w:after="100" w:afterAutospacing="1"/>
      <w:jc w:val="left"/>
    </w:pPr>
    <w:rPr>
      <w:rFonts w:ascii="宋体" w:hAnsi="宋体"/>
      <w:b/>
      <w:bCs/>
      <w:kern w:val="0"/>
      <w:sz w:val="20"/>
      <w:szCs w:val="20"/>
    </w:rPr>
  </w:style>
  <w:style w:type="paragraph" w:customStyle="1" w:styleId="208">
    <w:name w:val="标题 11"/>
    <w:basedOn w:val="1"/>
    <w:qFormat/>
    <w:uiPriority w:val="1"/>
    <w:pPr>
      <w:autoSpaceDE w:val="0"/>
      <w:autoSpaceDN w:val="0"/>
      <w:adjustRightInd w:val="0"/>
      <w:spacing w:line="513" w:lineRule="exact"/>
      <w:ind w:left="1958"/>
      <w:jc w:val="left"/>
      <w:outlineLvl w:val="0"/>
    </w:pPr>
    <w:rPr>
      <w:rFonts w:ascii="新宋体" w:eastAsia="新宋体" w:cs="新宋体"/>
      <w:b/>
      <w:bCs/>
      <w:kern w:val="0"/>
      <w:sz w:val="44"/>
      <w:szCs w:val="44"/>
    </w:rPr>
  </w:style>
  <w:style w:type="paragraph" w:customStyle="1" w:styleId="209">
    <w:name w:val="Normal_14"/>
    <w:qFormat/>
    <w:uiPriority w:val="0"/>
    <w:rPr>
      <w:rFonts w:ascii="黑体" w:hAnsi="黑体" w:eastAsia="黑体" w:cs="Times New Roman"/>
      <w:b/>
      <w:sz w:val="32"/>
      <w:szCs w:val="24"/>
      <w:lang w:val="en-US" w:eastAsia="zh-CN" w:bidi="ar-SA"/>
    </w:rPr>
  </w:style>
  <w:style w:type="paragraph" w:customStyle="1" w:styleId="210">
    <w:name w:val="Normal_4"/>
    <w:qFormat/>
    <w:uiPriority w:val="0"/>
    <w:rPr>
      <w:rFonts w:ascii="黑体" w:hAnsi="黑体" w:eastAsia="黑体" w:cs="Times New Roman"/>
      <w:b/>
      <w:sz w:val="32"/>
      <w:szCs w:val="24"/>
      <w:lang w:val="en-US" w:eastAsia="zh-CN" w:bidi="ar-SA"/>
    </w:rPr>
  </w:style>
  <w:style w:type="paragraph" w:customStyle="1" w:styleId="211">
    <w:name w:val="xl83"/>
    <w:basedOn w:val="1"/>
    <w:qFormat/>
    <w:uiPriority w:val="0"/>
    <w:pPr>
      <w:widowControl/>
      <w:pBdr>
        <w:top w:val="single" w:color="auto" w:sz="4" w:space="0"/>
        <w:bottom w:val="single" w:color="auto" w:sz="4" w:space="0"/>
      </w:pBdr>
      <w:spacing w:before="100" w:beforeAutospacing="1" w:after="100" w:afterAutospacing="1"/>
      <w:jc w:val="left"/>
    </w:pPr>
    <w:rPr>
      <w:b/>
      <w:bCs/>
      <w:kern w:val="0"/>
      <w:sz w:val="20"/>
      <w:szCs w:val="20"/>
    </w:rPr>
  </w:style>
  <w:style w:type="paragraph" w:customStyle="1" w:styleId="212">
    <w:name w:val="Table Paragraph"/>
    <w:basedOn w:val="1"/>
    <w:qFormat/>
    <w:uiPriority w:val="1"/>
    <w:pPr>
      <w:autoSpaceDE w:val="0"/>
      <w:autoSpaceDN w:val="0"/>
      <w:adjustRightInd w:val="0"/>
      <w:jc w:val="left"/>
    </w:pPr>
    <w:rPr>
      <w:rFonts w:ascii="仿宋" w:eastAsia="仿宋" w:cs="仿宋"/>
      <w:kern w:val="0"/>
      <w:sz w:val="24"/>
      <w:szCs w:val="24"/>
    </w:rPr>
  </w:style>
  <w:style w:type="paragraph" w:customStyle="1" w:styleId="213">
    <w:name w:val="xl46"/>
    <w:basedOn w:val="1"/>
    <w:qFormat/>
    <w:uiPriority w:val="0"/>
    <w:pPr>
      <w:widowControl/>
      <w:pBdr>
        <w:top w:val="single" w:color="auto" w:sz="8" w:space="0"/>
        <w:left w:val="single" w:color="auto" w:sz="4" w:space="0"/>
        <w:bottom w:val="single" w:color="auto" w:sz="4" w:space="0"/>
        <w:right w:val="single" w:color="auto" w:sz="8" w:space="0"/>
      </w:pBdr>
      <w:shd w:val="clear" w:color="auto" w:fill="C0C0C0"/>
      <w:spacing w:before="100" w:beforeAutospacing="1" w:after="100" w:afterAutospacing="1"/>
      <w:jc w:val="center"/>
    </w:pPr>
    <w:rPr>
      <w:rFonts w:ascii="宋体" w:hAnsi="宋体"/>
      <w:b/>
      <w:bCs/>
      <w:kern w:val="0"/>
      <w:sz w:val="20"/>
      <w:szCs w:val="20"/>
    </w:rPr>
  </w:style>
  <w:style w:type="paragraph" w:customStyle="1" w:styleId="214">
    <w:name w:val="Char Char Char Char11"/>
    <w:basedOn w:val="1"/>
    <w:qFormat/>
    <w:uiPriority w:val="0"/>
    <w:rPr>
      <w:rFonts w:ascii="Tahoma" w:hAnsi="Tahoma"/>
      <w:sz w:val="24"/>
      <w:szCs w:val="20"/>
    </w:rPr>
  </w:style>
  <w:style w:type="paragraph" w:customStyle="1" w:styleId="215">
    <w:name w:val="默认段落字体 Para Char"/>
    <w:basedOn w:val="1"/>
    <w:qFormat/>
    <w:uiPriority w:val="0"/>
    <w:rPr>
      <w:rFonts w:ascii="Tahoma" w:hAnsi="Tahoma"/>
      <w:sz w:val="24"/>
      <w:szCs w:val="20"/>
    </w:rPr>
  </w:style>
  <w:style w:type="paragraph" w:customStyle="1" w:styleId="216">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b/>
      <w:bCs/>
      <w:kern w:val="0"/>
      <w:sz w:val="20"/>
      <w:szCs w:val="20"/>
    </w:rPr>
  </w:style>
  <w:style w:type="paragraph" w:customStyle="1" w:styleId="217">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21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19">
    <w:name w:val="标题1"/>
    <w:basedOn w:val="1"/>
    <w:qFormat/>
    <w:uiPriority w:val="0"/>
    <w:pPr>
      <w:tabs>
        <w:tab w:val="left" w:pos="2625"/>
      </w:tabs>
      <w:snapToGrid w:val="0"/>
      <w:spacing w:line="360" w:lineRule="auto"/>
      <w:jc w:val="center"/>
      <w:outlineLvl w:val="0"/>
    </w:pPr>
    <w:rPr>
      <w:rFonts w:ascii="宋体" w:hAnsi="Courier New"/>
      <w:b/>
      <w:color w:val="000000"/>
      <w:sz w:val="44"/>
      <w:szCs w:val="20"/>
    </w:rPr>
  </w:style>
  <w:style w:type="paragraph" w:customStyle="1" w:styleId="220">
    <w:name w:val="Normal_22"/>
    <w:qFormat/>
    <w:uiPriority w:val="0"/>
    <w:pPr>
      <w:widowControl w:val="0"/>
      <w:jc w:val="both"/>
    </w:pPr>
    <w:rPr>
      <w:rFonts w:ascii="Times New Roman" w:hAnsi="Times New Roman" w:eastAsia="Times New Roman" w:cs="Times New Roman"/>
      <w:lang w:val="en-US" w:eastAsia="zh-CN" w:bidi="ar-SA"/>
    </w:rPr>
  </w:style>
  <w:style w:type="paragraph" w:customStyle="1" w:styleId="221">
    <w:name w:val="普通(网站)_2"/>
    <w:basedOn w:val="188"/>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222">
    <w:name w:val="xl4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kern w:val="0"/>
      <w:sz w:val="20"/>
      <w:szCs w:val="20"/>
    </w:rPr>
  </w:style>
  <w:style w:type="paragraph" w:customStyle="1" w:styleId="223">
    <w:name w:val="p18"/>
    <w:basedOn w:val="1"/>
    <w:qFormat/>
    <w:uiPriority w:val="0"/>
    <w:pPr>
      <w:widowControl/>
      <w:spacing w:line="748" w:lineRule="atLeast"/>
      <w:ind w:left="-527" w:firstLine="527"/>
    </w:pPr>
    <w:rPr>
      <w:rFonts w:ascii="宋体" w:hAnsi="宋体" w:cs="宋体"/>
      <w:kern w:val="0"/>
      <w:sz w:val="24"/>
      <w:szCs w:val="24"/>
    </w:rPr>
  </w:style>
  <w:style w:type="paragraph" w:customStyle="1" w:styleId="224">
    <w:name w:val="样式 标题 3h3H3sect1.2.3 + 五号 段前: 6 磅 段后: 6 磅 行距: 单倍行距"/>
    <w:basedOn w:val="4"/>
    <w:qFormat/>
    <w:uiPriority w:val="0"/>
    <w:pPr>
      <w:tabs>
        <w:tab w:val="left" w:pos="1260"/>
      </w:tabs>
      <w:adjustRightInd w:val="0"/>
      <w:spacing w:before="120" w:after="120" w:line="240" w:lineRule="auto"/>
      <w:ind w:left="1260" w:hanging="420" w:firstLineChars="0"/>
      <w:jc w:val="left"/>
      <w:textAlignment w:val="baseline"/>
    </w:pPr>
    <w:rPr>
      <w:rFonts w:ascii="Times New Roman" w:eastAsia="宋体"/>
      <w:kern w:val="0"/>
      <w:sz w:val="21"/>
    </w:rPr>
  </w:style>
  <w:style w:type="paragraph" w:customStyle="1" w:styleId="225">
    <w:name w:val="Normal_15"/>
    <w:qFormat/>
    <w:uiPriority w:val="0"/>
    <w:rPr>
      <w:rFonts w:ascii="黑体" w:hAnsi="黑体" w:eastAsia="黑体" w:cs="Times New Roman"/>
      <w:b/>
      <w:sz w:val="32"/>
      <w:szCs w:val="24"/>
      <w:lang w:val="en-US" w:eastAsia="zh-CN" w:bidi="ar-SA"/>
    </w:rPr>
  </w:style>
  <w:style w:type="paragraph" w:customStyle="1" w:styleId="226">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7">
    <w:name w:val="正文_18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8">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9">
    <w:name w:val="p20"/>
    <w:basedOn w:val="1"/>
    <w:qFormat/>
    <w:uiPriority w:val="0"/>
    <w:pPr>
      <w:widowControl/>
    </w:pPr>
    <w:rPr>
      <w:rFonts w:ascii="宋体" w:hAnsi="宋体" w:cs="宋体"/>
      <w:kern w:val="0"/>
      <w:szCs w:val="21"/>
    </w:rPr>
  </w:style>
  <w:style w:type="paragraph" w:styleId="230">
    <w:name w:val="No Spacing"/>
    <w:qFormat/>
    <w:uiPriority w:val="1"/>
    <w:pPr>
      <w:widowControl w:val="0"/>
      <w:adjustRightInd w:val="0"/>
      <w:jc w:val="both"/>
    </w:pPr>
    <w:rPr>
      <w:rFonts w:ascii="Times New Roman" w:hAnsi="Times New Roman" w:eastAsia="宋体" w:cs="Times New Roman"/>
      <w:kern w:val="2"/>
      <w:sz w:val="21"/>
      <w:szCs w:val="21"/>
      <w:lang w:val="en-US" w:eastAsia="zh-CN" w:bidi="ar-SA"/>
    </w:rPr>
  </w:style>
  <w:style w:type="paragraph" w:customStyle="1" w:styleId="231">
    <w:name w:val="索引 11"/>
    <w:basedOn w:val="1"/>
    <w:next w:val="1"/>
    <w:qFormat/>
    <w:uiPriority w:val="0"/>
    <w:pPr>
      <w:spacing w:line="360" w:lineRule="auto"/>
    </w:pPr>
    <w:rPr>
      <w:rFonts w:ascii="仿宋_GB2312" w:eastAsia="仿宋_GB2312"/>
      <w:sz w:val="24"/>
      <w:szCs w:val="20"/>
    </w:rPr>
  </w:style>
  <w:style w:type="paragraph" w:customStyle="1" w:styleId="232">
    <w:name w:val="xl58"/>
    <w:basedOn w:val="1"/>
    <w:qFormat/>
    <w:uiPriority w:val="0"/>
    <w:pPr>
      <w:widowControl/>
      <w:pBdr>
        <w:left w:val="single" w:color="auto" w:sz="4" w:space="0"/>
        <w:bottom w:val="single" w:color="auto" w:sz="4" w:space="0"/>
        <w:right w:val="single" w:color="auto" w:sz="8" w:space="0"/>
      </w:pBdr>
      <w:spacing w:before="100" w:beforeAutospacing="1" w:after="100" w:afterAutospacing="1"/>
      <w:jc w:val="left"/>
    </w:pPr>
    <w:rPr>
      <w:b/>
      <w:bCs/>
      <w:kern w:val="0"/>
      <w:sz w:val="20"/>
      <w:szCs w:val="20"/>
    </w:rPr>
  </w:style>
  <w:style w:type="paragraph" w:customStyle="1" w:styleId="233">
    <w:name w:val="标题2正文"/>
    <w:basedOn w:val="1"/>
    <w:qFormat/>
    <w:uiPriority w:val="0"/>
    <w:pPr>
      <w:spacing w:line="360" w:lineRule="auto"/>
      <w:ind w:firstLine="200" w:firstLineChars="200"/>
      <w:jc w:val="left"/>
    </w:pPr>
    <w:rPr>
      <w:sz w:val="24"/>
    </w:rPr>
  </w:style>
  <w:style w:type="paragraph" w:customStyle="1" w:styleId="234">
    <w:name w:val="样式 标题 31.1.1标题 333rd levelBOD 0Bold HeadCTH3H31Heading ...1"/>
    <w:basedOn w:val="4"/>
    <w:qFormat/>
    <w:uiPriority w:val="0"/>
    <w:pPr>
      <w:spacing w:before="0" w:after="0"/>
      <w:ind w:firstLine="0" w:firstLineChars="0"/>
    </w:pPr>
    <w:rPr>
      <w:rFonts w:hAnsi="宋体" w:cs="宋体"/>
      <w:sz w:val="24"/>
    </w:rPr>
  </w:style>
  <w:style w:type="paragraph" w:customStyle="1" w:styleId="235">
    <w:name w:val="p19"/>
    <w:basedOn w:val="1"/>
    <w:qFormat/>
    <w:uiPriority w:val="0"/>
    <w:pPr>
      <w:widowControl/>
    </w:pPr>
    <w:rPr>
      <w:kern w:val="0"/>
      <w:szCs w:val="21"/>
    </w:rPr>
  </w:style>
  <w:style w:type="paragraph" w:customStyle="1" w:styleId="236">
    <w:name w:val="pa-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37">
    <w:name w:val="xl65"/>
    <w:basedOn w:val="1"/>
    <w:qFormat/>
    <w:uiPriority w:val="0"/>
    <w:pPr>
      <w:widowControl/>
      <w:pBdr>
        <w:top w:val="single" w:color="auto" w:sz="4" w:space="0"/>
        <w:left w:val="single" w:color="auto" w:sz="8" w:space="0"/>
        <w:bottom w:val="single" w:color="auto" w:sz="4" w:space="0"/>
      </w:pBdr>
      <w:spacing w:before="100" w:beforeAutospacing="1" w:after="100" w:afterAutospacing="1"/>
      <w:jc w:val="center"/>
    </w:pPr>
    <w:rPr>
      <w:rFonts w:ascii="宋体" w:hAnsi="宋体"/>
      <w:b/>
      <w:bCs/>
      <w:i/>
      <w:iCs/>
      <w:kern w:val="0"/>
      <w:sz w:val="24"/>
    </w:rPr>
  </w:style>
  <w:style w:type="paragraph" w:customStyle="1" w:styleId="238">
    <w:name w:val="正文（首行缩进两字）"/>
    <w:basedOn w:val="1"/>
    <w:next w:val="1"/>
    <w:qFormat/>
    <w:uiPriority w:val="0"/>
    <w:pPr>
      <w:widowControl/>
      <w:ind w:firstLine="420"/>
    </w:pPr>
    <w:rPr>
      <w:rFonts w:ascii="宋体"/>
      <w:color w:val="000000"/>
      <w:szCs w:val="20"/>
    </w:rPr>
  </w:style>
  <w:style w:type="paragraph" w:customStyle="1" w:styleId="239">
    <w:name w:val="1 Char Char Char Char"/>
    <w:basedOn w:val="1"/>
    <w:qFormat/>
    <w:uiPriority w:val="0"/>
    <w:pPr>
      <w:jc w:val="center"/>
    </w:pPr>
    <w:rPr>
      <w:rFonts w:ascii="Tahoma" w:hAnsi="Tahoma"/>
      <w:sz w:val="24"/>
      <w:szCs w:val="20"/>
    </w:rPr>
  </w:style>
  <w:style w:type="paragraph" w:customStyle="1" w:styleId="240">
    <w:name w:val="纯文本1"/>
    <w:basedOn w:val="1"/>
    <w:qFormat/>
    <w:uiPriority w:val="0"/>
    <w:pPr>
      <w:adjustRightInd w:val="0"/>
      <w:jc w:val="left"/>
      <w:textAlignment w:val="baseline"/>
    </w:pPr>
    <w:rPr>
      <w:rFonts w:ascii="宋体" w:hAnsi="Courier New"/>
      <w:sz w:val="24"/>
      <w:szCs w:val="20"/>
    </w:rPr>
  </w:style>
  <w:style w:type="paragraph" w:customStyle="1" w:styleId="241">
    <w:name w:val="Body Text 21"/>
    <w:basedOn w:val="1"/>
    <w:next w:val="1"/>
    <w:qFormat/>
    <w:uiPriority w:val="0"/>
    <w:pPr>
      <w:widowControl/>
      <w:spacing w:line="300" w:lineRule="auto"/>
      <w:jc w:val="center"/>
    </w:pPr>
    <w:rPr>
      <w:rFonts w:ascii="宋体"/>
      <w:color w:val="000000"/>
      <w:sz w:val="24"/>
      <w:szCs w:val="20"/>
    </w:rPr>
  </w:style>
  <w:style w:type="paragraph" w:customStyle="1" w:styleId="242">
    <w:name w:val="font9"/>
    <w:basedOn w:val="1"/>
    <w:qFormat/>
    <w:uiPriority w:val="0"/>
    <w:pPr>
      <w:widowControl/>
      <w:spacing w:before="100" w:beforeAutospacing="1" w:after="100" w:afterAutospacing="1"/>
      <w:jc w:val="left"/>
    </w:pPr>
    <w:rPr>
      <w:color w:val="000000"/>
      <w:kern w:val="0"/>
      <w:sz w:val="20"/>
      <w:szCs w:val="20"/>
    </w:rPr>
  </w:style>
  <w:style w:type="paragraph" w:customStyle="1" w:styleId="243">
    <w:name w:val="普通(网站)_1"/>
    <w:basedOn w:val="103"/>
    <w:unhideWhenUsed/>
    <w:qFormat/>
    <w:uiPriority w:val="0"/>
    <w:pPr>
      <w:widowControl/>
      <w:spacing w:before="100" w:beforeAutospacing="1" w:after="100" w:afterAutospacing="1"/>
      <w:jc w:val="left"/>
    </w:pPr>
    <w:rPr>
      <w:rFonts w:ascii="宋体" w:hAnsi="宋体"/>
      <w:kern w:val="0"/>
      <w:sz w:val="24"/>
      <w:szCs w:val="22"/>
    </w:rPr>
  </w:style>
  <w:style w:type="paragraph" w:customStyle="1" w:styleId="244">
    <w:name w:val="font7"/>
    <w:basedOn w:val="1"/>
    <w:qFormat/>
    <w:uiPriority w:val="0"/>
    <w:pPr>
      <w:widowControl/>
      <w:spacing w:before="100" w:beforeAutospacing="1" w:after="100" w:afterAutospacing="1"/>
      <w:jc w:val="left"/>
    </w:pPr>
    <w:rPr>
      <w:rFonts w:hint="eastAsia" w:ascii="宋体" w:hAnsi="宋体"/>
      <w:color w:val="000000"/>
      <w:kern w:val="0"/>
      <w:sz w:val="20"/>
      <w:szCs w:val="20"/>
    </w:rPr>
  </w:style>
  <w:style w:type="paragraph" w:customStyle="1" w:styleId="24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246">
    <w:name w:val="xl81"/>
    <w:basedOn w:val="1"/>
    <w:qFormat/>
    <w:uiPriority w:val="0"/>
    <w:pPr>
      <w:widowControl/>
      <w:pBdr>
        <w:bottom w:val="single" w:color="auto" w:sz="4" w:space="0"/>
      </w:pBdr>
      <w:spacing w:before="100" w:beforeAutospacing="1" w:after="100" w:afterAutospacing="1"/>
      <w:jc w:val="left"/>
    </w:pPr>
    <w:rPr>
      <w:b/>
      <w:bCs/>
      <w:kern w:val="0"/>
      <w:sz w:val="20"/>
      <w:szCs w:val="20"/>
    </w:rPr>
  </w:style>
  <w:style w:type="paragraph" w:customStyle="1" w:styleId="247">
    <w:name w:val="Normal_9"/>
    <w:qFormat/>
    <w:uiPriority w:val="0"/>
    <w:rPr>
      <w:rFonts w:ascii="黑体" w:hAnsi="黑体" w:eastAsia="黑体" w:cs="Times New Roman"/>
      <w:b/>
      <w:sz w:val="32"/>
      <w:szCs w:val="24"/>
      <w:lang w:val="en-US" w:eastAsia="zh-CN" w:bidi="ar-SA"/>
    </w:rPr>
  </w:style>
  <w:style w:type="paragraph" w:customStyle="1" w:styleId="248">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4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25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olor w:val="000000"/>
      <w:kern w:val="0"/>
      <w:sz w:val="20"/>
      <w:szCs w:val="20"/>
    </w:rPr>
  </w:style>
  <w:style w:type="paragraph" w:customStyle="1" w:styleId="251">
    <w:name w:val="正文3"/>
    <w:qFormat/>
    <w:uiPriority w:val="0"/>
    <w:rPr>
      <w:rFonts w:ascii="Times New Roman" w:hAnsi="Times New Roman" w:eastAsia="Times New Roman" w:cs="Times New Roman"/>
      <w:sz w:val="24"/>
      <w:szCs w:val="24"/>
      <w:lang w:val="en-US" w:eastAsia="zh-CN" w:bidi="ar-SA"/>
    </w:rPr>
  </w:style>
  <w:style w:type="paragraph" w:customStyle="1" w:styleId="252">
    <w:name w:val="Char Char Char Char Char Char Char Char Char Char"/>
    <w:basedOn w:val="17"/>
    <w:qFormat/>
    <w:uiPriority w:val="0"/>
    <w:rPr>
      <w:szCs w:val="20"/>
    </w:rPr>
  </w:style>
  <w:style w:type="paragraph" w:customStyle="1" w:styleId="253">
    <w:name w:val="xl64"/>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25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color w:val="000000"/>
      <w:kern w:val="0"/>
      <w:sz w:val="20"/>
      <w:szCs w:val="20"/>
    </w:rPr>
  </w:style>
  <w:style w:type="paragraph" w:customStyle="1" w:styleId="255">
    <w:name w:val="正文_2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6">
    <w:name w:val="样式 标题 3Title3h33rd levelH3l3CTlevel_3PIM 33Heading 3 -..."/>
    <w:basedOn w:val="4"/>
    <w:qFormat/>
    <w:uiPriority w:val="0"/>
    <w:pPr>
      <w:spacing w:line="416" w:lineRule="auto"/>
      <w:ind w:firstLine="0" w:firstLineChars="0"/>
    </w:pPr>
    <w:rPr>
      <w:rFonts w:ascii="Times New Roman" w:eastAsia="宋体" w:cs="宋体"/>
      <w:sz w:val="36"/>
    </w:rPr>
  </w:style>
  <w:style w:type="paragraph" w:customStyle="1" w:styleId="257">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258">
    <w:name w:val="正文_8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9">
    <w:name w:val="xl7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szCs w:val="20"/>
    </w:rPr>
  </w:style>
  <w:style w:type="paragraph" w:customStyle="1" w:styleId="260">
    <w:name w:val="xl59"/>
    <w:basedOn w:val="1"/>
    <w:qFormat/>
    <w:uiPriority w:val="0"/>
    <w:pPr>
      <w:widowControl/>
      <w:pBdr>
        <w:top w:val="single" w:color="auto" w:sz="4" w:space="0"/>
        <w:left w:val="single" w:color="auto" w:sz="4" w:space="0"/>
        <w:bottom w:val="double" w:color="auto" w:sz="6" w:space="0"/>
        <w:right w:val="single" w:color="auto" w:sz="8" w:space="0"/>
      </w:pBdr>
      <w:spacing w:before="100" w:beforeAutospacing="1" w:after="100" w:afterAutospacing="1"/>
      <w:jc w:val="left"/>
    </w:pPr>
    <w:rPr>
      <w:b/>
      <w:bCs/>
      <w:kern w:val="0"/>
      <w:sz w:val="20"/>
      <w:szCs w:val="20"/>
    </w:rPr>
  </w:style>
  <w:style w:type="paragraph" w:customStyle="1" w:styleId="26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262">
    <w:name w:val="_Style 1"/>
    <w:basedOn w:val="1"/>
    <w:qFormat/>
    <w:uiPriority w:val="34"/>
    <w:pPr>
      <w:ind w:firstLine="420" w:firstLineChars="200"/>
    </w:pPr>
    <w:rPr>
      <w:rFonts w:eastAsia="仿宋_GB2312"/>
      <w:sz w:val="28"/>
      <w:szCs w:val="24"/>
    </w:rPr>
  </w:style>
  <w:style w:type="paragraph" w:customStyle="1" w:styleId="263">
    <w:name w:val="普通(网站)_1_0"/>
    <w:basedOn w:val="264"/>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264">
    <w:name w:val="正文_2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5">
    <w:name w:val="xl7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b/>
      <w:bCs/>
      <w:kern w:val="0"/>
      <w:sz w:val="20"/>
      <w:szCs w:val="20"/>
    </w:rPr>
  </w:style>
  <w:style w:type="paragraph" w:customStyle="1" w:styleId="266">
    <w:name w:val="Normal_12"/>
    <w:qFormat/>
    <w:uiPriority w:val="0"/>
    <w:rPr>
      <w:rFonts w:ascii="黑体" w:hAnsi="黑体" w:eastAsia="黑体" w:cs="Times New Roman"/>
      <w:b/>
      <w:sz w:val="32"/>
      <w:szCs w:val="24"/>
      <w:lang w:val="en-US" w:eastAsia="zh-CN" w:bidi="ar-SA"/>
    </w:rPr>
  </w:style>
  <w:style w:type="paragraph" w:customStyle="1" w:styleId="267">
    <w:name w:val="标题 41"/>
    <w:basedOn w:val="1"/>
    <w:qFormat/>
    <w:uiPriority w:val="1"/>
    <w:pPr>
      <w:autoSpaceDE w:val="0"/>
      <w:autoSpaceDN w:val="0"/>
      <w:adjustRightInd w:val="0"/>
      <w:ind w:left="1245" w:hanging="525"/>
      <w:jc w:val="left"/>
      <w:outlineLvl w:val="3"/>
    </w:pPr>
    <w:rPr>
      <w:rFonts w:ascii="黑体" w:eastAsia="黑体" w:cs="黑体"/>
      <w:b/>
      <w:bCs/>
      <w:kern w:val="0"/>
      <w:sz w:val="30"/>
      <w:szCs w:val="30"/>
    </w:rPr>
  </w:style>
  <w:style w:type="paragraph" w:customStyle="1" w:styleId="268">
    <w:name w:val="纯文本_6_0"/>
    <w:basedOn w:val="110"/>
    <w:qFormat/>
    <w:uiPriority w:val="0"/>
    <w:rPr>
      <w:rFonts w:ascii="宋体" w:hAnsi="Courier New"/>
      <w:szCs w:val="20"/>
    </w:rPr>
  </w:style>
  <w:style w:type="paragraph" w:customStyle="1" w:styleId="269">
    <w:name w:val="默认段落字体 Para Char Char Char Char Char Char Char Char Char Char Char Char Char"/>
    <w:basedOn w:val="17"/>
    <w:qFormat/>
    <w:uiPriority w:val="0"/>
    <w:pPr>
      <w:shd w:val="clear" w:color="auto" w:fill="auto"/>
      <w:spacing w:line="300" w:lineRule="auto"/>
      <w:ind w:left="840" w:leftChars="400"/>
    </w:pPr>
  </w:style>
  <w:style w:type="paragraph" w:customStyle="1" w:styleId="270">
    <w:name w:val="xl80"/>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b/>
      <w:bCs/>
      <w:kern w:val="0"/>
      <w:sz w:val="20"/>
      <w:szCs w:val="20"/>
    </w:rPr>
  </w:style>
  <w:style w:type="paragraph" w:customStyle="1" w:styleId="271">
    <w:name w:val="_Style 2"/>
    <w:basedOn w:val="1"/>
    <w:qFormat/>
    <w:uiPriority w:val="0"/>
    <w:pPr>
      <w:ind w:firstLine="420" w:firstLineChars="200"/>
    </w:pPr>
  </w:style>
  <w:style w:type="paragraph" w:customStyle="1" w:styleId="272">
    <w:name w:val="正文段"/>
    <w:basedOn w:val="1"/>
    <w:qFormat/>
    <w:uiPriority w:val="0"/>
    <w:pPr>
      <w:widowControl/>
      <w:snapToGrid w:val="0"/>
      <w:spacing w:after="50" w:afterLines="50"/>
      <w:ind w:firstLine="200" w:firstLineChars="200"/>
    </w:pPr>
    <w:rPr>
      <w:kern w:val="0"/>
      <w:sz w:val="24"/>
      <w:szCs w:val="20"/>
    </w:rPr>
  </w:style>
  <w:style w:type="paragraph" w:customStyle="1" w:styleId="273">
    <w:name w:val="标书正文格式 Char Char Char Char"/>
    <w:qFormat/>
    <w:uiPriority w:val="0"/>
    <w:pPr>
      <w:spacing w:line="360" w:lineRule="auto"/>
      <w:ind w:firstLine="200" w:firstLineChars="200"/>
    </w:pPr>
    <w:rPr>
      <w:rFonts w:ascii="Times New Roman" w:hAnsi="Times New Roman" w:eastAsia="仿宋_GB2312" w:cs="Times New Roman"/>
      <w:kern w:val="2"/>
      <w:sz w:val="30"/>
      <w:szCs w:val="24"/>
      <w:lang w:val="en-US" w:eastAsia="zh-CN" w:bidi="ar-SA"/>
    </w:rPr>
  </w:style>
  <w:style w:type="paragraph" w:customStyle="1" w:styleId="274">
    <w:name w:val="标题 21"/>
    <w:basedOn w:val="1"/>
    <w:qFormat/>
    <w:uiPriority w:val="1"/>
    <w:pPr>
      <w:autoSpaceDE w:val="0"/>
      <w:autoSpaceDN w:val="0"/>
      <w:adjustRightInd w:val="0"/>
      <w:ind w:left="120"/>
      <w:jc w:val="left"/>
      <w:outlineLvl w:val="1"/>
    </w:pPr>
    <w:rPr>
      <w:rFonts w:ascii="黑体" w:eastAsia="黑体" w:cs="黑体"/>
      <w:b/>
      <w:bCs/>
      <w:kern w:val="0"/>
      <w:sz w:val="32"/>
      <w:szCs w:val="32"/>
    </w:rPr>
  </w:style>
  <w:style w:type="paragraph" w:customStyle="1" w:styleId="275">
    <w:name w:val="样式 标题 3列表编号3h33rd level + 段前: 1 行"/>
    <w:basedOn w:val="4"/>
    <w:qFormat/>
    <w:uiPriority w:val="0"/>
    <w:pPr>
      <w:keepNext w:val="0"/>
      <w:keepLines w:val="0"/>
      <w:adjustRightInd w:val="0"/>
      <w:spacing w:before="312" w:after="156" w:afterLines="50"/>
      <w:ind w:firstLine="0" w:firstLineChars="0"/>
    </w:pPr>
    <w:rPr>
      <w:rFonts w:ascii="宋体" w:eastAsia="宋体"/>
      <w:bCs w:val="0"/>
      <w:kern w:val="0"/>
      <w:sz w:val="21"/>
    </w:rPr>
  </w:style>
  <w:style w:type="paragraph" w:customStyle="1" w:styleId="276">
    <w:name w:val="Normal_5"/>
    <w:qFormat/>
    <w:uiPriority w:val="0"/>
    <w:rPr>
      <w:rFonts w:ascii="黑体" w:hAnsi="黑体" w:eastAsia="黑体" w:cs="Times New Roman"/>
      <w:b/>
      <w:sz w:val="32"/>
      <w:szCs w:val="24"/>
      <w:lang w:val="en-US" w:eastAsia="zh-CN" w:bidi="ar-SA"/>
    </w:rPr>
  </w:style>
  <w:style w:type="paragraph" w:customStyle="1" w:styleId="277">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b/>
      <w:bCs/>
      <w:kern w:val="0"/>
      <w:sz w:val="20"/>
      <w:szCs w:val="20"/>
    </w:rPr>
  </w:style>
  <w:style w:type="paragraph" w:customStyle="1" w:styleId="278">
    <w:name w:val="Normal_17"/>
    <w:qFormat/>
    <w:uiPriority w:val="0"/>
    <w:rPr>
      <w:rFonts w:ascii="黑体" w:hAnsi="黑体" w:eastAsia="黑体" w:cs="Times New Roman"/>
      <w:b/>
      <w:sz w:val="32"/>
      <w:szCs w:val="24"/>
      <w:lang w:val="en-US" w:eastAsia="zh-CN" w:bidi="ar-SA"/>
    </w:rPr>
  </w:style>
  <w:style w:type="paragraph" w:customStyle="1" w:styleId="279">
    <w:name w:val="def正文"/>
    <w:basedOn w:val="20"/>
    <w:qFormat/>
    <w:uiPriority w:val="0"/>
    <w:pPr>
      <w:widowControl/>
      <w:tabs>
        <w:tab w:val="clear" w:pos="208"/>
      </w:tabs>
      <w:spacing w:line="360" w:lineRule="auto"/>
      <w:ind w:firstLine="510"/>
      <w:jc w:val="left"/>
    </w:pPr>
    <w:rPr>
      <w:rFonts w:ascii="Times New Roman" w:eastAsia="宋体"/>
      <w:kern w:val="0"/>
      <w:sz w:val="24"/>
    </w:rPr>
  </w:style>
  <w:style w:type="paragraph" w:customStyle="1" w:styleId="280">
    <w:name w:val="xl6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b/>
      <w:bCs/>
      <w:i/>
      <w:iCs/>
      <w:kern w:val="0"/>
      <w:sz w:val="24"/>
    </w:rPr>
  </w:style>
  <w:style w:type="paragraph" w:customStyle="1" w:styleId="28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28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0"/>
      <w:szCs w:val="20"/>
    </w:rPr>
  </w:style>
  <w:style w:type="paragraph" w:customStyle="1" w:styleId="283">
    <w:name w:val="Normal_18"/>
    <w:qFormat/>
    <w:uiPriority w:val="0"/>
    <w:rPr>
      <w:rFonts w:ascii="黑体" w:hAnsi="黑体" w:eastAsia="黑体" w:cs="Times New Roman"/>
      <w:b/>
      <w:sz w:val="32"/>
      <w:szCs w:val="24"/>
      <w:lang w:val="en-US" w:eastAsia="zh-CN" w:bidi="ar-SA"/>
    </w:rPr>
  </w:style>
  <w:style w:type="paragraph" w:customStyle="1" w:styleId="28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color w:val="000000"/>
      <w:kern w:val="0"/>
      <w:sz w:val="20"/>
      <w:szCs w:val="20"/>
    </w:rPr>
  </w:style>
  <w:style w:type="paragraph" w:customStyle="1" w:styleId="285">
    <w:name w:val="xl67"/>
    <w:basedOn w:val="1"/>
    <w:qFormat/>
    <w:uiPriority w:val="0"/>
    <w:pPr>
      <w:widowControl/>
      <w:pBdr>
        <w:top w:val="single" w:color="auto" w:sz="4" w:space="0"/>
        <w:bottom w:val="single" w:color="auto" w:sz="4" w:space="0"/>
        <w:right w:val="single" w:color="auto" w:sz="8" w:space="0"/>
      </w:pBdr>
      <w:spacing w:before="100" w:beforeAutospacing="1" w:after="100" w:afterAutospacing="1"/>
      <w:jc w:val="center"/>
    </w:pPr>
    <w:rPr>
      <w:rFonts w:ascii="宋体" w:hAnsi="宋体"/>
      <w:b/>
      <w:bCs/>
      <w:i/>
      <w:iCs/>
      <w:kern w:val="0"/>
      <w:sz w:val="24"/>
    </w:rPr>
  </w:style>
  <w:style w:type="paragraph" w:customStyle="1" w:styleId="286">
    <w:name w:val="Normal_10"/>
    <w:qFormat/>
    <w:uiPriority w:val="0"/>
    <w:rPr>
      <w:rFonts w:ascii="黑体" w:hAnsi="黑体" w:eastAsia="黑体" w:cs="Times New Roman"/>
      <w:b/>
      <w:sz w:val="32"/>
      <w:szCs w:val="24"/>
      <w:lang w:val="en-US" w:eastAsia="zh-CN" w:bidi="ar-SA"/>
    </w:rPr>
  </w:style>
  <w:style w:type="paragraph" w:customStyle="1" w:styleId="287">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288">
    <w:name w:val="Normal_11"/>
    <w:qFormat/>
    <w:uiPriority w:val="0"/>
    <w:rPr>
      <w:rFonts w:ascii="黑体" w:hAnsi="黑体" w:eastAsia="黑体" w:cs="Times New Roman"/>
      <w:b/>
      <w:sz w:val="32"/>
      <w:szCs w:val="24"/>
      <w:lang w:val="en-US" w:eastAsia="zh-CN" w:bidi="ar-SA"/>
    </w:rPr>
  </w:style>
  <w:style w:type="paragraph" w:customStyle="1" w:styleId="28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kern w:val="0"/>
      <w:sz w:val="20"/>
      <w:szCs w:val="20"/>
    </w:rPr>
  </w:style>
  <w:style w:type="paragraph" w:customStyle="1" w:styleId="290">
    <w:name w:val="xl68"/>
    <w:basedOn w:val="1"/>
    <w:qFormat/>
    <w:uiPriority w:val="0"/>
    <w:pPr>
      <w:widowControl/>
      <w:pBdr>
        <w:top w:val="single" w:color="auto" w:sz="4" w:space="0"/>
        <w:left w:val="single" w:color="auto" w:sz="4" w:space="0"/>
        <w:bottom w:val="single" w:color="auto" w:sz="8" w:space="0"/>
      </w:pBdr>
      <w:spacing w:before="100" w:beforeAutospacing="1" w:after="100" w:afterAutospacing="1"/>
      <w:jc w:val="left"/>
    </w:pPr>
    <w:rPr>
      <w:rFonts w:ascii="宋体" w:hAnsi="宋体"/>
      <w:b/>
      <w:bCs/>
      <w:kern w:val="0"/>
      <w:sz w:val="20"/>
      <w:szCs w:val="20"/>
    </w:rPr>
  </w:style>
  <w:style w:type="paragraph" w:customStyle="1" w:styleId="291">
    <w:name w:val="样式 仿宋_GB2312 小四 加粗 行距: 1.5 倍行距"/>
    <w:basedOn w:val="2"/>
    <w:next w:val="2"/>
    <w:qFormat/>
    <w:uiPriority w:val="0"/>
    <w:pPr>
      <w:keepLines/>
      <w:adjustRightInd/>
      <w:snapToGrid/>
      <w:spacing w:before="260" w:after="260"/>
      <w:jc w:val="both"/>
      <w:textAlignment w:val="auto"/>
    </w:pPr>
    <w:rPr>
      <w:rFonts w:hAnsi="Arial" w:eastAsia="黑体" w:cs="宋体"/>
      <w:kern w:val="2"/>
      <w:sz w:val="28"/>
    </w:rPr>
  </w:style>
  <w:style w:type="paragraph" w:customStyle="1" w:styleId="292">
    <w:name w:val="正文_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3">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4">
    <w:name w:val="xl82"/>
    <w:basedOn w:val="1"/>
    <w:qFormat/>
    <w:uiPriority w:val="0"/>
    <w:pPr>
      <w:widowControl/>
      <w:pBdr>
        <w:bottom w:val="single" w:color="auto" w:sz="4" w:space="0"/>
        <w:right w:val="single" w:color="auto" w:sz="4" w:space="0"/>
      </w:pBdr>
      <w:spacing w:before="100" w:beforeAutospacing="1" w:after="100" w:afterAutospacing="1"/>
      <w:jc w:val="left"/>
    </w:pPr>
    <w:rPr>
      <w:b/>
      <w:bCs/>
      <w:kern w:val="0"/>
      <w:sz w:val="20"/>
      <w:szCs w:val="20"/>
    </w:rPr>
  </w:style>
  <w:style w:type="paragraph" w:customStyle="1" w:styleId="295">
    <w:name w:val="Char Char Char Char Char Char Char1"/>
    <w:basedOn w:val="1"/>
    <w:qFormat/>
    <w:uiPriority w:val="0"/>
    <w:pPr>
      <w:tabs>
        <w:tab w:val="left" w:pos="432"/>
      </w:tabs>
      <w:ind w:left="432" w:hanging="432"/>
      <w:jc w:val="center"/>
    </w:pPr>
    <w:rPr>
      <w:rFonts w:ascii="仿宋_GB2312" w:hAnsi="Tahoma" w:eastAsia="仿宋_GB2312"/>
      <w:sz w:val="24"/>
      <w:szCs w:val="24"/>
    </w:rPr>
  </w:style>
  <w:style w:type="paragraph" w:customStyle="1" w:styleId="29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297">
    <w:name w:val="Table Text"/>
    <w:qFormat/>
    <w:uiPriority w:val="0"/>
    <w:pPr>
      <w:snapToGrid w:val="0"/>
      <w:spacing w:before="80" w:after="80"/>
    </w:pPr>
    <w:rPr>
      <w:rFonts w:ascii="Arial" w:hAnsi="Arial" w:eastAsia="宋体" w:cs="Arial"/>
      <w:kern w:val="2"/>
      <w:sz w:val="18"/>
      <w:szCs w:val="18"/>
      <w:lang w:val="en-US" w:eastAsia="zh-CN" w:bidi="ar-SA"/>
    </w:rPr>
  </w:style>
  <w:style w:type="paragraph" w:customStyle="1" w:styleId="298">
    <w:name w:val="List Paragraph1"/>
    <w:basedOn w:val="1"/>
    <w:qFormat/>
    <w:uiPriority w:val="0"/>
    <w:pPr>
      <w:ind w:firstLine="420"/>
    </w:pPr>
    <w:rPr>
      <w:szCs w:val="24"/>
    </w:rPr>
  </w:style>
  <w:style w:type="paragraph" w:customStyle="1" w:styleId="299">
    <w:name w:val="Normal_2"/>
    <w:qFormat/>
    <w:uiPriority w:val="0"/>
    <w:rPr>
      <w:rFonts w:ascii="黑体" w:hAnsi="黑体" w:eastAsia="黑体" w:cs="Times New Roman"/>
      <w:b/>
      <w:sz w:val="32"/>
      <w:szCs w:val="24"/>
      <w:lang w:val="en-US" w:eastAsia="zh-CN" w:bidi="ar-SA"/>
    </w:rPr>
  </w:style>
  <w:style w:type="paragraph" w:customStyle="1" w:styleId="300">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30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302">
    <w:name w:val="1"/>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03">
    <w:name w:val="Char Char Char"/>
    <w:basedOn w:val="1"/>
    <w:qFormat/>
    <w:uiPriority w:val="0"/>
    <w:rPr>
      <w:rFonts w:ascii="Tahoma" w:hAnsi="Tahoma"/>
      <w:sz w:val="24"/>
      <w:szCs w:val="20"/>
    </w:rPr>
  </w:style>
  <w:style w:type="paragraph" w:customStyle="1" w:styleId="304">
    <w:name w:val="Normal_13"/>
    <w:qFormat/>
    <w:uiPriority w:val="0"/>
    <w:rPr>
      <w:rFonts w:ascii="黑体" w:hAnsi="黑体" w:eastAsia="黑体" w:cs="Times New Roman"/>
      <w:b/>
      <w:sz w:val="32"/>
      <w:szCs w:val="24"/>
      <w:lang w:val="en-US" w:eastAsia="zh-CN" w:bidi="ar-SA"/>
    </w:rPr>
  </w:style>
  <w:style w:type="paragraph" w:customStyle="1" w:styleId="305">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b/>
      <w:bCs/>
      <w:kern w:val="0"/>
      <w:sz w:val="20"/>
      <w:szCs w:val="20"/>
    </w:rPr>
  </w:style>
  <w:style w:type="paragraph" w:customStyle="1" w:styleId="306">
    <w:name w:val="Char Char Char1"/>
    <w:basedOn w:val="1"/>
    <w:qFormat/>
    <w:uiPriority w:val="0"/>
    <w:rPr>
      <w:rFonts w:ascii="Tahoma" w:hAnsi="Tahoma"/>
      <w:sz w:val="24"/>
      <w:szCs w:val="20"/>
    </w:rPr>
  </w:style>
  <w:style w:type="paragraph" w:customStyle="1" w:styleId="307">
    <w:name w:val="正文_15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8">
    <w:name w:val="xl6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olor w:val="000000"/>
      <w:kern w:val="0"/>
      <w:sz w:val="20"/>
      <w:szCs w:val="20"/>
    </w:rPr>
  </w:style>
  <w:style w:type="paragraph" w:customStyle="1" w:styleId="309">
    <w:name w:val="列出段落1"/>
    <w:basedOn w:val="1"/>
    <w:qFormat/>
    <w:uiPriority w:val="0"/>
    <w:pPr>
      <w:ind w:firstLine="420" w:firstLineChars="200"/>
    </w:pPr>
  </w:style>
  <w:style w:type="paragraph" w:customStyle="1" w:styleId="310">
    <w:name w:val="List Paragraph2"/>
    <w:basedOn w:val="1"/>
    <w:qFormat/>
    <w:uiPriority w:val="0"/>
    <w:pPr>
      <w:ind w:firstLine="420" w:firstLineChars="200"/>
    </w:pPr>
  </w:style>
  <w:style w:type="paragraph" w:customStyle="1" w:styleId="311">
    <w:name w:val="xl6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olor w:val="000000"/>
      <w:kern w:val="0"/>
      <w:sz w:val="20"/>
      <w:szCs w:val="20"/>
    </w:rPr>
  </w:style>
  <w:style w:type="paragraph" w:customStyle="1" w:styleId="312">
    <w:name w:val="Default"/>
    <w:qFormat/>
    <w:uiPriority w:val="0"/>
    <w:pPr>
      <w:widowControl w:val="0"/>
      <w:autoSpaceDE w:val="0"/>
      <w:autoSpaceDN w:val="0"/>
      <w:adjustRightInd w:val="0"/>
    </w:pPr>
    <w:rPr>
      <w:rFonts w:ascii="Times New Roman" w:hAnsi="Times New Roman" w:eastAsia="宋体" w:cs="宋体"/>
      <w:color w:val="000000"/>
      <w:sz w:val="24"/>
      <w:szCs w:val="24"/>
      <w:lang w:val="en-US" w:eastAsia="zh-CN" w:bidi="ar-SA"/>
    </w:rPr>
  </w:style>
  <w:style w:type="paragraph" w:customStyle="1" w:styleId="313">
    <w:name w:val="纯文本2"/>
    <w:basedOn w:val="1"/>
    <w:qFormat/>
    <w:uiPriority w:val="0"/>
    <w:pPr>
      <w:adjustRightInd w:val="0"/>
      <w:jc w:val="left"/>
      <w:textAlignment w:val="baseline"/>
    </w:pPr>
    <w:rPr>
      <w:rFonts w:ascii="宋体" w:hAnsi="Courier New"/>
      <w:sz w:val="24"/>
      <w:szCs w:val="20"/>
    </w:rPr>
  </w:style>
  <w:style w:type="paragraph" w:customStyle="1" w:styleId="314">
    <w:name w:val="xl75"/>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b/>
      <w:bCs/>
      <w:kern w:val="0"/>
      <w:sz w:val="20"/>
      <w:szCs w:val="20"/>
    </w:rPr>
  </w:style>
  <w:style w:type="paragraph" w:customStyle="1" w:styleId="315">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6">
    <w:name w:val="Char Char Char Char Char Char Char2"/>
    <w:basedOn w:val="1"/>
    <w:qFormat/>
    <w:uiPriority w:val="0"/>
    <w:pPr>
      <w:tabs>
        <w:tab w:val="left" w:pos="432"/>
      </w:tabs>
      <w:ind w:left="432" w:hanging="432"/>
      <w:jc w:val="center"/>
    </w:pPr>
    <w:rPr>
      <w:rFonts w:ascii="仿宋_GB2312" w:hAnsi="Tahoma" w:eastAsia="仿宋_GB2312"/>
      <w:sz w:val="24"/>
    </w:rPr>
  </w:style>
  <w:style w:type="paragraph" w:styleId="317">
    <w:name w:val="List Paragraph"/>
    <w:basedOn w:val="1"/>
    <w:qFormat/>
    <w:uiPriority w:val="34"/>
    <w:pPr>
      <w:ind w:firstLine="420" w:firstLineChars="200"/>
    </w:pPr>
  </w:style>
  <w:style w:type="paragraph" w:customStyle="1" w:styleId="318">
    <w:name w:val="Normal_6"/>
    <w:qFormat/>
    <w:uiPriority w:val="0"/>
    <w:rPr>
      <w:rFonts w:ascii="黑体" w:hAnsi="黑体" w:eastAsia="黑体" w:cs="Times New Roman"/>
      <w:b/>
      <w:sz w:val="32"/>
      <w:szCs w:val="24"/>
      <w:lang w:val="en-US" w:eastAsia="zh-CN" w:bidi="ar-SA"/>
    </w:rPr>
  </w:style>
  <w:style w:type="paragraph" w:customStyle="1" w:styleId="319">
    <w:name w:val="xl5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320">
    <w:name w:val="Char Char Char Char Char Char Char Char Char Char1"/>
    <w:basedOn w:val="17"/>
    <w:qFormat/>
    <w:uiPriority w:val="0"/>
    <w:rPr>
      <w:szCs w:val="20"/>
    </w:rPr>
  </w:style>
  <w:style w:type="paragraph" w:customStyle="1" w:styleId="321">
    <w:name w:val="xl7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b/>
      <w:bCs/>
      <w:i/>
      <w:iCs/>
      <w:kern w:val="0"/>
      <w:sz w:val="24"/>
    </w:rPr>
  </w:style>
  <w:style w:type="paragraph" w:customStyle="1" w:styleId="322">
    <w:name w:val="Normal_16"/>
    <w:qFormat/>
    <w:uiPriority w:val="0"/>
    <w:rPr>
      <w:rFonts w:ascii="黑体" w:hAnsi="黑体" w:eastAsia="黑体" w:cs="Times New Roman"/>
      <w:b/>
      <w:sz w:val="32"/>
      <w:szCs w:val="24"/>
      <w:lang w:val="en-US" w:eastAsia="zh-CN" w:bidi="ar-SA"/>
    </w:rPr>
  </w:style>
  <w:style w:type="paragraph" w:customStyle="1" w:styleId="323">
    <w:name w:val="Normal_3"/>
    <w:qFormat/>
    <w:uiPriority w:val="0"/>
    <w:rPr>
      <w:rFonts w:ascii="黑体" w:hAnsi="黑体" w:eastAsia="黑体" w:cs="Times New Roman"/>
      <w:b/>
      <w:sz w:val="32"/>
      <w:szCs w:val="24"/>
      <w:lang w:val="en-US" w:eastAsia="zh-CN" w:bidi="ar-SA"/>
    </w:rPr>
  </w:style>
  <w:style w:type="paragraph" w:customStyle="1" w:styleId="324">
    <w:name w:val="font11"/>
    <w:basedOn w:val="1"/>
    <w:qFormat/>
    <w:uiPriority w:val="0"/>
    <w:pPr>
      <w:widowControl/>
      <w:spacing w:before="100" w:beforeAutospacing="1" w:after="100" w:afterAutospacing="1"/>
      <w:jc w:val="left"/>
    </w:pPr>
    <w:rPr>
      <w:b/>
      <w:bCs/>
      <w:i/>
      <w:iCs/>
      <w:kern w:val="0"/>
      <w:sz w:val="24"/>
    </w:rPr>
  </w:style>
  <w:style w:type="paragraph" w:customStyle="1" w:styleId="325">
    <w:name w:val="样式 标题 31.1.1标题 333rd levelBOD 0Bold HeadCTH3H31Heading ..."/>
    <w:basedOn w:val="5"/>
    <w:qFormat/>
    <w:uiPriority w:val="0"/>
    <w:pPr>
      <w:spacing w:before="0" w:after="0"/>
      <w:jc w:val="center"/>
    </w:pPr>
    <w:rPr>
      <w:rFonts w:cs="宋体"/>
    </w:rPr>
  </w:style>
  <w:style w:type="paragraph" w:customStyle="1" w:styleId="326">
    <w:name w:val="正文_8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27">
    <w:name w:val="正文_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8">
    <w:name w:val="Normal_21"/>
    <w:qFormat/>
    <w:uiPriority w:val="0"/>
    <w:rPr>
      <w:rFonts w:ascii="黑体" w:hAnsi="黑体" w:eastAsia="黑体" w:cs="Times New Roman"/>
      <w:b/>
      <w:sz w:val="32"/>
      <w:szCs w:val="24"/>
      <w:lang w:val="en-US" w:eastAsia="zh-CN" w:bidi="ar-SA"/>
    </w:rPr>
  </w:style>
  <w:style w:type="paragraph" w:customStyle="1" w:styleId="329">
    <w:name w:val="Normal_1"/>
    <w:qFormat/>
    <w:uiPriority w:val="0"/>
    <w:rPr>
      <w:rFonts w:ascii="黑体" w:hAnsi="黑体" w:eastAsia="黑体" w:cs="Times New Roman"/>
      <w:b/>
      <w:sz w:val="32"/>
      <w:szCs w:val="24"/>
      <w:lang w:val="en-US" w:eastAsia="zh-CN" w:bidi="ar-SA"/>
    </w:rPr>
  </w:style>
  <w:style w:type="paragraph" w:customStyle="1" w:styleId="330">
    <w:name w:val="[Normal]"/>
    <w:qFormat/>
    <w:uiPriority w:val="0"/>
    <w:rPr>
      <w:rFonts w:ascii="Times New Roman" w:hAnsi="Times New Roman" w:eastAsia="宋体" w:cs="Times New Roman"/>
      <w:sz w:val="24"/>
      <w:szCs w:val="22"/>
      <w:lang w:val="en-US" w:eastAsia="en-US" w:bidi="ar-SA"/>
    </w:rPr>
  </w:style>
  <w:style w:type="paragraph" w:customStyle="1" w:styleId="331">
    <w:name w:val="xl79"/>
    <w:basedOn w:val="1"/>
    <w:qFormat/>
    <w:uiPriority w:val="0"/>
    <w:pPr>
      <w:widowControl/>
      <w:pBdr>
        <w:top w:val="single" w:color="auto" w:sz="4" w:space="0"/>
        <w:bottom w:val="double" w:color="auto" w:sz="6" w:space="0"/>
        <w:right w:val="single" w:color="auto" w:sz="4" w:space="0"/>
      </w:pBdr>
      <w:spacing w:before="100" w:beforeAutospacing="1" w:after="100" w:afterAutospacing="1"/>
      <w:jc w:val="left"/>
    </w:pPr>
    <w:rPr>
      <w:rFonts w:ascii="宋体" w:hAnsi="宋体"/>
      <w:b/>
      <w:bCs/>
      <w:kern w:val="0"/>
      <w:sz w:val="20"/>
      <w:szCs w:val="20"/>
    </w:rPr>
  </w:style>
  <w:style w:type="paragraph" w:customStyle="1" w:styleId="332">
    <w:name w:val="默认段落字体 Para Char Char Char Char Char Char Char Char Char1 Char Char Char Char"/>
    <w:basedOn w:val="1"/>
    <w:qFormat/>
    <w:uiPriority w:val="0"/>
    <w:rPr>
      <w:rFonts w:ascii="Tahoma" w:hAnsi="Tahoma"/>
      <w:sz w:val="24"/>
      <w:szCs w:val="20"/>
    </w:rPr>
  </w:style>
  <w:style w:type="paragraph" w:customStyle="1" w:styleId="333">
    <w:name w:val="样式 样式 样式 标题 3列表编号3h33rd level + (符号) 宋体 段前: 1 行 + 段前: 1.36 行 + 段..."/>
    <w:basedOn w:val="1"/>
    <w:qFormat/>
    <w:uiPriority w:val="0"/>
    <w:pPr>
      <w:adjustRightInd w:val="0"/>
      <w:spacing w:before="312" w:beforeLines="100" w:line="360" w:lineRule="auto"/>
      <w:jc w:val="left"/>
      <w:outlineLvl w:val="2"/>
    </w:pPr>
    <w:rPr>
      <w:rFonts w:ascii="宋体" w:hAnsi="宋体"/>
      <w:b/>
      <w:kern w:val="0"/>
      <w:szCs w:val="20"/>
    </w:rPr>
  </w:style>
  <w:style w:type="paragraph" w:customStyle="1" w:styleId="334">
    <w:name w:val="表内文字"/>
    <w:basedOn w:val="1"/>
    <w:qFormat/>
    <w:uiPriority w:val="0"/>
    <w:pPr>
      <w:jc w:val="center"/>
    </w:pPr>
    <w:rPr>
      <w:rFonts w:ascii="仿宋_GB2312" w:eastAsia="仿宋_GB2312"/>
      <w:sz w:val="24"/>
    </w:rPr>
  </w:style>
  <w:style w:type="paragraph" w:customStyle="1" w:styleId="335">
    <w:name w:val="xl5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kern w:val="0"/>
      <w:sz w:val="20"/>
      <w:szCs w:val="20"/>
    </w:rPr>
  </w:style>
  <w:style w:type="paragraph" w:customStyle="1" w:styleId="336">
    <w:name w:val="xl4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color w:val="000000"/>
      <w:kern w:val="0"/>
      <w:sz w:val="20"/>
      <w:szCs w:val="20"/>
    </w:rPr>
  </w:style>
  <w:style w:type="paragraph" w:customStyle="1" w:styleId="33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38">
    <w:name w:val="xl7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b/>
      <w:bCs/>
      <w:i/>
      <w:iCs/>
      <w:kern w:val="0"/>
      <w:sz w:val="24"/>
    </w:rPr>
  </w:style>
  <w:style w:type="paragraph" w:customStyle="1" w:styleId="339">
    <w:name w:val="Normal_19"/>
    <w:qFormat/>
    <w:uiPriority w:val="0"/>
    <w:rPr>
      <w:rFonts w:ascii="黑体" w:hAnsi="黑体" w:eastAsia="黑体" w:cs="Times New Roman"/>
      <w:b/>
      <w:sz w:val="32"/>
      <w:szCs w:val="24"/>
      <w:lang w:val="en-US" w:eastAsia="zh-CN" w:bidi="ar-SA"/>
    </w:rPr>
  </w:style>
  <w:style w:type="paragraph" w:customStyle="1" w:styleId="340">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41">
    <w:name w:val="font10"/>
    <w:basedOn w:val="1"/>
    <w:qFormat/>
    <w:uiPriority w:val="0"/>
    <w:pPr>
      <w:widowControl/>
      <w:spacing w:before="100" w:beforeAutospacing="1" w:after="100" w:afterAutospacing="1"/>
      <w:jc w:val="left"/>
    </w:pPr>
    <w:rPr>
      <w:rFonts w:hint="eastAsia" w:ascii="宋体" w:hAnsi="宋体"/>
      <w:b/>
      <w:bCs/>
      <w:i/>
      <w:iCs/>
      <w:kern w:val="0"/>
      <w:sz w:val="24"/>
    </w:rPr>
  </w:style>
  <w:style w:type="paragraph" w:customStyle="1" w:styleId="342">
    <w:name w:val="Normal_8"/>
    <w:qFormat/>
    <w:uiPriority w:val="0"/>
    <w:rPr>
      <w:rFonts w:ascii="黑体" w:hAnsi="黑体" w:eastAsia="黑体" w:cs="Times New Roman"/>
      <w:b/>
      <w:sz w:val="32"/>
      <w:szCs w:val="24"/>
      <w:lang w:val="en-US" w:eastAsia="zh-CN" w:bidi="ar-SA"/>
    </w:rPr>
  </w:style>
  <w:style w:type="paragraph" w:customStyle="1" w:styleId="343">
    <w:name w:val="_Style 339"/>
    <w:basedOn w:val="3"/>
    <w:next w:val="1"/>
    <w:qFormat/>
    <w:uiPriority w:val="39"/>
    <w:pPr>
      <w:keepLines/>
      <w:widowControl/>
      <w:autoSpaceDE/>
      <w:autoSpaceDN/>
      <w:spacing w:before="240" w:line="259" w:lineRule="auto"/>
      <w:jc w:val="left"/>
      <w:textAlignment w:val="auto"/>
      <w:outlineLvl w:val="9"/>
    </w:pPr>
    <w:rPr>
      <w:rFonts w:ascii="Calibri Light" w:hAnsi="Calibri Light" w:eastAsia="宋体"/>
      <w:b w:val="0"/>
      <w:color w:val="2E74B5"/>
      <w:kern w:val="0"/>
      <w:sz w:val="32"/>
      <w:szCs w:val="32"/>
    </w:rPr>
  </w:style>
  <w:style w:type="paragraph" w:customStyle="1" w:styleId="344">
    <w:name w:val="Normal_0"/>
    <w:qFormat/>
    <w:uiPriority w:val="0"/>
    <w:rPr>
      <w:rFonts w:ascii="黑体" w:hAnsi="黑体" w:eastAsia="黑体" w:cs="Times New Roman"/>
      <w:b/>
      <w:sz w:val="32"/>
      <w:szCs w:val="24"/>
      <w:lang w:val="en-US" w:eastAsia="zh-CN" w:bidi="ar-SA"/>
    </w:rPr>
  </w:style>
  <w:style w:type="paragraph" w:customStyle="1" w:styleId="345">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6">
    <w:name w:val="xl70"/>
    <w:basedOn w:val="1"/>
    <w:qFormat/>
    <w:uiPriority w:val="0"/>
    <w:pPr>
      <w:widowControl/>
      <w:pBdr>
        <w:top w:val="single" w:color="auto" w:sz="4" w:space="0"/>
        <w:bottom w:val="single" w:color="auto" w:sz="8" w:space="0"/>
        <w:right w:val="single" w:color="auto" w:sz="4" w:space="0"/>
      </w:pBdr>
      <w:spacing w:before="100" w:beforeAutospacing="1" w:after="100" w:afterAutospacing="1"/>
      <w:jc w:val="left"/>
    </w:pPr>
    <w:rPr>
      <w:b/>
      <w:bCs/>
      <w:kern w:val="0"/>
      <w:sz w:val="20"/>
      <w:szCs w:val="20"/>
    </w:rPr>
  </w:style>
  <w:style w:type="paragraph" w:customStyle="1" w:styleId="347">
    <w:name w:val="Char Char Char Char1"/>
    <w:basedOn w:val="1"/>
    <w:qFormat/>
    <w:uiPriority w:val="0"/>
    <w:rPr>
      <w:rFonts w:ascii="Tahoma" w:hAnsi="Tahoma"/>
      <w:sz w:val="24"/>
      <w:szCs w:val="20"/>
    </w:rPr>
  </w:style>
  <w:style w:type="paragraph" w:customStyle="1" w:styleId="348">
    <w:name w:val="正文_8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9">
    <w:name w:val="font8"/>
    <w:basedOn w:val="1"/>
    <w:qFormat/>
    <w:uiPriority w:val="0"/>
    <w:pPr>
      <w:widowControl/>
      <w:spacing w:before="100" w:beforeAutospacing="1" w:after="100" w:afterAutospacing="1"/>
      <w:jc w:val="left"/>
    </w:pPr>
    <w:rPr>
      <w:kern w:val="0"/>
      <w:sz w:val="20"/>
      <w:szCs w:val="20"/>
    </w:rPr>
  </w:style>
  <w:style w:type="paragraph" w:customStyle="1" w:styleId="35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51">
    <w:name w:val="xl5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352">
    <w:name w:val="章正文"/>
    <w:basedOn w:val="1"/>
    <w:qFormat/>
    <w:uiPriority w:val="99"/>
    <w:pPr>
      <w:spacing w:beforeLines="50" w:after="120" w:line="300" w:lineRule="auto"/>
      <w:ind w:firstLine="480"/>
    </w:pPr>
    <w:rPr>
      <w:rFonts w:ascii="Helvetica" w:hAnsi="Helvetica"/>
      <w:kern w:val="0"/>
      <w:sz w:val="24"/>
    </w:rPr>
  </w:style>
  <w:style w:type="paragraph" w:customStyle="1" w:styleId="353">
    <w:name w:val="无间隔2"/>
    <w:qFormat/>
    <w:uiPriority w:val="1"/>
    <w:rPr>
      <w:rFonts w:ascii="Times New Roman" w:hAnsi="Times New Roman" w:eastAsia="MS Mincho" w:cs="Times New Roman"/>
      <w:sz w:val="24"/>
      <w:szCs w:val="24"/>
      <w:lang w:val="en-US" w:eastAsia="en-US" w:bidi="ar-SA"/>
    </w:rPr>
  </w:style>
  <w:style w:type="paragraph" w:customStyle="1" w:styleId="354">
    <w:name w:val="Normal_7"/>
    <w:qFormat/>
    <w:uiPriority w:val="0"/>
    <w:rPr>
      <w:rFonts w:ascii="黑体" w:hAnsi="黑体" w:eastAsia="黑体" w:cs="Times New Roman"/>
      <w:b/>
      <w:sz w:val="32"/>
      <w:szCs w:val="24"/>
      <w:lang w:val="en-US" w:eastAsia="zh-CN" w:bidi="ar-SA"/>
    </w:rPr>
  </w:style>
  <w:style w:type="character" w:customStyle="1" w:styleId="355">
    <w:name w:val="font21"/>
    <w:basedOn w:val="50"/>
    <w:qFormat/>
    <w:uiPriority w:val="0"/>
    <w:rPr>
      <w:rFonts w:ascii="Cambria Math" w:hAnsi="Cambria Math" w:eastAsia="Cambria Math" w:cs="Cambria Math"/>
      <w:color w:val="000000"/>
      <w:sz w:val="24"/>
      <w:szCs w:val="24"/>
      <w:u w:val="none"/>
    </w:rPr>
  </w:style>
  <w:style w:type="paragraph" w:customStyle="1" w:styleId="356">
    <w:name w:val="Fließtext"/>
    <w:basedOn w:val="1"/>
    <w:qFormat/>
    <w:uiPriority w:val="0"/>
    <w:pPr>
      <w:overflowPunct w:val="0"/>
      <w:autoSpaceDE w:val="0"/>
      <w:autoSpaceDN w:val="0"/>
      <w:adjustRightInd w:val="0"/>
      <w:textAlignment w:val="baseline"/>
    </w:pPr>
    <w:rPr>
      <w:kern w:val="28"/>
      <w:szCs w:val="20"/>
    </w:rPr>
  </w:style>
  <w:style w:type="paragraph" w:customStyle="1" w:styleId="357">
    <w:name w:val="_Style 3"/>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58">
    <w:name w:val="0- 正文"/>
    <w:basedOn w:val="1"/>
    <w:qFormat/>
    <w:uiPriority w:val="0"/>
    <w:pPr>
      <w:spacing w:line="360" w:lineRule="auto"/>
      <w:ind w:firstLine="482"/>
    </w:pPr>
    <w:rPr>
      <w:sz w:val="24"/>
      <w:szCs w:val="20"/>
    </w:rPr>
  </w:style>
  <w:style w:type="character" w:customStyle="1" w:styleId="359">
    <w:name w:val="NormalCharacter"/>
    <w:semiHidden/>
    <w:qFormat/>
    <w:uiPriority w:val="0"/>
  </w:style>
  <w:style w:type="paragraph" w:customStyle="1" w:styleId="360">
    <w:name w:val="BodyText1I"/>
    <w:basedOn w:val="361"/>
    <w:qFormat/>
    <w:uiPriority w:val="0"/>
    <w:pPr>
      <w:spacing w:line="360" w:lineRule="auto"/>
      <w:ind w:firstLine="200" w:firstLineChars="200"/>
      <w:jc w:val="left"/>
    </w:pPr>
    <w:rPr>
      <w:bCs/>
      <w:sz w:val="24"/>
    </w:rPr>
  </w:style>
  <w:style w:type="paragraph" w:customStyle="1" w:styleId="361">
    <w:name w:val="BodyText"/>
    <w:basedOn w:val="1"/>
    <w:next w:val="360"/>
    <w:qFormat/>
    <w:uiPriority w:val="0"/>
    <w:pPr>
      <w:spacing w:after="120"/>
    </w:pPr>
    <w:rPr>
      <w:sz w:val="28"/>
    </w:rPr>
  </w:style>
  <w:style w:type="character" w:customStyle="1" w:styleId="362">
    <w:name w:val="font31"/>
    <w:basedOn w:val="50"/>
    <w:qFormat/>
    <w:uiPriority w:val="0"/>
    <w:rPr>
      <w:rFonts w:hint="eastAsia" w:ascii="宋体" w:hAnsi="宋体" w:eastAsia="宋体" w:cs="宋体"/>
      <w:color w:val="000000"/>
      <w:sz w:val="24"/>
      <w:szCs w:val="24"/>
      <w:u w:val="none"/>
    </w:rPr>
  </w:style>
  <w:style w:type="character" w:customStyle="1" w:styleId="363">
    <w:name w:val="font91"/>
    <w:basedOn w:val="50"/>
    <w:qFormat/>
    <w:uiPriority w:val="0"/>
    <w:rPr>
      <w:rFonts w:hint="eastAsia" w:ascii="宋体" w:hAnsi="宋体" w:eastAsia="宋体" w:cs="宋体"/>
      <w:color w:val="000000"/>
      <w:sz w:val="20"/>
      <w:szCs w:val="20"/>
      <w:u w:val="none"/>
    </w:rPr>
  </w:style>
  <w:style w:type="character" w:customStyle="1" w:styleId="364">
    <w:name w:val="font181"/>
    <w:basedOn w:val="50"/>
    <w:qFormat/>
    <w:uiPriority w:val="0"/>
    <w:rPr>
      <w:rFonts w:hint="eastAsia" w:ascii="宋体" w:hAnsi="宋体" w:eastAsia="宋体" w:cs="宋体"/>
      <w:color w:val="000000"/>
      <w:sz w:val="20"/>
      <w:szCs w:val="20"/>
      <w:u w:val="none"/>
    </w:rPr>
  </w:style>
  <w:style w:type="paragraph" w:customStyle="1" w:styleId="365">
    <w:name w:val="目录 21"/>
    <w:next w:val="1"/>
    <w:qFormat/>
    <w:uiPriority w:val="0"/>
    <w:pPr>
      <w:wordWrap w:val="0"/>
      <w:jc w:val="both"/>
    </w:pPr>
    <w:rPr>
      <w:rFonts w:ascii="Calibri" w:hAnsi="Calibri" w:eastAsia="宋体" w:cs="Times New Roman"/>
      <w:sz w:val="21"/>
      <w:lang w:val="en-US" w:eastAsia="zh-CN" w:bidi="ar-SA"/>
    </w:rPr>
  </w:style>
  <w:style w:type="character" w:customStyle="1" w:styleId="366">
    <w:name w:val="标题 1 Char"/>
    <w:link w:val="3"/>
    <w:qFormat/>
    <w:uiPriority w:val="0"/>
    <w:rPr>
      <w:rFonts w:ascii="Times New Roman" w:hAnsi="Times New Roman" w:eastAsia="宋体"/>
      <w:b/>
      <w:bCs/>
      <w:kern w:val="44"/>
      <w:sz w:val="32"/>
      <w:lang w:val="en-US" w:eastAsia="zh-CN" w:bidi="ar-SA"/>
    </w:rPr>
  </w:style>
  <w:style w:type="paragraph" w:customStyle="1" w:styleId="367">
    <w:name w:val="正文缩进2"/>
    <w:basedOn w:val="1"/>
    <w:qFormat/>
    <w:uiPriority w:val="0"/>
    <w:pPr>
      <w:ind w:firstLine="420"/>
    </w:pPr>
    <w:rPr>
      <w:rFonts w:ascii="Calibri" w:hAnsi="Calibri"/>
      <w:kern w:val="0"/>
      <w:sz w:val="20"/>
      <w:szCs w:val="20"/>
    </w:rPr>
  </w:style>
  <w:style w:type="paragraph" w:customStyle="1" w:styleId="368">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67</Pages>
  <Words>35406</Words>
  <Characters>37357</Characters>
  <Lines>317</Lines>
  <Paragraphs>89</Paragraphs>
  <TotalTime>23</TotalTime>
  <ScaleCrop>false</ScaleCrop>
  <LinksUpToDate>false</LinksUpToDate>
  <CharactersWithSpaces>40660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2026-03-16T10:32:00Z</dcterms:created>
  <dc:creator>微软中国</dc:creator>
  <cp:lastModifiedBy>李开放</cp:lastModifiedBy>
  <cp:lastPrinted>2020-08-24T07:05:00Z</cp:lastPrinted>
  <dcterms:modified xsi:type="dcterms:W3CDTF">2026-03-20T02:21:21Z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791E0A6C34AD4D32B97C6458234CAEC8_13</vt:lpwstr>
  </property>
  <property fmtid="{D5CDD505-2E9C-101B-9397-08002B2CF9AE}" pid="4" name="KSOTemplateDocerSaveRecord">
    <vt:lpwstr>eyJoZGlkIjoiNjJmMzg1MGU3ZjVkYTM0MjkwNzYzZjA0MzEwMjBjNjIifQ==</vt:lpwstr>
  </property>
</Properties>
</file>