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F63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76CCC75B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采购人：晶龙集团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74"/>
        <w:gridCol w:w="2701"/>
        <w:gridCol w:w="815"/>
        <w:gridCol w:w="885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 w14:paraId="461D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F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7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C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3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6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2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5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C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7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65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8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6BC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13AE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电脑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3BC9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联想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AA0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天逸510S-酷睿14代i5-14400 16G 1TB HDD+512G SSD win11)23英寸显示器-7.4L小机箱-三年质保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3EB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台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E5D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3E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19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96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AB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8D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27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EE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E96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34C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运费、安装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、官方正品、官方质保</w:t>
            </w:r>
          </w:p>
        </w:tc>
      </w:tr>
      <w:tr w14:paraId="1B1D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96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 w14:paraId="2272B169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68A1DF58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</w:t>
      </w:r>
      <w:r>
        <w:rPr>
          <w:rFonts w:hint="eastAsia"/>
          <w:sz w:val="22"/>
          <w:szCs w:val="22"/>
        </w:rPr>
        <w:t>单位地址：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                       </w:t>
      </w:r>
      <w:r>
        <w:rPr>
          <w:rFonts w:hint="eastAsia"/>
          <w:sz w:val="22"/>
          <w:szCs w:val="22"/>
        </w:rPr>
        <w:t xml:space="preserve">  报价日期：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</w:p>
    <w:p w14:paraId="39CCAEA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22C6D2BD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39206962"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33E56455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1119AB18"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2DD891E2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3BD8C79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74DDC1AA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AE23764"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F0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0C35A86"/>
    <w:rsid w:val="06CB7869"/>
    <w:rsid w:val="0A0F286A"/>
    <w:rsid w:val="0D8471D9"/>
    <w:rsid w:val="15A77B14"/>
    <w:rsid w:val="1ED80A51"/>
    <w:rsid w:val="2240793E"/>
    <w:rsid w:val="2535661C"/>
    <w:rsid w:val="2C622B41"/>
    <w:rsid w:val="2EF0042A"/>
    <w:rsid w:val="340439BA"/>
    <w:rsid w:val="3CF55EC2"/>
    <w:rsid w:val="3E3208A1"/>
    <w:rsid w:val="43195B8C"/>
    <w:rsid w:val="439B0C97"/>
    <w:rsid w:val="4F3A0DA2"/>
    <w:rsid w:val="4F4306E4"/>
    <w:rsid w:val="538B46FE"/>
    <w:rsid w:val="573939B9"/>
    <w:rsid w:val="5C31720E"/>
    <w:rsid w:val="614062ED"/>
    <w:rsid w:val="6C366FBB"/>
    <w:rsid w:val="71636DE2"/>
    <w:rsid w:val="7C354C6A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351</Characters>
  <Paragraphs>51</Paragraphs>
  <TotalTime>37</TotalTime>
  <ScaleCrop>false</ScaleCrop>
  <LinksUpToDate>false</LinksUpToDate>
  <CharactersWithSpaces>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2024-09-24T09:27:00Z</cp:lastPrinted>
  <dcterms:modified xsi:type="dcterms:W3CDTF">2025-04-16T01:35:52Z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899270CDB36441B593E9531379195846_13</vt:lpwstr>
  </property>
  <property fmtid="{D5CDD505-2E9C-101B-9397-08002B2CF9AE}" pid="4" name="KSOTemplateDocerSaveRecord">
    <vt:lpwstr>eyJoZGlkIjoiYjdkZDc0ZTZiODhmMTVkMjE3MmZhNDMyNDYyZjQ1MGYiLCJ1c2VySWQiOiIzMzA5NTQ2ODcifQ==</vt:lpwstr>
  </property>
</Properties>
</file>