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41A75">
      <w:pPr>
        <w:spacing w:before="312"/>
        <w:ind w:firstLine="723"/>
        <w:jc w:val="center"/>
        <w:rPr>
          <w:rFonts w:asciiTheme="minorHAnsi" w:hAnsiTheme="minorHAnsi" w:eastAsiaTheme="minorEastAsia" w:cstheme="minorBidi"/>
          <w:b/>
          <w:color w:val="auto"/>
          <w:sz w:val="36"/>
          <w:szCs w:val="36"/>
          <w:highlight w:val="none"/>
        </w:rPr>
      </w:pPr>
      <w:r>
        <w:rPr>
          <w:rFonts w:hint="eastAsia" w:asciiTheme="minorHAnsi" w:hAnsiTheme="minorHAnsi" w:eastAsiaTheme="minorEastAsia" w:cstheme="minorBidi"/>
          <w:b/>
          <w:color w:val="auto"/>
          <w:sz w:val="36"/>
          <w:szCs w:val="36"/>
          <w:highlight w:val="none"/>
        </w:rPr>
        <w:t>拟签订采购合同文本</w:t>
      </w:r>
    </w:p>
    <w:p w14:paraId="0D7208CD">
      <w:pPr>
        <w:pStyle w:val="3"/>
        <w:rPr>
          <w:color w:val="auto"/>
          <w:highlight w:val="none"/>
        </w:rPr>
      </w:pPr>
    </w:p>
    <w:p w14:paraId="7A4A444F">
      <w:pPr>
        <w:shd w:val="clear" w:color="auto" w:fill="FFFFFF"/>
        <w:snapToGrid w:val="0"/>
        <w:ind w:firstLine="560"/>
        <w:rPr>
          <w:rFonts w:hAnsi="宋体"/>
          <w:b/>
          <w:color w:val="auto"/>
          <w:sz w:val="16"/>
          <w:szCs w:val="10"/>
          <w:highlight w:val="none"/>
        </w:rPr>
      </w:pPr>
      <w:r>
        <w:rPr>
          <w:rFonts w:hint="eastAsia" w:hAnsi="宋体"/>
          <w:b/>
          <w:color w:val="auto"/>
          <w:sz w:val="28"/>
          <w:szCs w:val="20"/>
          <w:highlight w:val="none"/>
        </w:rPr>
        <w:t>GF-2012-0202</w:t>
      </w:r>
    </w:p>
    <w:p w14:paraId="045B9E4E">
      <w:pPr>
        <w:shd w:val="clear" w:color="auto" w:fill="FFFFFF"/>
        <w:snapToGrid w:val="0"/>
        <w:ind w:firstLine="1360"/>
        <w:jc w:val="center"/>
        <w:rPr>
          <w:rFonts w:hAnsi="宋体"/>
          <w:b/>
          <w:bCs/>
          <w:color w:val="auto"/>
          <w:sz w:val="68"/>
          <w:szCs w:val="44"/>
          <w:highlight w:val="none"/>
        </w:rPr>
      </w:pPr>
    </w:p>
    <w:p w14:paraId="75555B43">
      <w:pPr>
        <w:shd w:val="clear" w:color="auto" w:fill="FFFFFF"/>
        <w:snapToGrid w:val="0"/>
        <w:ind w:firstLine="1360"/>
        <w:jc w:val="center"/>
        <w:rPr>
          <w:rFonts w:hAnsi="宋体"/>
          <w:b/>
          <w:bCs/>
          <w:color w:val="auto"/>
          <w:sz w:val="68"/>
          <w:szCs w:val="44"/>
          <w:highlight w:val="none"/>
        </w:rPr>
      </w:pPr>
    </w:p>
    <w:p w14:paraId="26A61723">
      <w:pPr>
        <w:shd w:val="clear" w:color="auto" w:fill="FFFFFF"/>
        <w:snapToGrid w:val="0"/>
        <w:ind w:firstLine="1360"/>
        <w:jc w:val="center"/>
        <w:rPr>
          <w:rFonts w:hAnsi="宋体"/>
          <w:color w:val="auto"/>
          <w:sz w:val="45"/>
          <w:highlight w:val="none"/>
        </w:rPr>
      </w:pPr>
      <w:r>
        <w:rPr>
          <w:rFonts w:hint="eastAsia" w:hAnsi="宋体"/>
          <w:b/>
          <w:bCs/>
          <w:color w:val="auto"/>
          <w:sz w:val="68"/>
          <w:szCs w:val="44"/>
          <w:highlight w:val="none"/>
        </w:rPr>
        <w:t>建设工程监理合同</w:t>
      </w:r>
    </w:p>
    <w:p w14:paraId="3A305B92">
      <w:pPr>
        <w:shd w:val="clear" w:color="auto" w:fill="FFFFFF"/>
        <w:snapToGrid w:val="0"/>
        <w:ind w:firstLine="640"/>
        <w:rPr>
          <w:rFonts w:ascii="黑体" w:eastAsia="黑体"/>
          <w:b/>
          <w:bCs/>
          <w:color w:val="auto"/>
          <w:sz w:val="32"/>
          <w:szCs w:val="32"/>
          <w:highlight w:val="none"/>
        </w:rPr>
      </w:pPr>
    </w:p>
    <w:p w14:paraId="2D51A57E">
      <w:pPr>
        <w:shd w:val="clear" w:color="auto" w:fill="FFFFFF"/>
        <w:snapToGrid w:val="0"/>
        <w:ind w:firstLine="560"/>
        <w:rPr>
          <w:rFonts w:hAnsi="宋体"/>
          <w:b/>
          <w:color w:val="auto"/>
          <w:sz w:val="28"/>
          <w:szCs w:val="20"/>
          <w:highlight w:val="none"/>
        </w:rPr>
      </w:pPr>
    </w:p>
    <w:p w14:paraId="5AB7D2F9">
      <w:pPr>
        <w:shd w:val="clear" w:color="auto" w:fill="FFFFFF"/>
        <w:snapToGrid w:val="0"/>
        <w:ind w:firstLine="640"/>
        <w:jc w:val="center"/>
        <w:rPr>
          <w:rFonts w:ascii="黑体" w:eastAsia="黑体"/>
          <w:b/>
          <w:bCs/>
          <w:color w:val="auto"/>
          <w:sz w:val="32"/>
          <w:szCs w:val="32"/>
          <w:highlight w:val="none"/>
        </w:rPr>
      </w:pPr>
    </w:p>
    <w:p w14:paraId="450841BF">
      <w:pPr>
        <w:shd w:val="clear" w:color="auto" w:fill="FFFFFF"/>
        <w:snapToGrid w:val="0"/>
        <w:ind w:firstLine="640"/>
        <w:jc w:val="center"/>
        <w:rPr>
          <w:rFonts w:ascii="黑体" w:eastAsia="黑体"/>
          <w:b/>
          <w:bCs/>
          <w:color w:val="auto"/>
          <w:sz w:val="32"/>
          <w:szCs w:val="32"/>
          <w:highlight w:val="none"/>
        </w:rPr>
      </w:pPr>
    </w:p>
    <w:p w14:paraId="37AFF879">
      <w:pPr>
        <w:shd w:val="clear" w:color="auto" w:fill="FFFFFF"/>
        <w:snapToGrid w:val="0"/>
        <w:ind w:firstLine="640"/>
        <w:jc w:val="center"/>
        <w:rPr>
          <w:rFonts w:ascii="黑体" w:eastAsia="黑体"/>
          <w:b/>
          <w:bCs/>
          <w:color w:val="auto"/>
          <w:sz w:val="32"/>
          <w:szCs w:val="32"/>
          <w:highlight w:val="none"/>
        </w:rPr>
      </w:pPr>
    </w:p>
    <w:p w14:paraId="538167C4">
      <w:pPr>
        <w:pStyle w:val="3"/>
        <w:ind w:firstLine="422"/>
        <w:rPr>
          <w:color w:val="auto"/>
          <w:highlight w:val="none"/>
        </w:rPr>
      </w:pPr>
    </w:p>
    <w:p w14:paraId="3F459EFE">
      <w:pPr>
        <w:pStyle w:val="3"/>
        <w:ind w:firstLine="422"/>
        <w:rPr>
          <w:color w:val="auto"/>
          <w:highlight w:val="none"/>
        </w:rPr>
      </w:pPr>
    </w:p>
    <w:p w14:paraId="0FCDD70D">
      <w:pPr>
        <w:pStyle w:val="3"/>
        <w:ind w:firstLine="422"/>
        <w:rPr>
          <w:color w:val="auto"/>
          <w:highlight w:val="none"/>
        </w:rPr>
      </w:pPr>
    </w:p>
    <w:p w14:paraId="5018335C">
      <w:pPr>
        <w:pStyle w:val="3"/>
        <w:ind w:firstLine="422"/>
        <w:rPr>
          <w:color w:val="auto"/>
          <w:highlight w:val="none"/>
        </w:rPr>
      </w:pPr>
    </w:p>
    <w:p w14:paraId="112458DD">
      <w:pPr>
        <w:pStyle w:val="3"/>
        <w:ind w:firstLine="422"/>
        <w:rPr>
          <w:color w:val="auto"/>
          <w:highlight w:val="none"/>
        </w:rPr>
      </w:pPr>
    </w:p>
    <w:p w14:paraId="1F822FE8">
      <w:pPr>
        <w:pStyle w:val="3"/>
        <w:ind w:firstLine="422"/>
        <w:rPr>
          <w:color w:val="auto"/>
          <w:highlight w:val="none"/>
        </w:rPr>
      </w:pPr>
    </w:p>
    <w:p w14:paraId="7D1996B1">
      <w:pPr>
        <w:pStyle w:val="3"/>
        <w:ind w:firstLine="422"/>
        <w:rPr>
          <w:color w:val="auto"/>
          <w:highlight w:val="none"/>
        </w:rPr>
      </w:pPr>
    </w:p>
    <w:p w14:paraId="75145896">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住房和城乡建设部</w:t>
      </w:r>
    </w:p>
    <w:p w14:paraId="1A83C262">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 xml:space="preserve">国家工商行政管理局     </w:t>
      </w:r>
      <w:r>
        <w:rPr>
          <w:rFonts w:hint="eastAsia" w:hAnsi="宋体"/>
          <w:b/>
          <w:color w:val="auto"/>
          <w:sz w:val="40"/>
          <w:szCs w:val="36"/>
          <w:highlight w:val="none"/>
        </w:rPr>
        <w:t>制定</w:t>
      </w:r>
    </w:p>
    <w:p w14:paraId="789AA54D">
      <w:pPr>
        <w:shd w:val="clear" w:color="auto" w:fill="FFFFFF"/>
        <w:snapToGrid w:val="0"/>
        <w:spacing w:line="360" w:lineRule="auto"/>
        <w:ind w:firstLine="680"/>
        <w:jc w:val="center"/>
        <w:rPr>
          <w:color w:val="auto"/>
          <w:highlight w:val="none"/>
        </w:rPr>
      </w:pPr>
      <w:r>
        <w:rPr>
          <w:rFonts w:hint="eastAsia" w:hAnsi="宋体"/>
          <w:b/>
          <w:bCs/>
          <w:color w:val="auto"/>
          <w:sz w:val="34"/>
          <w:szCs w:val="28"/>
          <w:highlight w:val="none"/>
        </w:rPr>
        <w:t>二0  年  月</w:t>
      </w:r>
      <w:r>
        <w:rPr>
          <w:color w:val="auto"/>
          <w:highlight w:val="none"/>
        </w:rPr>
        <w:br w:type="page"/>
      </w:r>
    </w:p>
    <w:p w14:paraId="0790946A">
      <w:pPr>
        <w:pStyle w:val="4"/>
        <w:tabs>
          <w:tab w:val="right" w:leader="dot" w:pos="9297"/>
        </w:tabs>
        <w:spacing w:line="560" w:lineRule="exact"/>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第一部分  协议书</w:t>
      </w:r>
    </w:p>
    <w:p w14:paraId="486FF91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6A44AD9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4607EC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rPr>
        <w:t>》、《中华人民共和国建筑法》及其他有关</w:t>
      </w:r>
      <w:r>
        <w:rPr>
          <w:rFonts w:hint="eastAsia" w:ascii="宋体" w:hAnsi="宋体" w:cs="宋体"/>
          <w:color w:val="auto"/>
          <w:sz w:val="21"/>
          <w:szCs w:val="21"/>
          <w:highlight w:val="none"/>
          <w:lang w:eastAsia="zh-CN"/>
        </w:rPr>
        <w:t>法律法规</w:t>
      </w:r>
      <w:r>
        <w:rPr>
          <w:rFonts w:hint="eastAsia" w:ascii="宋体" w:hAnsi="宋体" w:eastAsia="宋体" w:cs="宋体"/>
          <w:color w:val="auto"/>
          <w:sz w:val="21"/>
          <w:szCs w:val="21"/>
          <w:highlight w:val="none"/>
        </w:rPr>
        <w:t>之规定，遵循平等、自愿、公平和诚实信用的原则，双方就下述工程委托监理与相关服务事项协商一致，订立本合同，以兹双方共同遵守。</w:t>
      </w:r>
    </w:p>
    <w:p w14:paraId="4EDF2ACE">
      <w:pPr>
        <w:spacing w:line="360" w:lineRule="auto"/>
        <w:ind w:firstLine="422" w:firstLineChars="200"/>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一、工程概况</w:t>
      </w:r>
    </w:p>
    <w:p w14:paraId="3EABBC8A">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7B832EA5">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2.工程地点及规模：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w:t>
      </w:r>
    </w:p>
    <w:p w14:paraId="08F2AA05">
      <w:pPr>
        <w:spacing w:line="360" w:lineRule="auto"/>
        <w:ind w:firstLine="420" w:firstLineChars="200"/>
        <w:outlineLvl w:val="1"/>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3.服务内容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2"/>
          <w:sz w:val="21"/>
          <w:szCs w:val="21"/>
          <w:highlight w:val="none"/>
          <w:lang w:val="en-US" w:eastAsia="zh-CN" w:bidi="ar-SA"/>
        </w:rPr>
        <w:t>。</w:t>
      </w:r>
    </w:p>
    <w:p w14:paraId="28E2FB3B">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二、词语限定</w:t>
      </w:r>
    </w:p>
    <w:p w14:paraId="5BC4FA80">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协议书中相关词语的含义与通用条件中的定义与解释相同。</w:t>
      </w:r>
    </w:p>
    <w:p w14:paraId="667CFFA2">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三、组成本合同的文件</w:t>
      </w:r>
    </w:p>
    <w:p w14:paraId="5D43EA4A">
      <w:pPr>
        <w:adjustRightInd w:val="0"/>
        <w:snapToGrid w:val="0"/>
        <w:spacing w:line="360" w:lineRule="auto"/>
        <w:ind w:firstLine="415" w:firstLineChars="198"/>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协议</w:t>
      </w:r>
      <w:bookmarkStart w:id="2" w:name="_GoBack"/>
      <w:bookmarkEnd w:id="2"/>
      <w:r>
        <w:rPr>
          <w:rFonts w:hint="eastAsia" w:ascii="宋体" w:hAnsi="宋体" w:eastAsia="宋体" w:cs="宋体"/>
          <w:color w:val="auto"/>
          <w:sz w:val="21"/>
          <w:szCs w:val="21"/>
          <w:highlight w:val="none"/>
        </w:rPr>
        <w:t>书；</w:t>
      </w:r>
    </w:p>
    <w:p w14:paraId="5EA2B069">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中标通知书（适用于招标工程）或委托书（适用于非招标工程）；</w:t>
      </w:r>
    </w:p>
    <w:p w14:paraId="09E433C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投标文件（适用于招标工程）或监理与相关服务建议书（适用于非招标工程）；</w:t>
      </w:r>
    </w:p>
    <w:p w14:paraId="0A2E6BDF">
      <w:p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专用条件；</w:t>
      </w:r>
    </w:p>
    <w:p w14:paraId="387347D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通用条件；</w:t>
      </w:r>
    </w:p>
    <w:p w14:paraId="6CB8C1C2">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附录，即：</w:t>
      </w:r>
    </w:p>
    <w:p w14:paraId="503A70E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附录  委托人派遣的人员和提供的</w:t>
      </w:r>
      <w:r>
        <w:rPr>
          <w:rFonts w:hint="eastAsia" w:ascii="宋体" w:hAnsi="宋体" w:eastAsia="宋体" w:cs="宋体"/>
          <w:bCs/>
          <w:color w:val="auto"/>
          <w:sz w:val="21"/>
          <w:szCs w:val="21"/>
          <w:highlight w:val="none"/>
        </w:rPr>
        <w:t>房屋、资料</w:t>
      </w:r>
      <w:r>
        <w:rPr>
          <w:rFonts w:hint="eastAsia" w:ascii="宋体" w:hAnsi="宋体" w:eastAsia="宋体" w:cs="宋体"/>
          <w:color w:val="auto"/>
          <w:sz w:val="21"/>
          <w:szCs w:val="21"/>
          <w:highlight w:val="none"/>
        </w:rPr>
        <w:t>、设备。</w:t>
      </w:r>
    </w:p>
    <w:p w14:paraId="3D44B488">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本合同签订后，双方依法签订的补充协议也是本合同文件的组成部分。</w:t>
      </w:r>
    </w:p>
    <w:p w14:paraId="77DA732C">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四、总监理工程师</w:t>
      </w:r>
    </w:p>
    <w:p w14:paraId="19834927">
      <w:pPr>
        <w:adjustRightInd w:val="0"/>
        <w:snapToGrid w:val="0"/>
        <w:spacing w:line="360" w:lineRule="auto"/>
        <w:ind w:firstLine="415" w:firstLineChars="198"/>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总监理工程师姓名</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，身份证号码：</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，注册号：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458F3551">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五、签约酬金</w:t>
      </w:r>
    </w:p>
    <w:p w14:paraId="30ED4E27">
      <w:pPr>
        <w:adjustRightInd w:val="0"/>
        <w:snapToGrid w:val="0"/>
        <w:spacing w:line="500" w:lineRule="atLeast"/>
        <w:ind w:firstLine="415" w:firstLineChars="198"/>
        <w:rPr>
          <w:rFonts w:hint="eastAsia" w:ascii="宋体" w:hAnsi="宋体" w:cs="宋体"/>
          <w:color w:val="auto"/>
          <w:highlight w:val="none"/>
        </w:rPr>
      </w:pPr>
      <w:r>
        <w:rPr>
          <w:rFonts w:hint="eastAsia" w:ascii="宋体" w:hAnsi="宋体" w:cs="宋体"/>
          <w:color w:val="auto"/>
          <w:highlight w:val="none"/>
        </w:rPr>
        <w:t>签约酬金含增值税总价（大写）：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元 </w:t>
      </w:r>
      <w:r>
        <w:rPr>
          <w:rFonts w:hint="eastAsia" w:ascii="宋体" w:hAnsi="宋体" w:cs="宋体"/>
          <w:color w:val="auto"/>
          <w:highlight w:val="none"/>
        </w:rPr>
        <w:t>），不含增值税总价（大写）：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），增值税额（大写）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元（¥</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元 </w:t>
      </w:r>
      <w:r>
        <w:rPr>
          <w:rFonts w:hint="eastAsia" w:ascii="宋体" w:hAnsi="宋体" w:cs="宋体"/>
          <w:color w:val="auto"/>
          <w:highlight w:val="none"/>
        </w:rPr>
        <w:t>），增值税率</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%。（若由于国家政策因素导致税率发生变化，则税额进行相应调整），包括：</w:t>
      </w:r>
    </w:p>
    <w:p w14:paraId="207D4ED8">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1. 监理酬金：</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7BC144D5">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2. 相关服务酬金：</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58BDC55C">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最终依据审定的工程建安费结算金额，按照</w:t>
      </w:r>
      <w:r>
        <w:rPr>
          <w:rFonts w:hint="eastAsia" w:ascii="宋体" w:hAnsi="宋体" w:cs="宋体"/>
          <w:color w:val="auto"/>
          <w:highlight w:val="none"/>
          <w:lang w:val="en-US" w:eastAsia="zh-CN"/>
        </w:rPr>
        <w:t>成交</w:t>
      </w:r>
      <w:r>
        <w:rPr>
          <w:rFonts w:hint="eastAsia" w:ascii="宋体" w:hAnsi="宋体" w:cs="宋体"/>
          <w:color w:val="auto"/>
          <w:highlight w:val="none"/>
        </w:rPr>
        <w:t>监理服务费费率进行调整，</w:t>
      </w:r>
      <w:r>
        <w:rPr>
          <w:rFonts w:hint="eastAsia" w:ascii="宋体" w:hAnsi="宋体" w:cs="宋体"/>
          <w:color w:val="auto"/>
          <w:highlight w:val="none"/>
          <w:lang w:val="en-US" w:eastAsia="zh-CN"/>
        </w:rPr>
        <w:t>成交</w:t>
      </w:r>
      <w:r>
        <w:rPr>
          <w:rFonts w:hint="eastAsia" w:ascii="宋体" w:hAnsi="宋体" w:cs="宋体"/>
          <w:color w:val="auto"/>
          <w:highlight w:val="none"/>
        </w:rPr>
        <w:t>监理服务费费率为：</w:t>
      </w:r>
      <w:r>
        <w:rPr>
          <w:rFonts w:hint="eastAsia" w:ascii="宋体" w:hAnsi="宋体" w:cs="宋体"/>
          <w:color w:val="auto"/>
          <w:highlight w:val="none"/>
          <w:u w:val="single"/>
        </w:rPr>
        <w:t xml:space="preserve">     </w:t>
      </w:r>
      <w:r>
        <w:rPr>
          <w:rFonts w:hint="eastAsia" w:ascii="宋体" w:hAnsi="宋体" w:cs="宋体"/>
          <w:color w:val="auto"/>
          <w:highlight w:val="none"/>
        </w:rPr>
        <w:t>%。</w:t>
      </w:r>
    </w:p>
    <w:p w14:paraId="6AED12B0">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具体结算方式如下：</w:t>
      </w:r>
    </w:p>
    <w:p w14:paraId="44460746">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结算监理服务费＝审定的工程建安费结算金额×</w:t>
      </w:r>
      <w:r>
        <w:rPr>
          <w:rFonts w:hint="eastAsia" w:ascii="宋体" w:hAnsi="宋体" w:cs="宋体"/>
          <w:color w:val="auto"/>
          <w:highlight w:val="none"/>
          <w:lang w:val="en-US" w:eastAsia="zh-CN"/>
        </w:rPr>
        <w:t>成交</w:t>
      </w:r>
      <w:r>
        <w:rPr>
          <w:rFonts w:hint="eastAsia" w:ascii="宋体" w:hAnsi="宋体" w:cs="宋体"/>
          <w:color w:val="auto"/>
          <w:highlight w:val="none"/>
        </w:rPr>
        <w:t>监理服务费费率</w:t>
      </w:r>
      <w:r>
        <w:rPr>
          <w:rFonts w:hint="eastAsia" w:ascii="宋体" w:hAnsi="宋体" w:cs="宋体"/>
          <w:color w:val="auto"/>
          <w:highlight w:val="none"/>
          <w:u w:val="single"/>
        </w:rPr>
        <w:t xml:space="preserve">    </w:t>
      </w:r>
      <w:r>
        <w:rPr>
          <w:rFonts w:hint="eastAsia" w:ascii="宋体" w:hAnsi="宋体" w:cs="宋体"/>
          <w:color w:val="auto"/>
          <w:highlight w:val="none"/>
        </w:rPr>
        <w:t>%。</w:t>
      </w:r>
    </w:p>
    <w:p w14:paraId="1DAD3444">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注：签约酬金为暂定合同金额，最终结算以费率据实结算，详见本合同专用条款相关内容。</w:t>
      </w:r>
    </w:p>
    <w:p w14:paraId="14C3347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六、期限</w:t>
      </w:r>
    </w:p>
    <w:p w14:paraId="547D6FEE">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日历天(具体开工日期以发包人书面通知为准，监理服务期与施工工期同步，自开工之日起至工程保修期满为止;施工工期延长的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施工和保修阶段监理服务期均顺延且不增加监理费用）。</w:t>
      </w:r>
    </w:p>
    <w:p w14:paraId="1BC0C41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七、双方承诺</w:t>
      </w:r>
    </w:p>
    <w:p w14:paraId="72381FBF">
      <w:pPr>
        <w:adjustRightInd w:val="0"/>
        <w:snapToGrid w:val="0"/>
        <w:spacing w:line="360" w:lineRule="auto"/>
        <w:ind w:firstLine="415" w:firstLineChars="198"/>
        <w:outlineLvl w:val="2"/>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1. 监理人向委托人承诺，按照本合同约定</w:t>
      </w:r>
      <w:r>
        <w:rPr>
          <w:rFonts w:hint="eastAsia" w:ascii="宋体" w:hAnsi="宋体" w:eastAsia="宋体" w:cs="宋体"/>
          <w:color w:val="auto"/>
          <w:kern w:val="0"/>
          <w:sz w:val="21"/>
          <w:szCs w:val="21"/>
          <w:highlight w:val="none"/>
        </w:rPr>
        <w:t>提供</w:t>
      </w:r>
      <w:r>
        <w:rPr>
          <w:rFonts w:hint="eastAsia" w:ascii="宋体" w:hAnsi="宋体" w:eastAsia="宋体" w:cs="宋体"/>
          <w:color w:val="auto"/>
          <w:sz w:val="21"/>
          <w:szCs w:val="21"/>
          <w:highlight w:val="none"/>
        </w:rPr>
        <w:t>监理与相关服务。</w:t>
      </w:r>
    </w:p>
    <w:p w14:paraId="6520016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八、合同订立</w:t>
      </w:r>
    </w:p>
    <w:p w14:paraId="27ADBEA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订立时间：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B5DF4C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订立地点：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4A4C70">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正本贰份，委托人及监理人各执一份；副本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份，委托人执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份，监理人执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p>
    <w:p w14:paraId="16C171AF">
      <w:pPr>
        <w:adjustRightInd w:val="0"/>
        <w:snapToGrid w:val="0"/>
        <w:spacing w:line="360" w:lineRule="auto"/>
        <w:ind w:firstLine="415" w:firstLineChars="198"/>
        <w:rPr>
          <w:rFonts w:hint="eastAsia" w:ascii="宋体" w:hAnsi="宋体" w:eastAsia="宋体" w:cs="宋体"/>
          <w:color w:val="auto"/>
          <w:sz w:val="21"/>
          <w:szCs w:val="21"/>
          <w:highlight w:val="none"/>
        </w:rPr>
      </w:pPr>
    </w:p>
    <w:p w14:paraId="6ECF5355">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w:t>
      </w:r>
      <w:r>
        <w:rPr>
          <w:rFonts w:hint="eastAsia" w:ascii="宋体" w:hAnsi="宋体" w:eastAsia="宋体" w:cs="宋体"/>
          <w:color w:val="auto"/>
          <w:sz w:val="21"/>
          <w:szCs w:val="21"/>
          <w:highlight w:val="none"/>
          <w:u w:val="single"/>
        </w:rPr>
        <w:t xml:space="preserve">   （盖章）         </w:t>
      </w:r>
      <w:r>
        <w:rPr>
          <w:rFonts w:hint="eastAsia" w:ascii="宋体" w:hAnsi="宋体" w:eastAsia="宋体" w:cs="宋体"/>
          <w:color w:val="auto"/>
          <w:sz w:val="21"/>
          <w:szCs w:val="21"/>
          <w:highlight w:val="none"/>
        </w:rPr>
        <w:t xml:space="preserve">        监理人：</w:t>
      </w:r>
      <w:r>
        <w:rPr>
          <w:rFonts w:hint="eastAsia" w:ascii="宋体" w:hAnsi="宋体" w:eastAsia="宋体" w:cs="宋体"/>
          <w:color w:val="auto"/>
          <w:sz w:val="21"/>
          <w:szCs w:val="21"/>
          <w:highlight w:val="none"/>
          <w:u w:val="single"/>
        </w:rPr>
        <w:t xml:space="preserve">     （盖章）        </w:t>
      </w:r>
    </w:p>
    <w:p w14:paraId="0907850C">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住所：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住所： </w:t>
      </w:r>
      <w:r>
        <w:rPr>
          <w:rFonts w:hint="eastAsia" w:ascii="宋体" w:hAnsi="宋体" w:eastAsia="宋体" w:cs="宋体"/>
          <w:color w:val="auto"/>
          <w:sz w:val="21"/>
          <w:szCs w:val="21"/>
          <w:highlight w:val="none"/>
          <w:u w:val="single"/>
        </w:rPr>
        <w:t xml:space="preserve">                      </w:t>
      </w:r>
    </w:p>
    <w:p w14:paraId="2AAEF48E">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24525A4C">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法定代表人或其授权                  法定代表人或其授权</w:t>
      </w:r>
    </w:p>
    <w:p w14:paraId="7BD63752">
      <w:pPr>
        <w:adjustRightInd w:val="0"/>
        <w:snapToGrid w:val="0"/>
        <w:spacing w:line="360" w:lineRule="auto"/>
        <w:ind w:firstLine="415" w:firstLineChars="198"/>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p>
    <w:p w14:paraId="22B3D9F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14:paraId="178F87D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账号：</w:t>
      </w:r>
      <w:r>
        <w:rPr>
          <w:rFonts w:hint="eastAsia" w:ascii="宋体" w:hAnsi="宋体" w:eastAsia="宋体" w:cs="宋体"/>
          <w:color w:val="auto"/>
          <w:sz w:val="21"/>
          <w:szCs w:val="21"/>
          <w:highlight w:val="none"/>
          <w:u w:val="single"/>
        </w:rPr>
        <w:t xml:space="preserve">                       </w:t>
      </w:r>
    </w:p>
    <w:p w14:paraId="314086C4">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电话：</w:t>
      </w:r>
      <w:r>
        <w:rPr>
          <w:rFonts w:hint="eastAsia" w:ascii="宋体" w:hAnsi="宋体" w:eastAsia="宋体" w:cs="宋体"/>
          <w:color w:val="auto"/>
          <w:sz w:val="21"/>
          <w:szCs w:val="21"/>
          <w:highlight w:val="none"/>
          <w:u w:val="single"/>
        </w:rPr>
        <w:t xml:space="preserve">                       </w:t>
      </w:r>
    </w:p>
    <w:p w14:paraId="50AC3A87">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传真：</w:t>
      </w:r>
      <w:r>
        <w:rPr>
          <w:rFonts w:hint="eastAsia" w:ascii="宋体" w:hAnsi="宋体" w:eastAsia="宋体" w:cs="宋体"/>
          <w:color w:val="auto"/>
          <w:sz w:val="21"/>
          <w:szCs w:val="21"/>
          <w:highlight w:val="none"/>
          <w:u w:val="single"/>
        </w:rPr>
        <w:t xml:space="preserve">                       </w:t>
      </w:r>
    </w:p>
    <w:p w14:paraId="0D86C307">
      <w:pPr>
        <w:adjustRightInd w:val="0"/>
        <w:snapToGrid w:val="0"/>
        <w:spacing w:line="360" w:lineRule="auto"/>
        <w:ind w:firstLine="415" w:firstLineChars="198"/>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电子邮箱：</w:t>
      </w:r>
      <w:r>
        <w:rPr>
          <w:rFonts w:hint="eastAsia" w:ascii="宋体" w:hAnsi="宋体" w:eastAsia="宋体" w:cs="宋体"/>
          <w:color w:val="auto"/>
          <w:sz w:val="21"/>
          <w:szCs w:val="21"/>
          <w:highlight w:val="none"/>
          <w:u w:val="single"/>
        </w:rPr>
        <w:t xml:space="preserve">                   </w:t>
      </w:r>
    </w:p>
    <w:p w14:paraId="64214B3C">
      <w:pPr>
        <w:jc w:val="center"/>
        <w:rPr>
          <w:rFonts w:hint="eastAsia" w:ascii="宋体" w:hAnsi="宋体" w:cs="宋体"/>
          <w:b/>
          <w:color w:val="auto"/>
          <w:sz w:val="32"/>
          <w:szCs w:val="32"/>
          <w:highlight w:val="none"/>
        </w:rPr>
      </w:pPr>
      <w:r>
        <w:rPr>
          <w:rFonts w:hint="eastAsia" w:ascii="楷体" w:hAnsi="楷体" w:eastAsia="楷体" w:cs="楷体"/>
          <w:color w:val="auto"/>
          <w:sz w:val="24"/>
          <w:szCs w:val="24"/>
          <w:highlight w:val="none"/>
        </w:rPr>
        <w:br w:type="page"/>
      </w:r>
      <w:r>
        <w:rPr>
          <w:rFonts w:hint="eastAsia" w:ascii="宋体" w:hAnsi="宋体" w:cs="宋体"/>
          <w:b/>
          <w:color w:val="auto"/>
          <w:sz w:val="32"/>
          <w:szCs w:val="32"/>
          <w:highlight w:val="none"/>
        </w:rPr>
        <w:t>第二部分  通用条件</w:t>
      </w:r>
    </w:p>
    <w:p w14:paraId="32A58FA6">
      <w:pPr>
        <w:spacing w:line="500" w:lineRule="exact"/>
        <w:rPr>
          <w:rFonts w:hint="eastAsia" w:ascii="宋体" w:hAnsi="宋体" w:cs="宋体"/>
          <w:b/>
          <w:color w:val="auto"/>
          <w:highlight w:val="none"/>
        </w:rPr>
      </w:pPr>
      <w:r>
        <w:rPr>
          <w:rFonts w:hint="eastAsia" w:ascii="宋体" w:hAnsi="宋体" w:cs="宋体"/>
          <w:b/>
          <w:color w:val="auto"/>
          <w:highlight w:val="none"/>
        </w:rPr>
        <w:t>1. 定义与解释</w:t>
      </w:r>
    </w:p>
    <w:p w14:paraId="47A32911">
      <w:pPr>
        <w:spacing w:line="500" w:lineRule="exact"/>
        <w:ind w:firstLine="422" w:firstLineChars="200"/>
        <w:rPr>
          <w:rFonts w:hint="eastAsia" w:ascii="宋体" w:hAnsi="宋体" w:cs="宋体"/>
          <w:b/>
          <w:bCs/>
          <w:color w:val="auto"/>
          <w:highlight w:val="none"/>
        </w:rPr>
      </w:pPr>
      <w:r>
        <w:rPr>
          <w:rFonts w:hint="eastAsia" w:ascii="宋体" w:hAnsi="宋体" w:cs="宋体"/>
          <w:b/>
          <w:color w:val="auto"/>
          <w:highlight w:val="none"/>
        </w:rPr>
        <w:t xml:space="preserve">1.1 </w:t>
      </w:r>
      <w:r>
        <w:rPr>
          <w:rFonts w:hint="eastAsia" w:ascii="宋体" w:hAnsi="宋体" w:cs="宋体"/>
          <w:b/>
          <w:bCs/>
          <w:color w:val="auto"/>
          <w:highlight w:val="none"/>
        </w:rPr>
        <w:t>定义</w:t>
      </w:r>
    </w:p>
    <w:p w14:paraId="2EFBA33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除根据上下文另有其意义外，组成本合同的全部文件中的下列名词和用语应具有本款所赋予的含义：</w:t>
      </w:r>
    </w:p>
    <w:p w14:paraId="537B191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 “工程”是指按照本合同约定实施监理与相关服务的建设工程。</w:t>
      </w:r>
    </w:p>
    <w:p w14:paraId="247BB37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1.1.2 “委托人”是指本合同中委托监理与相关服务的一方，及其合法的继承人或受让人。</w:t>
      </w:r>
    </w:p>
    <w:p w14:paraId="0393635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1.1.3 “监理人”是指本合同中提供监理与相关服务的一方，及其合法的继承人。</w:t>
      </w:r>
    </w:p>
    <w:p w14:paraId="4ED7391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1.1.4 “承包人”是指在工程范围内与委托人签订勘察、设计、施工等有关合同的当事人，及其合法的继承人。</w:t>
      </w:r>
    </w:p>
    <w:p w14:paraId="132DE91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A330AB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1.1.6 “相关服务”是指监理人受委托人的委托 ，按照本合同约定，在勘察、设计、保修等阶段提供的服务活动。</w:t>
      </w:r>
    </w:p>
    <w:p w14:paraId="09DB626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1.1.7 “正常工作”指本合同订立时通用条件和专用条件中约定的监理人的工作。</w:t>
      </w:r>
    </w:p>
    <w:p w14:paraId="2B77297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1.1.8 “附加工作”是指本合同约定的正常工作以外监理人的工作。</w:t>
      </w:r>
    </w:p>
    <w:p w14:paraId="6BA0AE8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1.1.9 “项目监理机构”是指监理人派驻工程负责履行本合同的组织机构。</w:t>
      </w:r>
    </w:p>
    <w:p w14:paraId="13623DB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1.1.10 “总监理工程师”是指由监理人的法定代表人书面授权，全面负责履行本合同、主持项目监理机构工作的注册监理工程师。</w:t>
      </w:r>
    </w:p>
    <w:p w14:paraId="00F517A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1.1.11 “酬金”是指监理人履行本合同义务，委托人按照本合同约定给付监理人的金额。</w:t>
      </w:r>
    </w:p>
    <w:p w14:paraId="687385C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1.1.12 “正常工作酬金”是指监理人完成正常工作，委托人应给付监理人并在协议书中载明的签约酬金额。</w:t>
      </w:r>
    </w:p>
    <w:p w14:paraId="5A2A524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1.1.13 “附加工作酬金”是指监理人完成附加工作，委托人应给付监理人的金额。</w:t>
      </w:r>
    </w:p>
    <w:p w14:paraId="41CB06B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1.1.14 “一方”是指委托人或监理人；“双方”是指委托人和监理人；“第三方”是指除委托人和监理人以外的有关方。</w:t>
      </w:r>
    </w:p>
    <w:p w14:paraId="32D35DF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1.1.15 “书面形式”是指合同书、信件和数据电文（包括电报、电传、传真、电子数据交换和电子邮件）等可以有形地表现所载内容的形式。</w:t>
      </w:r>
    </w:p>
    <w:p w14:paraId="4138BD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1.1.16 “天”是指第一天零时至第二天零时的时间。</w:t>
      </w:r>
    </w:p>
    <w:p w14:paraId="69A741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1.1.17“月”是指按公历从一个月中任何一天开始的一个公历月时间。</w:t>
      </w:r>
    </w:p>
    <w:p w14:paraId="7C0D3E5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1A509C1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1.2 解释</w:t>
      </w:r>
    </w:p>
    <w:p w14:paraId="7135BFE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1.2.1本合同使用中文书写、解释和说明。如专用条件约定使用两种及以上语言文字时，应以中文为准。</w:t>
      </w:r>
    </w:p>
    <w:p w14:paraId="3FE087C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1.2.2 组成本合同的下列文件彼此应能相互解释、互为说明。除专用条件另有约定外，本合同文件的解释顺序如下：</w:t>
      </w:r>
    </w:p>
    <w:p w14:paraId="7F7D842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（1）协议书；</w:t>
      </w:r>
    </w:p>
    <w:p w14:paraId="353C26E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（2）中标通知书（适用于招标工程）或委托书（适用于非招标工程）；</w:t>
      </w:r>
    </w:p>
    <w:p w14:paraId="2771F3E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（3）专用条件及附录；</w:t>
      </w:r>
    </w:p>
    <w:p w14:paraId="7C9A9C2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（4）通用条件；</w:t>
      </w:r>
    </w:p>
    <w:p w14:paraId="6623AA5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（5）投标文件（适用于招标工程）或监理与相关服务建议书（适用于非招标工程）。</w:t>
      </w:r>
    </w:p>
    <w:p w14:paraId="296A287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双方签订的补充协议与其他文件发生矛盾或歧义时，属于同一类内容的文件，应以最新签署的为准。</w:t>
      </w:r>
    </w:p>
    <w:p w14:paraId="3F56EF9A">
      <w:pPr>
        <w:spacing w:line="500" w:lineRule="exact"/>
        <w:rPr>
          <w:rFonts w:hint="eastAsia" w:ascii="宋体" w:hAnsi="宋体" w:cs="宋体"/>
          <w:b/>
          <w:color w:val="auto"/>
          <w:highlight w:val="none"/>
        </w:rPr>
      </w:pPr>
      <w:r>
        <w:rPr>
          <w:rFonts w:hint="eastAsia" w:ascii="宋体" w:hAnsi="宋体" w:cs="宋体"/>
          <w:b/>
          <w:color w:val="auto"/>
          <w:highlight w:val="none"/>
        </w:rPr>
        <w:t>2. 监理人的义务</w:t>
      </w:r>
    </w:p>
    <w:p w14:paraId="300F4636">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2.1 监理的范围和工作内容</w:t>
      </w:r>
    </w:p>
    <w:p w14:paraId="4FD55C6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2.1.1 监理范围在专用条件中约定。</w:t>
      </w:r>
    </w:p>
    <w:p w14:paraId="5E02CC0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2.1.2 除专用条件另有约定外，监理工作内容包括：</w:t>
      </w:r>
    </w:p>
    <w:p w14:paraId="405B5E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（1）收到工程设计文件后编制监理规划，并在第一次工地会议7天前报委托人。根据有关规定和监理工作需要，编制监理实施细则；</w:t>
      </w:r>
    </w:p>
    <w:p w14:paraId="22725A4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（2）熟悉工程设计文件，并参加由委托人主持的图纸会审和设计交底会议；</w:t>
      </w:r>
    </w:p>
    <w:p w14:paraId="1D5264B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（3）参加由委托人主持的第一次工地会议；主持监理例会并根据工程需要主持或参加专题会议；</w:t>
      </w:r>
    </w:p>
    <w:p w14:paraId="22D9003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（4）审查施工承包人提交的施工组织设计，重点审查其中的质量安全技术措施、专项施工方案与工程建设强制性标准的符合性；</w:t>
      </w:r>
    </w:p>
    <w:p w14:paraId="7992B2F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 xml:space="preserve">（5）检查施工承包人工程质量、安全生产管理制度及组织机构和人员资格； </w:t>
      </w:r>
    </w:p>
    <w:p w14:paraId="47F7F9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（6）检查施工承包人专职安全生产管理人员的配备情况；</w:t>
      </w:r>
    </w:p>
    <w:p w14:paraId="7C282CB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（7）审查施工承包人提交的施工进度计划，核查承包人对施工进度计划的调整；</w:t>
      </w:r>
    </w:p>
    <w:p w14:paraId="7EF3CBA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（8）检查施工承包人的试验室；</w:t>
      </w:r>
    </w:p>
    <w:p w14:paraId="171FBF3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（9）审核施工分包人资质条件；</w:t>
      </w:r>
    </w:p>
    <w:p w14:paraId="4133350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（10）查验施工承包人的施工测量放线成果；</w:t>
      </w:r>
    </w:p>
    <w:p w14:paraId="5016C90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（11）审查工程开工条件，对条件具备的签发开工令；</w:t>
      </w:r>
    </w:p>
    <w:p w14:paraId="72D9693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（12）审查施工承包人报送的工程材料、构配件、设备质量证明文件的有效性和符合性，并按规定对用于工程的材料采取平行检验或见证取样方式进行抽检；</w:t>
      </w:r>
    </w:p>
    <w:p w14:paraId="23AA5D6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（13）审核施工承包人提交的工程款支付申请，签发或出具工程款支付证书，并报委托人审核、批准；</w:t>
      </w:r>
    </w:p>
    <w:p w14:paraId="6DD04E7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（14）在巡视、旁站和检验过程中，发现工程质量、施工安全存在事故隐患的，要求施工承包人整改并报委托人；</w:t>
      </w:r>
    </w:p>
    <w:p w14:paraId="0E1140D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（15）经委托人同意，签发工程暂停令和复工令；</w:t>
      </w:r>
    </w:p>
    <w:p w14:paraId="0DF0D90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（16）审查施工承包人提交的采用新材料、新工艺、新技术、新设备的论证材料及相关验收标准；</w:t>
      </w:r>
    </w:p>
    <w:p w14:paraId="07B16E8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（17）验收隐蔽工程、分部分项工程；</w:t>
      </w:r>
    </w:p>
    <w:p w14:paraId="125EF08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（18）审查施工承包人提交的工程变更申请，协调处理施工进度调整、费用索赔、合同争议等事项；</w:t>
      </w:r>
    </w:p>
    <w:p w14:paraId="7F026BA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（19）审查施工承包人提交的竣工验收申请，编写工程质量评估报告；</w:t>
      </w:r>
    </w:p>
    <w:p w14:paraId="452B880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（20）参加工程竣工验收，签署竣工验收意见；</w:t>
      </w:r>
    </w:p>
    <w:p w14:paraId="084DEAD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（21）审查施工承包人提交的竣工结算申请并报委托人；</w:t>
      </w:r>
    </w:p>
    <w:p w14:paraId="654E3BD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（22）编制、整理工程监理归档文件并报委托人。</w:t>
      </w:r>
    </w:p>
    <w:p w14:paraId="68F4B21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2.1.3 相关服务的范围和内容在专用条款中约定。</w:t>
      </w:r>
    </w:p>
    <w:p w14:paraId="2E76C16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2.2 监理与相关服务依据</w:t>
      </w:r>
    </w:p>
    <w:p w14:paraId="35C0724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2.2.1 监理依据包括：</w:t>
      </w:r>
    </w:p>
    <w:p w14:paraId="26DE10E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（1）适用的法律、行政法规及部门规章；</w:t>
      </w:r>
    </w:p>
    <w:p w14:paraId="217A26F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（2）与工程有关的标准；</w:t>
      </w:r>
    </w:p>
    <w:p w14:paraId="6092CBB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（3）工程设计及有关文件；</w:t>
      </w:r>
    </w:p>
    <w:p w14:paraId="6518F92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（4）本合同及委托人与第三方签订的与实施工程有关的其他合同。</w:t>
      </w:r>
    </w:p>
    <w:p w14:paraId="38FD26B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双方根据工程的行业和地域特点，在专用条件中具体约定监理依据。</w:t>
      </w:r>
    </w:p>
    <w:p w14:paraId="111336E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2.2.2 相关服务依据在专用条件中约定。</w:t>
      </w:r>
    </w:p>
    <w:p w14:paraId="77C283E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2.3 项目监理机构和人员</w:t>
      </w:r>
    </w:p>
    <w:p w14:paraId="061AFAB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2.3.1 监理人应组建满足工作需要的项目监理机构，配备必要的检测设备。项目监理机构的主要人员应具有相应的资格条件。</w:t>
      </w:r>
    </w:p>
    <w:p w14:paraId="12AF253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2.3.2本合同履行过程中，总监理工程师及重要岗位监理人员应保持相对稳定，以保证监理工作正常进行。</w:t>
      </w:r>
    </w:p>
    <w:p w14:paraId="48558DA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757EB50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2.3.4 监理人应及时更换有下列情形之一的监理人员：</w:t>
      </w:r>
    </w:p>
    <w:p w14:paraId="0D6CDC9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（1）严重过失行为的；</w:t>
      </w:r>
    </w:p>
    <w:p w14:paraId="28D8391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（2）有违法行为不能履行职责的；</w:t>
      </w:r>
    </w:p>
    <w:p w14:paraId="0572D44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（3）涉嫌犯罪的；</w:t>
      </w:r>
    </w:p>
    <w:p w14:paraId="0550BFA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（4）不能胜任岗位职责的；</w:t>
      </w:r>
    </w:p>
    <w:p w14:paraId="49BB350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（5）严重违反职业道德的；</w:t>
      </w:r>
    </w:p>
    <w:p w14:paraId="224A8B4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（6）专用条件约定的其他情形。</w:t>
      </w:r>
    </w:p>
    <w:p w14:paraId="1DE289A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2.3.5 委托人可要求监理人更换不能胜任本职工作的项目监理机构人员。</w:t>
      </w:r>
    </w:p>
    <w:p w14:paraId="2D51F34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2.4 履行职责</w:t>
      </w:r>
    </w:p>
    <w:p w14:paraId="49B61DA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监理人应遵循职业道德准则和行为规范，严格按照法律法规、工程建设有关标准及本合同履行职责。</w:t>
      </w:r>
    </w:p>
    <w:p w14:paraId="149654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2.4.1 在监理与相关服务范围内，委托人和承包人提出的意见和要求，监理人应及时提出处置意见。当委托人与承包人之间发生合同争议时，监理人应协助委托人、承包人协商解决。</w:t>
      </w:r>
    </w:p>
    <w:p w14:paraId="4D705B7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2.4.2 当委托人与承包人之间的合同争议提交仲裁机构仲裁或人民法院审理时，监理人应提供必要的证明资料。</w:t>
      </w:r>
    </w:p>
    <w:p w14:paraId="4AD6801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2.4.3 监理人应在专用条件约定的授权范围内，处理委托人与承包人所签订合同的变更事宜。如果变更超过授权范围，应以书面形式报委托人批准。</w:t>
      </w:r>
    </w:p>
    <w:p w14:paraId="45F94C9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在紧急情况下，为了保护财产和人身安全，监理人所发出的指令未能事先报委托人批准时，应在发出指令后的24小时内以书面形式报委托人。</w:t>
      </w:r>
    </w:p>
    <w:p w14:paraId="35617B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2.4.4 除专用条件另有约定外，监理人发现承包人的人员不能胜任本职工作的，有权要求承包人予以调换。</w:t>
      </w:r>
    </w:p>
    <w:p w14:paraId="425EA10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2.5 提交报告</w:t>
      </w:r>
    </w:p>
    <w:p w14:paraId="5A9B58A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监理人应按专用条件约定的种类、时间和份数向委托人提交监理与相关服务的报告。</w:t>
      </w:r>
    </w:p>
    <w:p w14:paraId="0CAA3F89">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2.6 文件资料</w:t>
      </w:r>
    </w:p>
    <w:p w14:paraId="0EA1E23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在本合同履行期内，监理人应在现场保留工作所用的图纸、报告及记录监理工</w:t>
      </w:r>
      <w:r>
        <w:rPr>
          <w:rFonts w:hint="eastAsia" w:ascii="宋体" w:hAnsi="宋体" w:cs="宋体"/>
          <w:color w:val="auto"/>
          <w:highlight w:val="none"/>
        </w:rPr>
        <w:t>作的相关文件。工程竣工后，应当按照档案管理规定将监理有关文件归档。</w:t>
      </w:r>
    </w:p>
    <w:p w14:paraId="5DAB3AC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2.7 使用委托人的财产</w:t>
      </w:r>
    </w:p>
    <w:p w14:paraId="70E4158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无偿使用附录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7526ECA5">
      <w:pPr>
        <w:spacing w:line="500" w:lineRule="exact"/>
        <w:rPr>
          <w:rFonts w:hint="eastAsia" w:ascii="宋体" w:hAnsi="宋体" w:cs="宋体"/>
          <w:b/>
          <w:color w:val="auto"/>
          <w:kern w:val="0"/>
          <w:highlight w:val="none"/>
        </w:rPr>
      </w:pPr>
      <w:r>
        <w:rPr>
          <w:rFonts w:hint="eastAsia" w:ascii="宋体" w:hAnsi="宋体" w:cs="宋体"/>
          <w:b/>
          <w:color w:val="auto"/>
          <w:kern w:val="0"/>
          <w:highlight w:val="none"/>
        </w:rPr>
        <w:t>3．委托人的义务</w:t>
      </w:r>
    </w:p>
    <w:p w14:paraId="4EDFA0E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3.1 告知</w:t>
      </w:r>
    </w:p>
    <w:p w14:paraId="28FCF17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委托人应在委托人与承包人签订的合同中明确监理人</w:t>
      </w:r>
      <w:r>
        <w:rPr>
          <w:rFonts w:hint="eastAsia" w:ascii="宋体" w:hAnsi="宋体" w:cs="宋体"/>
          <w:color w:val="auto"/>
          <w:kern w:val="0"/>
          <w:highlight w:val="none"/>
        </w:rPr>
        <w:t>、总监理工程师和授予项目监理机构的权限。如有变更，应及时通知承包人。</w:t>
      </w:r>
    </w:p>
    <w:p w14:paraId="0615A88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3.2 提供资料</w:t>
      </w:r>
    </w:p>
    <w:p w14:paraId="0D253C4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委托人应按照附录约定</w:t>
      </w:r>
      <w:r>
        <w:rPr>
          <w:rFonts w:hint="eastAsia" w:ascii="宋体" w:hAnsi="宋体" w:cs="宋体"/>
          <w:color w:val="auto"/>
          <w:kern w:val="0"/>
          <w:highlight w:val="none"/>
        </w:rPr>
        <w:t>，无偿向监理人提供工程有关的资料。</w:t>
      </w:r>
      <w:r>
        <w:rPr>
          <w:rFonts w:hint="eastAsia" w:ascii="宋体" w:hAnsi="宋体" w:cs="宋体"/>
          <w:color w:val="auto"/>
          <w:highlight w:val="none"/>
        </w:rPr>
        <w:t>在本合同履行过程中，委托人应及时向监理人提供最新的与工程有关的资料。</w:t>
      </w:r>
    </w:p>
    <w:p w14:paraId="4198BE0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3.3 提供工作条件</w:t>
      </w:r>
    </w:p>
    <w:p w14:paraId="7F2E2E4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委托人应为监理人完成监理与相关服务提供必要的条件。</w:t>
      </w:r>
    </w:p>
    <w:p w14:paraId="58B89D1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 xml:space="preserve">3.3.1 </w:t>
      </w:r>
      <w:r>
        <w:rPr>
          <w:rFonts w:hint="eastAsia" w:ascii="宋体" w:hAnsi="宋体" w:cs="宋体"/>
          <w:color w:val="auto"/>
          <w:highlight w:val="none"/>
        </w:rPr>
        <w:t>委托人应按照附录约定，派遣相应的人员，提供房屋、设备，供监理人</w:t>
      </w:r>
      <w:r>
        <w:rPr>
          <w:rFonts w:hint="eastAsia" w:ascii="宋体" w:hAnsi="宋体" w:cs="宋体"/>
          <w:color w:val="auto"/>
          <w:kern w:val="0"/>
          <w:highlight w:val="none"/>
        </w:rPr>
        <w:t>无偿</w:t>
      </w:r>
      <w:r>
        <w:rPr>
          <w:rFonts w:hint="eastAsia" w:ascii="宋体" w:hAnsi="宋体" w:cs="宋体"/>
          <w:color w:val="auto"/>
          <w:highlight w:val="none"/>
        </w:rPr>
        <w:t>使用。</w:t>
      </w:r>
    </w:p>
    <w:p w14:paraId="5D2DC80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 xml:space="preserve">3.3.2 </w:t>
      </w:r>
      <w:r>
        <w:rPr>
          <w:rFonts w:hint="eastAsia" w:ascii="宋体" w:hAnsi="宋体" w:cs="宋体"/>
          <w:color w:val="auto"/>
          <w:highlight w:val="none"/>
        </w:rPr>
        <w:t>委托人应负责协调工程建设中所有外部关系，为监理人履行本合同提供必要的外部条件。</w:t>
      </w:r>
    </w:p>
    <w:p w14:paraId="288990E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3.4 委托人代表</w:t>
      </w:r>
    </w:p>
    <w:p w14:paraId="2C3F3D9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64E68AC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3.5 委托人意见或要求</w:t>
      </w:r>
    </w:p>
    <w:p w14:paraId="799871B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在本合同约定的监理与相关服务工作范围内，委托人对承包人的任何意见或要求应通知监理人，由监理人向承包人发出相应指令。</w:t>
      </w:r>
    </w:p>
    <w:p w14:paraId="25AD0C9F">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3.6 答复</w:t>
      </w:r>
    </w:p>
    <w:p w14:paraId="22A97BE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委托人应在专用条件约定的时间内，对监理人以书面形式提交并要求作出决定的事宜，给予书面答复。</w:t>
      </w:r>
    </w:p>
    <w:p w14:paraId="4C3E580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3.7 支付</w:t>
      </w:r>
    </w:p>
    <w:p w14:paraId="10975B3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委托人应按本合同约定，向监理人支付酬金。</w:t>
      </w:r>
    </w:p>
    <w:p w14:paraId="7766361A">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4. 违约责任</w:t>
      </w:r>
    </w:p>
    <w:p w14:paraId="3306C6E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4.1 监理人的违约责任</w:t>
      </w:r>
    </w:p>
    <w:p w14:paraId="1C43E1A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监理人未履行本合同义务的</w:t>
      </w:r>
      <w:r>
        <w:rPr>
          <w:rFonts w:hint="eastAsia" w:ascii="宋体" w:hAnsi="宋体" w:cs="宋体"/>
          <w:color w:val="auto"/>
          <w:kern w:val="0"/>
          <w:highlight w:val="none"/>
        </w:rPr>
        <w:t>，应承担相应的责任。</w:t>
      </w:r>
    </w:p>
    <w:p w14:paraId="5D3DA901">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 xml:space="preserve">4.1.1 </w:t>
      </w:r>
      <w:r>
        <w:rPr>
          <w:rFonts w:hint="eastAsia" w:ascii="宋体" w:hAnsi="宋体" w:cs="宋体"/>
          <w:color w:val="auto"/>
          <w:highlight w:val="none"/>
        </w:rPr>
        <w:t>因监理人违反本合同约定给委托人造成损失的，监理人应当赔偿委托人损失</w:t>
      </w:r>
      <w:r>
        <w:rPr>
          <w:rFonts w:hint="eastAsia" w:ascii="宋体" w:hAnsi="宋体" w:cs="宋体"/>
          <w:color w:val="auto"/>
          <w:kern w:val="0"/>
          <w:highlight w:val="none"/>
        </w:rPr>
        <w:t>。</w:t>
      </w:r>
      <w:r>
        <w:rPr>
          <w:rFonts w:hint="eastAsia" w:ascii="宋体" w:hAnsi="宋体" w:cs="宋体"/>
          <w:color w:val="auto"/>
          <w:highlight w:val="none"/>
        </w:rPr>
        <w:t>赔偿金额的确定方法在专用条件中约定</w:t>
      </w:r>
      <w:r>
        <w:rPr>
          <w:rFonts w:hint="eastAsia" w:ascii="宋体" w:hAnsi="宋体" w:cs="宋体"/>
          <w:color w:val="auto"/>
          <w:kern w:val="0"/>
          <w:highlight w:val="none"/>
        </w:rPr>
        <w:t>。监理人承担部分赔偿责任的，其承担赔偿金额由双方协商确定。</w:t>
      </w:r>
    </w:p>
    <w:p w14:paraId="47F7DB87">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 xml:space="preserve">4.1.2 </w:t>
      </w:r>
      <w:r>
        <w:rPr>
          <w:rFonts w:hint="eastAsia" w:ascii="宋体" w:hAnsi="宋体" w:cs="宋体"/>
          <w:color w:val="auto"/>
          <w:highlight w:val="none"/>
        </w:rPr>
        <w:t>监理人向委托人的索赔不成立时</w:t>
      </w:r>
      <w:r>
        <w:rPr>
          <w:rFonts w:hint="eastAsia" w:ascii="宋体" w:hAnsi="宋体" w:cs="宋体"/>
          <w:color w:val="auto"/>
          <w:kern w:val="0"/>
          <w:highlight w:val="none"/>
        </w:rPr>
        <w:t>，监理人应赔偿委托人由此发生的费用。</w:t>
      </w:r>
    </w:p>
    <w:p w14:paraId="61DB489F">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4.2 委托人的违约责任</w:t>
      </w:r>
    </w:p>
    <w:p w14:paraId="01322F06">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委托人未履行本合同义务的</w:t>
      </w:r>
      <w:r>
        <w:rPr>
          <w:rFonts w:hint="eastAsia" w:ascii="宋体" w:hAnsi="宋体" w:cs="宋体"/>
          <w:color w:val="auto"/>
          <w:kern w:val="0"/>
          <w:highlight w:val="none"/>
        </w:rPr>
        <w:t>，应承担相应的责任。</w:t>
      </w:r>
    </w:p>
    <w:p w14:paraId="1A340847">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4.3 除外责任</w:t>
      </w:r>
    </w:p>
    <w:p w14:paraId="7DDEADE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因非监理人的原因</w:t>
      </w:r>
      <w:r>
        <w:rPr>
          <w:rFonts w:hint="eastAsia" w:ascii="宋体" w:hAnsi="宋体" w:cs="宋体"/>
          <w:color w:val="auto"/>
          <w:kern w:val="0"/>
          <w:highlight w:val="none"/>
        </w:rPr>
        <w:t>，且监理人无过错，发生工程质量事故、安全事故、工期延误等造成的损失，</w:t>
      </w:r>
      <w:r>
        <w:rPr>
          <w:rFonts w:hint="eastAsia" w:ascii="宋体" w:hAnsi="宋体" w:cs="宋体"/>
          <w:color w:val="auto"/>
          <w:highlight w:val="none"/>
        </w:rPr>
        <w:t>监理人不承担赔偿责任</w:t>
      </w:r>
      <w:r>
        <w:rPr>
          <w:rFonts w:hint="eastAsia" w:ascii="宋体" w:hAnsi="宋体" w:cs="宋体"/>
          <w:color w:val="auto"/>
          <w:kern w:val="0"/>
          <w:highlight w:val="none"/>
        </w:rPr>
        <w:t>。</w:t>
      </w:r>
    </w:p>
    <w:p w14:paraId="22E970E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因不可抗力导致本合同全部或部分不能履行时</w:t>
      </w:r>
      <w:r>
        <w:rPr>
          <w:rFonts w:hint="eastAsia" w:ascii="宋体" w:hAnsi="宋体" w:cs="宋体"/>
          <w:color w:val="auto"/>
          <w:kern w:val="0"/>
          <w:highlight w:val="none"/>
        </w:rPr>
        <w:t>，双方各自承担其因此而造成的损失、损害。</w:t>
      </w:r>
    </w:p>
    <w:p w14:paraId="237C2C5D">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5. 支付</w:t>
      </w:r>
    </w:p>
    <w:p w14:paraId="38C5731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5.1 支付货币</w:t>
      </w:r>
    </w:p>
    <w:p w14:paraId="2CF43145">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除专用条件另有约定外，酬金均以人民币支付。涉及外币支付的，所采用的货币种类、比例和汇率在专用条件中约定。</w:t>
      </w:r>
    </w:p>
    <w:p w14:paraId="7D92B8B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5.2 支付申请</w:t>
      </w:r>
    </w:p>
    <w:p w14:paraId="437DE83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监理人应在本合同约定的每次应付款时间的7天前，向委托人提交支付申请书。支付申请书应当说明当期应付款总额，并列出当期应支付的款项及其金额。</w:t>
      </w:r>
    </w:p>
    <w:p w14:paraId="0C1BC5D7">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5.3 支付酬金</w:t>
      </w:r>
    </w:p>
    <w:p w14:paraId="23F2FF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支付的酬金包括正常工作酬金、附加工作酬金、合理化建议奖励金额及费用。</w:t>
      </w:r>
    </w:p>
    <w:p w14:paraId="608DEEA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5.4 有争议部分的付款</w:t>
      </w:r>
    </w:p>
    <w:p w14:paraId="5E6AB09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53D90FD1">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6. 合同生效、变更、暂停、解除与终止</w:t>
      </w:r>
    </w:p>
    <w:p w14:paraId="62F1BDCB">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6.1生效</w:t>
      </w:r>
    </w:p>
    <w:p w14:paraId="67FCC67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除法律另有规定或者专用条件另有约定外，委托人和监理人的法定代表人或其授权代理人在协议书上签字并盖单位章后本合同生效。</w:t>
      </w:r>
    </w:p>
    <w:p w14:paraId="24E4AD9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6.2变更</w:t>
      </w:r>
    </w:p>
    <w:p w14:paraId="62C03BB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6.2.1 任何一方提出变更请求时，双方经协商一致后可进行变更。</w:t>
      </w:r>
    </w:p>
    <w:p w14:paraId="74FEFF3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530F5FB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5FEA37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6.2.4合同签订后，遇有与工程相关的法律法规、标准颁布或修订的，双方应遵照执行。由此引起监理与相关服务的范围、时间、酬金变化的，双方应通过协商进行相应调整。</w:t>
      </w:r>
    </w:p>
    <w:p w14:paraId="36DC55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6.2.5 因非监理人原因造成工程概算投资额或建筑安装工程费增加时，正常工作酬金应</w:t>
      </w:r>
      <w:r>
        <w:rPr>
          <w:rFonts w:hint="eastAsia" w:ascii="宋体" w:hAnsi="宋体" w:cs="宋体"/>
          <w:color w:val="auto"/>
          <w:highlight w:val="none"/>
          <w:lang w:eastAsia="zh-CN"/>
        </w:rPr>
        <w:t>做</w:t>
      </w:r>
      <w:r>
        <w:rPr>
          <w:rFonts w:hint="eastAsia" w:ascii="宋体" w:hAnsi="宋体" w:cs="宋体"/>
          <w:color w:val="auto"/>
          <w:highlight w:val="none"/>
        </w:rPr>
        <w:t>相应调整。调整方法在专用条件中约定。</w:t>
      </w:r>
    </w:p>
    <w:p w14:paraId="7BCEB7F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6.2.6 因工程规模、监理范围的变化导致监理人的正常工作量减少时，正常工作酬金应</w:t>
      </w:r>
      <w:r>
        <w:rPr>
          <w:rFonts w:hint="eastAsia" w:ascii="宋体" w:hAnsi="宋体" w:cs="宋体"/>
          <w:color w:val="auto"/>
          <w:highlight w:val="none"/>
          <w:lang w:eastAsia="zh-CN"/>
        </w:rPr>
        <w:t>做</w:t>
      </w:r>
      <w:r>
        <w:rPr>
          <w:rFonts w:hint="eastAsia" w:ascii="宋体" w:hAnsi="宋体" w:cs="宋体"/>
          <w:color w:val="auto"/>
          <w:highlight w:val="none"/>
        </w:rPr>
        <w:t>相应调整。调整方法在专用条件中约定。</w:t>
      </w:r>
    </w:p>
    <w:p w14:paraId="2AFA241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6.3 暂停与解除</w:t>
      </w:r>
    </w:p>
    <w:p w14:paraId="3DB082D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除双方协商一致可以解除本合同外，当一方无正当理由未履行本合同约定的义务时，另一方可以根据本合同约定暂停履行本合同直至解除本合同。</w:t>
      </w:r>
    </w:p>
    <w:p w14:paraId="6718174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6.3.1 在本合同有效期内，由于双方无法预见和控制的原因导致本合同全部或部分无法继续履行或继续履行已无意义，经双方协商一致，可以解除本合同或监理人的部分义务。在解除之前，监理人应</w:t>
      </w:r>
      <w:r>
        <w:rPr>
          <w:rFonts w:hint="eastAsia" w:ascii="宋体" w:hAnsi="宋体" w:cs="宋体"/>
          <w:color w:val="auto"/>
          <w:highlight w:val="none"/>
          <w:lang w:eastAsia="zh-CN"/>
        </w:rPr>
        <w:t>做出</w:t>
      </w:r>
      <w:r>
        <w:rPr>
          <w:rFonts w:hint="eastAsia" w:ascii="宋体" w:hAnsi="宋体" w:cs="宋体"/>
          <w:color w:val="auto"/>
          <w:highlight w:val="none"/>
        </w:rPr>
        <w:t>合理安排，使开支减至最小。</w:t>
      </w:r>
    </w:p>
    <w:p w14:paraId="54449D9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解除本合同的协议必须采取书面形式，协议未达成之前，本合同仍然有效。</w:t>
      </w:r>
    </w:p>
    <w:p w14:paraId="5DBFEEA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4EA0D20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264A2A0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33DB466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6.3.4 监理人在专用条件5.3中约定的支付之日起28天后仍未收到委托人按本合同约定应付的款项，可向委托人发出催付通知。</w:t>
      </w:r>
    </w:p>
    <w:p w14:paraId="5ED07C9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6.3.5 因不可抗力致使本合同部分或全部不能履行时，一方应立即通知另一方，可暂停或解除本合同。</w:t>
      </w:r>
    </w:p>
    <w:p w14:paraId="6511D36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6.3.6 本合同解除后，本合同约定的有关结算、清理、争议解决方式的条件仍然有效。</w:t>
      </w:r>
    </w:p>
    <w:p w14:paraId="79BF935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6.4 终止</w:t>
      </w:r>
    </w:p>
    <w:p w14:paraId="6FEB39E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以下条件全部满足时，本合同即告终止：</w:t>
      </w:r>
    </w:p>
    <w:p w14:paraId="5D5ECEE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（1）监理人完成本合同约定的全部工作；</w:t>
      </w:r>
    </w:p>
    <w:p w14:paraId="28A767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（2）委托人与监理人结清并支付全部酬金。</w:t>
      </w:r>
    </w:p>
    <w:p w14:paraId="1B3D1DBF">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7. 争议解决</w:t>
      </w:r>
    </w:p>
    <w:p w14:paraId="4F49F2E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7.1协商</w:t>
      </w:r>
    </w:p>
    <w:p w14:paraId="6F090E29">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双方应本着诚信原则协商解决彼此间的争议。</w:t>
      </w:r>
    </w:p>
    <w:p w14:paraId="187241E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7.2调解</w:t>
      </w:r>
    </w:p>
    <w:p w14:paraId="736DECF4">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如果双方不能在14天内或双方商定的其他时间内解决本合同争议，可以将其提交给专用条件约定的或事后达成协议的调解人进行调解。</w:t>
      </w:r>
    </w:p>
    <w:p w14:paraId="67B3322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7.3仲裁或诉讼</w:t>
      </w:r>
    </w:p>
    <w:p w14:paraId="0CF9963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双方均有权不经调解直接向专用条件约定的仲裁机构申请仲裁或向有管辖权的人民法院提起诉讼。</w:t>
      </w:r>
    </w:p>
    <w:p w14:paraId="16BB84EA">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8. 其他</w:t>
      </w:r>
    </w:p>
    <w:p w14:paraId="2644B6A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8.1 外出考察费用</w:t>
      </w:r>
    </w:p>
    <w:p w14:paraId="08435CB6">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经委托人同意，监理人员外出考察发生的费用由委托人审核后支付。</w:t>
      </w:r>
    </w:p>
    <w:p w14:paraId="0357EF8B">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8.2 检测费用</w:t>
      </w:r>
    </w:p>
    <w:p w14:paraId="50625264">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委托人要求监理人进行的材料和设备检测所发生的费用，由委托人支付，支付时间在专用条件中约定。</w:t>
      </w:r>
    </w:p>
    <w:p w14:paraId="17C8EF4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8.3 咨询费用</w:t>
      </w:r>
    </w:p>
    <w:p w14:paraId="673CB25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经委托人同意，根据工程需要由监理人组织的相关咨询论证会以及聘请相关专家等发生的费用由委托人支付，支付时间在专用条件中约定。</w:t>
      </w:r>
    </w:p>
    <w:p w14:paraId="04AD8E9E">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8.4 奖励</w:t>
      </w:r>
    </w:p>
    <w:p w14:paraId="515DA28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7932C59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8.5 守法诚信</w:t>
      </w:r>
    </w:p>
    <w:p w14:paraId="6C6261B6">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监理人及其工作人员不得从与实施工程有关的第三方处获得任何经济利益。</w:t>
      </w:r>
    </w:p>
    <w:p w14:paraId="3385B25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8.6 保密</w:t>
      </w:r>
    </w:p>
    <w:p w14:paraId="58CD416E">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双方不得泄露对方申明的保密资料，亦不得泄露与实施工程有关的第三方所提供的保密资料，保密事项在专用条件中约定。</w:t>
      </w:r>
    </w:p>
    <w:p w14:paraId="2E1EFBF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8.7 通知</w:t>
      </w:r>
    </w:p>
    <w:p w14:paraId="014FED71">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本合同涉及的通知均应当采用书面形式，并在送达对方时生效，收件人应书面签收。</w:t>
      </w:r>
    </w:p>
    <w:p w14:paraId="458C885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8.8 著作权</w:t>
      </w:r>
    </w:p>
    <w:p w14:paraId="076698A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监理人对其编制的文件拥有著作权。</w:t>
      </w:r>
    </w:p>
    <w:p w14:paraId="05CB707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2EAAC3E9">
      <w:pPr>
        <w:adjustRightInd w:val="0"/>
        <w:snapToGrid w:val="0"/>
        <w:spacing w:line="500" w:lineRule="exact"/>
        <w:ind w:firstLine="420" w:firstLineChars="200"/>
        <w:rPr>
          <w:rFonts w:hint="eastAsia" w:ascii="宋体" w:hAnsi="宋体" w:cs="宋体"/>
          <w:color w:val="auto"/>
          <w:highlight w:val="none"/>
        </w:rPr>
      </w:pPr>
    </w:p>
    <w:p w14:paraId="5A594268">
      <w:pPr>
        <w:spacing w:line="500" w:lineRule="exact"/>
        <w:jc w:val="center"/>
        <w:rPr>
          <w:rFonts w:hint="eastAsia" w:ascii="宋体" w:hAnsi="宋体" w:cs="宋体"/>
          <w:b/>
          <w:color w:val="auto"/>
          <w:highlight w:val="none"/>
        </w:rPr>
      </w:pPr>
      <w:r>
        <w:rPr>
          <w:rFonts w:hint="eastAsia" w:ascii="宋体" w:hAnsi="宋体" w:cs="宋体"/>
          <w:b/>
          <w:color w:val="auto"/>
          <w:highlight w:val="none"/>
        </w:rPr>
        <w:br w:type="page"/>
      </w:r>
      <w:r>
        <w:rPr>
          <w:rFonts w:hint="eastAsia" w:ascii="宋体" w:hAnsi="宋体" w:cs="宋体"/>
          <w:b/>
          <w:color w:val="auto"/>
          <w:highlight w:val="none"/>
        </w:rPr>
        <w:t>第三部分  专用条件</w:t>
      </w:r>
    </w:p>
    <w:p w14:paraId="75AE41A2">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1. 定义与解释</w:t>
      </w:r>
    </w:p>
    <w:p w14:paraId="11A0ABF8">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1.2  解释</w:t>
      </w:r>
    </w:p>
    <w:p w14:paraId="1D905E03">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1.2.1 本合同文件使用中文。</w:t>
      </w:r>
    </w:p>
    <w:p w14:paraId="29C60096">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 约定本合同文件的解释顺序为：</w:t>
      </w:r>
    </w:p>
    <w:p w14:paraId="0FDCA3DD">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1.2.2.1本合同协议书(建设工程委托监理合同)；</w:t>
      </w:r>
    </w:p>
    <w:p w14:paraId="57B98620">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1.2.2.2本合同专用条件；</w:t>
      </w:r>
    </w:p>
    <w:p w14:paraId="3B93CB18">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1.2.2.3本合同通用条件；</w:t>
      </w:r>
    </w:p>
    <w:p w14:paraId="751E8818">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1.2.2.4中标通知书；</w:t>
      </w:r>
    </w:p>
    <w:p w14:paraId="12922C5D">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1.2.2.5投标书及其附件；</w:t>
      </w:r>
    </w:p>
    <w:p w14:paraId="062329E5">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1.2.2.6招标文件及答疑纪要；</w:t>
      </w:r>
    </w:p>
    <w:p w14:paraId="460CFFE4">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1.2.2.7施工图纸；</w:t>
      </w:r>
    </w:p>
    <w:p w14:paraId="078549B7">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1.2.2.8标准、规范及有关技术文件。</w:t>
      </w:r>
    </w:p>
    <w:p w14:paraId="5CF84C42">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2. 监理人义务</w:t>
      </w:r>
    </w:p>
    <w:p w14:paraId="187016CD">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2.1 监理的范围和内容</w:t>
      </w:r>
    </w:p>
    <w:p w14:paraId="637B421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2.1.1监理范围：</w:t>
      </w:r>
      <w:r>
        <w:rPr>
          <w:rFonts w:hint="eastAsia" w:ascii="宋体" w:hAnsi="宋体" w:cs="宋体"/>
          <w:color w:val="auto"/>
          <w:highlight w:val="none"/>
          <w:u w:val="single"/>
        </w:rPr>
        <w:t>包括设计、施工、交工及缺陷责任期内的全过程监理服务，及项目开展过程中的质量、进度、费用控制、安全生产监督管理、合同、信息等方面的协调管理。具体以招标文件和发包人要求为准。</w:t>
      </w:r>
    </w:p>
    <w:p w14:paraId="264F7241">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2.1.2 监理工作内容包括：</w:t>
      </w:r>
      <w:r>
        <w:rPr>
          <w:rFonts w:hint="eastAsia" w:ascii="宋体" w:hAnsi="宋体" w:cs="宋体"/>
          <w:color w:val="auto"/>
          <w:highlight w:val="none"/>
          <w:u w:val="single"/>
        </w:rPr>
        <w:t>施工阶段监理包括施工过程中的质量、进度、造价控制，安全生产监督管理、合同、信息</w:t>
      </w:r>
      <w:r>
        <w:rPr>
          <w:rFonts w:hint="eastAsia" w:ascii="宋体" w:hAnsi="宋体" w:cs="宋体"/>
          <w:color w:val="auto"/>
          <w:highlight w:val="none"/>
          <w:u w:val="single"/>
          <w:lang w:eastAsia="zh-CN"/>
        </w:rPr>
        <w:t>，以及</w:t>
      </w:r>
      <w:r>
        <w:rPr>
          <w:rFonts w:hint="eastAsia" w:ascii="宋体" w:hAnsi="宋体" w:cs="宋体"/>
          <w:color w:val="auto"/>
          <w:highlight w:val="none"/>
          <w:u w:val="single"/>
        </w:rPr>
        <w:t>与有关设计人、承包人及设备材料供应商等</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第三方的协调工作，涵盖本次招标的全部专业工程范围；保修阶段监理包括检查和记录工程质量缺陷，对缺陷原因进行调查分析并确定责任归属，审核修复方案，监督修复过程并验收，审核修复费用</w:t>
      </w:r>
      <w:r>
        <w:rPr>
          <w:rFonts w:hint="eastAsia" w:ascii="宋体" w:hAnsi="宋体" w:cs="宋体"/>
          <w:color w:val="auto"/>
          <w:highlight w:val="none"/>
        </w:rPr>
        <w:t>；</w:t>
      </w:r>
    </w:p>
    <w:p w14:paraId="3439C8B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具体工作如下：</w:t>
      </w:r>
    </w:p>
    <w:p w14:paraId="5A9E680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(1)根据项目的实际情况，及时调整监理规划，并按调整后的监理规划组织实施。</w:t>
      </w:r>
    </w:p>
    <w:p w14:paraId="2F5AE0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(2)审查承包人各项施工准备工作，在征得委托人同意后下达开工指令。</w:t>
      </w:r>
    </w:p>
    <w:p w14:paraId="7C589C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(3)参加设计交底和图纸会审，对发现的问题及时与发包人设计部门协调沟通。</w:t>
      </w:r>
    </w:p>
    <w:p w14:paraId="53CE89A1">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(4)督促承包人各项管理制度和质量安全保证体系的建立、健全与实施。</w:t>
      </w:r>
    </w:p>
    <w:p w14:paraId="2600E83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(5)负责审查承包人编制的总施工进度计划、年度施工进度计划、月施工进度计划，将审查结果报送委托人审批，并督促承包人按审批计划实施。</w:t>
      </w:r>
    </w:p>
    <w:p w14:paraId="441C65A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(6)审查承包人编制的施工组织设计、施工方案并督促其实施。</w:t>
      </w:r>
    </w:p>
    <w:p w14:paraId="68A725E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(7)审查承包人或委托人提供的材料、设备进场计划，并督促其按计划进场。</w:t>
      </w:r>
    </w:p>
    <w:p w14:paraId="050F17B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(8)督促、检查承包人严格执行合同，并按照国家有关技术规范、规程、标准、设计图纸和相关文件的要求进行施工活动，督促其完善各阶段工程技术资料。</w:t>
      </w:r>
    </w:p>
    <w:p w14:paraId="533DC767">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(9)主持工程质量的工序验收、中间验收和阶段性验收，提出整改意见，并检查整改结果。</w:t>
      </w:r>
    </w:p>
    <w:p w14:paraId="55B687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p>
    <w:p w14:paraId="032908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(11)实施施工进度监督，协调交叉施工问题。</w:t>
      </w:r>
    </w:p>
    <w:p w14:paraId="642DF08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(12)对不能全面履行合同，质量低劣，管理混乱，因自身原因造成施工进度严重滞后且未采取有效弥补措施等承包人严重违约行为，根据合同规定，向委托人提交处理意见。</w:t>
      </w:r>
    </w:p>
    <w:p w14:paraId="0C28522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(13)监督检查承包人施工现场的安全生产和文明施工工地保证体系，监督承包人严格按照《西安市扬尘污染防治条例》相应要求执行到位，并督促其实施。</w:t>
      </w:r>
    </w:p>
    <w:p w14:paraId="33E6C27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(14)负责合格工程的月进度工程量计量工作，并建立工程量计量</w:t>
      </w:r>
      <w:r>
        <w:rPr>
          <w:rFonts w:hint="eastAsia" w:ascii="宋体" w:hAnsi="宋体" w:cs="宋体"/>
          <w:color w:val="auto"/>
          <w:highlight w:val="none"/>
          <w:u w:val="single"/>
          <w:lang w:eastAsia="zh-CN"/>
        </w:rPr>
        <w:t>台账</w:t>
      </w:r>
      <w:r>
        <w:rPr>
          <w:rFonts w:hint="eastAsia" w:ascii="宋体" w:hAnsi="宋体" w:cs="宋体"/>
          <w:color w:val="auto"/>
          <w:highlight w:val="none"/>
          <w:u w:val="single"/>
        </w:rPr>
        <w:t>。</w:t>
      </w:r>
    </w:p>
    <w:p w14:paraId="700243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(15)积极配合委托人的成本管理工作，建立健全各种</w:t>
      </w:r>
      <w:r>
        <w:rPr>
          <w:rFonts w:hint="eastAsia" w:ascii="宋体" w:hAnsi="宋体" w:cs="宋体"/>
          <w:color w:val="auto"/>
          <w:highlight w:val="none"/>
          <w:u w:val="single"/>
          <w:lang w:eastAsia="zh-CN"/>
        </w:rPr>
        <w:t>管理台账</w:t>
      </w:r>
      <w:r>
        <w:rPr>
          <w:rFonts w:hint="eastAsia" w:ascii="宋体" w:hAnsi="宋体" w:cs="宋体"/>
          <w:color w:val="auto"/>
          <w:highlight w:val="none"/>
          <w:u w:val="single"/>
        </w:rPr>
        <w:t>及做好指标分析。</w:t>
      </w:r>
    </w:p>
    <w:p w14:paraId="77F21D4D">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(16)按照发包人的相关管理办法，审核工程实施过程中的变更和签证，严格控制工程成本。</w:t>
      </w:r>
    </w:p>
    <w:p w14:paraId="267260A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(17)对进场材料、构配件和设备的规格、品牌、数量、进场时间及质量负有监督责任，严格审核其进场报验资料。</w:t>
      </w:r>
    </w:p>
    <w:p w14:paraId="26128CA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结合施工图纸、设计变更及招投标文件等资料，严格核对进场报验资料所列的规格、品牌、数量等，出现实际进场材料与报验清单不一致或报验清单与施工图纸、设计变更及招投标文件等相关资料要求不一致的情况，应及时向委托人汇报，并提出处理意见。</w:t>
      </w:r>
    </w:p>
    <w:p w14:paraId="16F5256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②审核用于工程的材料、构配件和设备的</w:t>
      </w:r>
      <w:r>
        <w:rPr>
          <w:rFonts w:hint="eastAsia" w:ascii="宋体" w:hAnsi="宋体" w:cs="宋体"/>
          <w:color w:val="auto"/>
          <w:highlight w:val="none"/>
          <w:u w:val="single"/>
          <w:lang w:eastAsia="zh-CN"/>
        </w:rPr>
        <w:t>出厂</w:t>
      </w:r>
      <w:r>
        <w:rPr>
          <w:rFonts w:hint="eastAsia" w:ascii="宋体" w:hAnsi="宋体" w:cs="宋体"/>
          <w:color w:val="auto"/>
          <w:highlight w:val="none"/>
          <w:u w:val="single"/>
        </w:rPr>
        <w:t>合格证及检验试验报告等质量证明文件。按照有关工程质量监督管理规定，对进场的材料、构配件和设备见证取样，并责成承包人按规定送有资质的实验室进行检验。</w:t>
      </w:r>
    </w:p>
    <w:p w14:paraId="3FE0CD8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③对验收不合格的工程材料、构配件和设备，监理人员应拒绝签认，并签发不合格通知单，书面通知承包单位或委托人，限期将不合格的工程材料、构配件及设备撤出现场。严防不合格的材料、构件和设备用于工程。</w:t>
      </w:r>
    </w:p>
    <w:p w14:paraId="7CBADE3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(18)工程竣工验收，审查承包人竣工资料，保证其完整、规范和符合要求。</w:t>
      </w:r>
    </w:p>
    <w:p w14:paraId="6D4B13A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(19)单项工程竣工后，监理人成立专门的审核小组负责审核竣工图纸和竣工结算资料，对其内容的完整性和正确性负责，出具工程内容甩项清单，保证现场实际施工内容、竣工图纸和结算内容三者一致。</w:t>
      </w:r>
    </w:p>
    <w:p w14:paraId="0896A4C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(20)负责配合建设单位开展竣工结算管理工作。</w:t>
      </w:r>
    </w:p>
    <w:p w14:paraId="532DFD5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①监理人应负责竣工结算管理工作，编制竣工结算计划并报项目管理单位、建设单位批准和备案；</w:t>
      </w:r>
    </w:p>
    <w:p w14:paraId="343209C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②监理人负责依据委托合同开展竣工结算组织、审核竣工结算工作，督促承包人按计划节点落实竣工结算工作；</w:t>
      </w:r>
    </w:p>
    <w:p w14:paraId="55558716">
      <w:pPr>
        <w:adjustRightInd w:val="0"/>
        <w:snapToGrid w:val="0"/>
        <w:spacing w:line="500" w:lineRule="exact"/>
        <w:ind w:firstLine="42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③监理人应坚持实事求是原则审核，认真审核竣工结算相关文件时坚持不得弄虚作假，若监理人报送的结算金额超出最终审定结算金额的10%(含10%)及以上时，监理人将按照最终结算金额0.5‰的比例向委托人支付违约金，在支付监理报酬时一并扣除；</w:t>
      </w:r>
    </w:p>
    <w:p w14:paraId="0AC06C2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④确保有专职造价人员督促、审核本工程竣工结算工作；</w:t>
      </w:r>
    </w:p>
    <w:p w14:paraId="4CF4ADB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⑤按照结算工作计划规定的</w:t>
      </w:r>
      <w:r>
        <w:rPr>
          <w:rFonts w:hint="eastAsia" w:ascii="宋体" w:hAnsi="宋体" w:cs="宋体"/>
          <w:color w:val="auto"/>
          <w:highlight w:val="none"/>
          <w:u w:val="single"/>
          <w:lang w:eastAsia="zh-CN"/>
        </w:rPr>
        <w:t>时效</w:t>
      </w:r>
      <w:r>
        <w:rPr>
          <w:rFonts w:hint="eastAsia" w:ascii="宋体" w:hAnsi="宋体" w:cs="宋体"/>
          <w:color w:val="auto"/>
          <w:highlight w:val="none"/>
          <w:u w:val="single"/>
        </w:rPr>
        <w:t>审核竣工结算文件(签证、竣工图、结算书等文件),不得无故拖延，否则委托人有权处罚；</w:t>
      </w:r>
    </w:p>
    <w:p w14:paraId="5785347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⑥在竣工验收合格后，因监理人原因未能按结算计划完成竣工结算文件审核等工作，监理人承担管理责任，以结算计划为依据，未完成时，按实际发生月数，每拖延一月向委托人支付违约金3万元，不足一月按一月计算，违约金直接在支付监理服务费时扣除；</w:t>
      </w:r>
    </w:p>
    <w:p w14:paraId="7A725D1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 xml:space="preserve">⑦监理人结算资料审查要求：  </w:t>
      </w:r>
    </w:p>
    <w:p w14:paraId="133E4C9F">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1)在具备工程结算条件后，先由监理人审核，出具结算资料审核报告报委托人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复审。</w:t>
      </w:r>
    </w:p>
    <w:p w14:paraId="0AB5F6C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2)协助委托人及质监站对工程进行竣工验收，并在工程交付使用后3个月内督促承包人上报结算资料，并协助委托人办理结算资料的审核。</w:t>
      </w:r>
    </w:p>
    <w:p w14:paraId="75E3506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3)负责对施工现场的竣工图、工作联系单、工程签证单等成本文件进行审核批复。</w:t>
      </w:r>
    </w:p>
    <w:p w14:paraId="5A7CCEE1">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4)监理人应严格按照要求的内容及时限督促承包人上报并及时审核结算资料，相应的罚则按照合同执行。</w:t>
      </w:r>
    </w:p>
    <w:p w14:paraId="5FEB467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5)关于监理人及委托人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审核的重点内容：</w:t>
      </w:r>
    </w:p>
    <w:p w14:paraId="7EAF38A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重点包括：工程结算申报表填报的格式、内容是否正确，承包人是否盖章；开竣工报告、移交单，合同等结算资料是否齐全、有效；审核签证单是否齐全、属实；变更部分是否齐全，是否实施或完全按指令实施；是否有现场变更减少项目；比对竣工结算图纸与变更签证资料是否有重复部分；工期、质量是否符合合同约定，并对于与合同不符的内容签署处理意见、是否有奖金和罚款，竣工资料是否移交齐全、与</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承包人是否有相互索赔或代工关系，核对检查是否有未施工项目，水、电费是否已结清；承包人报送竣工结算书签字盖章是否齐全，金额是否有异常等；委托人项目部认为需要审核的其他方面。上述内容要求监理工程师(</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总监)、委托人专业工程师、委托人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负责人均需签署意见。</w:t>
      </w:r>
    </w:p>
    <w:p w14:paraId="5B4697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⑧对监理人审核结算资料未尽职尽责须承担的违约责任；</w:t>
      </w:r>
    </w:p>
    <w:p w14:paraId="5FB58E3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1)对工程竣工图纸审核不严，发现有与现场实际情况不符的；</w:t>
      </w:r>
    </w:p>
    <w:p w14:paraId="31A01EB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2)结算资料内有弄虚作假未发现；</w:t>
      </w:r>
    </w:p>
    <w:p w14:paraId="3253675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3)审核时间超出规定时间的；</w:t>
      </w:r>
    </w:p>
    <w:p w14:paraId="2B923D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4)对不是其施工范围的工程造价未审减的：</w:t>
      </w:r>
    </w:p>
    <w:p w14:paraId="2B380C8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5)对工程管理过程中下发的各种罚款、扣款在结算中未体现的；</w:t>
      </w:r>
    </w:p>
    <w:p w14:paraId="1C967D8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以上内容发生一项停付监理费三个月，并处以扣除该项目监理费的5%作为违约金；发生两项内容停付监理费半年，并处以扣除该项目监理费的5%作为违约金；发生三项及以上内容停付监理费一年，并处以扣除该</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监理费的10%作为违约金。</w:t>
      </w:r>
    </w:p>
    <w:p w14:paraId="7594254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(21)协调、监督工程质量责任期内的工程质量缺陷的处理。</w:t>
      </w:r>
    </w:p>
    <w:p w14:paraId="6C5EAE3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(22)监理人会同承包人按工程档案管理标准，整理、完善和编撰工程资料和监理资料，向发包人提交完整、合格的工程建设竣工资料。</w:t>
      </w:r>
    </w:p>
    <w:p w14:paraId="01032F4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 xml:space="preserve">(23)监理人应协助委托人处理以下工作：  </w:t>
      </w:r>
    </w:p>
    <w:p w14:paraId="770578B7">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①协助委托人与城市规划、市容、环境、交通、治安及水电供应等有关部门的协调，以确保工程施工的正常进行；</w:t>
      </w:r>
    </w:p>
    <w:p w14:paraId="3A3FAA6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②协助委托人与设计人沟通联系，及时解决工程实施过程中的相关设计问题，完善设计变更等。</w:t>
      </w:r>
    </w:p>
    <w:p w14:paraId="62F246D4">
      <w:pPr>
        <w:adjustRightInd w:val="0"/>
        <w:snapToGrid w:val="0"/>
        <w:spacing w:line="500" w:lineRule="exact"/>
        <w:ind w:firstLine="420" w:firstLineChars="200"/>
        <w:rPr>
          <w:rFonts w:hint="eastAsia" w:ascii="宋体" w:hAnsi="宋体" w:cs="宋体"/>
          <w:snapToGrid w:val="0"/>
          <w:color w:val="auto"/>
          <w:kern w:val="0"/>
          <w:highlight w:val="none"/>
          <w:u w:val="single"/>
        </w:rPr>
      </w:pPr>
      <w:r>
        <w:rPr>
          <w:rFonts w:hint="eastAsia" w:ascii="宋体" w:hAnsi="宋体" w:cs="宋体"/>
          <w:color w:val="auto"/>
          <w:highlight w:val="none"/>
          <w:u w:val="single"/>
        </w:rPr>
        <w:t>(24)协助委托人督促承包人暂定价材料及专业工程暂估价</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按省市及委托人上级主管部门相关规定进行招标。</w:t>
      </w:r>
    </w:p>
    <w:p w14:paraId="200998A6">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2.2 监理与相关服务依据</w:t>
      </w:r>
    </w:p>
    <w:p w14:paraId="5E4F49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2.2.1 监理依据包括：</w:t>
      </w:r>
    </w:p>
    <w:p w14:paraId="349F6C8B">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1、国家和地方有关工程建设监理的</w:t>
      </w:r>
      <w:r>
        <w:rPr>
          <w:rFonts w:hint="eastAsia" w:ascii="宋体" w:hAnsi="宋体" w:cs="宋体"/>
          <w:color w:val="auto"/>
          <w:highlight w:val="none"/>
          <w:u w:val="single"/>
          <w:lang w:eastAsia="zh-CN"/>
        </w:rPr>
        <w:t>法律法规</w:t>
      </w:r>
      <w:r>
        <w:rPr>
          <w:rFonts w:hint="eastAsia" w:ascii="宋体" w:hAnsi="宋体" w:cs="宋体"/>
          <w:color w:val="auto"/>
          <w:highlight w:val="none"/>
          <w:u w:val="single"/>
        </w:rPr>
        <w:t>及规范；</w:t>
      </w:r>
    </w:p>
    <w:p w14:paraId="5875CB2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2、工程技术标准，施工验收规范；</w:t>
      </w:r>
    </w:p>
    <w:p w14:paraId="3A76395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3、经批准的该项目建设的有关文件、可行性研究报告、初步设计文件</w:t>
      </w:r>
      <w:r>
        <w:rPr>
          <w:rFonts w:hint="eastAsia" w:ascii="宋体" w:hAnsi="宋体" w:cs="宋体"/>
          <w:color w:val="auto"/>
          <w:highlight w:val="none"/>
          <w:u w:val="single"/>
          <w:lang w:eastAsia="zh-CN"/>
        </w:rPr>
        <w:t>及其他有关</w:t>
      </w:r>
      <w:r>
        <w:rPr>
          <w:rFonts w:hint="eastAsia" w:ascii="宋体" w:hAnsi="宋体" w:cs="宋体"/>
          <w:color w:val="auto"/>
          <w:highlight w:val="none"/>
          <w:u w:val="single"/>
        </w:rPr>
        <w:t>文件；</w:t>
      </w:r>
    </w:p>
    <w:p w14:paraId="7E79C7D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4、所监理工程的设计图纸、有关文件、设计变更及会议纪要；</w:t>
      </w:r>
    </w:p>
    <w:p w14:paraId="34CA8376">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5、经委托人审批同意的本工程监理规划；</w:t>
      </w:r>
    </w:p>
    <w:p w14:paraId="122BE67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6、工程监理合同；</w:t>
      </w:r>
    </w:p>
    <w:p w14:paraId="062F523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7、委托人依法与承包人、材料供应商等单位签订的合同或协议等；</w:t>
      </w:r>
    </w:p>
    <w:p w14:paraId="0000FAE1">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8、</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相关</w:t>
      </w:r>
      <w:r>
        <w:rPr>
          <w:rFonts w:hint="eastAsia" w:ascii="宋体" w:hAnsi="宋体" w:cs="宋体"/>
          <w:color w:val="auto"/>
          <w:highlight w:val="none"/>
          <w:u w:val="single"/>
          <w:lang w:eastAsia="zh-CN"/>
        </w:rPr>
        <w:t>法律法规</w:t>
      </w:r>
      <w:r>
        <w:rPr>
          <w:rFonts w:hint="eastAsia" w:ascii="宋体" w:hAnsi="宋体" w:cs="宋体"/>
          <w:color w:val="auto"/>
          <w:highlight w:val="none"/>
          <w:u w:val="single"/>
        </w:rPr>
        <w:t>及规定。</w:t>
      </w:r>
    </w:p>
    <w:p w14:paraId="0B5B8C14">
      <w:pPr>
        <w:adjustRightInd w:val="0"/>
        <w:snapToGrid w:val="0"/>
        <w:spacing w:line="500" w:lineRule="exact"/>
        <w:ind w:firstLine="420" w:firstLineChars="200"/>
        <w:rPr>
          <w:rFonts w:hint="eastAsia" w:ascii="宋体" w:hAnsi="宋体" w:cs="宋体"/>
          <w:dstrike/>
          <w:color w:val="auto"/>
          <w:highlight w:val="none"/>
        </w:rPr>
      </w:pPr>
      <w:r>
        <w:rPr>
          <w:rFonts w:hint="eastAsia" w:ascii="宋体" w:hAnsi="宋体" w:cs="宋体"/>
          <w:color w:val="auto"/>
          <w:highlight w:val="none"/>
        </w:rPr>
        <w:t>2.2.2 相关服务依据包括：</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4585CF26">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2.3项目监理机构和人员</w:t>
      </w:r>
    </w:p>
    <w:p w14:paraId="0EA4AF2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2.3.1、工程中标后，监理单位需按投标时确定的项目监理人员组成监理管理团队；委托人在监理人进场时有权对监理团队人员身份、职称、专业资格证书等进行核对确认，如委托人发现监理人进场时私自更换总监工程师、关键岗位人员的，监理人应在7日内予以更换为原班人员，否则，委托人有权单方解除合同，监理人须无条件撤出施工现场，并按监理合同总价的5%向委托人支付违约金。</w:t>
      </w:r>
    </w:p>
    <w:p w14:paraId="5E512C3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2.3.2、项目总监、各专业监理工程、监理人员必须专职。项目监理部依据现场情况合理安排作息时间，并将作息时间表上报委托人。总监及总监代表，</w:t>
      </w:r>
      <w:r>
        <w:rPr>
          <w:rFonts w:hint="eastAsia" w:ascii="宋体" w:hAnsi="宋体" w:cs="宋体"/>
          <w:color w:val="auto"/>
          <w:highlight w:val="none"/>
          <w:lang w:eastAsia="zh-CN"/>
        </w:rPr>
        <w:t>专业监理工程师</w:t>
      </w:r>
      <w:r>
        <w:rPr>
          <w:rFonts w:hint="eastAsia" w:ascii="宋体" w:hAnsi="宋体" w:cs="宋体"/>
          <w:color w:val="auto"/>
          <w:highlight w:val="none"/>
        </w:rPr>
        <w:t>保证24小时联络畅通。</w:t>
      </w:r>
    </w:p>
    <w:p w14:paraId="4D94416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2.3.3、本工程施工中监理方不得随意更换投标时所报担任总监理工程师。每更换一次，承担违约金100000（拾万）元整， 同时承担给委托人造成损失的赔偿责任。如因特殊原因更换时须提前15天书面告知委托人，符合总监变更条件的，经委托人同意后到当地监督部门进行备案，备案程序应符合法律法规的相关要求。更换后的新总监应具备与原总监相当</w:t>
      </w:r>
      <w:r>
        <w:rPr>
          <w:rFonts w:hint="eastAsia" w:ascii="宋体" w:hAnsi="宋体" w:cs="宋体"/>
          <w:color w:val="auto"/>
          <w:highlight w:val="none"/>
          <w:lang w:eastAsia="zh-CN"/>
        </w:rPr>
        <w:t>的</w:t>
      </w:r>
      <w:r>
        <w:rPr>
          <w:rFonts w:hint="eastAsia" w:ascii="宋体" w:hAnsi="宋体" w:cs="宋体"/>
          <w:color w:val="auto"/>
          <w:highlight w:val="none"/>
        </w:rPr>
        <w:t>资格与技能。若新总监不能胜任该岗位工作，视同监理人违约，每违约一次，监理人承担违约金 50000（伍万）元整。情节严重时委托人有权单方终止合同。</w:t>
      </w:r>
    </w:p>
    <w:p w14:paraId="46FFC23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2.3.4、本工程施工中原则上相关专业监理工程师必须专职，不得更换，如需更换，须征得委托人同意，如私自更换，则每更换一次，承担违约金50000（伍万）元整，同时承担给委托人造成损失的赔偿责任。</w:t>
      </w:r>
    </w:p>
    <w:p w14:paraId="3E32263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2.3.5、委托人有权要求更换不符合委托人要求的监理人员，监理方应在委托人提出更换人员之日起的5天内另派不低于前任</w:t>
      </w:r>
      <w:r>
        <w:rPr>
          <w:rFonts w:hint="eastAsia" w:ascii="宋体" w:hAnsi="宋体" w:cs="宋体"/>
          <w:color w:val="auto"/>
          <w:highlight w:val="none"/>
          <w:lang w:eastAsia="zh-CN"/>
        </w:rPr>
        <w:t>资历</w:t>
      </w:r>
      <w:r>
        <w:rPr>
          <w:rFonts w:hint="eastAsia" w:ascii="宋体" w:hAnsi="宋体" w:cs="宋体"/>
          <w:color w:val="auto"/>
          <w:highlight w:val="none"/>
        </w:rPr>
        <w:t>（资格、经历）的人员接替工作，监理人不予更换时，则自第6日起监理人每人每逾期1天500（伍佰）元违约金。若新到岗监理人员不能胜任相应工作，视同监理人违约，每违约一次，监理人承担违约金 3000（叁仟）元整，并继续更换该岗位的监理人员。</w:t>
      </w:r>
    </w:p>
    <w:p w14:paraId="2E667C2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2.3.6、总监理工程师每周到现场工作时间不得少于5个工作日，且每天工作时间不少于8小时,缺勤按2000元/天·人标准向委托人支付违约金。除总监外其他监理人员应以委托人认可的监理方阶段人员配备计划（监理人进场前提交委托人并经审核批准）为考核依据，保证该阶段到岗人员每人每周工作时间不低于5个工作日。项目监理部在休息日或节假日应合理安排值班人员，确保施工的正常进行。监理人员请假、休假，监理部应做好相关安排工作并告知委托人代表相关情况，在得到委托人代表同意之后方可请假、休假，不得影响施工的正常进行。不得出现2人以上同时请假、休假的情况（如遇特殊情况需经委托人常驻代表同意）。监理人员在正常上班、节假日值班、夜间值班期间脱岗，每人次监理人承担违约金500（伍佰）元。</w:t>
      </w:r>
    </w:p>
    <w:p w14:paraId="74A1602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2.3.7、如果监理人员存在以下情况之一，视同监理人违约，委托人有权要求监理人立即更换该监理人员，并且监理人应积极配合：</w:t>
      </w:r>
    </w:p>
    <w:p w14:paraId="6580AC8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（1）严重过失行为；</w:t>
      </w:r>
    </w:p>
    <w:p w14:paraId="1988FCF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（2）多次存在拒不配合委托人提出的合理配合要求且对委托人造成不良影响的；</w:t>
      </w:r>
    </w:p>
    <w:p w14:paraId="08CCA67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（3）多次未按监理合同履行监理义务，且委托人提出书面要求后仍不改正的；</w:t>
      </w:r>
    </w:p>
    <w:p w14:paraId="79DF062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（4）违法或涉嫌犯罪；</w:t>
      </w:r>
    </w:p>
    <w:p w14:paraId="13CD7B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（5）严重违反职业道德。</w:t>
      </w:r>
    </w:p>
    <w:p w14:paraId="210E589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每违约一次，监理人承担违约金5000（伍仟）元整，并继续更换该岗位的监理人员。</w:t>
      </w:r>
    </w:p>
    <w:p w14:paraId="3C3B157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2.3.8、对于监理人的人员配置、进场时间要求等，若因工程需要</w:t>
      </w:r>
      <w:r>
        <w:rPr>
          <w:rFonts w:hint="eastAsia" w:ascii="宋体" w:hAnsi="宋体" w:cs="宋体"/>
          <w:color w:val="auto"/>
          <w:highlight w:val="none"/>
          <w:lang w:eastAsia="zh-CN"/>
        </w:rPr>
        <w:t>做出</w:t>
      </w:r>
      <w:r>
        <w:rPr>
          <w:rFonts w:hint="eastAsia" w:ascii="宋体" w:hAnsi="宋体" w:cs="宋体"/>
          <w:color w:val="auto"/>
          <w:highlight w:val="none"/>
        </w:rPr>
        <w:t xml:space="preserve">变动，以委托人书面通知为准。 </w:t>
      </w:r>
    </w:p>
    <w:p w14:paraId="7AAA58D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2.3.9监理人在未得到委托人书面批准之前，不得擅自撤离委托人项目现场，如因擅自撤场对委托人造成的损失由监理人承担。</w:t>
      </w:r>
    </w:p>
    <w:p w14:paraId="4D2633FC">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2.4 履行职责</w:t>
      </w:r>
    </w:p>
    <w:p w14:paraId="107C198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2.4.3 对监理人的授权范围：</w:t>
      </w:r>
      <w:r>
        <w:rPr>
          <w:rFonts w:hint="eastAsia" w:ascii="宋体" w:hAnsi="宋体" w:cs="宋体"/>
          <w:color w:val="auto"/>
          <w:highlight w:val="none"/>
          <w:u w:val="single"/>
        </w:rPr>
        <w:t>监理人</w:t>
      </w:r>
      <w:r>
        <w:rPr>
          <w:rFonts w:hint="eastAsia" w:ascii="宋体" w:hAnsi="宋体" w:cs="宋体"/>
          <w:color w:val="auto"/>
          <w:highlight w:val="none"/>
          <w:u w:val="single"/>
          <w:lang w:eastAsia="zh-CN"/>
        </w:rPr>
        <w:t>需要</w:t>
      </w:r>
      <w:r>
        <w:rPr>
          <w:rFonts w:hint="eastAsia" w:ascii="宋体" w:hAnsi="宋体" w:cs="宋体"/>
          <w:color w:val="auto"/>
          <w:highlight w:val="none"/>
          <w:u w:val="single"/>
        </w:rPr>
        <w:t>取得发包人书面批准才能</w:t>
      </w:r>
      <w:r>
        <w:rPr>
          <w:rFonts w:hint="eastAsia" w:ascii="宋体" w:hAnsi="宋体" w:cs="宋体"/>
          <w:color w:val="auto"/>
          <w:highlight w:val="none"/>
          <w:u w:val="single"/>
          <w:lang w:eastAsia="zh-CN"/>
        </w:rPr>
        <w:t>行使</w:t>
      </w:r>
      <w:r>
        <w:rPr>
          <w:rFonts w:hint="eastAsia" w:ascii="宋体" w:hAnsi="宋体" w:cs="宋体"/>
          <w:color w:val="auto"/>
          <w:highlight w:val="none"/>
          <w:u w:val="single"/>
        </w:rPr>
        <w:t>职权(总监理工程师在根据合同决定以下事项之前需首先得到发包人工程师的批准)</w:t>
      </w:r>
      <w:r>
        <w:rPr>
          <w:rFonts w:hint="eastAsia" w:ascii="宋体" w:hAnsi="宋体" w:cs="宋体"/>
          <w:color w:val="auto"/>
          <w:highlight w:val="none"/>
        </w:rPr>
        <w:t>。</w:t>
      </w:r>
    </w:p>
    <w:p w14:paraId="4A88DE2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2.4.3.1 顺延工期；</w:t>
      </w:r>
    </w:p>
    <w:p w14:paraId="10348AE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2.4.3.2 停工指令；</w:t>
      </w:r>
    </w:p>
    <w:p w14:paraId="5CDD47F5">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2.4.3.3 追加合同价款和费用补偿；</w:t>
      </w:r>
    </w:p>
    <w:p w14:paraId="7F399BD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2.4.3.4 施工图的修改；</w:t>
      </w:r>
    </w:p>
    <w:p w14:paraId="2903BFC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2.4.3.5批准对设计或合同规定的材料设备的代用；</w:t>
      </w:r>
    </w:p>
    <w:p w14:paraId="670BBFD2">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2.4.3.6 监理范围内，已完工程进度确认、工程洽商、变更签证、索赔文件、结算报告等影响本工程质量、工期、造价和发包人形象的行为，在决策签字之前须征得发包人工程师同意。上述文件在委托人工程师签字后，方可生效，否则视为监理工程师个人行为，委托人不承担因此引起的责任。</w:t>
      </w:r>
    </w:p>
    <w:p w14:paraId="1FA7BEC0">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在涉及工程延期的变更，监理人均须请示委托人同意后方可向承包人发布变更通知。</w:t>
      </w:r>
    </w:p>
    <w:p w14:paraId="2BD0F30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2.4.4 监理人有权要求承包人调换其人员</w:t>
      </w:r>
      <w:r>
        <w:rPr>
          <w:rFonts w:hint="eastAsia" w:ascii="宋体" w:hAnsi="宋体" w:cs="宋体"/>
          <w:color w:val="auto"/>
          <w:highlight w:val="none"/>
        </w:rPr>
        <w:t>的限制条件：</w:t>
      </w:r>
      <w:r>
        <w:rPr>
          <w:rFonts w:hint="eastAsia" w:ascii="宋体" w:hAnsi="宋体" w:cs="宋体"/>
          <w:color w:val="auto"/>
          <w:highlight w:val="none"/>
          <w:u w:val="single"/>
        </w:rPr>
        <w:t>需提供调换承包人人员的依据并经委托人确认</w:t>
      </w:r>
      <w:r>
        <w:rPr>
          <w:rFonts w:hint="eastAsia" w:ascii="宋体" w:hAnsi="宋体" w:cs="宋体"/>
          <w:color w:val="auto"/>
          <w:highlight w:val="none"/>
        </w:rPr>
        <w:t>。</w:t>
      </w:r>
    </w:p>
    <w:p w14:paraId="27FB871E">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2.5 提交报告</w:t>
      </w:r>
    </w:p>
    <w:p w14:paraId="1AC49922">
      <w:pPr>
        <w:adjustRightInd w:val="0"/>
        <w:snapToGrid w:val="0"/>
        <w:spacing w:line="500" w:lineRule="exact"/>
        <w:ind w:firstLine="525"/>
        <w:rPr>
          <w:rFonts w:hint="eastAsia" w:ascii="宋体" w:hAnsi="宋体" w:cs="宋体"/>
          <w:color w:val="auto"/>
          <w:highlight w:val="none"/>
          <w:u w:val="single"/>
        </w:rPr>
      </w:pPr>
      <w:r>
        <w:rPr>
          <w:rFonts w:hint="eastAsia" w:ascii="宋体" w:hAnsi="宋体" w:cs="宋体"/>
          <w:color w:val="auto"/>
          <w:highlight w:val="none"/>
        </w:rPr>
        <w:t>监理人应提交报告的种类(</w:t>
      </w:r>
      <w:r>
        <w:rPr>
          <w:rFonts w:hint="eastAsia" w:ascii="宋体" w:hAnsi="宋体" w:cs="宋体"/>
          <w:color w:val="auto"/>
          <w:kern w:val="0"/>
          <w:highlight w:val="none"/>
        </w:rPr>
        <w:t>包括监理规划、监理月报及约定的专项报告)</w:t>
      </w:r>
      <w:r>
        <w:rPr>
          <w:rFonts w:hint="eastAsia" w:ascii="宋体" w:hAnsi="宋体" w:cs="宋体"/>
          <w:color w:val="auto"/>
          <w:highlight w:val="none"/>
        </w:rPr>
        <w:t>、时间和份数</w:t>
      </w:r>
      <w:r>
        <w:rPr>
          <w:rFonts w:hint="eastAsia" w:ascii="宋体" w:hAnsi="宋体" w:cs="宋体"/>
          <w:color w:val="auto"/>
          <w:kern w:val="0"/>
          <w:highlight w:val="none"/>
        </w:rPr>
        <w:t>：</w:t>
      </w:r>
      <w:r>
        <w:rPr>
          <w:rFonts w:hint="eastAsia" w:ascii="宋体" w:hAnsi="宋体" w:cs="宋体"/>
          <w:color w:val="auto"/>
          <w:highlight w:val="none"/>
          <w:u w:val="single"/>
        </w:rPr>
        <w:t>进场前三 天提供监理规划两份；每月25日提交监理月报两份；在例会召开后1天内提供监理会议纪要两份；在专题会召开2天内提交质量评估报告两份；其他依据委托人要求双方协商确定</w:t>
      </w:r>
      <w:r>
        <w:rPr>
          <w:rFonts w:hint="eastAsia" w:ascii="宋体" w:hAnsi="宋体" w:cs="宋体"/>
          <w:color w:val="auto"/>
          <w:highlight w:val="none"/>
        </w:rPr>
        <w:t>。</w:t>
      </w:r>
    </w:p>
    <w:p w14:paraId="61F62341">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2.7 使用委托人的财产</w:t>
      </w:r>
    </w:p>
    <w:p w14:paraId="3B41E94A">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附录B中由委托人无偿提供的房屋、设备的所有权属于：</w:t>
      </w:r>
      <w:r>
        <w:rPr>
          <w:rFonts w:hint="eastAsia" w:ascii="宋体" w:hAnsi="宋体" w:cs="宋体"/>
          <w:color w:val="auto"/>
          <w:highlight w:val="none"/>
          <w:u w:val="single"/>
        </w:rPr>
        <w:t xml:space="preserve">  委托人 </w:t>
      </w:r>
      <w:r>
        <w:rPr>
          <w:rFonts w:hint="eastAsia" w:ascii="宋体" w:hAnsi="宋体" w:cs="宋体"/>
          <w:color w:val="auto"/>
          <w:highlight w:val="none"/>
        </w:rPr>
        <w:t>。</w:t>
      </w:r>
    </w:p>
    <w:p w14:paraId="5C14FD1C">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监理人应在本合同终止后</w:t>
      </w:r>
      <w:r>
        <w:rPr>
          <w:rFonts w:hint="eastAsia" w:ascii="宋体" w:hAnsi="宋体" w:cs="宋体"/>
          <w:color w:val="auto"/>
          <w:highlight w:val="none"/>
          <w:u w:val="single"/>
        </w:rPr>
        <w:t xml:space="preserve"> 30 </w:t>
      </w:r>
      <w:r>
        <w:rPr>
          <w:rFonts w:hint="eastAsia" w:ascii="宋体" w:hAnsi="宋体" w:cs="宋体"/>
          <w:color w:val="auto"/>
          <w:highlight w:val="none"/>
        </w:rPr>
        <w:t>天内移交委托人无偿提供的房屋、设备，移交的时间和方式为：</w:t>
      </w:r>
      <w:r>
        <w:rPr>
          <w:rFonts w:hint="eastAsia" w:ascii="宋体" w:hAnsi="宋体" w:cs="宋体"/>
          <w:color w:val="auto"/>
          <w:highlight w:val="none"/>
          <w:u w:val="single"/>
        </w:rPr>
        <w:t xml:space="preserve"> </w:t>
      </w:r>
      <w:r>
        <w:rPr>
          <w:rFonts w:hint="eastAsia" w:ascii="宋体" w:hAnsi="宋体" w:cs="宋体"/>
          <w:color w:val="auto"/>
          <w:kern w:val="0"/>
          <w:highlight w:val="none"/>
          <w:u w:val="single"/>
        </w:rPr>
        <w:t>书面移交</w:t>
      </w:r>
      <w:r>
        <w:rPr>
          <w:rFonts w:hint="eastAsia" w:ascii="宋体" w:hAnsi="宋体" w:cs="宋体"/>
          <w:color w:val="auto"/>
          <w:highlight w:val="none"/>
        </w:rPr>
        <w:t>。</w:t>
      </w:r>
    </w:p>
    <w:p w14:paraId="01C8644E">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 xml:space="preserve">3.委托人义务  </w:t>
      </w:r>
    </w:p>
    <w:p w14:paraId="5BCC4329">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3.4 委托人代表</w:t>
      </w:r>
    </w:p>
    <w:p w14:paraId="05631382">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委托人代表为：</w:t>
      </w:r>
      <w:r>
        <w:rPr>
          <w:rFonts w:hint="eastAsia" w:ascii="宋体" w:hAnsi="宋体" w:cs="宋体"/>
          <w:color w:val="auto"/>
          <w:highlight w:val="none"/>
          <w:u w:val="single"/>
        </w:rPr>
        <w:t xml:space="preserve">         </w:t>
      </w:r>
      <w:r>
        <w:rPr>
          <w:rFonts w:hint="eastAsia" w:ascii="宋体" w:hAnsi="宋体" w:cs="宋体"/>
          <w:color w:val="auto"/>
          <w:highlight w:val="none"/>
        </w:rPr>
        <w:t>。</w:t>
      </w:r>
    </w:p>
    <w:p w14:paraId="0D63A1F5">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3.6 答复</w:t>
      </w:r>
    </w:p>
    <w:p w14:paraId="5B0D8AE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在项目实施过程中，根据监理人的书面要求，委托人应在规定时间内对监理人书面提交的事宜作出书面答复。答复时限规定如下：</w:t>
      </w:r>
    </w:p>
    <w:p w14:paraId="1DB8C9A9">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1、确认类答复时限：</w:t>
      </w:r>
      <w:r>
        <w:rPr>
          <w:rFonts w:hint="eastAsia" w:ascii="宋体" w:hAnsi="宋体" w:cs="宋体"/>
          <w:color w:val="auto"/>
          <w:highlight w:val="none"/>
          <w:u w:val="single"/>
        </w:rPr>
        <w:t xml:space="preserve">  3个工作日  </w:t>
      </w:r>
    </w:p>
    <w:p w14:paraId="765D8F57">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2、批准类答复时限：</w:t>
      </w:r>
      <w:r>
        <w:rPr>
          <w:rFonts w:hint="eastAsia" w:ascii="宋体" w:hAnsi="宋体" w:cs="宋体"/>
          <w:color w:val="auto"/>
          <w:highlight w:val="none"/>
          <w:u w:val="single"/>
        </w:rPr>
        <w:t xml:space="preserve">  5个工作日  </w:t>
      </w:r>
    </w:p>
    <w:p w14:paraId="0F7CD4D2">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3、决策类答复时限：</w:t>
      </w:r>
      <w:r>
        <w:rPr>
          <w:rFonts w:hint="eastAsia" w:ascii="宋体" w:hAnsi="宋体" w:cs="宋体"/>
          <w:color w:val="auto"/>
          <w:highlight w:val="none"/>
          <w:u w:val="single"/>
        </w:rPr>
        <w:t xml:space="preserve">  10个工作日  </w:t>
      </w:r>
    </w:p>
    <w:p w14:paraId="78AB047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若在规定时限内，委托人未按时答复，监理人有催促的义务。</w:t>
      </w:r>
    </w:p>
    <w:p w14:paraId="70F07F71">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 违约责任</w:t>
      </w:r>
    </w:p>
    <w:p w14:paraId="3818E9A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4.1 监理人的违约责任</w:t>
      </w:r>
    </w:p>
    <w:p w14:paraId="0D824050">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4.1.1</w:t>
      </w:r>
      <w:r>
        <w:rPr>
          <w:rFonts w:hint="eastAsia" w:ascii="宋体" w:hAnsi="宋体" w:cs="宋体"/>
          <w:color w:val="auto"/>
          <w:spacing w:val="-4"/>
          <w:highlight w:val="none"/>
        </w:rPr>
        <w:t>若因监理人工程计量不认真造成月进度款超付现象，委托人有权扣除监理人1~10万元监理报酬作为违约金。</w:t>
      </w:r>
    </w:p>
    <w:p w14:paraId="090563C0">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4.1.2</w:t>
      </w:r>
      <w:r>
        <w:rPr>
          <w:rFonts w:hint="eastAsia" w:ascii="宋体" w:hAnsi="宋体" w:cs="宋体"/>
          <w:color w:val="auto"/>
          <w:spacing w:val="-4"/>
          <w:highlight w:val="none"/>
        </w:rPr>
        <w:t>监理人应对签证、变更、认质认价审核过程认真负责，应按实际情况签署明确的审核意见，若监理人出现态度不端、签署意见不明确、弄虚作假等现象，委托人有权令其改正，并扣除1~5万元监理报酬作为违约金。</w:t>
      </w:r>
    </w:p>
    <w:p w14:paraId="77535763">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w:t>
      </w:r>
      <w:r>
        <w:rPr>
          <w:rFonts w:hint="eastAsia" w:ascii="宋体" w:hAnsi="宋体" w:cs="宋体"/>
          <w:color w:val="auto"/>
          <w:spacing w:val="-4"/>
          <w:highlight w:val="none"/>
        </w:rPr>
        <w:t>3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并根据具体情况扣除监理人1~10万元监理报酬作为违约金。</w:t>
      </w:r>
    </w:p>
    <w:p w14:paraId="160C303A">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4.1.4</w:t>
      </w:r>
      <w:r>
        <w:rPr>
          <w:rFonts w:hint="eastAsia" w:ascii="宋体" w:hAnsi="宋体" w:cs="宋体"/>
          <w:color w:val="auto"/>
          <w:spacing w:val="-4"/>
          <w:highlight w:val="none"/>
        </w:rPr>
        <w:t>若因监理人不认真审核竣工图纸，出现竣工图纸与实际施工内容不相符合的情况，监理人应承担由此给委托人造成的损失，并根据具体情况扣除监理人1~10万元监理报酬作为违约金，竣工图纸重新据实审查。</w:t>
      </w:r>
    </w:p>
    <w:p w14:paraId="084AF700">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4.1.5</w:t>
      </w:r>
      <w:r>
        <w:rPr>
          <w:rFonts w:hint="eastAsia" w:ascii="宋体" w:hAnsi="宋体" w:cs="宋体"/>
          <w:color w:val="auto"/>
          <w:spacing w:val="-4"/>
          <w:highlight w:val="none"/>
        </w:rPr>
        <w:t>若监理在履行监理职责时未尽职尽责而致使工程施工中发生安全事故，委托人除扣除监理人1~10万元监理报酬作为违约金，还应追究监理人相应的法律责任。</w:t>
      </w:r>
    </w:p>
    <w:p w14:paraId="2909796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4.1.6监理人未按照旁站计划进行旁站监理的，委托人根据具体情况扣除监理人5000~10000元/次监理报酬作为违约金。</w:t>
      </w:r>
    </w:p>
    <w:p w14:paraId="3473C92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w:t>
      </w:r>
      <w:r>
        <w:rPr>
          <w:rFonts w:hint="eastAsia" w:ascii="宋体" w:hAnsi="宋体" w:cs="宋体"/>
          <w:color w:val="auto"/>
          <w:kern w:val="0"/>
          <w:highlight w:val="none"/>
          <w:lang w:eastAsia="zh-Hans"/>
        </w:rPr>
        <w:t>.1</w:t>
      </w:r>
      <w:r>
        <w:rPr>
          <w:rFonts w:hint="eastAsia" w:ascii="宋体" w:hAnsi="宋体" w:cs="宋体"/>
          <w:color w:val="auto"/>
          <w:kern w:val="0"/>
          <w:highlight w:val="none"/>
        </w:rPr>
        <w:t>.7除本合同另有约定外，监理人违反合同任一约定的，应向委托人承担监理费总额【5】%的违约金，并按照</w:t>
      </w:r>
      <w:r>
        <w:rPr>
          <w:rFonts w:hint="eastAsia" w:ascii="宋体" w:hAnsi="宋体" w:cs="宋体"/>
          <w:color w:val="auto"/>
          <w:kern w:val="0"/>
          <w:highlight w:val="none"/>
          <w:lang w:eastAsia="zh-CN"/>
        </w:rPr>
        <w:t>委托人</w:t>
      </w:r>
      <w:r>
        <w:rPr>
          <w:rFonts w:hint="eastAsia" w:ascii="宋体" w:hAnsi="宋体" w:cs="宋体"/>
          <w:color w:val="auto"/>
          <w:kern w:val="0"/>
          <w:highlight w:val="none"/>
        </w:rPr>
        <w:t>要求进行整改，经整改不合格的，委托方有权解除合同，监理人应退还已收取的监理费，并向委托人承担监理费总额【20】%的违约金，赔偿由此给委托人造成的损失。</w:t>
      </w:r>
    </w:p>
    <w:p w14:paraId="4838B8D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4.1.8监理人赔偿金额按下列方法确定：</w:t>
      </w:r>
    </w:p>
    <w:p w14:paraId="1289A40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赔偿金=直接经济损失×正常工作酬金÷工程概算投资额(或建筑安装工程费)</w:t>
      </w:r>
    </w:p>
    <w:p w14:paraId="4B5C1CE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经监理人审核通过的有关造价、材料、质量、进度、安全文明施工等监理工作，若经委托人复核后，存在不合格的、不利于委托人的偏差部分的工程价格即被视为因监理人失职给委托人造成的直接经济损失，除合同另有约定外，监理人应承担上述的赔偿责任。</w:t>
      </w:r>
    </w:p>
    <w:p w14:paraId="72EE7CDA">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监理人违约应支付的违约金、赔偿金，委托人有权在监理报酬中扣除。如报酬不足以弥补委托人损失时，委托人有权向监理人追偿。</w:t>
      </w:r>
    </w:p>
    <w:p w14:paraId="5DDF6DFB">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4.2 委托人的违约责任</w:t>
      </w:r>
    </w:p>
    <w:p w14:paraId="5B6A6835">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4.2.3 委托人</w:t>
      </w:r>
      <w:r>
        <w:rPr>
          <w:rFonts w:hint="eastAsia" w:ascii="宋体" w:hAnsi="宋体" w:cs="宋体"/>
          <w:color w:val="auto"/>
          <w:kern w:val="0"/>
          <w:highlight w:val="none"/>
        </w:rPr>
        <w:t>逾期付款利息按下列方法确定：</w:t>
      </w:r>
      <w:r>
        <w:rPr>
          <w:rFonts w:hint="eastAsia" w:ascii="宋体" w:hAnsi="宋体" w:cs="宋体"/>
          <w:color w:val="auto"/>
          <w:kern w:val="0"/>
          <w:highlight w:val="none"/>
          <w:u w:val="single"/>
        </w:rPr>
        <w:t>无</w:t>
      </w:r>
    </w:p>
    <w:p w14:paraId="7F109716">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 支付</w:t>
      </w:r>
    </w:p>
    <w:p w14:paraId="787FFC4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5.1 支付货币</w:t>
      </w:r>
    </w:p>
    <w:p w14:paraId="29F0F3AA">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币种为：</w:t>
      </w:r>
      <w:r>
        <w:rPr>
          <w:rFonts w:hint="eastAsia" w:ascii="宋体" w:hAnsi="宋体" w:cs="宋体"/>
          <w:color w:val="auto"/>
          <w:highlight w:val="none"/>
          <w:u w:val="single"/>
        </w:rPr>
        <w:t xml:space="preserve"> 人民币  </w:t>
      </w:r>
      <w:r>
        <w:rPr>
          <w:rFonts w:hint="eastAsia" w:ascii="宋体" w:hAnsi="宋体" w:cs="宋体"/>
          <w:color w:val="auto"/>
          <w:highlight w:val="none"/>
        </w:rPr>
        <w:t>，比例为：</w:t>
      </w:r>
      <w:r>
        <w:rPr>
          <w:rFonts w:hint="eastAsia" w:ascii="宋体" w:hAnsi="宋体" w:cs="宋体"/>
          <w:color w:val="auto"/>
          <w:highlight w:val="none"/>
          <w:u w:val="single"/>
        </w:rPr>
        <w:t xml:space="preserve">  100%   </w:t>
      </w:r>
      <w:r>
        <w:rPr>
          <w:rFonts w:hint="eastAsia" w:ascii="宋体" w:hAnsi="宋体" w:cs="宋体"/>
          <w:color w:val="auto"/>
          <w:highlight w:val="none"/>
        </w:rPr>
        <w:t>，汇率为：</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758CF7D5">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5.3 支付酬金</w:t>
      </w:r>
    </w:p>
    <w:p w14:paraId="343393F5">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1、监理服务费支付方式：</w:t>
      </w:r>
    </w:p>
    <w:p w14:paraId="67BD188F">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付款条件说明：合同签订后，达到付款条件起30日内，支付合同总金额的40.00%。</w:t>
      </w:r>
    </w:p>
    <w:p w14:paraId="1FE75252">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付款条件说明：工程竣工验收合格，达到付款条件起30日内，支付合同总金额的40.00%。</w:t>
      </w:r>
    </w:p>
    <w:p w14:paraId="5F68AF45">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付款条件说明：经相关部门结算审核后（按费率据实结算），达到付款条件起30日内，支付合同总金额的20.00%。</w:t>
      </w:r>
    </w:p>
    <w:p w14:paraId="76174BC5">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3、付款前，监理人应提供符合税法的增值税等额发票，收款收据及其他财务资料。若因监理人未能及时提供付款所需发票，导致支付逾期，委托人概不负责。竣工结算后按监理费结算总额提供发票。如监理人不能按照委托人要求提交发票，委托人不承担付款延误的违约责任。监理人提供的增值税普通发票应真实、合法、有效，监理人应在发票开具之日起3日内派专人或挂号信或特快专递等方式将其合法有效的发票送至委托人。委托人自取得发票经认证比对通过后15日内支付相应款项。</w:t>
      </w:r>
    </w:p>
    <w:p w14:paraId="705D4408">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进度款支付由委托人以转账形式支付至合同载明的账户，如合同账户和支付方式变更，需签订补充协议另行约定。</w:t>
      </w:r>
    </w:p>
    <w:p w14:paraId="76BE422F">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监理人提供的增值税普通发票应真实、合法、有效，因监理人开具的增值税普通发票不规范、不合法或涉嫌虚开发票引起的税务问题的，监理人需向委托人重新开具增值税普通发票，并向委托人承担赔偿责任，包括但不限于税款、滞纳金、罚款及相关损失等，在合同执行过程中，如遇国家税率政策调整，根据国家最新政策双方同意保持合同约定不含税金额不变，重新计算合同含税总金额即不含税金额*（1+调整后税率），税额即不含税金额*调整后税率。</w:t>
      </w:r>
    </w:p>
    <w:p w14:paraId="276311E7">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 合同生效、变更、暂停、解除与终止</w:t>
      </w:r>
    </w:p>
    <w:p w14:paraId="214C802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6.1 生效</w:t>
      </w:r>
    </w:p>
    <w:p w14:paraId="334472F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本合同生效条件：</w:t>
      </w:r>
      <w:r>
        <w:rPr>
          <w:rFonts w:hint="eastAsia" w:ascii="宋体" w:hAnsi="宋体" w:cs="宋体"/>
          <w:color w:val="auto"/>
          <w:highlight w:val="none"/>
          <w:u w:val="single"/>
        </w:rPr>
        <w:t xml:space="preserve">  自合同签订盖章后生效  </w:t>
      </w:r>
      <w:r>
        <w:rPr>
          <w:rFonts w:hint="eastAsia" w:ascii="宋体" w:hAnsi="宋体" w:cs="宋体"/>
          <w:color w:val="auto"/>
          <w:highlight w:val="none"/>
        </w:rPr>
        <w:t>。</w:t>
      </w:r>
    </w:p>
    <w:p w14:paraId="7E64BDFC">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6.2 变更</w:t>
      </w:r>
    </w:p>
    <w:p w14:paraId="3462C833">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6.2.6 因工程规模、监理范围的变化导致监理人的正常工作量减少时，按减少工作量的比例从协议书约定的正常工作酬金中扣减相同比例的酬金。</w:t>
      </w:r>
    </w:p>
    <w:p w14:paraId="1AC0F65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 争议解决</w:t>
      </w:r>
    </w:p>
    <w:p w14:paraId="554560A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7.2 调解</w:t>
      </w:r>
    </w:p>
    <w:p w14:paraId="605C0F7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本合同争议进行调解时，可提交</w:t>
      </w:r>
      <w:r>
        <w:rPr>
          <w:rFonts w:hint="eastAsia" w:ascii="宋体" w:hAnsi="宋体" w:cs="宋体"/>
          <w:color w:val="auto"/>
          <w:highlight w:val="none"/>
          <w:u w:val="single"/>
        </w:rPr>
        <w:t xml:space="preserve"> /  </w:t>
      </w:r>
      <w:r>
        <w:rPr>
          <w:rFonts w:hint="eastAsia" w:ascii="宋体" w:hAnsi="宋体" w:cs="宋体"/>
          <w:color w:val="auto"/>
          <w:highlight w:val="none"/>
        </w:rPr>
        <w:t>进行调解。</w:t>
      </w:r>
    </w:p>
    <w:p w14:paraId="631219A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7.3 仲裁或诉讼</w:t>
      </w:r>
    </w:p>
    <w:p w14:paraId="508AD0D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合同争议的最终解决方式为下列第</w:t>
      </w:r>
      <w:r>
        <w:rPr>
          <w:rFonts w:hint="eastAsia" w:ascii="宋体" w:hAnsi="宋体" w:cs="宋体"/>
          <w:color w:val="auto"/>
          <w:highlight w:val="none"/>
          <w:u w:val="single"/>
        </w:rPr>
        <w:t xml:space="preserve">  2  </w:t>
      </w:r>
      <w:r>
        <w:rPr>
          <w:rFonts w:hint="eastAsia" w:ascii="宋体" w:hAnsi="宋体" w:cs="宋体"/>
          <w:color w:val="auto"/>
          <w:highlight w:val="none"/>
        </w:rPr>
        <w:t>种方式：</w:t>
      </w:r>
    </w:p>
    <w:p w14:paraId="1032C00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（1）提请</w:t>
      </w:r>
      <w:r>
        <w:rPr>
          <w:rFonts w:hint="eastAsia" w:ascii="宋体" w:hAnsi="宋体" w:cs="宋体"/>
          <w:color w:val="auto"/>
          <w:highlight w:val="none"/>
          <w:u w:val="single"/>
        </w:rPr>
        <w:t xml:space="preserve">  / </w:t>
      </w:r>
      <w:r>
        <w:rPr>
          <w:rFonts w:hint="eastAsia" w:ascii="宋体" w:hAnsi="宋体" w:cs="宋体"/>
          <w:color w:val="auto"/>
          <w:highlight w:val="none"/>
        </w:rPr>
        <w:t>仲裁委员会进行仲裁。</w:t>
      </w:r>
    </w:p>
    <w:p w14:paraId="74917D8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（2）向</w:t>
      </w:r>
      <w:r>
        <w:rPr>
          <w:rFonts w:hint="eastAsia" w:ascii="宋体" w:hAnsi="宋体" w:cs="宋体"/>
          <w:color w:val="auto"/>
          <w:highlight w:val="none"/>
          <w:u w:val="single"/>
        </w:rPr>
        <w:t xml:space="preserve"> 项目所在地 </w:t>
      </w:r>
      <w:r>
        <w:rPr>
          <w:rFonts w:hint="eastAsia" w:ascii="宋体" w:hAnsi="宋体" w:cs="宋体"/>
          <w:color w:val="auto"/>
          <w:highlight w:val="none"/>
        </w:rPr>
        <w:t>人民法院提起诉讼。</w:t>
      </w:r>
    </w:p>
    <w:p w14:paraId="09A840C6">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 其他</w:t>
      </w:r>
    </w:p>
    <w:p w14:paraId="1EA2E4D4">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8.2 检测费用</w:t>
      </w:r>
    </w:p>
    <w:p w14:paraId="1DC19F8C">
      <w:pPr>
        <w:adjustRightInd w:val="0"/>
        <w:snapToGrid w:val="0"/>
        <w:spacing w:line="500" w:lineRule="exact"/>
        <w:rPr>
          <w:rFonts w:hint="eastAsia" w:ascii="宋体" w:hAnsi="宋体" w:cs="宋体"/>
          <w:bCs/>
          <w:color w:val="auto"/>
          <w:highlight w:val="none"/>
        </w:rPr>
      </w:pPr>
      <w:r>
        <w:rPr>
          <w:rFonts w:hint="eastAsia" w:ascii="宋体" w:hAnsi="宋体" w:cs="宋体"/>
          <w:bCs/>
          <w:color w:val="auto"/>
          <w:highlight w:val="none"/>
        </w:rPr>
        <w:t xml:space="preserve">    委托人委托监理人实施本项目监理合同项外的检测工作时，双方另行协商。</w:t>
      </w:r>
    </w:p>
    <w:p w14:paraId="0A07373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8.3 咨询费用</w:t>
      </w:r>
    </w:p>
    <w:p w14:paraId="2496AB30">
      <w:pPr>
        <w:adjustRightInd w:val="0"/>
        <w:snapToGrid w:val="0"/>
        <w:spacing w:line="500" w:lineRule="exact"/>
        <w:rPr>
          <w:rFonts w:hint="eastAsia" w:ascii="宋体" w:hAnsi="宋体" w:cs="宋体"/>
          <w:bCs/>
          <w:color w:val="auto"/>
          <w:highlight w:val="none"/>
        </w:rPr>
      </w:pPr>
      <w:r>
        <w:rPr>
          <w:rFonts w:hint="eastAsia" w:ascii="宋体" w:hAnsi="宋体" w:cs="宋体"/>
          <w:bCs/>
          <w:color w:val="auto"/>
          <w:highlight w:val="none"/>
        </w:rPr>
        <w:t xml:space="preserve">    委托人委托监理人实施本项目监理合同项外的咨询工作时，双方另行协商。</w:t>
      </w:r>
    </w:p>
    <w:p w14:paraId="42FF8AD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8.4 奖励</w:t>
      </w:r>
    </w:p>
    <w:p w14:paraId="093DC1C3">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合理化建议的奖励金额按下列方法</w:t>
      </w:r>
      <w:r>
        <w:rPr>
          <w:rFonts w:hint="eastAsia" w:ascii="宋体" w:hAnsi="宋体" w:cs="宋体"/>
          <w:color w:val="auto"/>
          <w:highlight w:val="none"/>
          <w:lang w:eastAsia="zh-CN"/>
        </w:rPr>
        <w:t>确定</w:t>
      </w:r>
      <w:r>
        <w:rPr>
          <w:rFonts w:hint="eastAsia" w:ascii="宋体" w:hAnsi="宋体" w:cs="宋体"/>
          <w:color w:val="auto"/>
          <w:highlight w:val="none"/>
        </w:rPr>
        <w:t>：</w:t>
      </w:r>
    </w:p>
    <w:p w14:paraId="5E5FC41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奖励金额＝工程投资节省额×奖励金额的比率；</w:t>
      </w:r>
    </w:p>
    <w:p w14:paraId="5E05B9B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奖励金额的比率为</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391ADDB7">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8.6 保密</w:t>
      </w:r>
    </w:p>
    <w:p w14:paraId="68D722F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委托人申明的保密事项和期限：</w:t>
      </w:r>
      <w:r>
        <w:rPr>
          <w:rFonts w:hint="eastAsia" w:ascii="宋体" w:hAnsi="宋体" w:cs="宋体"/>
          <w:color w:val="auto"/>
          <w:highlight w:val="none"/>
          <w:u w:val="single"/>
        </w:rPr>
        <w:t>在合同期内或合同终止后，未征得有关方同意，不得泄露与本工程、本合同业务有关的保密资料</w:t>
      </w:r>
      <w:r>
        <w:rPr>
          <w:rFonts w:hint="eastAsia" w:ascii="宋体" w:hAnsi="宋体" w:cs="宋体"/>
          <w:color w:val="auto"/>
          <w:highlight w:val="none"/>
        </w:rPr>
        <w:t>。</w:t>
      </w:r>
    </w:p>
    <w:p w14:paraId="73B2071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监理人申明的保密事项和期限：</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51CA560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第三方申明的保密事项和期限：</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3165757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8.8著作权</w:t>
      </w:r>
    </w:p>
    <w:p w14:paraId="765285F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监理人在本合同履行期间及本合同终止后两年内出版涉及本工程的有关监理与相关服务的资料的限制条件：</w:t>
      </w:r>
      <w:r>
        <w:rPr>
          <w:rFonts w:hint="eastAsia" w:ascii="宋体" w:hAnsi="宋体" w:cs="宋体"/>
          <w:color w:val="auto"/>
          <w:highlight w:val="none"/>
          <w:u w:val="single"/>
        </w:rPr>
        <w:t>需征得委托人书面同意，著作权人为委托人。</w:t>
      </w:r>
    </w:p>
    <w:p w14:paraId="30491A2B">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9. 补充条款</w:t>
      </w:r>
    </w:p>
    <w:p w14:paraId="4A795160">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9.1监理人必须自行监理，不得转包监理业务，否则，委托人有权立即解除监理合同，并要求监理人按监理合同总价的5%支付违约金并赔偿损失。</w:t>
      </w:r>
    </w:p>
    <w:p w14:paraId="5328EB7C">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9.2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w:t>
      </w:r>
    </w:p>
    <w:p w14:paraId="5040848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9.3若因监理人不认真审核竣工图纸，出现竣工图纸与实际施工内容不相符合的情况，每发生一次  委托人有权要求监理人支付5-20万元的违约金；因此给委托人造成损失(包括直接损失、间接损失、律师费、诉讼费、保全费、保函费以及其他实现债权的费用等)高于前述违约金的，应按损失数额赔偿。</w:t>
      </w:r>
    </w:p>
    <w:p w14:paraId="676435C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9.4监理人员应常驻现场，总监理工程师保证每月在工地不少于26天，其他人员保证每月在工地不少于25天，以委托人</w:t>
      </w:r>
      <w:r>
        <w:rPr>
          <w:rFonts w:hint="eastAsia" w:ascii="宋体" w:hAnsi="宋体" w:cs="宋体"/>
          <w:color w:val="auto"/>
          <w:spacing w:val="-4"/>
          <w:highlight w:val="none"/>
          <w:u w:val="single"/>
          <w:lang w:eastAsia="zh-CN"/>
        </w:rPr>
        <w:t>项目部</w:t>
      </w:r>
      <w:r>
        <w:rPr>
          <w:rFonts w:hint="eastAsia" w:ascii="宋体" w:hAnsi="宋体" w:cs="宋体"/>
          <w:color w:val="auto"/>
          <w:spacing w:val="-4"/>
          <w:highlight w:val="none"/>
          <w:u w:val="single"/>
        </w:rPr>
        <w:t>提供的</w:t>
      </w:r>
      <w:r>
        <w:rPr>
          <w:rFonts w:hint="eastAsia" w:ascii="宋体" w:hAnsi="宋体" w:cs="宋体"/>
          <w:color w:val="auto"/>
          <w:spacing w:val="-4"/>
          <w:highlight w:val="none"/>
          <w:u w:val="single"/>
          <w:lang w:eastAsia="zh-CN"/>
        </w:rPr>
        <w:t>考勤记录</w:t>
      </w:r>
      <w:r>
        <w:rPr>
          <w:rFonts w:hint="eastAsia" w:ascii="宋体" w:hAnsi="宋体" w:cs="宋体"/>
          <w:color w:val="auto"/>
          <w:spacing w:val="-4"/>
          <w:highlight w:val="none"/>
          <w:u w:val="single"/>
        </w:rPr>
        <w:t>表为准，否则委托人在当期应付金额中扣除10%-20%的监理费作为违约金。监理人员资质如不满足本合同约定，委托人在当期应付金额中扣除10%-20%的监理费作为违约金。扣款依据以委托人留存的考勤表为准。若监理在履行监理职责时未尽职尽责而致使工程施工中发生安全事故，委托人除要求监理人支付5-20万元的违约金外，还应追究监理人相应的法律责任。</w:t>
      </w:r>
    </w:p>
    <w:p w14:paraId="037972DC">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9.5财务要求：委托人正式付款前，监理人须先提供符合要求的正式增值税专用发票。若监理人不提供或提供的发票不符合委托人要求，委托人有权拒付款项；如监理人提供虚假发票，委托人有权向有关部门举报，同时给予发票面值30%的扣款，给委托人带来的损失，监理人双倍赔偿。</w:t>
      </w:r>
    </w:p>
    <w:p w14:paraId="58FA961B">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9.6如因项目工期延误等原因导致监理服务期延长，委托人不予补偿。</w:t>
      </w:r>
    </w:p>
    <w:p w14:paraId="5567AF4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9.7建设工程质量是工程建设的根本，监理人作为监控工程建设质量的关键机构，其在实施监理工 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样要受到相关的处罚并按规定承担赔偿责任。对于因工程质量事故造成工期延误每超过10日的，监理人应向委托人支付5000元/日的违约金，并在当期的监理</w:t>
      </w:r>
      <w:r>
        <w:rPr>
          <w:rFonts w:hint="eastAsia" w:ascii="宋体" w:hAnsi="宋体" w:cs="宋体"/>
          <w:color w:val="auto"/>
          <w:spacing w:val="-4"/>
          <w:highlight w:val="none"/>
          <w:u w:val="single"/>
          <w:lang w:eastAsia="zh-CN"/>
        </w:rPr>
        <w:t>费</w:t>
      </w:r>
      <w:r>
        <w:rPr>
          <w:rFonts w:hint="eastAsia" w:ascii="宋体" w:hAnsi="宋体" w:cs="宋体"/>
          <w:color w:val="auto"/>
          <w:spacing w:val="-4"/>
          <w:highlight w:val="none"/>
          <w:u w:val="single"/>
        </w:rPr>
        <w:t>扣除。</w:t>
      </w:r>
    </w:p>
    <w:p w14:paraId="45AAD7D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9.8对于重点部位和关键工序，监理人应进行旁站监理，确保工程施工质量和安全。监理人未按照旁站计划进行旁站监理的，监理人应向委托人支付5000元/次的违约金，并从当期监理费中扣除。</w:t>
      </w:r>
    </w:p>
    <w:p w14:paraId="3488C55F">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9.9审批各段分部工程开工报告，检查核实承包人所报人员、机械设备、材料和试验，审查分部工程的施工方案和施工计划的可行性，确保工程质量和施工安全。</w:t>
      </w:r>
    </w:p>
    <w:p w14:paraId="7F763327">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9.10检查督促各承包人按设计图施工，现场作业的机械设备和进场的材料应符合相关标准的规定，检查落实承包人持证上岗的人员，落实各工序的施工工艺。如发现有安全因素时，有责任提醒承包人注意，必要时可以书面通知承包人。</w:t>
      </w:r>
    </w:p>
    <w:p w14:paraId="7F057840">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9.11监理人在工程施工管理过程中要承担建设工程成本控制的责任，严把签证关，并在合适的条件下，对设计变更提出合理可行的建设性建议，节约成本。</w:t>
      </w:r>
    </w:p>
    <w:p w14:paraId="6EE4B02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9.12签证、变更管理：监理人在收到变更、签证申报单后3天内上报委托人并提出相关意见，经委托人同意后，监理人在上报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监理人签署的停工令、开工令需经委托人项目部同意方可发放。</w:t>
      </w:r>
    </w:p>
    <w:p w14:paraId="05F9966D">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9.13工程量清单及计价要求：监理人负责对本工程进行月度工程量(包括施工图工程量和设计变更增减工程量)的复核，对已完成工程量及时进行审查，经委托人检查合格后，进行工程进度控制和工程造价控制。</w:t>
      </w:r>
    </w:p>
    <w:p w14:paraId="0ADB068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9.14现场施工过程中发生的安全问题要实行一票否决制。若发生安全事故，对于一般性安全事故委托人可根据实际情况要求监理人支付5000元-30000元的违约金；对于重大安全事故，委托人可根据实际情况要求监理人支付2-10万元的违约金。</w:t>
      </w:r>
    </w:p>
    <w:p w14:paraId="0990C8F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9.15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p>
    <w:p w14:paraId="764B4F8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9.16监理资料的整理必须与工程形象进度同步，禁止事后补办资料，监理有义务督促承包人办理资料。原始数据的来源应有记录，应在监理日志上明确记录当日办理资料的详细情况。</w:t>
      </w:r>
    </w:p>
    <w:p w14:paraId="3CD5787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9.17合同签订后，监理人在15天内依据工程实际和特点对监理大纲进行细化，并向委托人提交经监理人公司级审批的监理细则 。</w:t>
      </w:r>
    </w:p>
    <w:p w14:paraId="26639378">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9.18在工程施工阶段，按照要求进行监理，各单体工程施工工期，按照施工合同执行，监理工期按照本合同执行。</w:t>
      </w:r>
    </w:p>
    <w:p w14:paraId="061E39E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9.19根据西安市人民政府令第65号文件中对西安市农民工工资保障办法及《</w:t>
      </w:r>
      <w:r>
        <w:rPr>
          <w:rFonts w:hint="eastAsia" w:ascii="宋体" w:hAnsi="宋体" w:cs="宋体"/>
          <w:color w:val="auto"/>
          <w:spacing w:val="-4"/>
          <w:highlight w:val="none"/>
          <w:u w:val="single"/>
          <w:lang w:eastAsia="zh-CN"/>
        </w:rPr>
        <w:t>保障农民工工资支付条例</w:t>
      </w:r>
      <w:r>
        <w:rPr>
          <w:rFonts w:hint="eastAsia" w:ascii="宋体" w:hAnsi="宋体" w:cs="宋体"/>
          <w:color w:val="auto"/>
          <w:spacing w:val="-4"/>
          <w:highlight w:val="none"/>
          <w:u w:val="single"/>
        </w:rPr>
        <w:t>》[中华人民共和国国务院令第724号]的有关规定，委托人在对农民工工资支付情况进行监督时监理人必须配合委托人进行督察并协助办理。根据《工程建设领域农民工工资专用账户管理暂行办法》(人社部发〔2021〕53号)的有关规定，监理人应对农民工工资支付进行审核及监督，委托人已经按 约定足额向专用账户拨付资金，但总包单位依然拖欠农民工工资的，监理人应及时报告委托人及有关部门。</w:t>
      </w:r>
    </w:p>
    <w:p w14:paraId="476335A5">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p>
    <w:p w14:paraId="5E1C1DA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附件：</w:t>
      </w:r>
    </w:p>
    <w:p w14:paraId="03E666D2">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附件1  项目总监委托书</w:t>
      </w:r>
    </w:p>
    <w:p w14:paraId="2FC2D63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附件2  建设工程廉政合同</w:t>
      </w:r>
    </w:p>
    <w:p w14:paraId="44E11E5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附件3  安全监理责任合同 </w:t>
      </w:r>
    </w:p>
    <w:p w14:paraId="3F9FB994">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附件4  本项目监理人员汇总表</w:t>
      </w:r>
    </w:p>
    <w:p w14:paraId="772E8AB3">
      <w:pPr>
        <w:snapToGrid w:val="0"/>
        <w:spacing w:line="500" w:lineRule="exact"/>
        <w:rPr>
          <w:rFonts w:hint="eastAsia" w:ascii="宋体" w:hAnsi="宋体" w:cs="宋体"/>
          <w:color w:val="auto"/>
          <w:highlight w:val="none"/>
        </w:rPr>
      </w:pPr>
      <w:r>
        <w:rPr>
          <w:rFonts w:hint="eastAsia" w:ascii="宋体" w:hAnsi="宋体" w:cs="宋体"/>
          <w:color w:val="auto"/>
          <w:highlight w:val="none"/>
        </w:rPr>
        <w:br w:type="page"/>
      </w:r>
      <w:bookmarkStart w:id="0" w:name="_Toc481488187"/>
      <w:bookmarkStart w:id="1" w:name="_Ref421614472"/>
      <w:r>
        <w:rPr>
          <w:rFonts w:hint="eastAsia" w:ascii="宋体" w:hAnsi="宋体" w:cs="宋体"/>
          <w:b/>
          <w:bCs/>
          <w:color w:val="auto"/>
          <w:highlight w:val="none"/>
        </w:rPr>
        <w:t>附录A   相关服务的范围和内容</w:t>
      </w:r>
    </w:p>
    <w:p w14:paraId="6F87CD8D">
      <w:pPr>
        <w:snapToGrid w:val="0"/>
        <w:spacing w:line="500" w:lineRule="exact"/>
        <w:ind w:left="420" w:leftChars="200"/>
        <w:rPr>
          <w:rFonts w:hint="eastAsia" w:ascii="宋体" w:hAnsi="宋体" w:cs="宋体"/>
          <w:color w:val="auto"/>
          <w:highlight w:val="none"/>
        </w:rPr>
      </w:pPr>
    </w:p>
    <w:p w14:paraId="2AA41CC7">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A-1  勘察阶段：</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24A92F88">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A-2  设计阶段：</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50562D61">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A-3  保修阶段：</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23C5E0EE">
      <w:pPr>
        <w:snapToGrid w:val="0"/>
        <w:spacing w:line="500" w:lineRule="exact"/>
        <w:ind w:left="420" w:leftChars="200"/>
        <w:rPr>
          <w:rFonts w:hint="eastAsia" w:ascii="宋体" w:hAnsi="宋体" w:cs="宋体"/>
          <w:color w:val="auto"/>
          <w:sz w:val="21"/>
          <w:szCs w:val="21"/>
          <w:highlight w:val="none"/>
        </w:rPr>
      </w:pPr>
      <w:r>
        <w:rPr>
          <w:rFonts w:hint="eastAsia" w:ascii="宋体" w:hAnsi="宋体" w:cs="宋体"/>
          <w:color w:val="auto"/>
          <w:highlight w:val="none"/>
        </w:rPr>
        <w:t xml:space="preserve">A-4  其他(专业技术咨询、外部协调工作等): </w:t>
      </w:r>
      <w:r>
        <w:rPr>
          <w:rFonts w:hint="eastAsia" w:ascii="宋体" w:hAnsi="宋体" w:cs="宋体"/>
          <w:color w:val="auto"/>
          <w:highlight w:val="none"/>
          <w:u w:val="single"/>
        </w:rPr>
        <w:t xml:space="preserve"> 双方另行协商。</w:t>
      </w:r>
      <w:r>
        <w:rPr>
          <w:rFonts w:hint="eastAsia" w:ascii="宋体" w:hAnsi="宋体" w:cs="宋体"/>
          <w:color w:val="auto"/>
          <w:sz w:val="21"/>
          <w:szCs w:val="21"/>
          <w:highlight w:val="none"/>
        </w:rPr>
        <w:br w:type="page"/>
      </w:r>
    </w:p>
    <w:p w14:paraId="4A034C00">
      <w:pPr>
        <w:spacing w:before="69"/>
        <w:ind w:left="2278"/>
        <w:rPr>
          <w:rFonts w:hint="eastAsia" w:ascii="宋体" w:hAnsi="宋体" w:cs="宋体"/>
          <w:color w:val="auto"/>
          <w:highlight w:val="none"/>
        </w:rPr>
      </w:pPr>
      <w:r>
        <w:rPr>
          <w:rFonts w:hint="eastAsia" w:ascii="宋体" w:hAnsi="宋体" w:cs="宋体"/>
          <w:b/>
          <w:bCs/>
          <w:color w:val="auto"/>
          <w:spacing w:val="-2"/>
          <w:position w:val="26"/>
          <w:highlight w:val="none"/>
        </w:rPr>
        <w:t>附录</w:t>
      </w:r>
      <w:r>
        <w:rPr>
          <w:rFonts w:hint="eastAsia" w:ascii="宋体" w:hAnsi="宋体" w:cs="宋体"/>
          <w:color w:val="auto"/>
          <w:spacing w:val="-61"/>
          <w:position w:val="26"/>
          <w:highlight w:val="none"/>
        </w:rPr>
        <w:t xml:space="preserve"> </w:t>
      </w:r>
      <w:r>
        <w:rPr>
          <w:rFonts w:hint="eastAsia" w:ascii="宋体" w:hAnsi="宋体" w:cs="宋体"/>
          <w:b/>
          <w:bCs/>
          <w:color w:val="auto"/>
          <w:spacing w:val="-2"/>
          <w:position w:val="26"/>
          <w:highlight w:val="none"/>
        </w:rPr>
        <w:t>B</w:t>
      </w:r>
      <w:r>
        <w:rPr>
          <w:rFonts w:hint="eastAsia" w:ascii="宋体" w:hAnsi="宋体" w:cs="宋体"/>
          <w:color w:val="auto"/>
          <w:spacing w:val="103"/>
          <w:position w:val="26"/>
          <w:highlight w:val="none"/>
        </w:rPr>
        <w:t xml:space="preserve"> </w:t>
      </w:r>
      <w:r>
        <w:rPr>
          <w:rFonts w:hint="eastAsia" w:ascii="宋体" w:hAnsi="宋体" w:cs="宋体"/>
          <w:b/>
          <w:bCs/>
          <w:color w:val="auto"/>
          <w:spacing w:val="-2"/>
          <w:position w:val="26"/>
          <w:highlight w:val="none"/>
        </w:rPr>
        <w:t>委托人派遣的人员和提供的房屋、资料、设备</w:t>
      </w:r>
    </w:p>
    <w:p w14:paraId="2885BB75">
      <w:pPr>
        <w:spacing w:line="220" w:lineRule="auto"/>
        <w:ind w:left="115"/>
        <w:rPr>
          <w:rFonts w:hint="eastAsia" w:ascii="宋体" w:hAnsi="宋体" w:cs="宋体"/>
          <w:color w:val="auto"/>
          <w:highlight w:val="none"/>
        </w:rPr>
      </w:pPr>
      <w:r>
        <w:rPr>
          <w:rFonts w:hint="eastAsia" w:ascii="宋体" w:hAnsi="宋体" w:cs="宋体"/>
          <w:b/>
          <w:bCs/>
          <w:color w:val="auto"/>
          <w:spacing w:val="-1"/>
          <w:highlight w:val="none"/>
        </w:rPr>
        <w:t>B-1</w:t>
      </w:r>
      <w:r>
        <w:rPr>
          <w:rFonts w:hint="eastAsia" w:ascii="宋体" w:hAnsi="宋体" w:cs="宋体"/>
          <w:b/>
          <w:bCs/>
          <w:color w:val="auto"/>
          <w:spacing w:val="15"/>
          <w:highlight w:val="none"/>
        </w:rPr>
        <w:t xml:space="preserve">   </w:t>
      </w:r>
      <w:r>
        <w:rPr>
          <w:rFonts w:hint="eastAsia" w:ascii="宋体" w:hAnsi="宋体" w:cs="宋体"/>
          <w:b/>
          <w:bCs/>
          <w:color w:val="auto"/>
          <w:spacing w:val="-1"/>
          <w:highlight w:val="none"/>
        </w:rPr>
        <w:t>委托人派遣的人员</w:t>
      </w:r>
    </w:p>
    <w:p w14:paraId="3610B483">
      <w:pPr>
        <w:spacing w:line="116" w:lineRule="exact"/>
        <w:rPr>
          <w:rFonts w:hint="eastAsia" w:ascii="宋体" w:hAnsi="宋体" w:cs="宋体"/>
          <w:color w:val="auto"/>
          <w:highlight w:val="none"/>
        </w:rPr>
      </w:pPr>
    </w:p>
    <w:tbl>
      <w:tblPr>
        <w:tblStyle w:val="8"/>
        <w:tblW w:w="903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39"/>
        <w:gridCol w:w="1854"/>
        <w:gridCol w:w="2231"/>
        <w:gridCol w:w="2009"/>
      </w:tblGrid>
      <w:tr w14:paraId="2A112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2939" w:type="dxa"/>
          </w:tcPr>
          <w:p w14:paraId="79572F44">
            <w:pPr>
              <w:spacing w:before="146" w:line="221" w:lineRule="auto"/>
              <w:ind w:left="1204"/>
              <w:rPr>
                <w:rFonts w:hint="eastAsia" w:ascii="宋体" w:hAnsi="宋体" w:cs="宋体"/>
                <w:color w:val="auto"/>
                <w:highlight w:val="none"/>
              </w:rPr>
            </w:pPr>
            <w:r>
              <w:rPr>
                <w:rFonts w:hint="eastAsia" w:ascii="宋体" w:hAnsi="宋体" w:cs="宋体"/>
                <w:color w:val="auto"/>
                <w:spacing w:val="5"/>
                <w:highlight w:val="none"/>
              </w:rPr>
              <w:t>名称</w:t>
            </w:r>
          </w:p>
        </w:tc>
        <w:tc>
          <w:tcPr>
            <w:tcW w:w="1854" w:type="dxa"/>
          </w:tcPr>
          <w:p w14:paraId="1C322BEF">
            <w:pPr>
              <w:spacing w:before="143" w:line="219" w:lineRule="auto"/>
              <w:ind w:left="684"/>
              <w:rPr>
                <w:rFonts w:hint="eastAsia" w:ascii="宋体" w:hAnsi="宋体" w:cs="宋体"/>
                <w:color w:val="auto"/>
                <w:highlight w:val="none"/>
              </w:rPr>
            </w:pPr>
            <w:r>
              <w:rPr>
                <w:rFonts w:hint="eastAsia" w:ascii="宋体" w:hAnsi="宋体" w:cs="宋体"/>
                <w:color w:val="auto"/>
                <w:spacing w:val="-3"/>
                <w:highlight w:val="none"/>
              </w:rPr>
              <w:t>数量</w:t>
            </w:r>
          </w:p>
        </w:tc>
        <w:tc>
          <w:tcPr>
            <w:tcW w:w="2231" w:type="dxa"/>
          </w:tcPr>
          <w:p w14:paraId="2969E052">
            <w:pPr>
              <w:spacing w:before="144" w:line="220" w:lineRule="auto"/>
              <w:ind w:left="676"/>
              <w:rPr>
                <w:rFonts w:hint="eastAsia" w:ascii="宋体" w:hAnsi="宋体" w:cs="宋体"/>
                <w:color w:val="auto"/>
                <w:highlight w:val="none"/>
              </w:rPr>
            </w:pPr>
            <w:r>
              <w:rPr>
                <w:rFonts w:hint="eastAsia" w:ascii="宋体" w:hAnsi="宋体" w:cs="宋体"/>
                <w:color w:val="auto"/>
                <w:spacing w:val="2"/>
                <w:highlight w:val="none"/>
              </w:rPr>
              <w:t>工作要求</w:t>
            </w:r>
          </w:p>
        </w:tc>
        <w:tc>
          <w:tcPr>
            <w:tcW w:w="2009" w:type="dxa"/>
          </w:tcPr>
          <w:p w14:paraId="6A2917F4">
            <w:pPr>
              <w:spacing w:before="142" w:line="219" w:lineRule="auto"/>
              <w:ind w:left="519"/>
              <w:rPr>
                <w:rFonts w:hint="eastAsia" w:ascii="宋体" w:hAnsi="宋体" w:cs="宋体"/>
                <w:color w:val="auto"/>
                <w:highlight w:val="none"/>
              </w:rPr>
            </w:pPr>
            <w:r>
              <w:rPr>
                <w:rFonts w:hint="eastAsia" w:ascii="宋体" w:hAnsi="宋体" w:cs="宋体"/>
                <w:color w:val="auto"/>
                <w:spacing w:val="5"/>
                <w:highlight w:val="none"/>
              </w:rPr>
              <w:t>提供时间</w:t>
            </w:r>
          </w:p>
        </w:tc>
      </w:tr>
      <w:tr w14:paraId="74E27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2939" w:type="dxa"/>
          </w:tcPr>
          <w:p w14:paraId="0433DAAC">
            <w:pPr>
              <w:spacing w:before="141" w:line="219" w:lineRule="auto"/>
              <w:ind w:left="84"/>
              <w:rPr>
                <w:rFonts w:hint="eastAsia" w:ascii="宋体" w:hAnsi="宋体" w:cs="宋体"/>
                <w:color w:val="auto"/>
                <w:highlight w:val="none"/>
              </w:rPr>
            </w:pPr>
            <w:r>
              <w:rPr>
                <w:rFonts w:hint="eastAsia" w:ascii="宋体" w:hAnsi="宋体" w:cs="宋体"/>
                <w:color w:val="auto"/>
                <w:spacing w:val="3"/>
                <w:highlight w:val="none"/>
              </w:rPr>
              <w:t>1.工程技术人员</w:t>
            </w:r>
          </w:p>
        </w:tc>
        <w:tc>
          <w:tcPr>
            <w:tcW w:w="1854" w:type="dxa"/>
          </w:tcPr>
          <w:p w14:paraId="08A078BD">
            <w:pPr>
              <w:spacing w:before="169" w:line="297" w:lineRule="exact"/>
              <w:ind w:firstLine="691"/>
              <w:rPr>
                <w:rFonts w:hint="eastAsia" w:ascii="宋体" w:hAnsi="宋体" w:cs="宋体"/>
                <w:color w:val="auto"/>
                <w:highlight w:val="none"/>
              </w:rPr>
            </w:pPr>
          </w:p>
        </w:tc>
        <w:tc>
          <w:tcPr>
            <w:tcW w:w="2231" w:type="dxa"/>
          </w:tcPr>
          <w:p w14:paraId="48572736">
            <w:pPr>
              <w:pStyle w:val="9"/>
              <w:rPr>
                <w:rFonts w:hint="eastAsia" w:ascii="宋体" w:hAnsi="宋体" w:eastAsia="宋体" w:cs="宋体"/>
                <w:color w:val="auto"/>
                <w:sz w:val="24"/>
                <w:szCs w:val="24"/>
                <w:highlight w:val="none"/>
              </w:rPr>
            </w:pPr>
          </w:p>
        </w:tc>
        <w:tc>
          <w:tcPr>
            <w:tcW w:w="2009" w:type="dxa"/>
          </w:tcPr>
          <w:p w14:paraId="2E05A3E5">
            <w:pPr>
              <w:spacing w:before="70" w:line="396" w:lineRule="exact"/>
              <w:ind w:firstLine="466"/>
              <w:rPr>
                <w:rFonts w:hint="eastAsia" w:ascii="宋体" w:hAnsi="宋体" w:cs="宋体"/>
                <w:color w:val="auto"/>
                <w:highlight w:val="none"/>
              </w:rPr>
            </w:pPr>
          </w:p>
        </w:tc>
      </w:tr>
      <w:tr w14:paraId="7F75D9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2939" w:type="dxa"/>
          </w:tcPr>
          <w:p w14:paraId="13D337DC">
            <w:pPr>
              <w:spacing w:before="135" w:line="220" w:lineRule="auto"/>
              <w:ind w:left="84"/>
              <w:rPr>
                <w:rFonts w:hint="eastAsia" w:ascii="宋体" w:hAnsi="宋体" w:cs="宋体"/>
                <w:color w:val="auto"/>
                <w:highlight w:val="none"/>
              </w:rPr>
            </w:pPr>
            <w:r>
              <w:rPr>
                <w:rFonts w:hint="eastAsia" w:ascii="宋体" w:hAnsi="宋体" w:cs="宋体"/>
                <w:color w:val="auto"/>
                <w:spacing w:val="3"/>
                <w:highlight w:val="none"/>
              </w:rPr>
              <w:t>2.辅助工作人员</w:t>
            </w:r>
          </w:p>
        </w:tc>
        <w:tc>
          <w:tcPr>
            <w:tcW w:w="1854" w:type="dxa"/>
          </w:tcPr>
          <w:p w14:paraId="07FC0199">
            <w:pPr>
              <w:spacing w:before="205" w:line="253" w:lineRule="exact"/>
              <w:ind w:firstLine="665"/>
              <w:rPr>
                <w:rFonts w:hint="eastAsia" w:ascii="宋体" w:hAnsi="宋体" w:cs="宋体"/>
                <w:color w:val="auto"/>
                <w:highlight w:val="none"/>
              </w:rPr>
            </w:pPr>
          </w:p>
        </w:tc>
        <w:tc>
          <w:tcPr>
            <w:tcW w:w="2231" w:type="dxa"/>
          </w:tcPr>
          <w:p w14:paraId="1E613AF5">
            <w:pPr>
              <w:spacing w:before="65" w:line="393" w:lineRule="exact"/>
              <w:ind w:firstLine="306"/>
              <w:rPr>
                <w:rFonts w:hint="eastAsia" w:ascii="宋体" w:hAnsi="宋体" w:cs="宋体"/>
                <w:color w:val="auto"/>
                <w:highlight w:val="none"/>
              </w:rPr>
            </w:pPr>
          </w:p>
        </w:tc>
        <w:tc>
          <w:tcPr>
            <w:tcW w:w="2009" w:type="dxa"/>
          </w:tcPr>
          <w:p w14:paraId="5136E25F">
            <w:pPr>
              <w:spacing w:before="26" w:line="432" w:lineRule="exact"/>
              <w:ind w:firstLine="586"/>
              <w:rPr>
                <w:rFonts w:hint="eastAsia" w:ascii="宋体" w:hAnsi="宋体" w:cs="宋体"/>
                <w:color w:val="auto"/>
                <w:highlight w:val="none"/>
              </w:rPr>
            </w:pPr>
          </w:p>
        </w:tc>
      </w:tr>
      <w:tr w14:paraId="194AC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2939" w:type="dxa"/>
          </w:tcPr>
          <w:p w14:paraId="5DBF1293">
            <w:pPr>
              <w:spacing w:before="137" w:line="220" w:lineRule="auto"/>
              <w:ind w:left="84"/>
              <w:rPr>
                <w:rFonts w:hint="eastAsia" w:ascii="宋体" w:hAnsi="宋体" w:cs="宋体"/>
                <w:color w:val="auto"/>
                <w:highlight w:val="none"/>
              </w:rPr>
            </w:pPr>
            <w:r>
              <w:rPr>
                <w:rFonts w:hint="eastAsia" w:ascii="宋体" w:hAnsi="宋体" w:cs="宋体"/>
                <w:color w:val="auto"/>
                <w:spacing w:val="4"/>
                <w:highlight w:val="none"/>
              </w:rPr>
              <w:t>3.其他人员</w:t>
            </w:r>
          </w:p>
        </w:tc>
        <w:tc>
          <w:tcPr>
            <w:tcW w:w="1854" w:type="dxa"/>
          </w:tcPr>
          <w:p w14:paraId="34619F89">
            <w:pPr>
              <w:pStyle w:val="9"/>
              <w:rPr>
                <w:rFonts w:hint="eastAsia" w:ascii="宋体" w:hAnsi="宋体" w:eastAsia="宋体" w:cs="宋体"/>
                <w:color w:val="auto"/>
                <w:sz w:val="24"/>
                <w:szCs w:val="24"/>
                <w:highlight w:val="none"/>
              </w:rPr>
            </w:pPr>
          </w:p>
        </w:tc>
        <w:tc>
          <w:tcPr>
            <w:tcW w:w="2231" w:type="dxa"/>
          </w:tcPr>
          <w:p w14:paraId="4F611AC4">
            <w:pPr>
              <w:pStyle w:val="9"/>
              <w:rPr>
                <w:rFonts w:hint="eastAsia" w:ascii="宋体" w:hAnsi="宋体" w:eastAsia="宋体" w:cs="宋体"/>
                <w:color w:val="auto"/>
                <w:sz w:val="24"/>
                <w:szCs w:val="24"/>
                <w:highlight w:val="none"/>
              </w:rPr>
            </w:pPr>
          </w:p>
        </w:tc>
        <w:tc>
          <w:tcPr>
            <w:tcW w:w="2009" w:type="dxa"/>
          </w:tcPr>
          <w:p w14:paraId="78B53156">
            <w:pPr>
              <w:spacing w:before="28" w:line="433" w:lineRule="exact"/>
              <w:ind w:firstLine="528"/>
              <w:rPr>
                <w:rFonts w:hint="eastAsia" w:ascii="宋体" w:hAnsi="宋体" w:cs="宋体"/>
                <w:color w:val="auto"/>
                <w:highlight w:val="none"/>
              </w:rPr>
            </w:pPr>
          </w:p>
        </w:tc>
      </w:tr>
    </w:tbl>
    <w:p w14:paraId="29DE4B12">
      <w:pPr>
        <w:spacing w:before="289" w:line="219" w:lineRule="auto"/>
        <w:ind w:left="115"/>
        <w:rPr>
          <w:rFonts w:hint="eastAsia" w:ascii="宋体" w:hAnsi="宋体" w:cs="宋体"/>
          <w:color w:val="auto"/>
          <w:highlight w:val="none"/>
        </w:rPr>
      </w:pPr>
      <w:r>
        <w:rPr>
          <w:rFonts w:hint="eastAsia" w:ascii="宋体" w:hAnsi="宋体" w:cs="宋体"/>
          <w:b/>
          <w:bCs/>
          <w:color w:val="auto"/>
          <w:spacing w:val="-3"/>
          <w:highlight w:val="none"/>
        </w:rPr>
        <w:t>B-2</w:t>
      </w:r>
      <w:r>
        <w:rPr>
          <w:rFonts w:hint="eastAsia" w:ascii="宋体" w:hAnsi="宋体" w:cs="宋体"/>
          <w:b/>
          <w:bCs/>
          <w:color w:val="auto"/>
          <w:spacing w:val="12"/>
          <w:highlight w:val="none"/>
        </w:rPr>
        <w:t xml:space="preserve">   </w:t>
      </w:r>
      <w:r>
        <w:rPr>
          <w:rFonts w:hint="eastAsia" w:ascii="宋体" w:hAnsi="宋体" w:cs="宋体"/>
          <w:b/>
          <w:bCs/>
          <w:color w:val="auto"/>
          <w:spacing w:val="-3"/>
          <w:highlight w:val="none"/>
        </w:rPr>
        <w:t>委托人提供的房屋</w:t>
      </w:r>
    </w:p>
    <w:p w14:paraId="7544F1BD">
      <w:pPr>
        <w:spacing w:line="132" w:lineRule="exact"/>
        <w:rPr>
          <w:rFonts w:hint="eastAsia" w:ascii="宋体" w:hAnsi="宋体" w:cs="宋体"/>
          <w:color w:val="auto"/>
          <w:highlight w:val="none"/>
        </w:rPr>
      </w:pPr>
    </w:p>
    <w:tbl>
      <w:tblPr>
        <w:tblStyle w:val="8"/>
        <w:tblW w:w="8998"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8"/>
        <w:gridCol w:w="2274"/>
        <w:gridCol w:w="2264"/>
        <w:gridCol w:w="1862"/>
      </w:tblGrid>
      <w:tr w14:paraId="47A70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2598" w:type="dxa"/>
          </w:tcPr>
          <w:p w14:paraId="06C7E89F">
            <w:pPr>
              <w:spacing w:before="137" w:line="221" w:lineRule="auto"/>
              <w:ind w:left="1035"/>
              <w:rPr>
                <w:rFonts w:hint="eastAsia" w:ascii="宋体" w:hAnsi="宋体" w:cs="宋体"/>
                <w:color w:val="auto"/>
                <w:highlight w:val="none"/>
              </w:rPr>
            </w:pPr>
            <w:r>
              <w:rPr>
                <w:rFonts w:hint="eastAsia" w:ascii="宋体" w:hAnsi="宋体" w:cs="宋体"/>
                <w:color w:val="auto"/>
                <w:spacing w:val="5"/>
                <w:highlight w:val="none"/>
              </w:rPr>
              <w:t>名称</w:t>
            </w:r>
          </w:p>
        </w:tc>
        <w:tc>
          <w:tcPr>
            <w:tcW w:w="2274" w:type="dxa"/>
          </w:tcPr>
          <w:p w14:paraId="5116F579">
            <w:pPr>
              <w:spacing w:before="134" w:line="219" w:lineRule="auto"/>
              <w:ind w:left="862"/>
              <w:rPr>
                <w:rFonts w:hint="eastAsia" w:ascii="宋体" w:hAnsi="宋体" w:cs="宋体"/>
                <w:color w:val="auto"/>
                <w:highlight w:val="none"/>
              </w:rPr>
            </w:pPr>
            <w:r>
              <w:rPr>
                <w:rFonts w:hint="eastAsia" w:ascii="宋体" w:hAnsi="宋体" w:cs="宋体"/>
                <w:color w:val="auto"/>
                <w:spacing w:val="-3"/>
                <w:highlight w:val="none"/>
              </w:rPr>
              <w:t>数量</w:t>
            </w:r>
          </w:p>
        </w:tc>
        <w:tc>
          <w:tcPr>
            <w:tcW w:w="2264" w:type="dxa"/>
          </w:tcPr>
          <w:p w14:paraId="1500AB18">
            <w:pPr>
              <w:spacing w:before="134" w:line="220" w:lineRule="auto"/>
              <w:ind w:left="875"/>
              <w:rPr>
                <w:rFonts w:hint="eastAsia" w:ascii="宋体" w:hAnsi="宋体" w:cs="宋体"/>
                <w:color w:val="auto"/>
                <w:highlight w:val="none"/>
              </w:rPr>
            </w:pPr>
            <w:r>
              <w:rPr>
                <w:rFonts w:hint="eastAsia" w:ascii="宋体" w:hAnsi="宋体" w:cs="宋体"/>
                <w:color w:val="auto"/>
                <w:spacing w:val="7"/>
                <w:highlight w:val="none"/>
              </w:rPr>
              <w:t>面积</w:t>
            </w:r>
          </w:p>
        </w:tc>
        <w:tc>
          <w:tcPr>
            <w:tcW w:w="1862" w:type="dxa"/>
          </w:tcPr>
          <w:p w14:paraId="6B0FB725">
            <w:pPr>
              <w:spacing w:before="132" w:line="219" w:lineRule="auto"/>
              <w:ind w:left="517"/>
              <w:rPr>
                <w:rFonts w:hint="eastAsia" w:ascii="宋体" w:hAnsi="宋体" w:cs="宋体"/>
                <w:color w:val="auto"/>
                <w:highlight w:val="none"/>
              </w:rPr>
            </w:pPr>
            <w:r>
              <w:rPr>
                <w:rFonts w:hint="eastAsia" w:ascii="宋体" w:hAnsi="宋体" w:cs="宋体"/>
                <w:color w:val="auto"/>
                <w:spacing w:val="5"/>
                <w:highlight w:val="none"/>
              </w:rPr>
              <w:t>提供时间</w:t>
            </w:r>
          </w:p>
        </w:tc>
      </w:tr>
      <w:tr w14:paraId="60DF1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2598" w:type="dxa"/>
          </w:tcPr>
          <w:p w14:paraId="498909D2">
            <w:pPr>
              <w:spacing w:before="127" w:line="216" w:lineRule="auto"/>
              <w:ind w:left="95"/>
              <w:rPr>
                <w:rFonts w:hint="eastAsia" w:ascii="宋体" w:hAnsi="宋体" w:cs="宋体"/>
                <w:color w:val="auto"/>
                <w:highlight w:val="none"/>
              </w:rPr>
            </w:pPr>
            <w:r>
              <w:rPr>
                <w:rFonts w:hint="eastAsia" w:ascii="宋体" w:hAnsi="宋体" w:cs="宋体"/>
                <w:color w:val="auto"/>
                <w:spacing w:val="2"/>
                <w:highlight w:val="none"/>
              </w:rPr>
              <w:t>1.办公用房</w:t>
            </w:r>
          </w:p>
        </w:tc>
        <w:tc>
          <w:tcPr>
            <w:tcW w:w="2274" w:type="dxa"/>
          </w:tcPr>
          <w:p w14:paraId="5469C471">
            <w:pPr>
              <w:pStyle w:val="9"/>
              <w:rPr>
                <w:rFonts w:hint="eastAsia" w:ascii="宋体" w:hAnsi="宋体" w:eastAsia="宋体" w:cs="宋体"/>
                <w:color w:val="auto"/>
                <w:sz w:val="24"/>
                <w:szCs w:val="24"/>
                <w:highlight w:val="none"/>
              </w:rPr>
            </w:pPr>
          </w:p>
        </w:tc>
        <w:tc>
          <w:tcPr>
            <w:tcW w:w="2264" w:type="dxa"/>
          </w:tcPr>
          <w:p w14:paraId="7C94043F">
            <w:pPr>
              <w:spacing w:before="134" w:line="324" w:lineRule="exact"/>
              <w:ind w:firstLine="554"/>
              <w:rPr>
                <w:rFonts w:hint="eastAsia" w:ascii="宋体" w:hAnsi="宋体" w:cs="宋体"/>
                <w:color w:val="auto"/>
                <w:highlight w:val="none"/>
              </w:rPr>
            </w:pPr>
          </w:p>
        </w:tc>
        <w:tc>
          <w:tcPr>
            <w:tcW w:w="1862" w:type="dxa"/>
          </w:tcPr>
          <w:p w14:paraId="45E9EBA6">
            <w:pPr>
              <w:spacing w:before="31" w:line="427" w:lineRule="exact"/>
              <w:ind w:firstLine="764"/>
              <w:rPr>
                <w:rFonts w:hint="eastAsia" w:ascii="宋体" w:hAnsi="宋体" w:cs="宋体"/>
                <w:color w:val="auto"/>
                <w:highlight w:val="none"/>
              </w:rPr>
            </w:pPr>
          </w:p>
        </w:tc>
      </w:tr>
      <w:tr w14:paraId="4AB90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2598" w:type="dxa"/>
          </w:tcPr>
          <w:p w14:paraId="49E6BC21">
            <w:pPr>
              <w:spacing w:before="132" w:line="220" w:lineRule="auto"/>
              <w:ind w:left="95"/>
              <w:rPr>
                <w:rFonts w:hint="eastAsia" w:ascii="宋体" w:hAnsi="宋体" w:cs="宋体"/>
                <w:color w:val="auto"/>
                <w:highlight w:val="none"/>
              </w:rPr>
            </w:pPr>
            <w:r>
              <w:rPr>
                <w:rFonts w:hint="eastAsia" w:ascii="宋体" w:hAnsi="宋体" w:cs="宋体"/>
                <w:color w:val="auto"/>
                <w:spacing w:val="2"/>
                <w:highlight w:val="none"/>
              </w:rPr>
              <w:t>2.生活用房</w:t>
            </w:r>
          </w:p>
        </w:tc>
        <w:tc>
          <w:tcPr>
            <w:tcW w:w="2274" w:type="dxa"/>
          </w:tcPr>
          <w:p w14:paraId="156869B7">
            <w:pPr>
              <w:pStyle w:val="9"/>
              <w:rPr>
                <w:rFonts w:hint="eastAsia" w:ascii="宋体" w:hAnsi="宋体" w:eastAsia="宋体" w:cs="宋体"/>
                <w:color w:val="auto"/>
                <w:sz w:val="24"/>
                <w:szCs w:val="24"/>
                <w:highlight w:val="none"/>
              </w:rPr>
            </w:pPr>
          </w:p>
        </w:tc>
        <w:tc>
          <w:tcPr>
            <w:tcW w:w="2264" w:type="dxa"/>
          </w:tcPr>
          <w:p w14:paraId="360E8EA3">
            <w:pPr>
              <w:pStyle w:val="9"/>
              <w:rPr>
                <w:rFonts w:hint="eastAsia" w:ascii="宋体" w:hAnsi="宋体" w:eastAsia="宋体" w:cs="宋体"/>
                <w:color w:val="auto"/>
                <w:sz w:val="24"/>
                <w:szCs w:val="24"/>
                <w:highlight w:val="none"/>
              </w:rPr>
            </w:pPr>
          </w:p>
        </w:tc>
        <w:tc>
          <w:tcPr>
            <w:tcW w:w="1862" w:type="dxa"/>
          </w:tcPr>
          <w:p w14:paraId="53AEFA19">
            <w:pPr>
              <w:pStyle w:val="9"/>
              <w:rPr>
                <w:rFonts w:hint="eastAsia" w:ascii="宋体" w:hAnsi="宋体" w:eastAsia="宋体" w:cs="宋体"/>
                <w:color w:val="auto"/>
                <w:sz w:val="24"/>
                <w:szCs w:val="24"/>
                <w:highlight w:val="none"/>
              </w:rPr>
            </w:pPr>
          </w:p>
        </w:tc>
      </w:tr>
      <w:tr w14:paraId="65996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2598" w:type="dxa"/>
          </w:tcPr>
          <w:p w14:paraId="06F2E596">
            <w:pPr>
              <w:spacing w:before="134" w:line="220" w:lineRule="auto"/>
              <w:ind w:left="95"/>
              <w:rPr>
                <w:rFonts w:hint="eastAsia" w:ascii="宋体" w:hAnsi="宋体" w:cs="宋体"/>
                <w:color w:val="auto"/>
                <w:highlight w:val="none"/>
              </w:rPr>
            </w:pPr>
            <w:r>
              <w:rPr>
                <w:rFonts w:hint="eastAsia" w:ascii="宋体" w:hAnsi="宋体" w:cs="宋体"/>
                <w:color w:val="auto"/>
                <w:spacing w:val="2"/>
                <w:highlight w:val="none"/>
              </w:rPr>
              <w:t>3.试验用房</w:t>
            </w:r>
          </w:p>
        </w:tc>
        <w:tc>
          <w:tcPr>
            <w:tcW w:w="2274" w:type="dxa"/>
          </w:tcPr>
          <w:p w14:paraId="7C908036">
            <w:pPr>
              <w:pStyle w:val="9"/>
              <w:rPr>
                <w:rFonts w:hint="eastAsia" w:ascii="宋体" w:hAnsi="宋体" w:eastAsia="宋体" w:cs="宋体"/>
                <w:color w:val="auto"/>
                <w:sz w:val="24"/>
                <w:szCs w:val="24"/>
                <w:highlight w:val="none"/>
              </w:rPr>
            </w:pPr>
          </w:p>
        </w:tc>
        <w:tc>
          <w:tcPr>
            <w:tcW w:w="2264" w:type="dxa"/>
          </w:tcPr>
          <w:p w14:paraId="5D8BEAF6">
            <w:pPr>
              <w:pStyle w:val="9"/>
              <w:rPr>
                <w:rFonts w:hint="eastAsia" w:ascii="宋体" w:hAnsi="宋体" w:eastAsia="宋体" w:cs="宋体"/>
                <w:color w:val="auto"/>
                <w:sz w:val="24"/>
                <w:szCs w:val="24"/>
                <w:highlight w:val="none"/>
              </w:rPr>
            </w:pPr>
          </w:p>
        </w:tc>
        <w:tc>
          <w:tcPr>
            <w:tcW w:w="1862" w:type="dxa"/>
          </w:tcPr>
          <w:p w14:paraId="0851DFE0">
            <w:pPr>
              <w:pStyle w:val="9"/>
              <w:rPr>
                <w:rFonts w:hint="eastAsia" w:ascii="宋体" w:hAnsi="宋体" w:eastAsia="宋体" w:cs="宋体"/>
                <w:color w:val="auto"/>
                <w:sz w:val="24"/>
                <w:szCs w:val="24"/>
                <w:highlight w:val="none"/>
              </w:rPr>
            </w:pPr>
          </w:p>
        </w:tc>
      </w:tr>
      <w:tr w14:paraId="32D6F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2598" w:type="dxa"/>
          </w:tcPr>
          <w:p w14:paraId="29407CE0">
            <w:pPr>
              <w:spacing w:before="125" w:line="219" w:lineRule="auto"/>
              <w:ind w:left="95"/>
              <w:rPr>
                <w:rFonts w:hint="eastAsia" w:ascii="宋体" w:hAnsi="宋体" w:cs="宋体"/>
                <w:color w:val="auto"/>
                <w:highlight w:val="none"/>
              </w:rPr>
            </w:pPr>
            <w:r>
              <w:rPr>
                <w:rFonts w:hint="eastAsia" w:ascii="宋体" w:hAnsi="宋体" w:cs="宋体"/>
                <w:color w:val="auto"/>
                <w:spacing w:val="2"/>
                <w:highlight w:val="none"/>
              </w:rPr>
              <w:t>4.样品用房</w:t>
            </w:r>
          </w:p>
        </w:tc>
        <w:tc>
          <w:tcPr>
            <w:tcW w:w="2274" w:type="dxa"/>
          </w:tcPr>
          <w:p w14:paraId="30DBD088">
            <w:pPr>
              <w:pStyle w:val="9"/>
              <w:rPr>
                <w:rFonts w:hint="eastAsia" w:ascii="宋体" w:hAnsi="宋体" w:eastAsia="宋体" w:cs="宋体"/>
                <w:color w:val="auto"/>
                <w:sz w:val="24"/>
                <w:szCs w:val="24"/>
                <w:highlight w:val="none"/>
              </w:rPr>
            </w:pPr>
          </w:p>
        </w:tc>
        <w:tc>
          <w:tcPr>
            <w:tcW w:w="2264" w:type="dxa"/>
          </w:tcPr>
          <w:p w14:paraId="669E4993">
            <w:pPr>
              <w:pStyle w:val="9"/>
              <w:rPr>
                <w:rFonts w:hint="eastAsia" w:ascii="宋体" w:hAnsi="宋体" w:eastAsia="宋体" w:cs="宋体"/>
                <w:color w:val="auto"/>
                <w:sz w:val="24"/>
                <w:szCs w:val="24"/>
                <w:highlight w:val="none"/>
              </w:rPr>
            </w:pPr>
          </w:p>
        </w:tc>
        <w:tc>
          <w:tcPr>
            <w:tcW w:w="1862" w:type="dxa"/>
          </w:tcPr>
          <w:p w14:paraId="4FB86D72">
            <w:pPr>
              <w:pStyle w:val="9"/>
              <w:rPr>
                <w:rFonts w:hint="eastAsia" w:ascii="宋体" w:hAnsi="宋体" w:eastAsia="宋体" w:cs="宋体"/>
                <w:color w:val="auto"/>
                <w:sz w:val="24"/>
                <w:szCs w:val="24"/>
                <w:highlight w:val="none"/>
              </w:rPr>
            </w:pPr>
          </w:p>
        </w:tc>
      </w:tr>
      <w:tr w14:paraId="48ED4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2598" w:type="dxa"/>
          </w:tcPr>
          <w:p w14:paraId="2A7B7EA1">
            <w:pPr>
              <w:spacing w:before="147" w:line="219" w:lineRule="auto"/>
              <w:ind w:left="95"/>
              <w:rPr>
                <w:rFonts w:hint="eastAsia" w:ascii="宋体" w:hAnsi="宋体" w:cs="宋体"/>
                <w:color w:val="auto"/>
                <w:highlight w:val="none"/>
              </w:rPr>
            </w:pPr>
            <w:r>
              <w:rPr>
                <w:rFonts w:hint="eastAsia" w:ascii="宋体" w:hAnsi="宋体" w:cs="宋体"/>
                <w:color w:val="auto"/>
                <w:highlight w:val="none"/>
              </w:rPr>
              <w:t>5.用餐及其他生活条件</w:t>
            </w:r>
          </w:p>
        </w:tc>
        <w:tc>
          <w:tcPr>
            <w:tcW w:w="6400" w:type="dxa"/>
            <w:gridSpan w:val="3"/>
          </w:tcPr>
          <w:p w14:paraId="5F33EE88">
            <w:pPr>
              <w:pStyle w:val="9"/>
              <w:rPr>
                <w:rFonts w:hint="eastAsia" w:ascii="宋体" w:hAnsi="宋体" w:eastAsia="宋体" w:cs="宋体"/>
                <w:color w:val="auto"/>
                <w:sz w:val="24"/>
                <w:szCs w:val="24"/>
                <w:highlight w:val="none"/>
              </w:rPr>
            </w:pPr>
          </w:p>
        </w:tc>
      </w:tr>
    </w:tbl>
    <w:p w14:paraId="575F28FA">
      <w:pPr>
        <w:spacing w:before="269" w:line="219" w:lineRule="auto"/>
        <w:ind w:left="115"/>
        <w:rPr>
          <w:rFonts w:hint="eastAsia" w:ascii="宋体" w:hAnsi="宋体" w:cs="宋体"/>
          <w:color w:val="auto"/>
          <w:highlight w:val="none"/>
        </w:rPr>
      </w:pPr>
      <w:r>
        <w:rPr>
          <w:rFonts w:hint="eastAsia" w:ascii="宋体" w:hAnsi="宋体" w:cs="宋体"/>
          <w:b/>
          <w:bCs/>
          <w:color w:val="auto"/>
          <w:spacing w:val="-3"/>
          <w:highlight w:val="none"/>
        </w:rPr>
        <w:t>B-3</w:t>
      </w:r>
      <w:r>
        <w:rPr>
          <w:rFonts w:hint="eastAsia" w:ascii="宋体" w:hAnsi="宋体" w:cs="宋体"/>
          <w:b/>
          <w:bCs/>
          <w:color w:val="auto"/>
          <w:spacing w:val="12"/>
          <w:highlight w:val="none"/>
        </w:rPr>
        <w:t xml:space="preserve">   </w:t>
      </w:r>
      <w:r>
        <w:rPr>
          <w:rFonts w:hint="eastAsia" w:ascii="宋体" w:hAnsi="宋体" w:cs="宋体"/>
          <w:b/>
          <w:bCs/>
          <w:color w:val="auto"/>
          <w:spacing w:val="-3"/>
          <w:highlight w:val="none"/>
        </w:rPr>
        <w:t>委托人提供的资料</w:t>
      </w:r>
    </w:p>
    <w:p w14:paraId="436EC9E5">
      <w:pPr>
        <w:spacing w:line="122" w:lineRule="exact"/>
        <w:rPr>
          <w:rFonts w:hint="eastAsia" w:ascii="宋体" w:hAnsi="宋体" w:cs="宋体"/>
          <w:color w:val="auto"/>
          <w:highlight w:val="none"/>
        </w:rPr>
      </w:pPr>
    </w:p>
    <w:tbl>
      <w:tblPr>
        <w:tblStyle w:val="8"/>
        <w:tblW w:w="8999" w:type="dxa"/>
        <w:tblInd w:w="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21"/>
        <w:gridCol w:w="1093"/>
        <w:gridCol w:w="1785"/>
        <w:gridCol w:w="2200"/>
      </w:tblGrid>
      <w:tr w14:paraId="3D85B9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3921" w:type="dxa"/>
            <w:vAlign w:val="center"/>
          </w:tcPr>
          <w:p w14:paraId="51D1041F">
            <w:pPr>
              <w:jc w:val="center"/>
              <w:rPr>
                <w:rFonts w:hint="eastAsia" w:ascii="宋体" w:hAnsi="宋体" w:cs="宋体"/>
                <w:color w:val="auto"/>
                <w:highlight w:val="none"/>
              </w:rPr>
            </w:pPr>
            <w:r>
              <w:rPr>
                <w:rFonts w:hint="eastAsia" w:ascii="宋体" w:hAnsi="宋体" w:cs="宋体"/>
                <w:color w:val="auto"/>
                <w:highlight w:val="none"/>
              </w:rPr>
              <w:t>名称</w:t>
            </w:r>
          </w:p>
        </w:tc>
        <w:tc>
          <w:tcPr>
            <w:tcW w:w="1093" w:type="dxa"/>
            <w:vAlign w:val="center"/>
          </w:tcPr>
          <w:p w14:paraId="3F8B0D55">
            <w:pPr>
              <w:jc w:val="center"/>
              <w:rPr>
                <w:rFonts w:hint="eastAsia" w:ascii="宋体" w:hAnsi="宋体" w:cs="宋体"/>
                <w:color w:val="auto"/>
                <w:highlight w:val="none"/>
              </w:rPr>
            </w:pPr>
            <w:r>
              <w:rPr>
                <w:rFonts w:hint="eastAsia" w:ascii="宋体" w:hAnsi="宋体" w:cs="宋体"/>
                <w:color w:val="auto"/>
                <w:highlight w:val="none"/>
              </w:rPr>
              <w:t>份数</w:t>
            </w:r>
          </w:p>
        </w:tc>
        <w:tc>
          <w:tcPr>
            <w:tcW w:w="1785" w:type="dxa"/>
            <w:vAlign w:val="center"/>
          </w:tcPr>
          <w:p w14:paraId="7BB09922">
            <w:pPr>
              <w:jc w:val="center"/>
              <w:rPr>
                <w:rFonts w:hint="eastAsia" w:ascii="宋体" w:hAnsi="宋体" w:cs="宋体"/>
                <w:color w:val="auto"/>
                <w:highlight w:val="none"/>
              </w:rPr>
            </w:pPr>
            <w:r>
              <w:rPr>
                <w:rFonts w:hint="eastAsia" w:ascii="宋体" w:hAnsi="宋体" w:cs="宋体"/>
                <w:color w:val="auto"/>
                <w:highlight w:val="none"/>
              </w:rPr>
              <w:t>提供时间</w:t>
            </w:r>
          </w:p>
        </w:tc>
        <w:tc>
          <w:tcPr>
            <w:tcW w:w="2200" w:type="dxa"/>
            <w:vAlign w:val="center"/>
          </w:tcPr>
          <w:p w14:paraId="110690A5">
            <w:pPr>
              <w:jc w:val="center"/>
              <w:rPr>
                <w:rFonts w:hint="eastAsia" w:ascii="宋体" w:hAnsi="宋体" w:cs="宋体"/>
                <w:color w:val="auto"/>
                <w:highlight w:val="none"/>
              </w:rPr>
            </w:pPr>
            <w:r>
              <w:rPr>
                <w:rFonts w:hint="eastAsia" w:ascii="宋体" w:hAnsi="宋体" w:cs="宋体"/>
                <w:color w:val="auto"/>
                <w:highlight w:val="none"/>
              </w:rPr>
              <w:t>备注</w:t>
            </w:r>
          </w:p>
        </w:tc>
      </w:tr>
      <w:tr w14:paraId="2DFADE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3921" w:type="dxa"/>
            <w:vAlign w:val="center"/>
          </w:tcPr>
          <w:p w14:paraId="1DE88309">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1.工程立项文件</w:t>
            </w:r>
          </w:p>
        </w:tc>
        <w:tc>
          <w:tcPr>
            <w:tcW w:w="1093" w:type="dxa"/>
            <w:vAlign w:val="center"/>
          </w:tcPr>
          <w:p w14:paraId="16BF0FE6">
            <w:pPr>
              <w:spacing w:before="141" w:line="219" w:lineRule="auto"/>
              <w:ind w:left="84"/>
              <w:rPr>
                <w:rFonts w:hint="eastAsia" w:ascii="宋体" w:hAnsi="宋体" w:cs="宋体"/>
                <w:color w:val="auto"/>
                <w:spacing w:val="3"/>
                <w:highlight w:val="none"/>
              </w:rPr>
            </w:pPr>
          </w:p>
        </w:tc>
        <w:tc>
          <w:tcPr>
            <w:tcW w:w="1785" w:type="dxa"/>
            <w:vAlign w:val="center"/>
          </w:tcPr>
          <w:p w14:paraId="4C5A71B7">
            <w:pPr>
              <w:spacing w:before="141" w:line="219" w:lineRule="auto"/>
              <w:ind w:left="84"/>
              <w:rPr>
                <w:rFonts w:hint="eastAsia" w:ascii="宋体" w:hAnsi="宋体" w:cs="宋体"/>
                <w:color w:val="auto"/>
                <w:spacing w:val="3"/>
                <w:highlight w:val="none"/>
              </w:rPr>
            </w:pPr>
          </w:p>
        </w:tc>
        <w:tc>
          <w:tcPr>
            <w:tcW w:w="2200" w:type="dxa"/>
            <w:vAlign w:val="center"/>
          </w:tcPr>
          <w:p w14:paraId="21907A7A">
            <w:pPr>
              <w:spacing w:before="141" w:line="219" w:lineRule="auto"/>
              <w:ind w:left="84"/>
              <w:rPr>
                <w:rFonts w:hint="eastAsia" w:ascii="宋体" w:hAnsi="宋体" w:cs="宋体"/>
                <w:color w:val="auto"/>
                <w:spacing w:val="3"/>
                <w:highlight w:val="none"/>
              </w:rPr>
            </w:pPr>
          </w:p>
        </w:tc>
      </w:tr>
      <w:tr w14:paraId="213B3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3921" w:type="dxa"/>
            <w:vAlign w:val="center"/>
          </w:tcPr>
          <w:p w14:paraId="1AD7D6C3">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2.工程勘察文件</w:t>
            </w:r>
          </w:p>
        </w:tc>
        <w:tc>
          <w:tcPr>
            <w:tcW w:w="1093" w:type="dxa"/>
            <w:vAlign w:val="center"/>
          </w:tcPr>
          <w:p w14:paraId="7A86410B">
            <w:pPr>
              <w:spacing w:before="141" w:line="219" w:lineRule="auto"/>
              <w:ind w:left="84"/>
              <w:rPr>
                <w:rFonts w:hint="eastAsia" w:ascii="宋体" w:hAnsi="宋体" w:cs="宋体"/>
                <w:color w:val="auto"/>
                <w:spacing w:val="3"/>
                <w:highlight w:val="none"/>
              </w:rPr>
            </w:pPr>
          </w:p>
        </w:tc>
        <w:tc>
          <w:tcPr>
            <w:tcW w:w="1785" w:type="dxa"/>
            <w:vAlign w:val="center"/>
          </w:tcPr>
          <w:p w14:paraId="54080F55">
            <w:pPr>
              <w:spacing w:before="141" w:line="219" w:lineRule="auto"/>
              <w:ind w:left="84"/>
              <w:rPr>
                <w:rFonts w:hint="eastAsia" w:ascii="宋体" w:hAnsi="宋体" w:cs="宋体"/>
                <w:color w:val="auto"/>
                <w:spacing w:val="3"/>
                <w:highlight w:val="none"/>
              </w:rPr>
            </w:pPr>
          </w:p>
        </w:tc>
        <w:tc>
          <w:tcPr>
            <w:tcW w:w="2200" w:type="dxa"/>
            <w:vAlign w:val="center"/>
          </w:tcPr>
          <w:p w14:paraId="12C8B542">
            <w:pPr>
              <w:spacing w:before="141" w:line="219" w:lineRule="auto"/>
              <w:ind w:left="84"/>
              <w:rPr>
                <w:rFonts w:hint="eastAsia" w:ascii="宋体" w:hAnsi="宋体" w:cs="宋体"/>
                <w:color w:val="auto"/>
                <w:spacing w:val="3"/>
                <w:highlight w:val="none"/>
              </w:rPr>
            </w:pPr>
          </w:p>
        </w:tc>
      </w:tr>
      <w:tr w14:paraId="461C1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3921" w:type="dxa"/>
            <w:vAlign w:val="center"/>
          </w:tcPr>
          <w:p w14:paraId="70F78341">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3.工程设计及施工图纸</w:t>
            </w:r>
          </w:p>
        </w:tc>
        <w:tc>
          <w:tcPr>
            <w:tcW w:w="1093" w:type="dxa"/>
            <w:vAlign w:val="center"/>
          </w:tcPr>
          <w:p w14:paraId="77CE616C">
            <w:pPr>
              <w:spacing w:before="141" w:line="219" w:lineRule="auto"/>
              <w:ind w:left="84"/>
              <w:rPr>
                <w:rFonts w:hint="eastAsia" w:ascii="宋体" w:hAnsi="宋体" w:cs="宋体"/>
                <w:color w:val="auto"/>
                <w:spacing w:val="3"/>
                <w:highlight w:val="none"/>
              </w:rPr>
            </w:pPr>
          </w:p>
        </w:tc>
        <w:tc>
          <w:tcPr>
            <w:tcW w:w="1785" w:type="dxa"/>
            <w:vAlign w:val="center"/>
          </w:tcPr>
          <w:p w14:paraId="43DAA3A1">
            <w:pPr>
              <w:spacing w:before="141" w:line="219" w:lineRule="auto"/>
              <w:ind w:left="84"/>
              <w:rPr>
                <w:rFonts w:hint="eastAsia" w:ascii="宋体" w:hAnsi="宋体" w:cs="宋体"/>
                <w:color w:val="auto"/>
                <w:spacing w:val="3"/>
                <w:highlight w:val="none"/>
              </w:rPr>
            </w:pPr>
          </w:p>
        </w:tc>
        <w:tc>
          <w:tcPr>
            <w:tcW w:w="2200" w:type="dxa"/>
            <w:vAlign w:val="center"/>
          </w:tcPr>
          <w:p w14:paraId="3E5B26A6">
            <w:pPr>
              <w:spacing w:before="141" w:line="219" w:lineRule="auto"/>
              <w:ind w:left="84"/>
              <w:rPr>
                <w:rFonts w:hint="eastAsia" w:ascii="宋体" w:hAnsi="宋体" w:cs="宋体"/>
                <w:color w:val="auto"/>
                <w:spacing w:val="3"/>
                <w:highlight w:val="none"/>
              </w:rPr>
            </w:pPr>
          </w:p>
        </w:tc>
      </w:tr>
      <w:tr w14:paraId="2D604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3921" w:type="dxa"/>
            <w:vAlign w:val="center"/>
          </w:tcPr>
          <w:p w14:paraId="51F05BD2">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4.工程承包合同及其他相关合同</w:t>
            </w:r>
          </w:p>
        </w:tc>
        <w:tc>
          <w:tcPr>
            <w:tcW w:w="1093" w:type="dxa"/>
            <w:vAlign w:val="center"/>
          </w:tcPr>
          <w:p w14:paraId="4E6BA6DB">
            <w:pPr>
              <w:spacing w:before="141" w:line="219" w:lineRule="auto"/>
              <w:ind w:left="84"/>
              <w:rPr>
                <w:rFonts w:hint="eastAsia" w:ascii="宋体" w:hAnsi="宋体" w:cs="宋体"/>
                <w:color w:val="auto"/>
                <w:spacing w:val="3"/>
                <w:highlight w:val="none"/>
              </w:rPr>
            </w:pPr>
          </w:p>
        </w:tc>
        <w:tc>
          <w:tcPr>
            <w:tcW w:w="1785" w:type="dxa"/>
            <w:vAlign w:val="center"/>
          </w:tcPr>
          <w:p w14:paraId="51003EA5">
            <w:pPr>
              <w:spacing w:before="141" w:line="219" w:lineRule="auto"/>
              <w:ind w:left="84"/>
              <w:rPr>
                <w:rFonts w:hint="eastAsia" w:ascii="宋体" w:hAnsi="宋体" w:cs="宋体"/>
                <w:color w:val="auto"/>
                <w:spacing w:val="3"/>
                <w:highlight w:val="none"/>
              </w:rPr>
            </w:pPr>
          </w:p>
        </w:tc>
        <w:tc>
          <w:tcPr>
            <w:tcW w:w="2200" w:type="dxa"/>
            <w:vAlign w:val="center"/>
          </w:tcPr>
          <w:p w14:paraId="5EF89908">
            <w:pPr>
              <w:spacing w:before="141" w:line="219" w:lineRule="auto"/>
              <w:ind w:left="84"/>
              <w:rPr>
                <w:rFonts w:hint="eastAsia" w:ascii="宋体" w:hAnsi="宋体" w:cs="宋体"/>
                <w:color w:val="auto"/>
                <w:spacing w:val="3"/>
                <w:highlight w:val="none"/>
              </w:rPr>
            </w:pPr>
          </w:p>
        </w:tc>
      </w:tr>
      <w:tr w14:paraId="15733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3921" w:type="dxa"/>
            <w:vAlign w:val="center"/>
          </w:tcPr>
          <w:p w14:paraId="55600C4A">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5.施工许可文件</w:t>
            </w:r>
          </w:p>
        </w:tc>
        <w:tc>
          <w:tcPr>
            <w:tcW w:w="1093" w:type="dxa"/>
            <w:vAlign w:val="center"/>
          </w:tcPr>
          <w:p w14:paraId="29D9F299">
            <w:pPr>
              <w:spacing w:before="141" w:line="219" w:lineRule="auto"/>
              <w:ind w:left="84"/>
              <w:rPr>
                <w:rFonts w:hint="eastAsia" w:ascii="宋体" w:hAnsi="宋体" w:cs="宋体"/>
                <w:color w:val="auto"/>
                <w:spacing w:val="3"/>
                <w:highlight w:val="none"/>
              </w:rPr>
            </w:pPr>
          </w:p>
        </w:tc>
        <w:tc>
          <w:tcPr>
            <w:tcW w:w="1785" w:type="dxa"/>
            <w:vAlign w:val="center"/>
          </w:tcPr>
          <w:p w14:paraId="74E604E5">
            <w:pPr>
              <w:spacing w:before="141" w:line="219" w:lineRule="auto"/>
              <w:ind w:left="84"/>
              <w:rPr>
                <w:rFonts w:hint="eastAsia" w:ascii="宋体" w:hAnsi="宋体" w:cs="宋体"/>
                <w:color w:val="auto"/>
                <w:spacing w:val="3"/>
                <w:highlight w:val="none"/>
              </w:rPr>
            </w:pPr>
          </w:p>
        </w:tc>
        <w:tc>
          <w:tcPr>
            <w:tcW w:w="2200" w:type="dxa"/>
            <w:vAlign w:val="center"/>
          </w:tcPr>
          <w:p w14:paraId="02AF18A3">
            <w:pPr>
              <w:spacing w:before="141" w:line="219" w:lineRule="auto"/>
              <w:ind w:left="84"/>
              <w:rPr>
                <w:rFonts w:hint="eastAsia" w:ascii="宋体" w:hAnsi="宋体" w:cs="宋体"/>
                <w:color w:val="auto"/>
                <w:spacing w:val="3"/>
                <w:highlight w:val="none"/>
              </w:rPr>
            </w:pPr>
          </w:p>
        </w:tc>
      </w:tr>
      <w:tr w14:paraId="13173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3921" w:type="dxa"/>
            <w:vAlign w:val="center"/>
          </w:tcPr>
          <w:p w14:paraId="7B04B377">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6.其他文件</w:t>
            </w:r>
          </w:p>
        </w:tc>
        <w:tc>
          <w:tcPr>
            <w:tcW w:w="1093" w:type="dxa"/>
            <w:vAlign w:val="center"/>
          </w:tcPr>
          <w:p w14:paraId="75665826">
            <w:pPr>
              <w:spacing w:before="141" w:line="219" w:lineRule="auto"/>
              <w:ind w:left="84"/>
              <w:rPr>
                <w:rFonts w:hint="eastAsia" w:ascii="宋体" w:hAnsi="宋体" w:cs="宋体"/>
                <w:color w:val="auto"/>
                <w:spacing w:val="3"/>
                <w:highlight w:val="none"/>
              </w:rPr>
            </w:pPr>
          </w:p>
        </w:tc>
        <w:tc>
          <w:tcPr>
            <w:tcW w:w="1785" w:type="dxa"/>
            <w:vAlign w:val="center"/>
          </w:tcPr>
          <w:p w14:paraId="0F301E96">
            <w:pPr>
              <w:spacing w:before="141" w:line="219" w:lineRule="auto"/>
              <w:ind w:left="84"/>
              <w:rPr>
                <w:rFonts w:hint="eastAsia" w:ascii="宋体" w:hAnsi="宋体" w:cs="宋体"/>
                <w:color w:val="auto"/>
                <w:spacing w:val="3"/>
                <w:highlight w:val="none"/>
              </w:rPr>
            </w:pPr>
          </w:p>
        </w:tc>
        <w:tc>
          <w:tcPr>
            <w:tcW w:w="2200" w:type="dxa"/>
            <w:vAlign w:val="center"/>
          </w:tcPr>
          <w:p w14:paraId="5B8671F7">
            <w:pPr>
              <w:spacing w:before="141" w:line="219" w:lineRule="auto"/>
              <w:ind w:left="84"/>
              <w:rPr>
                <w:rFonts w:hint="eastAsia" w:ascii="宋体" w:hAnsi="宋体" w:cs="宋体"/>
                <w:color w:val="auto"/>
                <w:spacing w:val="3"/>
                <w:highlight w:val="none"/>
              </w:rPr>
            </w:pPr>
          </w:p>
        </w:tc>
      </w:tr>
    </w:tbl>
    <w:p w14:paraId="623B8DA9">
      <w:pPr>
        <w:spacing w:before="279" w:line="219" w:lineRule="auto"/>
        <w:ind w:left="115"/>
        <w:rPr>
          <w:rFonts w:hint="eastAsia" w:ascii="宋体" w:hAnsi="宋体" w:cs="宋体"/>
          <w:color w:val="auto"/>
          <w:highlight w:val="none"/>
        </w:rPr>
      </w:pPr>
      <w:r>
        <w:rPr>
          <w:rFonts w:hint="eastAsia" w:ascii="宋体" w:hAnsi="宋体" w:cs="宋体"/>
          <w:b/>
          <w:bCs/>
          <w:color w:val="auto"/>
          <w:spacing w:val="-1"/>
          <w:highlight w:val="none"/>
        </w:rPr>
        <w:t>B-4</w:t>
      </w:r>
      <w:r>
        <w:rPr>
          <w:rFonts w:hint="eastAsia" w:ascii="宋体" w:hAnsi="宋体" w:cs="宋体"/>
          <w:b/>
          <w:bCs/>
          <w:color w:val="auto"/>
          <w:spacing w:val="31"/>
          <w:w w:val="101"/>
          <w:highlight w:val="none"/>
        </w:rPr>
        <w:t xml:space="preserve"> </w:t>
      </w:r>
      <w:r>
        <w:rPr>
          <w:rFonts w:hint="eastAsia" w:ascii="宋体" w:hAnsi="宋体" w:cs="宋体"/>
          <w:b/>
          <w:bCs/>
          <w:color w:val="auto"/>
          <w:spacing w:val="-1"/>
          <w:highlight w:val="none"/>
        </w:rPr>
        <w:t>委托人提供的设备</w:t>
      </w:r>
    </w:p>
    <w:p w14:paraId="17AD24FA">
      <w:pPr>
        <w:spacing w:line="101" w:lineRule="exact"/>
        <w:rPr>
          <w:rFonts w:hint="eastAsia" w:ascii="宋体" w:hAnsi="宋体" w:cs="宋体"/>
          <w:color w:val="auto"/>
          <w:highlight w:val="none"/>
        </w:rPr>
      </w:pPr>
    </w:p>
    <w:tbl>
      <w:tblPr>
        <w:tblStyle w:val="8"/>
        <w:tblW w:w="8988" w:type="dxa"/>
        <w:tblInd w:w="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5"/>
        <w:gridCol w:w="1680"/>
        <w:gridCol w:w="2262"/>
        <w:gridCol w:w="1891"/>
      </w:tblGrid>
      <w:tr w14:paraId="2DE4D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3155" w:type="dxa"/>
          </w:tcPr>
          <w:p w14:paraId="1EA1FAD5">
            <w:pPr>
              <w:spacing w:before="136" w:line="221" w:lineRule="auto"/>
              <w:ind w:left="1294"/>
              <w:rPr>
                <w:rFonts w:hint="eastAsia" w:ascii="宋体" w:hAnsi="宋体" w:cs="宋体"/>
                <w:color w:val="auto"/>
                <w:highlight w:val="none"/>
              </w:rPr>
            </w:pPr>
            <w:r>
              <w:rPr>
                <w:rFonts w:hint="eastAsia" w:ascii="宋体" w:hAnsi="宋体" w:cs="宋体"/>
                <w:color w:val="auto"/>
                <w:spacing w:val="5"/>
                <w:highlight w:val="none"/>
              </w:rPr>
              <w:t>名称</w:t>
            </w:r>
          </w:p>
        </w:tc>
        <w:tc>
          <w:tcPr>
            <w:tcW w:w="1680" w:type="dxa"/>
          </w:tcPr>
          <w:p w14:paraId="47C53DBD">
            <w:pPr>
              <w:spacing w:before="133" w:line="219" w:lineRule="auto"/>
              <w:ind w:left="584"/>
              <w:rPr>
                <w:rFonts w:hint="eastAsia" w:ascii="宋体" w:hAnsi="宋体" w:cs="宋体"/>
                <w:color w:val="auto"/>
                <w:highlight w:val="none"/>
              </w:rPr>
            </w:pPr>
            <w:r>
              <w:rPr>
                <w:rFonts w:hint="eastAsia" w:ascii="宋体" w:hAnsi="宋体" w:cs="宋体"/>
                <w:color w:val="auto"/>
                <w:spacing w:val="-3"/>
                <w:highlight w:val="none"/>
              </w:rPr>
              <w:t>数量</w:t>
            </w:r>
          </w:p>
        </w:tc>
        <w:tc>
          <w:tcPr>
            <w:tcW w:w="2262" w:type="dxa"/>
          </w:tcPr>
          <w:p w14:paraId="041F8369">
            <w:pPr>
              <w:spacing w:before="133" w:line="219" w:lineRule="auto"/>
              <w:ind w:left="556"/>
              <w:rPr>
                <w:rFonts w:hint="eastAsia" w:ascii="宋体" w:hAnsi="宋体" w:cs="宋体"/>
                <w:color w:val="auto"/>
                <w:highlight w:val="none"/>
              </w:rPr>
            </w:pPr>
            <w:r>
              <w:rPr>
                <w:rFonts w:hint="eastAsia" w:ascii="宋体" w:hAnsi="宋体" w:cs="宋体"/>
                <w:color w:val="auto"/>
                <w:spacing w:val="1"/>
                <w:highlight w:val="none"/>
              </w:rPr>
              <w:t>型号与规格</w:t>
            </w:r>
          </w:p>
        </w:tc>
        <w:tc>
          <w:tcPr>
            <w:tcW w:w="1891" w:type="dxa"/>
          </w:tcPr>
          <w:p w14:paraId="24BF74A3">
            <w:pPr>
              <w:spacing w:before="132" w:line="219" w:lineRule="auto"/>
              <w:ind w:left="508"/>
              <w:rPr>
                <w:rFonts w:hint="eastAsia" w:ascii="宋体" w:hAnsi="宋体" w:cs="宋体"/>
                <w:color w:val="auto"/>
                <w:highlight w:val="none"/>
              </w:rPr>
            </w:pPr>
            <w:r>
              <w:rPr>
                <w:rFonts w:hint="eastAsia" w:ascii="宋体" w:hAnsi="宋体" w:cs="宋体"/>
                <w:color w:val="auto"/>
                <w:spacing w:val="4"/>
                <w:highlight w:val="none"/>
              </w:rPr>
              <w:t>提供时间</w:t>
            </w:r>
          </w:p>
        </w:tc>
      </w:tr>
      <w:tr w14:paraId="37BCF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3155" w:type="dxa"/>
          </w:tcPr>
          <w:p w14:paraId="6D7F711A">
            <w:pPr>
              <w:spacing w:before="151" w:line="221" w:lineRule="auto"/>
              <w:ind w:left="95"/>
              <w:rPr>
                <w:rFonts w:hint="eastAsia" w:ascii="宋体" w:hAnsi="宋体" w:cs="宋体"/>
                <w:color w:val="auto"/>
                <w:highlight w:val="none"/>
              </w:rPr>
            </w:pPr>
            <w:r>
              <w:rPr>
                <w:rFonts w:hint="eastAsia" w:ascii="宋体" w:hAnsi="宋体" w:cs="宋体"/>
                <w:color w:val="auto"/>
                <w:spacing w:val="1"/>
                <w:highlight w:val="none"/>
              </w:rPr>
              <w:t>1.通讯设备</w:t>
            </w:r>
          </w:p>
        </w:tc>
        <w:tc>
          <w:tcPr>
            <w:tcW w:w="1680" w:type="dxa"/>
          </w:tcPr>
          <w:p w14:paraId="6388771A">
            <w:pPr>
              <w:pStyle w:val="9"/>
              <w:rPr>
                <w:rFonts w:hint="eastAsia" w:ascii="宋体" w:hAnsi="宋体" w:eastAsia="宋体" w:cs="宋体"/>
                <w:color w:val="auto"/>
                <w:sz w:val="24"/>
                <w:szCs w:val="24"/>
                <w:highlight w:val="none"/>
              </w:rPr>
            </w:pPr>
          </w:p>
        </w:tc>
        <w:tc>
          <w:tcPr>
            <w:tcW w:w="2262" w:type="dxa"/>
          </w:tcPr>
          <w:p w14:paraId="4BB84039">
            <w:pPr>
              <w:pStyle w:val="9"/>
              <w:rPr>
                <w:rFonts w:hint="eastAsia" w:ascii="宋体" w:hAnsi="宋体" w:eastAsia="宋体" w:cs="宋体"/>
                <w:color w:val="auto"/>
                <w:sz w:val="24"/>
                <w:szCs w:val="24"/>
                <w:highlight w:val="none"/>
              </w:rPr>
            </w:pPr>
          </w:p>
        </w:tc>
        <w:tc>
          <w:tcPr>
            <w:tcW w:w="1891" w:type="dxa"/>
          </w:tcPr>
          <w:p w14:paraId="32CFEB2C">
            <w:pPr>
              <w:pStyle w:val="9"/>
              <w:rPr>
                <w:rFonts w:hint="eastAsia" w:ascii="宋体" w:hAnsi="宋体" w:eastAsia="宋体" w:cs="宋体"/>
                <w:color w:val="auto"/>
                <w:sz w:val="24"/>
                <w:szCs w:val="24"/>
                <w:highlight w:val="none"/>
              </w:rPr>
            </w:pPr>
          </w:p>
        </w:tc>
      </w:tr>
      <w:tr w14:paraId="64C1C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3155" w:type="dxa"/>
          </w:tcPr>
          <w:p w14:paraId="6F6B8B06">
            <w:pPr>
              <w:spacing w:before="142" w:line="219" w:lineRule="auto"/>
              <w:ind w:left="95"/>
              <w:rPr>
                <w:rFonts w:hint="eastAsia" w:ascii="宋体" w:hAnsi="宋体" w:cs="宋体"/>
                <w:color w:val="auto"/>
                <w:highlight w:val="none"/>
              </w:rPr>
            </w:pPr>
            <w:r>
              <w:rPr>
                <w:rFonts w:hint="eastAsia" w:ascii="宋体" w:hAnsi="宋体" w:cs="宋体"/>
                <w:color w:val="auto"/>
                <w:spacing w:val="-2"/>
                <w:highlight w:val="none"/>
              </w:rPr>
              <w:t>2.办公设备</w:t>
            </w:r>
          </w:p>
        </w:tc>
        <w:tc>
          <w:tcPr>
            <w:tcW w:w="1680" w:type="dxa"/>
          </w:tcPr>
          <w:p w14:paraId="0D43E51E">
            <w:pPr>
              <w:pStyle w:val="9"/>
              <w:rPr>
                <w:rFonts w:hint="eastAsia" w:ascii="宋体" w:hAnsi="宋体" w:eastAsia="宋体" w:cs="宋体"/>
                <w:color w:val="auto"/>
                <w:sz w:val="24"/>
                <w:szCs w:val="24"/>
                <w:highlight w:val="none"/>
              </w:rPr>
            </w:pPr>
          </w:p>
        </w:tc>
        <w:tc>
          <w:tcPr>
            <w:tcW w:w="2262" w:type="dxa"/>
          </w:tcPr>
          <w:p w14:paraId="22FA6F53">
            <w:pPr>
              <w:pStyle w:val="9"/>
              <w:rPr>
                <w:rFonts w:hint="eastAsia" w:ascii="宋体" w:hAnsi="宋体" w:eastAsia="宋体" w:cs="宋体"/>
                <w:color w:val="auto"/>
                <w:sz w:val="24"/>
                <w:szCs w:val="24"/>
                <w:highlight w:val="none"/>
              </w:rPr>
            </w:pPr>
          </w:p>
        </w:tc>
        <w:tc>
          <w:tcPr>
            <w:tcW w:w="1891" w:type="dxa"/>
          </w:tcPr>
          <w:p w14:paraId="6B161E37">
            <w:pPr>
              <w:pStyle w:val="9"/>
              <w:rPr>
                <w:rFonts w:hint="eastAsia" w:ascii="宋体" w:hAnsi="宋体" w:eastAsia="宋体" w:cs="宋体"/>
                <w:color w:val="auto"/>
                <w:sz w:val="24"/>
                <w:szCs w:val="24"/>
                <w:highlight w:val="none"/>
              </w:rPr>
            </w:pPr>
          </w:p>
        </w:tc>
      </w:tr>
      <w:tr w14:paraId="4AAFF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3155" w:type="dxa"/>
          </w:tcPr>
          <w:p w14:paraId="067AEF26">
            <w:pPr>
              <w:spacing w:before="155" w:line="221" w:lineRule="auto"/>
              <w:ind w:left="95"/>
              <w:rPr>
                <w:rFonts w:hint="eastAsia" w:ascii="宋体" w:hAnsi="宋体" w:cs="宋体"/>
                <w:color w:val="auto"/>
                <w:highlight w:val="none"/>
              </w:rPr>
            </w:pPr>
            <w:r>
              <w:rPr>
                <w:rFonts w:hint="eastAsia" w:ascii="宋体" w:hAnsi="宋体" w:cs="宋体"/>
                <w:color w:val="auto"/>
                <w:spacing w:val="1"/>
                <w:highlight w:val="none"/>
              </w:rPr>
              <w:t>3.交通工具</w:t>
            </w:r>
          </w:p>
        </w:tc>
        <w:tc>
          <w:tcPr>
            <w:tcW w:w="1680" w:type="dxa"/>
          </w:tcPr>
          <w:p w14:paraId="2F5F60D8">
            <w:pPr>
              <w:pStyle w:val="9"/>
              <w:rPr>
                <w:rFonts w:hint="eastAsia" w:ascii="宋体" w:hAnsi="宋体" w:eastAsia="宋体" w:cs="宋体"/>
                <w:color w:val="auto"/>
                <w:sz w:val="24"/>
                <w:szCs w:val="24"/>
                <w:highlight w:val="none"/>
              </w:rPr>
            </w:pPr>
          </w:p>
        </w:tc>
        <w:tc>
          <w:tcPr>
            <w:tcW w:w="2262" w:type="dxa"/>
          </w:tcPr>
          <w:p w14:paraId="06F18613">
            <w:pPr>
              <w:pStyle w:val="9"/>
              <w:rPr>
                <w:rFonts w:hint="eastAsia" w:ascii="宋体" w:hAnsi="宋体" w:eastAsia="宋体" w:cs="宋体"/>
                <w:color w:val="auto"/>
                <w:sz w:val="24"/>
                <w:szCs w:val="24"/>
                <w:highlight w:val="none"/>
              </w:rPr>
            </w:pPr>
          </w:p>
        </w:tc>
        <w:tc>
          <w:tcPr>
            <w:tcW w:w="1891" w:type="dxa"/>
          </w:tcPr>
          <w:p w14:paraId="19F93054">
            <w:pPr>
              <w:pStyle w:val="9"/>
              <w:rPr>
                <w:rFonts w:hint="eastAsia" w:ascii="宋体" w:hAnsi="宋体" w:eastAsia="宋体" w:cs="宋体"/>
                <w:color w:val="auto"/>
                <w:sz w:val="24"/>
                <w:szCs w:val="24"/>
                <w:highlight w:val="none"/>
              </w:rPr>
            </w:pPr>
          </w:p>
        </w:tc>
      </w:tr>
      <w:tr w14:paraId="64F4C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3155" w:type="dxa"/>
          </w:tcPr>
          <w:p w14:paraId="38A0536A">
            <w:pPr>
              <w:spacing w:before="126" w:line="219" w:lineRule="auto"/>
              <w:ind w:left="95"/>
              <w:rPr>
                <w:rFonts w:hint="eastAsia" w:ascii="宋体" w:hAnsi="宋体" w:cs="宋体"/>
                <w:color w:val="auto"/>
                <w:highlight w:val="none"/>
              </w:rPr>
            </w:pPr>
            <w:r>
              <w:rPr>
                <w:rFonts w:hint="eastAsia" w:ascii="宋体" w:hAnsi="宋体" w:cs="宋体"/>
                <w:color w:val="auto"/>
                <w:spacing w:val="-1"/>
                <w:highlight w:val="none"/>
              </w:rPr>
              <w:t>4.检测和试验设备</w:t>
            </w:r>
          </w:p>
        </w:tc>
        <w:tc>
          <w:tcPr>
            <w:tcW w:w="1680" w:type="dxa"/>
          </w:tcPr>
          <w:p w14:paraId="1BAFDD62">
            <w:pPr>
              <w:pStyle w:val="9"/>
              <w:rPr>
                <w:rFonts w:hint="eastAsia" w:ascii="宋体" w:hAnsi="宋体" w:eastAsia="宋体" w:cs="宋体"/>
                <w:color w:val="auto"/>
                <w:sz w:val="24"/>
                <w:szCs w:val="24"/>
                <w:highlight w:val="none"/>
              </w:rPr>
            </w:pPr>
          </w:p>
        </w:tc>
        <w:tc>
          <w:tcPr>
            <w:tcW w:w="2262" w:type="dxa"/>
          </w:tcPr>
          <w:p w14:paraId="2C971D88">
            <w:pPr>
              <w:pStyle w:val="9"/>
              <w:rPr>
                <w:rFonts w:hint="eastAsia" w:ascii="宋体" w:hAnsi="宋体" w:eastAsia="宋体" w:cs="宋体"/>
                <w:color w:val="auto"/>
                <w:sz w:val="24"/>
                <w:szCs w:val="24"/>
                <w:highlight w:val="none"/>
              </w:rPr>
            </w:pPr>
          </w:p>
        </w:tc>
        <w:tc>
          <w:tcPr>
            <w:tcW w:w="1891" w:type="dxa"/>
          </w:tcPr>
          <w:p w14:paraId="59DB34F2">
            <w:pPr>
              <w:pStyle w:val="9"/>
              <w:rPr>
                <w:rFonts w:hint="eastAsia" w:ascii="宋体" w:hAnsi="宋体" w:eastAsia="宋体" w:cs="宋体"/>
                <w:color w:val="auto"/>
                <w:sz w:val="24"/>
                <w:szCs w:val="24"/>
                <w:highlight w:val="none"/>
              </w:rPr>
            </w:pPr>
          </w:p>
        </w:tc>
      </w:tr>
      <w:bookmarkEnd w:id="0"/>
      <w:bookmarkEnd w:id="1"/>
    </w:tbl>
    <w:p w14:paraId="6AE662F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3759382A">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附件1 ：</w:t>
      </w:r>
      <w:r>
        <w:rPr>
          <w:rFonts w:hint="eastAsia" w:ascii="宋体" w:hAnsi="宋体" w:eastAsia="宋体" w:cs="宋体"/>
          <w:color w:val="auto"/>
          <w:sz w:val="21"/>
          <w:szCs w:val="21"/>
          <w:highlight w:val="none"/>
        </w:rPr>
        <w:t xml:space="preserve">           </w:t>
      </w:r>
    </w:p>
    <w:p w14:paraId="358DD40B">
      <w:pPr>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项目总监委托书</w:t>
      </w:r>
    </w:p>
    <w:p w14:paraId="6075E5BD">
      <w:pPr>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lang w:val="en-US" w:eastAsia="zh-CN"/>
        </w:rPr>
        <w:t>（采购人名称）</w:t>
      </w:r>
    </w:p>
    <w:p w14:paraId="0E36776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的要求，现委托我公司</w:t>
      </w:r>
      <w:r>
        <w:rPr>
          <w:rFonts w:hint="eastAsia" w:ascii="宋体" w:hAnsi="宋体" w:eastAsia="宋体" w:cs="宋体"/>
          <w:color w:val="auto"/>
          <w:sz w:val="21"/>
          <w:szCs w:val="21"/>
          <w:highlight w:val="none"/>
          <w:u w:val="single"/>
          <w:lang w:val="en-US" w:eastAsia="zh-CN"/>
        </w:rPr>
        <w:t xml:space="preserve"> （总监名称） </w:t>
      </w:r>
      <w:r>
        <w:rPr>
          <w:rFonts w:hint="eastAsia" w:ascii="宋体" w:hAnsi="宋体" w:eastAsia="宋体" w:cs="宋体"/>
          <w:color w:val="auto"/>
          <w:sz w:val="21"/>
          <w:szCs w:val="21"/>
          <w:highlight w:val="none"/>
        </w:rPr>
        <w:t>同志为我公司中标项目</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的总监理工程师，并负责处理该工程总监需办理一切监理工作。</w:t>
      </w:r>
    </w:p>
    <w:p w14:paraId="1D4F6A25">
      <w:pPr>
        <w:spacing w:line="360" w:lineRule="auto"/>
        <w:ind w:firstLine="420" w:firstLineChars="200"/>
        <w:rPr>
          <w:rFonts w:hint="eastAsia" w:ascii="宋体" w:hAnsi="宋体" w:eastAsia="宋体" w:cs="宋体"/>
          <w:color w:val="auto"/>
          <w:sz w:val="21"/>
          <w:szCs w:val="21"/>
          <w:highlight w:val="none"/>
        </w:rPr>
      </w:pPr>
    </w:p>
    <w:p w14:paraId="178B8392">
      <w:pPr>
        <w:spacing w:line="360" w:lineRule="auto"/>
        <w:ind w:firstLine="420" w:firstLineChars="200"/>
        <w:rPr>
          <w:rFonts w:hint="eastAsia" w:ascii="宋体" w:hAnsi="宋体" w:eastAsia="宋体" w:cs="宋体"/>
          <w:color w:val="auto"/>
          <w:sz w:val="21"/>
          <w:szCs w:val="21"/>
          <w:highlight w:val="none"/>
        </w:rPr>
      </w:pPr>
    </w:p>
    <w:p w14:paraId="71B8ADB2">
      <w:pPr>
        <w:spacing w:line="360" w:lineRule="auto"/>
        <w:ind w:firstLine="420" w:firstLineChars="200"/>
        <w:rPr>
          <w:rFonts w:hint="eastAsia" w:ascii="宋体" w:hAnsi="宋体" w:eastAsia="宋体" w:cs="宋体"/>
          <w:color w:val="auto"/>
          <w:sz w:val="21"/>
          <w:szCs w:val="21"/>
          <w:highlight w:val="none"/>
        </w:rPr>
      </w:pPr>
    </w:p>
    <w:p w14:paraId="7BED2886">
      <w:pPr>
        <w:snapToGrid w:val="0"/>
        <w:spacing w:before="156" w:beforeLines="50" w:after="156" w:afterLines="5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监理人：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（公章）</w:t>
      </w:r>
    </w:p>
    <w:p w14:paraId="456485EE">
      <w:pPr>
        <w:snapToGrid w:val="0"/>
        <w:spacing w:before="156" w:beforeLines="50" w:after="156" w:afterLines="50"/>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rPr>
        <w:t>监理单位法人代表或授权委托人：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签字或盖章</w:t>
      </w:r>
      <w:r>
        <w:rPr>
          <w:rFonts w:hint="eastAsia" w:ascii="宋体" w:hAnsi="宋体" w:eastAsia="宋体" w:cs="宋体"/>
          <w:color w:val="auto"/>
          <w:kern w:val="0"/>
          <w:szCs w:val="21"/>
          <w:highlight w:val="none"/>
          <w:u w:val="none"/>
          <w:lang w:eastAsia="zh-CN"/>
        </w:rPr>
        <w:t>）</w:t>
      </w:r>
    </w:p>
    <w:p w14:paraId="1A703BEF">
      <w:pPr>
        <w:snapToGrid w:val="0"/>
        <w:spacing w:before="156" w:beforeLines="50" w:after="156" w:afterLines="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   年   月   日</w:t>
      </w:r>
    </w:p>
    <w:p w14:paraId="691A4DCD">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附件2 ：</w:t>
      </w:r>
      <w:r>
        <w:rPr>
          <w:rFonts w:hint="eastAsia" w:ascii="宋体" w:hAnsi="宋体" w:eastAsia="宋体" w:cs="宋体"/>
          <w:color w:val="auto"/>
          <w:sz w:val="21"/>
          <w:szCs w:val="21"/>
          <w:highlight w:val="none"/>
        </w:rPr>
        <w:t xml:space="preserve">       </w:t>
      </w:r>
    </w:p>
    <w:p w14:paraId="0B41F17A">
      <w:pPr>
        <w:snapToGrid w:val="0"/>
        <w:spacing w:before="156" w:beforeLines="50" w:after="156" w:afterLines="50"/>
        <w:jc w:val="center"/>
        <w:rPr>
          <w:rFonts w:hint="eastAsia" w:ascii="宋体" w:hAnsi="宋体" w:eastAsia="宋体" w:cs="宋体"/>
          <w:color w:val="auto"/>
          <w:kern w:val="0"/>
          <w:szCs w:val="21"/>
          <w:highlight w:val="none"/>
        </w:rPr>
      </w:pPr>
      <w:r>
        <w:rPr>
          <w:rFonts w:hint="eastAsia" w:ascii="宋体" w:hAnsi="宋体" w:eastAsia="宋体" w:cs="宋体"/>
          <w:b/>
          <w:bCs/>
          <w:color w:val="auto"/>
          <w:szCs w:val="21"/>
          <w:highlight w:val="none"/>
        </w:rPr>
        <w:t>建设工程廉政协议书</w:t>
      </w:r>
    </w:p>
    <w:p w14:paraId="6C09AA86">
      <w:pPr>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根据有关工程建设、廉政建设条规，为做好工程建设中的党风廉政建设，保证工程建设高效优质，保证建设资金的安全和有效使用以及投资效益，</w:t>
      </w:r>
      <w:r>
        <w:rPr>
          <w:rFonts w:hint="eastAsia" w:ascii="宋体" w:hAnsi="宋体" w:eastAsia="宋体" w:cs="宋体"/>
          <w:color w:val="auto"/>
          <w:kern w:val="0"/>
          <w:sz w:val="21"/>
          <w:szCs w:val="21"/>
          <w:highlight w:val="none"/>
          <w:u w:val="single"/>
        </w:rPr>
        <w:t xml:space="preserve"> （以下称委托人）</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（以下称代建人）</w:t>
      </w:r>
      <w:r>
        <w:rPr>
          <w:rFonts w:hint="eastAsia" w:ascii="宋体" w:hAnsi="宋体" w:eastAsia="宋体" w:cs="宋体"/>
          <w:color w:val="auto"/>
          <w:kern w:val="0"/>
          <w:sz w:val="21"/>
          <w:szCs w:val="21"/>
          <w:highlight w:val="none"/>
        </w:rPr>
        <w:t>与</w:t>
      </w:r>
      <w:r>
        <w:rPr>
          <w:rFonts w:hint="eastAsia" w:ascii="宋体" w:hAnsi="宋体" w:eastAsia="宋体" w:cs="宋体"/>
          <w:color w:val="auto"/>
          <w:kern w:val="0"/>
          <w:sz w:val="21"/>
          <w:szCs w:val="21"/>
          <w:highlight w:val="none"/>
          <w:u w:val="single"/>
        </w:rPr>
        <w:t xml:space="preserve">  （以下称监理人）   </w:t>
      </w:r>
      <w:r>
        <w:rPr>
          <w:rFonts w:hint="eastAsia" w:ascii="宋体" w:hAnsi="宋体" w:eastAsia="宋体" w:cs="宋体"/>
          <w:color w:val="auto"/>
          <w:kern w:val="0"/>
          <w:sz w:val="21"/>
          <w:szCs w:val="21"/>
          <w:highlight w:val="none"/>
        </w:rPr>
        <w:t>特订立如下廉政协议书。</w:t>
      </w:r>
    </w:p>
    <w:p w14:paraId="2E33407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第一条  双方的权利和义务</w:t>
      </w:r>
    </w:p>
    <w:p w14:paraId="1DF1A00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（一）严格遵守党和国家有关法律法规的相关廉政规定。</w:t>
      </w:r>
    </w:p>
    <w:p w14:paraId="753010E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（二）严格执行</w:t>
      </w:r>
      <w:r>
        <w:rPr>
          <w:rFonts w:hint="eastAsia" w:ascii="宋体" w:hAnsi="宋体" w:eastAsia="宋体" w:cs="宋体"/>
          <w:color w:val="auto"/>
          <w:kern w:val="0"/>
          <w:sz w:val="21"/>
          <w:szCs w:val="21"/>
          <w:highlight w:val="none"/>
          <w:u w:val="single"/>
        </w:rPr>
        <w:t xml:space="preserve">   （项目名称）项目工程监理 </w:t>
      </w:r>
      <w:r>
        <w:rPr>
          <w:rFonts w:hint="eastAsia" w:ascii="宋体" w:hAnsi="宋体" w:eastAsia="宋体" w:cs="宋体"/>
          <w:color w:val="auto"/>
          <w:kern w:val="0"/>
          <w:sz w:val="21"/>
          <w:szCs w:val="21"/>
          <w:highlight w:val="none"/>
        </w:rPr>
        <w:t>合同文件，自觉按合同办事。</w:t>
      </w:r>
    </w:p>
    <w:p w14:paraId="455CF384">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（三）双方的业务活动坚持公开、公正、诚信、透明的原则(除法律认定的商业秘密和合同文件另有规定之外)，不得损害国家和双方利益，不得违反工程建设管理规章制度。</w:t>
      </w:r>
    </w:p>
    <w:p w14:paraId="2DEEDA6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（四）建立健全廉政制度，开展廉政教育，设立廉政告示牌，公布举报电话，监督并认真查处违法违纪行为。</w:t>
      </w:r>
    </w:p>
    <w:p w14:paraId="75DECCF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（五）发现对方在合同履行中有违反廉政规定的行为，有及时提醒对方纠正的权利和义务。</w:t>
      </w:r>
    </w:p>
    <w:p w14:paraId="58EE3DF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（六）发现对方严重违反本协议义务条款的行为，有向其上级有关部门举报、建议给予处理并要求告知处理结果的权利。</w:t>
      </w:r>
    </w:p>
    <w:p w14:paraId="3C7A69C1">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第二条  委托人的义务</w:t>
      </w:r>
    </w:p>
    <w:p w14:paraId="54DFD0F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（一）委托人及其工作人员不得索要或接受监理人的礼金、有价证券和贵重物品，不得在监理人报销任何应由委托人或个人支付的费用。</w:t>
      </w:r>
    </w:p>
    <w:p w14:paraId="7FE6BEA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（二）委托人工作人员不得参加监理人安排的高消费宴请和娱乐活动；不得接受监理人提供的通讯工具、交通工具和高档办公用品。</w:t>
      </w:r>
    </w:p>
    <w:p w14:paraId="27FE280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（三）委托人及其工作人员不得要求或者接受监理人为其住房装修、婚丧嫁娶活动、配偶子女的工作安排以及出国出境、旅游等提供方便。</w:t>
      </w:r>
    </w:p>
    <w:p w14:paraId="1672695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（四）委托人工作人员的配偶、子女及亲属不得从事与委托人工程有关的监理分包项目。</w:t>
      </w:r>
    </w:p>
    <w:p w14:paraId="1835D8A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第三条  监理人义务</w:t>
      </w:r>
    </w:p>
    <w:p w14:paraId="556DDED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（一）监理人不得以任何理由向委托人及其工作人员馈赠礼金、有价证券、贵重礼品。</w:t>
      </w:r>
    </w:p>
    <w:p w14:paraId="24A52BA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（二）监理人不得以任何名义为委托人及其工作人员报销应由委托人或个人支付的任何费用。</w:t>
      </w:r>
    </w:p>
    <w:p w14:paraId="34FE24C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（三）监理人不得以任何理由安排委托人工作人员参加高消费宴请及娱乐活动。</w:t>
      </w:r>
    </w:p>
    <w:p w14:paraId="7DB76A0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（四）监理人不得为委托人和个人购置或提供通讯工具、交通工具和高档办公用品等。</w:t>
      </w:r>
    </w:p>
    <w:p w14:paraId="7547B39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（五）监理人及其工作人员不得索取或接受承包人的礼金、有价证券和贵重物品，不得在承包人报销任何应由监理人或个人支付的费用。</w:t>
      </w:r>
    </w:p>
    <w:p w14:paraId="494A9A3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（六）监理人及其工作人员不得要求和接受承包人为其住房装修、婚丧嫁娶活动、配偶子女的工作安排以及出国出境、旅游等提供方便。</w:t>
      </w:r>
    </w:p>
    <w:p w14:paraId="5C432F8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（七）监理人及其工作人员不得参与承包人安排的高消费宴请和娱乐活动；不得接受承包人提供的通讯工具、交通工具和高档办公用品。</w:t>
      </w:r>
    </w:p>
    <w:p w14:paraId="218782D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第四条  违约责任</w:t>
      </w:r>
    </w:p>
    <w:p w14:paraId="4698AC6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（一）委托人及其工作人员违反本合同第一、二条，按管理权限，依据有关规定给予党纪、政纪或组织处理；涉嫌犯罪的，移交司法机关追究刑事责任；给监理人单位造成经济损失的，应予以赔偿。</w:t>
      </w:r>
    </w:p>
    <w:p w14:paraId="795C726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33078D4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第五条  双方约定</w:t>
      </w:r>
    </w:p>
    <w:p w14:paraId="45C6B14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0A47D09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第六条  本协议有效期</w:t>
      </w:r>
    </w:p>
    <w:p w14:paraId="6B02645C">
      <w:pPr>
        <w:spacing w:line="360" w:lineRule="auto"/>
        <w:ind w:firstLine="420" w:firstLineChars="200"/>
        <w:outlineLvl w:val="3"/>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本协议有效期为委托人及监理人双方签署之日起至该工程项目竣工验收后止。</w:t>
      </w:r>
    </w:p>
    <w:p w14:paraId="35A55E73">
      <w:pPr>
        <w:spacing w:line="360" w:lineRule="auto"/>
        <w:ind w:firstLine="420" w:firstLineChars="200"/>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第七条  本合同一式捌份，甲、乙双方各执肆份。</w:t>
      </w:r>
    </w:p>
    <w:tbl>
      <w:tblPr>
        <w:tblStyle w:val="5"/>
        <w:tblW w:w="9879" w:type="dxa"/>
        <w:tblInd w:w="-252" w:type="dxa"/>
        <w:tblLayout w:type="fixed"/>
        <w:tblCellMar>
          <w:top w:w="0" w:type="dxa"/>
          <w:left w:w="108" w:type="dxa"/>
          <w:bottom w:w="0" w:type="dxa"/>
          <w:right w:w="108" w:type="dxa"/>
        </w:tblCellMar>
      </w:tblPr>
      <w:tblGrid>
        <w:gridCol w:w="4916"/>
        <w:gridCol w:w="4963"/>
      </w:tblGrid>
      <w:tr w14:paraId="2E84044F">
        <w:tc>
          <w:tcPr>
            <w:tcW w:w="4916" w:type="dxa"/>
          </w:tcPr>
          <w:p w14:paraId="24A6A4F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w:t>
            </w:r>
          </w:p>
          <w:p w14:paraId="68B7397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0C40664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（签字） </w:t>
            </w:r>
          </w:p>
          <w:p w14:paraId="729B0156">
            <w:pPr>
              <w:spacing w:line="360" w:lineRule="auto"/>
              <w:ind w:firstLine="420" w:firstLineChars="200"/>
              <w:rPr>
                <w:rFonts w:hint="eastAsia" w:ascii="宋体" w:hAnsi="宋体" w:eastAsia="宋体" w:cs="宋体"/>
                <w:color w:val="auto"/>
                <w:sz w:val="21"/>
                <w:szCs w:val="21"/>
                <w:highlight w:val="none"/>
              </w:rPr>
            </w:pPr>
          </w:p>
        </w:tc>
        <w:tc>
          <w:tcPr>
            <w:tcW w:w="4963" w:type="dxa"/>
          </w:tcPr>
          <w:p w14:paraId="3FA673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 </w:t>
            </w:r>
          </w:p>
          <w:p w14:paraId="0C2DED9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32FA28B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（签字） </w:t>
            </w:r>
          </w:p>
          <w:p w14:paraId="2C32FEC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签订日期：    年  月  日</w:t>
            </w:r>
          </w:p>
        </w:tc>
      </w:tr>
    </w:tbl>
    <w:p w14:paraId="39982ECA">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 xml:space="preserve">附件3：   </w:t>
      </w:r>
      <w:r>
        <w:rPr>
          <w:rFonts w:hint="eastAsia" w:ascii="宋体" w:hAnsi="宋体" w:eastAsia="宋体" w:cs="宋体"/>
          <w:color w:val="auto"/>
          <w:sz w:val="21"/>
          <w:szCs w:val="21"/>
          <w:highlight w:val="none"/>
        </w:rPr>
        <w:t xml:space="preserve">          </w:t>
      </w:r>
    </w:p>
    <w:p w14:paraId="1350C132">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安全监理责任合同</w:t>
      </w:r>
    </w:p>
    <w:p w14:paraId="35F152D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根据国务院《建设工程安全生产管理条例》，为在本项目工程监理服务合同的实施过程中切实搞好本工程的安全生产管理工作，</w:t>
      </w:r>
      <w:r>
        <w:rPr>
          <w:rFonts w:hint="eastAsia" w:ascii="宋体" w:hAnsi="宋体" w:eastAsia="宋体" w:cs="宋体"/>
          <w:color w:val="auto"/>
          <w:kern w:val="0"/>
          <w:sz w:val="21"/>
          <w:szCs w:val="21"/>
          <w:highlight w:val="none"/>
          <w:u w:val="single"/>
        </w:rPr>
        <w:t xml:space="preserve">  （以下简称“委托人”）</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（以下称代建人）</w:t>
      </w:r>
      <w:r>
        <w:rPr>
          <w:rFonts w:hint="eastAsia" w:ascii="宋体" w:hAnsi="宋体" w:eastAsia="宋体" w:cs="宋体"/>
          <w:color w:val="auto"/>
          <w:kern w:val="0"/>
          <w:sz w:val="21"/>
          <w:szCs w:val="21"/>
          <w:highlight w:val="none"/>
        </w:rPr>
        <w:t>与</w:t>
      </w:r>
      <w:r>
        <w:rPr>
          <w:rFonts w:hint="eastAsia" w:ascii="宋体" w:hAnsi="宋体" w:eastAsia="宋体" w:cs="宋体"/>
          <w:color w:val="auto"/>
          <w:kern w:val="0"/>
          <w:sz w:val="21"/>
          <w:szCs w:val="21"/>
          <w:highlight w:val="none"/>
          <w:u w:val="single"/>
        </w:rPr>
        <w:t xml:space="preserve"> （以下简称“监理人”）</w:t>
      </w:r>
      <w:r>
        <w:rPr>
          <w:rFonts w:hint="eastAsia" w:ascii="宋体" w:hAnsi="宋体" w:eastAsia="宋体" w:cs="宋体"/>
          <w:color w:val="auto"/>
          <w:kern w:val="0"/>
          <w:sz w:val="21"/>
          <w:szCs w:val="21"/>
          <w:highlight w:val="none"/>
        </w:rPr>
        <w:t>签订如下安全监理责任协议书：</w:t>
      </w:r>
    </w:p>
    <w:p w14:paraId="1C6E8761">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一、委托人职责</w:t>
      </w:r>
    </w:p>
    <w:p w14:paraId="7E07FAC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1．严格遵守国家有关安全生产的法律法规，支持监理人按条例要求对规定的施工安全实施监理。</w:t>
      </w:r>
    </w:p>
    <w:p w14:paraId="005899D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2．按照“安全第一、预防为主”和坚持“管生产必须管安全”的原则进行安全生产管理，做到生产与安全工作同时计划、布置、检查、总结和评比。</w:t>
      </w:r>
    </w:p>
    <w:p w14:paraId="1967205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3．重要的安全设施必须坚持与主体工程“三同时”的原则，即：同时设计、审批，同时施工，同时验收，投入使用。</w:t>
      </w:r>
    </w:p>
    <w:p w14:paraId="7E8C9B0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4．定期召开安全生产调度会，及时传达</w:t>
      </w:r>
      <w:r>
        <w:rPr>
          <w:rFonts w:hint="eastAsia" w:ascii="宋体" w:hAnsi="宋体" w:cs="宋体"/>
          <w:color w:val="auto"/>
          <w:kern w:val="0"/>
          <w:sz w:val="21"/>
          <w:szCs w:val="21"/>
          <w:highlight w:val="none"/>
          <w:lang w:eastAsia="zh-CN"/>
        </w:rPr>
        <w:t>中央和地方</w:t>
      </w:r>
      <w:r>
        <w:rPr>
          <w:rFonts w:hint="eastAsia" w:ascii="宋体" w:hAnsi="宋体" w:eastAsia="宋体" w:cs="宋体"/>
          <w:color w:val="auto"/>
          <w:kern w:val="0"/>
          <w:sz w:val="21"/>
          <w:szCs w:val="21"/>
          <w:highlight w:val="none"/>
        </w:rPr>
        <w:t>有关安全生产的精神。</w:t>
      </w:r>
    </w:p>
    <w:p w14:paraId="49BF29D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5．组织对施工现场的安全生产检查，监督承包人及时处理发现的各项安全隐患。</w:t>
      </w:r>
    </w:p>
    <w:p w14:paraId="7AB3828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二、监理人职责</w:t>
      </w:r>
    </w:p>
    <w:p w14:paraId="11F6ADC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1．督促承包人严格遵守国家有关安全生产的法律法规规定，认真执行工程承包合同中的有关安全要求。</w:t>
      </w:r>
    </w:p>
    <w:p w14:paraId="30D5EC5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59132DB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建立健全安全监理制度，加强安全知识教育培训，明确各岗位监理人员的安全监理职责，增强安全意识。</w:t>
      </w:r>
    </w:p>
    <w:p w14:paraId="6183DA6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4．在审查施工组织设计的同时，要同步审查施工组织设计中的安全技术措施，审查专项施工方案是否符合工程建设强制性标准。</w:t>
      </w:r>
    </w:p>
    <w:p w14:paraId="0D0B837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572A28F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6．监理人及其监理工程师应当按照</w:t>
      </w:r>
      <w:r>
        <w:rPr>
          <w:rFonts w:hint="eastAsia" w:ascii="宋体" w:hAnsi="宋体" w:cs="宋体"/>
          <w:color w:val="auto"/>
          <w:kern w:val="0"/>
          <w:sz w:val="21"/>
          <w:szCs w:val="21"/>
          <w:highlight w:val="none"/>
          <w:lang w:eastAsia="zh-CN"/>
        </w:rPr>
        <w:t>法律法规</w:t>
      </w:r>
      <w:r>
        <w:rPr>
          <w:rFonts w:hint="eastAsia" w:ascii="宋体" w:hAnsi="宋体" w:eastAsia="宋体" w:cs="宋体"/>
          <w:color w:val="auto"/>
          <w:kern w:val="0"/>
          <w:sz w:val="21"/>
          <w:szCs w:val="21"/>
          <w:highlight w:val="none"/>
        </w:rPr>
        <w:t>和工程建设强制性标准实施监理，并对建设工程安全生产承担监理责任。</w:t>
      </w:r>
    </w:p>
    <w:p w14:paraId="5D7AB0D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7．监理人应督促承包人按照本工程特点，组织制定本工程实施中的生产安全事故应急救援预案；如果发生安全事故，应按照《国务院关于特大安全事故行政责任追究的规定》</w:t>
      </w:r>
      <w:r>
        <w:rPr>
          <w:rFonts w:hint="eastAsia" w:ascii="宋体" w:hAnsi="宋体" w:cs="宋体"/>
          <w:color w:val="auto"/>
          <w:kern w:val="0"/>
          <w:sz w:val="21"/>
          <w:szCs w:val="21"/>
          <w:highlight w:val="none"/>
          <w:lang w:eastAsia="zh-CN"/>
        </w:rPr>
        <w:t>以及其他</w:t>
      </w:r>
      <w:r>
        <w:rPr>
          <w:rFonts w:hint="eastAsia" w:ascii="宋体" w:hAnsi="宋体" w:eastAsia="宋体" w:cs="宋体"/>
          <w:color w:val="auto"/>
          <w:kern w:val="0"/>
          <w:sz w:val="21"/>
          <w:szCs w:val="21"/>
          <w:highlight w:val="none"/>
        </w:rPr>
        <w:t>有关规定，及时上报有关部门，并坚持“三不放过”的原则，严肃处理相关责任人。</w:t>
      </w:r>
    </w:p>
    <w:p w14:paraId="3192981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三、违约责任</w:t>
      </w:r>
    </w:p>
    <w:p w14:paraId="32F08C9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违反本协议的约定，除另有约定外，委托人有权根据违约情形要求监理人支付5-30万元违约金；同时，委托人也有权要求解除监理合同，要求监理人按照监理合同价款的30%向委托人支付违约金；因此给委托人造成的损失（包括直接、间接损失、诉讼费、律师费、保全费、保函费以及其他实现债权的费用等）数额高于前述违约金的数额，应按照损失数额赔偿。</w:t>
      </w:r>
    </w:p>
    <w:p w14:paraId="7F99EF0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四、其他</w:t>
      </w:r>
    </w:p>
    <w:p w14:paraId="2721FE3B">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本合同自双方盖章（公章或合同章）及法定代表人或授权委托人</w:t>
      </w:r>
      <w:r>
        <w:rPr>
          <w:rFonts w:hint="eastAsia" w:ascii="宋体" w:hAnsi="宋体" w:eastAsia="宋体" w:cs="宋体"/>
          <w:color w:val="auto"/>
          <w:sz w:val="21"/>
          <w:szCs w:val="21"/>
          <w:highlight w:val="none"/>
        </w:rPr>
        <w:t>（需有授权委托书）</w:t>
      </w:r>
      <w:r>
        <w:rPr>
          <w:rFonts w:hint="eastAsia" w:ascii="宋体" w:hAnsi="宋体" w:eastAsia="宋体" w:cs="宋体"/>
          <w:bCs/>
          <w:color w:val="auto"/>
          <w:sz w:val="21"/>
          <w:szCs w:val="21"/>
          <w:highlight w:val="none"/>
        </w:rPr>
        <w:t>签字或盖章之日起生效</w:t>
      </w:r>
      <w:r>
        <w:rPr>
          <w:rFonts w:hint="eastAsia" w:ascii="宋体" w:hAnsi="宋体" w:eastAsia="宋体" w:cs="宋体"/>
          <w:color w:val="auto"/>
          <w:kern w:val="0"/>
          <w:sz w:val="21"/>
          <w:szCs w:val="21"/>
          <w:highlight w:val="none"/>
        </w:rPr>
        <w:t>，全部工程竣工验收后终止</w:t>
      </w:r>
      <w:r>
        <w:rPr>
          <w:rFonts w:hint="eastAsia" w:ascii="宋体" w:hAnsi="宋体" w:eastAsia="宋体" w:cs="宋体"/>
          <w:color w:val="auto"/>
          <w:sz w:val="21"/>
          <w:szCs w:val="21"/>
          <w:highlight w:val="none"/>
        </w:rPr>
        <w:t>。</w:t>
      </w:r>
    </w:p>
    <w:p w14:paraId="4FF696A5">
      <w:pPr>
        <w:spacing w:line="360" w:lineRule="auto"/>
        <w:ind w:firstLine="420" w:firstLineChars="200"/>
        <w:rPr>
          <w:rFonts w:hint="eastAsia" w:ascii="宋体" w:hAnsi="宋体" w:eastAsia="宋体" w:cs="宋体"/>
          <w:color w:val="auto"/>
          <w:sz w:val="21"/>
          <w:szCs w:val="21"/>
          <w:highlight w:val="none"/>
        </w:rPr>
      </w:pPr>
    </w:p>
    <w:tbl>
      <w:tblPr>
        <w:tblStyle w:val="5"/>
        <w:tblW w:w="9776" w:type="dxa"/>
        <w:tblInd w:w="-252" w:type="dxa"/>
        <w:tblLayout w:type="fixed"/>
        <w:tblCellMar>
          <w:top w:w="0" w:type="dxa"/>
          <w:left w:w="108" w:type="dxa"/>
          <w:bottom w:w="0" w:type="dxa"/>
          <w:right w:w="108" w:type="dxa"/>
        </w:tblCellMar>
      </w:tblPr>
      <w:tblGrid>
        <w:gridCol w:w="4680"/>
        <w:gridCol w:w="5096"/>
      </w:tblGrid>
      <w:tr w14:paraId="7CDE569B">
        <w:tblPrEx>
          <w:tblCellMar>
            <w:top w:w="0" w:type="dxa"/>
            <w:left w:w="108" w:type="dxa"/>
            <w:bottom w:w="0" w:type="dxa"/>
            <w:right w:w="108" w:type="dxa"/>
          </w:tblCellMar>
        </w:tblPrEx>
        <w:tc>
          <w:tcPr>
            <w:tcW w:w="4680" w:type="dxa"/>
          </w:tcPr>
          <w:p w14:paraId="149950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 </w:t>
            </w:r>
          </w:p>
          <w:p w14:paraId="479F17F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01ED549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319F32B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044BA9F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6E9834AC">
            <w:pPr>
              <w:spacing w:line="360" w:lineRule="auto"/>
              <w:ind w:firstLine="420" w:firstLineChars="200"/>
              <w:rPr>
                <w:rFonts w:hint="eastAsia" w:ascii="宋体" w:hAnsi="宋体" w:eastAsia="宋体" w:cs="宋体"/>
                <w:color w:val="auto"/>
                <w:sz w:val="21"/>
                <w:szCs w:val="21"/>
                <w:highlight w:val="none"/>
              </w:rPr>
            </w:pPr>
          </w:p>
        </w:tc>
        <w:tc>
          <w:tcPr>
            <w:tcW w:w="5096" w:type="dxa"/>
          </w:tcPr>
          <w:p w14:paraId="7DA45F3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  </w:t>
            </w:r>
          </w:p>
          <w:p w14:paraId="22B916C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5BFA7A3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37AA135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7A8F0BE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548BB79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tc>
      </w:tr>
    </w:tbl>
    <w:p w14:paraId="308E3179">
      <w:pPr>
        <w:spacing w:line="360" w:lineRule="auto"/>
        <w:ind w:firstLine="420" w:firstLineChars="200"/>
        <w:rPr>
          <w:rFonts w:hint="eastAsia" w:ascii="宋体" w:hAnsi="宋体" w:eastAsia="宋体" w:cs="宋体"/>
          <w:color w:val="auto"/>
          <w:sz w:val="21"/>
          <w:szCs w:val="21"/>
          <w:highlight w:val="none"/>
        </w:rPr>
        <w:sectPr>
          <w:pgSz w:w="11906" w:h="16838"/>
          <w:pgMar w:top="1276" w:right="1672" w:bottom="1276" w:left="1672" w:header="851" w:footer="686" w:gutter="0"/>
          <w:pgNumType w:fmt="decimal"/>
          <w:cols w:space="0" w:num="1"/>
          <w:rtlGutter w:val="0"/>
          <w:docGrid w:type="lines" w:linePitch="332" w:charSpace="0"/>
        </w:sectPr>
      </w:pPr>
    </w:p>
    <w:p w14:paraId="643855AE">
      <w:pPr>
        <w:spacing w:line="360" w:lineRule="auto"/>
        <w:ind w:left="0" w:leftChars="0" w:firstLine="0" w:firstLineChars="0"/>
        <w:outlineLvl w:val="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 xml:space="preserve">附件4     </w:t>
      </w:r>
      <w:r>
        <w:rPr>
          <w:rFonts w:hint="eastAsia" w:ascii="宋体" w:hAnsi="宋体" w:eastAsia="宋体" w:cs="宋体"/>
          <w:color w:val="auto"/>
          <w:sz w:val="21"/>
          <w:szCs w:val="21"/>
          <w:highlight w:val="none"/>
        </w:rPr>
        <w:t xml:space="preserve">          </w:t>
      </w:r>
    </w:p>
    <w:p w14:paraId="466CC2C1">
      <w:pPr>
        <w:spacing w:line="360" w:lineRule="auto"/>
        <w:ind w:left="0" w:leftChars="0" w:firstLine="0" w:firstLineChars="0"/>
        <w:jc w:val="center"/>
        <w:outlineLvl w:val="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本项目监理人员汇总表</w:t>
      </w:r>
    </w:p>
    <w:tbl>
      <w:tblPr>
        <w:tblStyle w:val="6"/>
        <w:tblW w:w="9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826"/>
        <w:gridCol w:w="1559"/>
        <w:gridCol w:w="2410"/>
        <w:gridCol w:w="2729"/>
      </w:tblGrid>
      <w:tr w14:paraId="54A6F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48" w:type="dxa"/>
            <w:vAlign w:val="center"/>
          </w:tcPr>
          <w:p w14:paraId="3EA44603">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1826" w:type="dxa"/>
            <w:vAlign w:val="center"/>
          </w:tcPr>
          <w:p w14:paraId="67F4C02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岗位</w:t>
            </w:r>
          </w:p>
        </w:tc>
        <w:tc>
          <w:tcPr>
            <w:tcW w:w="1559" w:type="dxa"/>
            <w:vAlign w:val="center"/>
          </w:tcPr>
          <w:p w14:paraId="62C70F6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姓名</w:t>
            </w:r>
          </w:p>
        </w:tc>
        <w:tc>
          <w:tcPr>
            <w:tcW w:w="2410" w:type="dxa"/>
            <w:vAlign w:val="center"/>
          </w:tcPr>
          <w:p w14:paraId="78D13589">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专业</w:t>
            </w:r>
          </w:p>
        </w:tc>
        <w:tc>
          <w:tcPr>
            <w:tcW w:w="2729" w:type="dxa"/>
            <w:vAlign w:val="center"/>
          </w:tcPr>
          <w:p w14:paraId="2CFF0D08">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资格证书编号</w:t>
            </w:r>
          </w:p>
        </w:tc>
      </w:tr>
      <w:tr w14:paraId="46343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79063EB">
            <w:pPr>
              <w:spacing w:line="360" w:lineRule="auto"/>
              <w:jc w:val="center"/>
              <w:rPr>
                <w:rFonts w:hint="eastAsia" w:ascii="宋体" w:hAnsi="宋体" w:eastAsia="宋体" w:cs="宋体"/>
                <w:color w:val="auto"/>
                <w:sz w:val="21"/>
                <w:szCs w:val="21"/>
                <w:highlight w:val="none"/>
              </w:rPr>
            </w:pPr>
          </w:p>
        </w:tc>
        <w:tc>
          <w:tcPr>
            <w:tcW w:w="1826" w:type="dxa"/>
            <w:vAlign w:val="center"/>
          </w:tcPr>
          <w:p w14:paraId="7F8B8154">
            <w:pPr>
              <w:spacing w:line="360" w:lineRule="auto"/>
              <w:jc w:val="center"/>
              <w:rPr>
                <w:rFonts w:hint="eastAsia" w:ascii="宋体" w:hAnsi="宋体" w:eastAsia="宋体" w:cs="宋体"/>
                <w:color w:val="auto"/>
                <w:sz w:val="21"/>
                <w:szCs w:val="21"/>
                <w:highlight w:val="none"/>
              </w:rPr>
            </w:pPr>
          </w:p>
        </w:tc>
        <w:tc>
          <w:tcPr>
            <w:tcW w:w="1559" w:type="dxa"/>
            <w:vAlign w:val="center"/>
          </w:tcPr>
          <w:p w14:paraId="621D50B5">
            <w:pPr>
              <w:spacing w:line="360" w:lineRule="auto"/>
              <w:jc w:val="center"/>
              <w:rPr>
                <w:rFonts w:hint="eastAsia" w:ascii="宋体" w:hAnsi="宋体" w:eastAsia="宋体" w:cs="宋体"/>
                <w:color w:val="auto"/>
                <w:sz w:val="21"/>
                <w:szCs w:val="21"/>
                <w:highlight w:val="none"/>
              </w:rPr>
            </w:pPr>
          </w:p>
        </w:tc>
        <w:tc>
          <w:tcPr>
            <w:tcW w:w="2410" w:type="dxa"/>
            <w:vAlign w:val="center"/>
          </w:tcPr>
          <w:p w14:paraId="06E1BD5C">
            <w:pPr>
              <w:spacing w:line="360" w:lineRule="auto"/>
              <w:jc w:val="center"/>
              <w:rPr>
                <w:rFonts w:hint="eastAsia" w:ascii="宋体" w:hAnsi="宋体" w:eastAsia="宋体" w:cs="宋体"/>
                <w:color w:val="auto"/>
                <w:sz w:val="21"/>
                <w:szCs w:val="21"/>
                <w:highlight w:val="none"/>
              </w:rPr>
            </w:pPr>
          </w:p>
        </w:tc>
        <w:tc>
          <w:tcPr>
            <w:tcW w:w="2729" w:type="dxa"/>
            <w:vAlign w:val="center"/>
          </w:tcPr>
          <w:p w14:paraId="2E29AD8B">
            <w:pPr>
              <w:spacing w:line="360" w:lineRule="auto"/>
              <w:jc w:val="center"/>
              <w:rPr>
                <w:rFonts w:hint="eastAsia" w:ascii="宋体" w:hAnsi="宋体" w:eastAsia="宋体" w:cs="宋体"/>
                <w:color w:val="auto"/>
                <w:sz w:val="21"/>
                <w:szCs w:val="21"/>
                <w:highlight w:val="none"/>
              </w:rPr>
            </w:pPr>
          </w:p>
        </w:tc>
      </w:tr>
      <w:tr w14:paraId="13355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79991403">
            <w:pPr>
              <w:spacing w:line="360" w:lineRule="auto"/>
              <w:jc w:val="center"/>
              <w:rPr>
                <w:rFonts w:hint="eastAsia" w:ascii="宋体" w:hAnsi="宋体" w:eastAsia="宋体" w:cs="宋体"/>
                <w:color w:val="auto"/>
                <w:sz w:val="21"/>
                <w:szCs w:val="21"/>
                <w:highlight w:val="none"/>
              </w:rPr>
            </w:pPr>
          </w:p>
        </w:tc>
        <w:tc>
          <w:tcPr>
            <w:tcW w:w="1826" w:type="dxa"/>
            <w:vAlign w:val="center"/>
          </w:tcPr>
          <w:p w14:paraId="58085B00">
            <w:pPr>
              <w:spacing w:line="360" w:lineRule="auto"/>
              <w:jc w:val="center"/>
              <w:rPr>
                <w:rFonts w:hint="eastAsia" w:ascii="宋体" w:hAnsi="宋体" w:eastAsia="宋体" w:cs="宋体"/>
                <w:color w:val="auto"/>
                <w:sz w:val="21"/>
                <w:szCs w:val="21"/>
                <w:highlight w:val="none"/>
              </w:rPr>
            </w:pPr>
          </w:p>
        </w:tc>
        <w:tc>
          <w:tcPr>
            <w:tcW w:w="1559" w:type="dxa"/>
            <w:vAlign w:val="center"/>
          </w:tcPr>
          <w:p w14:paraId="65386126">
            <w:pPr>
              <w:spacing w:line="360" w:lineRule="auto"/>
              <w:jc w:val="center"/>
              <w:rPr>
                <w:rFonts w:hint="eastAsia" w:ascii="宋体" w:hAnsi="宋体" w:eastAsia="宋体" w:cs="宋体"/>
                <w:color w:val="auto"/>
                <w:sz w:val="21"/>
                <w:szCs w:val="21"/>
                <w:highlight w:val="none"/>
              </w:rPr>
            </w:pPr>
          </w:p>
        </w:tc>
        <w:tc>
          <w:tcPr>
            <w:tcW w:w="2410" w:type="dxa"/>
            <w:vAlign w:val="center"/>
          </w:tcPr>
          <w:p w14:paraId="7B43C634">
            <w:pPr>
              <w:spacing w:line="360" w:lineRule="auto"/>
              <w:jc w:val="center"/>
              <w:rPr>
                <w:rFonts w:hint="eastAsia" w:ascii="宋体" w:hAnsi="宋体" w:eastAsia="宋体" w:cs="宋体"/>
                <w:color w:val="auto"/>
                <w:sz w:val="21"/>
                <w:szCs w:val="21"/>
                <w:highlight w:val="none"/>
              </w:rPr>
            </w:pPr>
          </w:p>
        </w:tc>
        <w:tc>
          <w:tcPr>
            <w:tcW w:w="2729" w:type="dxa"/>
            <w:vAlign w:val="center"/>
          </w:tcPr>
          <w:p w14:paraId="4EB20934">
            <w:pPr>
              <w:spacing w:line="360" w:lineRule="auto"/>
              <w:jc w:val="center"/>
              <w:rPr>
                <w:rFonts w:hint="eastAsia" w:ascii="宋体" w:hAnsi="宋体" w:eastAsia="宋体" w:cs="宋体"/>
                <w:color w:val="auto"/>
                <w:sz w:val="21"/>
                <w:szCs w:val="21"/>
                <w:highlight w:val="none"/>
              </w:rPr>
            </w:pPr>
          </w:p>
        </w:tc>
      </w:tr>
      <w:tr w14:paraId="2BB8E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95AD31E">
            <w:pPr>
              <w:spacing w:line="360" w:lineRule="auto"/>
              <w:jc w:val="center"/>
              <w:rPr>
                <w:rFonts w:hint="eastAsia" w:ascii="宋体" w:hAnsi="宋体" w:eastAsia="宋体" w:cs="宋体"/>
                <w:color w:val="auto"/>
                <w:sz w:val="21"/>
                <w:szCs w:val="21"/>
                <w:highlight w:val="none"/>
              </w:rPr>
            </w:pPr>
          </w:p>
        </w:tc>
        <w:tc>
          <w:tcPr>
            <w:tcW w:w="1826" w:type="dxa"/>
            <w:vAlign w:val="center"/>
          </w:tcPr>
          <w:p w14:paraId="5FACC12F">
            <w:pPr>
              <w:spacing w:line="360" w:lineRule="auto"/>
              <w:jc w:val="center"/>
              <w:rPr>
                <w:rFonts w:hint="eastAsia" w:ascii="宋体" w:hAnsi="宋体" w:eastAsia="宋体" w:cs="宋体"/>
                <w:color w:val="auto"/>
                <w:sz w:val="21"/>
                <w:szCs w:val="21"/>
                <w:highlight w:val="none"/>
              </w:rPr>
            </w:pPr>
          </w:p>
        </w:tc>
        <w:tc>
          <w:tcPr>
            <w:tcW w:w="1559" w:type="dxa"/>
            <w:vAlign w:val="center"/>
          </w:tcPr>
          <w:p w14:paraId="7395569D">
            <w:pPr>
              <w:spacing w:line="360" w:lineRule="auto"/>
              <w:jc w:val="center"/>
              <w:rPr>
                <w:rFonts w:hint="eastAsia" w:ascii="宋体" w:hAnsi="宋体" w:eastAsia="宋体" w:cs="宋体"/>
                <w:color w:val="auto"/>
                <w:sz w:val="21"/>
                <w:szCs w:val="21"/>
                <w:highlight w:val="none"/>
              </w:rPr>
            </w:pPr>
          </w:p>
        </w:tc>
        <w:tc>
          <w:tcPr>
            <w:tcW w:w="2410" w:type="dxa"/>
            <w:vAlign w:val="center"/>
          </w:tcPr>
          <w:p w14:paraId="5CFE4587">
            <w:pPr>
              <w:spacing w:line="360" w:lineRule="auto"/>
              <w:jc w:val="center"/>
              <w:rPr>
                <w:rFonts w:hint="eastAsia" w:ascii="宋体" w:hAnsi="宋体" w:eastAsia="宋体" w:cs="宋体"/>
                <w:color w:val="auto"/>
                <w:sz w:val="21"/>
                <w:szCs w:val="21"/>
                <w:highlight w:val="none"/>
              </w:rPr>
            </w:pPr>
          </w:p>
        </w:tc>
        <w:tc>
          <w:tcPr>
            <w:tcW w:w="2729" w:type="dxa"/>
            <w:vAlign w:val="center"/>
          </w:tcPr>
          <w:p w14:paraId="48DAAA3E">
            <w:pPr>
              <w:spacing w:line="360" w:lineRule="auto"/>
              <w:jc w:val="center"/>
              <w:rPr>
                <w:rFonts w:hint="eastAsia" w:ascii="宋体" w:hAnsi="宋体" w:eastAsia="宋体" w:cs="宋体"/>
                <w:color w:val="auto"/>
                <w:sz w:val="21"/>
                <w:szCs w:val="21"/>
                <w:highlight w:val="none"/>
              </w:rPr>
            </w:pPr>
          </w:p>
        </w:tc>
      </w:tr>
      <w:tr w14:paraId="70F05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243EEFB">
            <w:pPr>
              <w:spacing w:line="360" w:lineRule="auto"/>
              <w:jc w:val="center"/>
              <w:rPr>
                <w:rFonts w:hint="eastAsia" w:ascii="宋体" w:hAnsi="宋体" w:eastAsia="宋体" w:cs="宋体"/>
                <w:color w:val="auto"/>
                <w:sz w:val="21"/>
                <w:szCs w:val="21"/>
                <w:highlight w:val="none"/>
              </w:rPr>
            </w:pPr>
          </w:p>
        </w:tc>
        <w:tc>
          <w:tcPr>
            <w:tcW w:w="1826" w:type="dxa"/>
            <w:vAlign w:val="center"/>
          </w:tcPr>
          <w:p w14:paraId="6F1119D9">
            <w:pPr>
              <w:spacing w:line="360" w:lineRule="auto"/>
              <w:jc w:val="center"/>
              <w:rPr>
                <w:rFonts w:hint="eastAsia" w:ascii="宋体" w:hAnsi="宋体" w:eastAsia="宋体" w:cs="宋体"/>
                <w:color w:val="auto"/>
                <w:sz w:val="21"/>
                <w:szCs w:val="21"/>
                <w:highlight w:val="none"/>
              </w:rPr>
            </w:pPr>
          </w:p>
        </w:tc>
        <w:tc>
          <w:tcPr>
            <w:tcW w:w="1559" w:type="dxa"/>
            <w:vAlign w:val="center"/>
          </w:tcPr>
          <w:p w14:paraId="5D52766F">
            <w:pPr>
              <w:spacing w:line="360" w:lineRule="auto"/>
              <w:jc w:val="center"/>
              <w:rPr>
                <w:rFonts w:hint="eastAsia" w:ascii="宋体" w:hAnsi="宋体" w:eastAsia="宋体" w:cs="宋体"/>
                <w:color w:val="auto"/>
                <w:sz w:val="21"/>
                <w:szCs w:val="21"/>
                <w:highlight w:val="none"/>
              </w:rPr>
            </w:pPr>
          </w:p>
        </w:tc>
        <w:tc>
          <w:tcPr>
            <w:tcW w:w="2410" w:type="dxa"/>
            <w:vAlign w:val="center"/>
          </w:tcPr>
          <w:p w14:paraId="6BF297C0">
            <w:pPr>
              <w:spacing w:line="360" w:lineRule="auto"/>
              <w:jc w:val="center"/>
              <w:rPr>
                <w:rFonts w:hint="eastAsia" w:ascii="宋体" w:hAnsi="宋体" w:eastAsia="宋体" w:cs="宋体"/>
                <w:color w:val="auto"/>
                <w:sz w:val="21"/>
                <w:szCs w:val="21"/>
                <w:highlight w:val="none"/>
              </w:rPr>
            </w:pPr>
          </w:p>
        </w:tc>
        <w:tc>
          <w:tcPr>
            <w:tcW w:w="2729" w:type="dxa"/>
            <w:vAlign w:val="center"/>
          </w:tcPr>
          <w:p w14:paraId="3EF05270">
            <w:pPr>
              <w:spacing w:line="360" w:lineRule="auto"/>
              <w:jc w:val="center"/>
              <w:rPr>
                <w:rFonts w:hint="eastAsia" w:ascii="宋体" w:hAnsi="宋体" w:eastAsia="宋体" w:cs="宋体"/>
                <w:color w:val="auto"/>
                <w:sz w:val="21"/>
                <w:szCs w:val="21"/>
                <w:highlight w:val="none"/>
              </w:rPr>
            </w:pPr>
          </w:p>
        </w:tc>
      </w:tr>
      <w:tr w14:paraId="173BA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44717F0">
            <w:pPr>
              <w:spacing w:line="360" w:lineRule="auto"/>
              <w:jc w:val="center"/>
              <w:rPr>
                <w:rFonts w:hint="eastAsia" w:ascii="宋体" w:hAnsi="宋体" w:eastAsia="宋体" w:cs="宋体"/>
                <w:color w:val="auto"/>
                <w:sz w:val="21"/>
                <w:szCs w:val="21"/>
                <w:highlight w:val="none"/>
              </w:rPr>
            </w:pPr>
          </w:p>
        </w:tc>
        <w:tc>
          <w:tcPr>
            <w:tcW w:w="1826" w:type="dxa"/>
            <w:vAlign w:val="center"/>
          </w:tcPr>
          <w:p w14:paraId="2190527C">
            <w:pPr>
              <w:spacing w:line="360" w:lineRule="auto"/>
              <w:jc w:val="center"/>
              <w:rPr>
                <w:rFonts w:hint="eastAsia" w:ascii="宋体" w:hAnsi="宋体" w:eastAsia="宋体" w:cs="宋体"/>
                <w:color w:val="auto"/>
                <w:sz w:val="21"/>
                <w:szCs w:val="21"/>
                <w:highlight w:val="none"/>
              </w:rPr>
            </w:pPr>
          </w:p>
        </w:tc>
        <w:tc>
          <w:tcPr>
            <w:tcW w:w="1559" w:type="dxa"/>
            <w:vAlign w:val="center"/>
          </w:tcPr>
          <w:p w14:paraId="2B17DA07">
            <w:pPr>
              <w:spacing w:line="360" w:lineRule="auto"/>
              <w:jc w:val="center"/>
              <w:rPr>
                <w:rFonts w:hint="eastAsia" w:ascii="宋体" w:hAnsi="宋体" w:eastAsia="宋体" w:cs="宋体"/>
                <w:color w:val="auto"/>
                <w:sz w:val="21"/>
                <w:szCs w:val="21"/>
                <w:highlight w:val="none"/>
              </w:rPr>
            </w:pPr>
          </w:p>
        </w:tc>
        <w:tc>
          <w:tcPr>
            <w:tcW w:w="2410" w:type="dxa"/>
            <w:vAlign w:val="center"/>
          </w:tcPr>
          <w:p w14:paraId="3FBE67A3">
            <w:pPr>
              <w:spacing w:line="360" w:lineRule="auto"/>
              <w:jc w:val="center"/>
              <w:rPr>
                <w:rFonts w:hint="eastAsia" w:ascii="宋体" w:hAnsi="宋体" w:eastAsia="宋体" w:cs="宋体"/>
                <w:color w:val="auto"/>
                <w:sz w:val="21"/>
                <w:szCs w:val="21"/>
                <w:highlight w:val="none"/>
              </w:rPr>
            </w:pPr>
          </w:p>
        </w:tc>
        <w:tc>
          <w:tcPr>
            <w:tcW w:w="2729" w:type="dxa"/>
            <w:vAlign w:val="center"/>
          </w:tcPr>
          <w:p w14:paraId="0B24D7C9">
            <w:pPr>
              <w:spacing w:line="360" w:lineRule="auto"/>
              <w:jc w:val="center"/>
              <w:rPr>
                <w:rFonts w:hint="eastAsia" w:ascii="宋体" w:hAnsi="宋体" w:eastAsia="宋体" w:cs="宋体"/>
                <w:color w:val="auto"/>
                <w:sz w:val="21"/>
                <w:szCs w:val="21"/>
                <w:highlight w:val="none"/>
              </w:rPr>
            </w:pPr>
          </w:p>
        </w:tc>
      </w:tr>
      <w:tr w14:paraId="3BF96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77E9F89">
            <w:pPr>
              <w:spacing w:line="360" w:lineRule="auto"/>
              <w:jc w:val="center"/>
              <w:rPr>
                <w:rFonts w:hint="eastAsia" w:ascii="宋体" w:hAnsi="宋体" w:eastAsia="宋体" w:cs="宋体"/>
                <w:color w:val="auto"/>
                <w:sz w:val="21"/>
                <w:szCs w:val="21"/>
                <w:highlight w:val="none"/>
              </w:rPr>
            </w:pPr>
          </w:p>
        </w:tc>
        <w:tc>
          <w:tcPr>
            <w:tcW w:w="1826" w:type="dxa"/>
            <w:vAlign w:val="center"/>
          </w:tcPr>
          <w:p w14:paraId="08A5418F">
            <w:pPr>
              <w:spacing w:line="360" w:lineRule="auto"/>
              <w:jc w:val="center"/>
              <w:rPr>
                <w:rFonts w:hint="eastAsia" w:ascii="宋体" w:hAnsi="宋体" w:eastAsia="宋体" w:cs="宋体"/>
                <w:color w:val="auto"/>
                <w:sz w:val="21"/>
                <w:szCs w:val="21"/>
                <w:highlight w:val="none"/>
              </w:rPr>
            </w:pPr>
          </w:p>
        </w:tc>
        <w:tc>
          <w:tcPr>
            <w:tcW w:w="1559" w:type="dxa"/>
            <w:vAlign w:val="center"/>
          </w:tcPr>
          <w:p w14:paraId="4E156A3B">
            <w:pPr>
              <w:spacing w:line="360" w:lineRule="auto"/>
              <w:jc w:val="center"/>
              <w:rPr>
                <w:rFonts w:hint="eastAsia" w:ascii="宋体" w:hAnsi="宋体" w:eastAsia="宋体" w:cs="宋体"/>
                <w:color w:val="auto"/>
                <w:sz w:val="21"/>
                <w:szCs w:val="21"/>
                <w:highlight w:val="none"/>
              </w:rPr>
            </w:pPr>
          </w:p>
        </w:tc>
        <w:tc>
          <w:tcPr>
            <w:tcW w:w="2410" w:type="dxa"/>
            <w:vAlign w:val="center"/>
          </w:tcPr>
          <w:p w14:paraId="062F3AC7">
            <w:pPr>
              <w:spacing w:line="360" w:lineRule="auto"/>
              <w:jc w:val="center"/>
              <w:rPr>
                <w:rFonts w:hint="eastAsia" w:ascii="宋体" w:hAnsi="宋体" w:eastAsia="宋体" w:cs="宋体"/>
                <w:color w:val="auto"/>
                <w:sz w:val="21"/>
                <w:szCs w:val="21"/>
                <w:highlight w:val="none"/>
              </w:rPr>
            </w:pPr>
          </w:p>
        </w:tc>
        <w:tc>
          <w:tcPr>
            <w:tcW w:w="2729" w:type="dxa"/>
            <w:vAlign w:val="center"/>
          </w:tcPr>
          <w:p w14:paraId="27417278">
            <w:pPr>
              <w:spacing w:line="360" w:lineRule="auto"/>
              <w:jc w:val="center"/>
              <w:rPr>
                <w:rFonts w:hint="eastAsia" w:ascii="宋体" w:hAnsi="宋体" w:eastAsia="宋体" w:cs="宋体"/>
                <w:color w:val="auto"/>
                <w:sz w:val="21"/>
                <w:szCs w:val="21"/>
                <w:highlight w:val="none"/>
              </w:rPr>
            </w:pPr>
          </w:p>
        </w:tc>
      </w:tr>
      <w:tr w14:paraId="53472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A53F821">
            <w:pPr>
              <w:spacing w:line="360" w:lineRule="auto"/>
              <w:jc w:val="center"/>
              <w:rPr>
                <w:rFonts w:hint="eastAsia" w:ascii="宋体" w:hAnsi="宋体" w:eastAsia="宋体" w:cs="宋体"/>
                <w:color w:val="auto"/>
                <w:sz w:val="21"/>
                <w:szCs w:val="21"/>
                <w:highlight w:val="none"/>
              </w:rPr>
            </w:pPr>
          </w:p>
        </w:tc>
        <w:tc>
          <w:tcPr>
            <w:tcW w:w="1826" w:type="dxa"/>
            <w:vAlign w:val="center"/>
          </w:tcPr>
          <w:p w14:paraId="237B7D7C">
            <w:pPr>
              <w:spacing w:line="360" w:lineRule="auto"/>
              <w:jc w:val="center"/>
              <w:rPr>
                <w:rFonts w:hint="eastAsia" w:ascii="宋体" w:hAnsi="宋体" w:eastAsia="宋体" w:cs="宋体"/>
                <w:color w:val="auto"/>
                <w:sz w:val="21"/>
                <w:szCs w:val="21"/>
                <w:highlight w:val="none"/>
              </w:rPr>
            </w:pPr>
          </w:p>
        </w:tc>
        <w:tc>
          <w:tcPr>
            <w:tcW w:w="1559" w:type="dxa"/>
            <w:vAlign w:val="center"/>
          </w:tcPr>
          <w:p w14:paraId="436E2E44">
            <w:pPr>
              <w:spacing w:line="360" w:lineRule="auto"/>
              <w:jc w:val="center"/>
              <w:rPr>
                <w:rFonts w:hint="eastAsia" w:ascii="宋体" w:hAnsi="宋体" w:eastAsia="宋体" w:cs="宋体"/>
                <w:color w:val="auto"/>
                <w:sz w:val="21"/>
                <w:szCs w:val="21"/>
                <w:highlight w:val="none"/>
              </w:rPr>
            </w:pPr>
          </w:p>
        </w:tc>
        <w:tc>
          <w:tcPr>
            <w:tcW w:w="2410" w:type="dxa"/>
            <w:vAlign w:val="center"/>
          </w:tcPr>
          <w:p w14:paraId="662C6B20">
            <w:pPr>
              <w:spacing w:line="360" w:lineRule="auto"/>
              <w:jc w:val="center"/>
              <w:rPr>
                <w:rFonts w:hint="eastAsia" w:ascii="宋体" w:hAnsi="宋体" w:eastAsia="宋体" w:cs="宋体"/>
                <w:color w:val="auto"/>
                <w:sz w:val="21"/>
                <w:szCs w:val="21"/>
                <w:highlight w:val="none"/>
              </w:rPr>
            </w:pPr>
          </w:p>
        </w:tc>
        <w:tc>
          <w:tcPr>
            <w:tcW w:w="2729" w:type="dxa"/>
            <w:vAlign w:val="center"/>
          </w:tcPr>
          <w:p w14:paraId="5E35592F">
            <w:pPr>
              <w:spacing w:line="360" w:lineRule="auto"/>
              <w:jc w:val="center"/>
              <w:rPr>
                <w:rFonts w:hint="eastAsia" w:ascii="宋体" w:hAnsi="宋体" w:eastAsia="宋体" w:cs="宋体"/>
                <w:color w:val="auto"/>
                <w:sz w:val="21"/>
                <w:szCs w:val="21"/>
                <w:highlight w:val="none"/>
              </w:rPr>
            </w:pPr>
          </w:p>
        </w:tc>
      </w:tr>
      <w:tr w14:paraId="623E1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E4784DD">
            <w:pPr>
              <w:spacing w:line="360" w:lineRule="auto"/>
              <w:jc w:val="center"/>
              <w:rPr>
                <w:rFonts w:hint="eastAsia" w:ascii="宋体" w:hAnsi="宋体" w:eastAsia="宋体" w:cs="宋体"/>
                <w:color w:val="auto"/>
                <w:sz w:val="21"/>
                <w:szCs w:val="21"/>
                <w:highlight w:val="none"/>
              </w:rPr>
            </w:pPr>
          </w:p>
        </w:tc>
        <w:tc>
          <w:tcPr>
            <w:tcW w:w="1826" w:type="dxa"/>
            <w:vAlign w:val="center"/>
          </w:tcPr>
          <w:p w14:paraId="5FB45CBE">
            <w:pPr>
              <w:spacing w:line="360" w:lineRule="auto"/>
              <w:jc w:val="center"/>
              <w:rPr>
                <w:rFonts w:hint="eastAsia" w:ascii="宋体" w:hAnsi="宋体" w:eastAsia="宋体" w:cs="宋体"/>
                <w:color w:val="auto"/>
                <w:sz w:val="21"/>
                <w:szCs w:val="21"/>
                <w:highlight w:val="none"/>
              </w:rPr>
            </w:pPr>
          </w:p>
        </w:tc>
        <w:tc>
          <w:tcPr>
            <w:tcW w:w="1559" w:type="dxa"/>
            <w:vAlign w:val="center"/>
          </w:tcPr>
          <w:p w14:paraId="3731E190">
            <w:pPr>
              <w:spacing w:line="360" w:lineRule="auto"/>
              <w:jc w:val="center"/>
              <w:rPr>
                <w:rFonts w:hint="eastAsia" w:ascii="宋体" w:hAnsi="宋体" w:eastAsia="宋体" w:cs="宋体"/>
                <w:color w:val="auto"/>
                <w:sz w:val="21"/>
                <w:szCs w:val="21"/>
                <w:highlight w:val="none"/>
              </w:rPr>
            </w:pPr>
          </w:p>
        </w:tc>
        <w:tc>
          <w:tcPr>
            <w:tcW w:w="2410" w:type="dxa"/>
            <w:vAlign w:val="center"/>
          </w:tcPr>
          <w:p w14:paraId="2E85262F">
            <w:pPr>
              <w:spacing w:line="360" w:lineRule="auto"/>
              <w:jc w:val="center"/>
              <w:rPr>
                <w:rFonts w:hint="eastAsia" w:ascii="宋体" w:hAnsi="宋体" w:eastAsia="宋体" w:cs="宋体"/>
                <w:color w:val="auto"/>
                <w:sz w:val="21"/>
                <w:szCs w:val="21"/>
                <w:highlight w:val="none"/>
              </w:rPr>
            </w:pPr>
          </w:p>
        </w:tc>
        <w:tc>
          <w:tcPr>
            <w:tcW w:w="2729" w:type="dxa"/>
            <w:vAlign w:val="center"/>
          </w:tcPr>
          <w:p w14:paraId="21DF6D13">
            <w:pPr>
              <w:spacing w:line="360" w:lineRule="auto"/>
              <w:jc w:val="center"/>
              <w:rPr>
                <w:rFonts w:hint="eastAsia" w:ascii="宋体" w:hAnsi="宋体" w:eastAsia="宋体" w:cs="宋体"/>
                <w:color w:val="auto"/>
                <w:sz w:val="21"/>
                <w:szCs w:val="21"/>
                <w:highlight w:val="none"/>
              </w:rPr>
            </w:pPr>
          </w:p>
        </w:tc>
      </w:tr>
      <w:tr w14:paraId="20F10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78549A5">
            <w:pPr>
              <w:spacing w:line="360" w:lineRule="auto"/>
              <w:jc w:val="center"/>
              <w:rPr>
                <w:rFonts w:hint="eastAsia" w:ascii="宋体" w:hAnsi="宋体" w:eastAsia="宋体" w:cs="宋体"/>
                <w:color w:val="auto"/>
                <w:sz w:val="21"/>
                <w:szCs w:val="21"/>
                <w:highlight w:val="none"/>
              </w:rPr>
            </w:pPr>
          </w:p>
        </w:tc>
        <w:tc>
          <w:tcPr>
            <w:tcW w:w="1826" w:type="dxa"/>
            <w:vAlign w:val="center"/>
          </w:tcPr>
          <w:p w14:paraId="7074EEE6">
            <w:pPr>
              <w:spacing w:line="360" w:lineRule="auto"/>
              <w:jc w:val="center"/>
              <w:rPr>
                <w:rFonts w:hint="eastAsia" w:ascii="宋体" w:hAnsi="宋体" w:eastAsia="宋体" w:cs="宋体"/>
                <w:color w:val="auto"/>
                <w:sz w:val="21"/>
                <w:szCs w:val="21"/>
                <w:highlight w:val="none"/>
              </w:rPr>
            </w:pPr>
          </w:p>
        </w:tc>
        <w:tc>
          <w:tcPr>
            <w:tcW w:w="1559" w:type="dxa"/>
            <w:vAlign w:val="center"/>
          </w:tcPr>
          <w:p w14:paraId="27C2F065">
            <w:pPr>
              <w:spacing w:line="360" w:lineRule="auto"/>
              <w:jc w:val="center"/>
              <w:rPr>
                <w:rFonts w:hint="eastAsia" w:ascii="宋体" w:hAnsi="宋体" w:eastAsia="宋体" w:cs="宋体"/>
                <w:color w:val="auto"/>
                <w:sz w:val="21"/>
                <w:szCs w:val="21"/>
                <w:highlight w:val="none"/>
              </w:rPr>
            </w:pPr>
          </w:p>
        </w:tc>
        <w:tc>
          <w:tcPr>
            <w:tcW w:w="2410" w:type="dxa"/>
            <w:vAlign w:val="center"/>
          </w:tcPr>
          <w:p w14:paraId="6F9C7201">
            <w:pPr>
              <w:spacing w:line="360" w:lineRule="auto"/>
              <w:jc w:val="center"/>
              <w:rPr>
                <w:rFonts w:hint="eastAsia" w:ascii="宋体" w:hAnsi="宋体" w:eastAsia="宋体" w:cs="宋体"/>
                <w:color w:val="auto"/>
                <w:sz w:val="21"/>
                <w:szCs w:val="21"/>
                <w:highlight w:val="none"/>
              </w:rPr>
            </w:pPr>
          </w:p>
        </w:tc>
        <w:tc>
          <w:tcPr>
            <w:tcW w:w="2729" w:type="dxa"/>
            <w:vAlign w:val="center"/>
          </w:tcPr>
          <w:p w14:paraId="47D8D332">
            <w:pPr>
              <w:spacing w:line="360" w:lineRule="auto"/>
              <w:jc w:val="center"/>
              <w:rPr>
                <w:rFonts w:hint="eastAsia" w:ascii="宋体" w:hAnsi="宋体" w:eastAsia="宋体" w:cs="宋体"/>
                <w:color w:val="auto"/>
                <w:sz w:val="21"/>
                <w:szCs w:val="21"/>
                <w:highlight w:val="none"/>
              </w:rPr>
            </w:pPr>
          </w:p>
        </w:tc>
      </w:tr>
      <w:tr w14:paraId="3B57D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C2BAB5F">
            <w:pPr>
              <w:spacing w:line="360" w:lineRule="auto"/>
              <w:jc w:val="center"/>
              <w:rPr>
                <w:rFonts w:hint="eastAsia" w:ascii="宋体" w:hAnsi="宋体" w:eastAsia="宋体" w:cs="宋体"/>
                <w:color w:val="auto"/>
                <w:sz w:val="21"/>
                <w:szCs w:val="21"/>
                <w:highlight w:val="none"/>
              </w:rPr>
            </w:pPr>
          </w:p>
        </w:tc>
        <w:tc>
          <w:tcPr>
            <w:tcW w:w="1826" w:type="dxa"/>
            <w:vAlign w:val="center"/>
          </w:tcPr>
          <w:p w14:paraId="22C87C80">
            <w:pPr>
              <w:spacing w:line="360" w:lineRule="auto"/>
              <w:jc w:val="center"/>
              <w:rPr>
                <w:rFonts w:hint="eastAsia" w:ascii="宋体" w:hAnsi="宋体" w:eastAsia="宋体" w:cs="宋体"/>
                <w:color w:val="auto"/>
                <w:sz w:val="21"/>
                <w:szCs w:val="21"/>
                <w:highlight w:val="none"/>
              </w:rPr>
            </w:pPr>
          </w:p>
        </w:tc>
        <w:tc>
          <w:tcPr>
            <w:tcW w:w="1559" w:type="dxa"/>
            <w:vAlign w:val="center"/>
          </w:tcPr>
          <w:p w14:paraId="5FED7785">
            <w:pPr>
              <w:spacing w:line="360" w:lineRule="auto"/>
              <w:jc w:val="center"/>
              <w:rPr>
                <w:rFonts w:hint="eastAsia" w:ascii="宋体" w:hAnsi="宋体" w:eastAsia="宋体" w:cs="宋体"/>
                <w:color w:val="auto"/>
                <w:sz w:val="21"/>
                <w:szCs w:val="21"/>
                <w:highlight w:val="none"/>
              </w:rPr>
            </w:pPr>
          </w:p>
        </w:tc>
        <w:tc>
          <w:tcPr>
            <w:tcW w:w="2410" w:type="dxa"/>
            <w:vAlign w:val="center"/>
          </w:tcPr>
          <w:p w14:paraId="0A36E9FF">
            <w:pPr>
              <w:spacing w:line="360" w:lineRule="auto"/>
              <w:jc w:val="center"/>
              <w:rPr>
                <w:rFonts w:hint="eastAsia" w:ascii="宋体" w:hAnsi="宋体" w:eastAsia="宋体" w:cs="宋体"/>
                <w:color w:val="auto"/>
                <w:sz w:val="21"/>
                <w:szCs w:val="21"/>
                <w:highlight w:val="none"/>
              </w:rPr>
            </w:pPr>
          </w:p>
        </w:tc>
        <w:tc>
          <w:tcPr>
            <w:tcW w:w="2729" w:type="dxa"/>
            <w:vAlign w:val="center"/>
          </w:tcPr>
          <w:p w14:paraId="305F7006">
            <w:pPr>
              <w:spacing w:line="360" w:lineRule="auto"/>
              <w:jc w:val="center"/>
              <w:rPr>
                <w:rFonts w:hint="eastAsia" w:ascii="宋体" w:hAnsi="宋体" w:eastAsia="宋体" w:cs="宋体"/>
                <w:color w:val="auto"/>
                <w:sz w:val="21"/>
                <w:szCs w:val="21"/>
                <w:highlight w:val="none"/>
              </w:rPr>
            </w:pPr>
          </w:p>
        </w:tc>
      </w:tr>
      <w:tr w14:paraId="42580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310D550">
            <w:pPr>
              <w:spacing w:line="360" w:lineRule="auto"/>
              <w:jc w:val="center"/>
              <w:rPr>
                <w:rFonts w:hint="eastAsia" w:ascii="宋体" w:hAnsi="宋体" w:eastAsia="宋体" w:cs="宋体"/>
                <w:color w:val="auto"/>
                <w:sz w:val="21"/>
                <w:szCs w:val="21"/>
                <w:highlight w:val="none"/>
              </w:rPr>
            </w:pPr>
          </w:p>
        </w:tc>
        <w:tc>
          <w:tcPr>
            <w:tcW w:w="1826" w:type="dxa"/>
            <w:vAlign w:val="center"/>
          </w:tcPr>
          <w:p w14:paraId="7E190F8D">
            <w:pPr>
              <w:spacing w:line="360" w:lineRule="auto"/>
              <w:jc w:val="center"/>
              <w:rPr>
                <w:rFonts w:hint="eastAsia" w:ascii="宋体" w:hAnsi="宋体" w:eastAsia="宋体" w:cs="宋体"/>
                <w:color w:val="auto"/>
                <w:sz w:val="21"/>
                <w:szCs w:val="21"/>
                <w:highlight w:val="none"/>
              </w:rPr>
            </w:pPr>
          </w:p>
        </w:tc>
        <w:tc>
          <w:tcPr>
            <w:tcW w:w="1559" w:type="dxa"/>
            <w:vAlign w:val="center"/>
          </w:tcPr>
          <w:p w14:paraId="7326347F">
            <w:pPr>
              <w:spacing w:line="360" w:lineRule="auto"/>
              <w:jc w:val="center"/>
              <w:rPr>
                <w:rFonts w:hint="eastAsia" w:ascii="宋体" w:hAnsi="宋体" w:eastAsia="宋体" w:cs="宋体"/>
                <w:color w:val="auto"/>
                <w:sz w:val="21"/>
                <w:szCs w:val="21"/>
                <w:highlight w:val="none"/>
              </w:rPr>
            </w:pPr>
          </w:p>
        </w:tc>
        <w:tc>
          <w:tcPr>
            <w:tcW w:w="2410" w:type="dxa"/>
            <w:vAlign w:val="center"/>
          </w:tcPr>
          <w:p w14:paraId="13066699">
            <w:pPr>
              <w:spacing w:line="360" w:lineRule="auto"/>
              <w:jc w:val="center"/>
              <w:rPr>
                <w:rFonts w:hint="eastAsia" w:ascii="宋体" w:hAnsi="宋体" w:eastAsia="宋体" w:cs="宋体"/>
                <w:color w:val="auto"/>
                <w:sz w:val="21"/>
                <w:szCs w:val="21"/>
                <w:highlight w:val="none"/>
              </w:rPr>
            </w:pPr>
          </w:p>
        </w:tc>
        <w:tc>
          <w:tcPr>
            <w:tcW w:w="2729" w:type="dxa"/>
            <w:vAlign w:val="center"/>
          </w:tcPr>
          <w:p w14:paraId="220F6C10">
            <w:pPr>
              <w:spacing w:line="360" w:lineRule="auto"/>
              <w:jc w:val="center"/>
              <w:rPr>
                <w:rFonts w:hint="eastAsia" w:ascii="宋体" w:hAnsi="宋体" w:eastAsia="宋体" w:cs="宋体"/>
                <w:color w:val="auto"/>
                <w:sz w:val="21"/>
                <w:szCs w:val="21"/>
                <w:highlight w:val="none"/>
              </w:rPr>
            </w:pPr>
          </w:p>
        </w:tc>
      </w:tr>
      <w:tr w14:paraId="1B4F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1FB687B">
            <w:pPr>
              <w:spacing w:line="360" w:lineRule="auto"/>
              <w:jc w:val="center"/>
              <w:rPr>
                <w:rFonts w:hint="eastAsia" w:ascii="宋体" w:hAnsi="宋体" w:eastAsia="宋体" w:cs="宋体"/>
                <w:color w:val="auto"/>
                <w:sz w:val="21"/>
                <w:szCs w:val="21"/>
                <w:highlight w:val="none"/>
              </w:rPr>
            </w:pPr>
          </w:p>
        </w:tc>
        <w:tc>
          <w:tcPr>
            <w:tcW w:w="1826" w:type="dxa"/>
            <w:vAlign w:val="center"/>
          </w:tcPr>
          <w:p w14:paraId="285BE458">
            <w:pPr>
              <w:spacing w:line="360" w:lineRule="auto"/>
              <w:jc w:val="center"/>
              <w:rPr>
                <w:rFonts w:hint="eastAsia" w:ascii="宋体" w:hAnsi="宋体" w:eastAsia="宋体" w:cs="宋体"/>
                <w:color w:val="auto"/>
                <w:sz w:val="21"/>
                <w:szCs w:val="21"/>
                <w:highlight w:val="none"/>
              </w:rPr>
            </w:pPr>
          </w:p>
        </w:tc>
        <w:tc>
          <w:tcPr>
            <w:tcW w:w="1559" w:type="dxa"/>
            <w:vAlign w:val="center"/>
          </w:tcPr>
          <w:p w14:paraId="2E33DC89">
            <w:pPr>
              <w:spacing w:line="360" w:lineRule="auto"/>
              <w:jc w:val="center"/>
              <w:rPr>
                <w:rFonts w:hint="eastAsia" w:ascii="宋体" w:hAnsi="宋体" w:eastAsia="宋体" w:cs="宋体"/>
                <w:color w:val="auto"/>
                <w:sz w:val="21"/>
                <w:szCs w:val="21"/>
                <w:highlight w:val="none"/>
              </w:rPr>
            </w:pPr>
          </w:p>
        </w:tc>
        <w:tc>
          <w:tcPr>
            <w:tcW w:w="2410" w:type="dxa"/>
            <w:vAlign w:val="center"/>
          </w:tcPr>
          <w:p w14:paraId="2024B22D">
            <w:pPr>
              <w:spacing w:line="360" w:lineRule="auto"/>
              <w:jc w:val="center"/>
              <w:rPr>
                <w:rFonts w:hint="eastAsia" w:ascii="宋体" w:hAnsi="宋体" w:eastAsia="宋体" w:cs="宋体"/>
                <w:color w:val="auto"/>
                <w:sz w:val="21"/>
                <w:szCs w:val="21"/>
                <w:highlight w:val="none"/>
              </w:rPr>
            </w:pPr>
          </w:p>
        </w:tc>
        <w:tc>
          <w:tcPr>
            <w:tcW w:w="2729" w:type="dxa"/>
            <w:vAlign w:val="center"/>
          </w:tcPr>
          <w:p w14:paraId="26F438B2">
            <w:pPr>
              <w:spacing w:line="360" w:lineRule="auto"/>
              <w:jc w:val="center"/>
              <w:rPr>
                <w:rFonts w:hint="eastAsia" w:ascii="宋体" w:hAnsi="宋体" w:eastAsia="宋体" w:cs="宋体"/>
                <w:color w:val="auto"/>
                <w:sz w:val="21"/>
                <w:szCs w:val="21"/>
                <w:highlight w:val="none"/>
              </w:rPr>
            </w:pPr>
          </w:p>
        </w:tc>
      </w:tr>
      <w:tr w14:paraId="7FE4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DD254DC">
            <w:pPr>
              <w:spacing w:line="360" w:lineRule="auto"/>
              <w:jc w:val="center"/>
              <w:rPr>
                <w:rFonts w:hint="eastAsia" w:ascii="宋体" w:hAnsi="宋体" w:eastAsia="宋体" w:cs="宋体"/>
                <w:color w:val="auto"/>
                <w:sz w:val="21"/>
                <w:szCs w:val="21"/>
                <w:highlight w:val="none"/>
              </w:rPr>
            </w:pPr>
          </w:p>
        </w:tc>
        <w:tc>
          <w:tcPr>
            <w:tcW w:w="1826" w:type="dxa"/>
            <w:vAlign w:val="center"/>
          </w:tcPr>
          <w:p w14:paraId="32777B20">
            <w:pPr>
              <w:spacing w:line="360" w:lineRule="auto"/>
              <w:jc w:val="center"/>
              <w:rPr>
                <w:rFonts w:hint="eastAsia" w:ascii="宋体" w:hAnsi="宋体" w:eastAsia="宋体" w:cs="宋体"/>
                <w:color w:val="auto"/>
                <w:sz w:val="21"/>
                <w:szCs w:val="21"/>
                <w:highlight w:val="none"/>
              </w:rPr>
            </w:pPr>
          </w:p>
        </w:tc>
        <w:tc>
          <w:tcPr>
            <w:tcW w:w="1559" w:type="dxa"/>
            <w:vAlign w:val="center"/>
          </w:tcPr>
          <w:p w14:paraId="5AF57D15">
            <w:pPr>
              <w:spacing w:line="360" w:lineRule="auto"/>
              <w:jc w:val="center"/>
              <w:rPr>
                <w:rFonts w:hint="eastAsia" w:ascii="宋体" w:hAnsi="宋体" w:eastAsia="宋体" w:cs="宋体"/>
                <w:color w:val="auto"/>
                <w:sz w:val="21"/>
                <w:szCs w:val="21"/>
                <w:highlight w:val="none"/>
              </w:rPr>
            </w:pPr>
          </w:p>
        </w:tc>
        <w:tc>
          <w:tcPr>
            <w:tcW w:w="2410" w:type="dxa"/>
            <w:vAlign w:val="center"/>
          </w:tcPr>
          <w:p w14:paraId="0BD1210B">
            <w:pPr>
              <w:spacing w:line="360" w:lineRule="auto"/>
              <w:jc w:val="center"/>
              <w:rPr>
                <w:rFonts w:hint="eastAsia" w:ascii="宋体" w:hAnsi="宋体" w:eastAsia="宋体" w:cs="宋体"/>
                <w:color w:val="auto"/>
                <w:sz w:val="21"/>
                <w:szCs w:val="21"/>
                <w:highlight w:val="none"/>
              </w:rPr>
            </w:pPr>
          </w:p>
        </w:tc>
        <w:tc>
          <w:tcPr>
            <w:tcW w:w="2729" w:type="dxa"/>
            <w:vAlign w:val="center"/>
          </w:tcPr>
          <w:p w14:paraId="105A891E">
            <w:pPr>
              <w:spacing w:line="360" w:lineRule="auto"/>
              <w:jc w:val="center"/>
              <w:rPr>
                <w:rFonts w:hint="eastAsia" w:ascii="宋体" w:hAnsi="宋体" w:eastAsia="宋体" w:cs="宋体"/>
                <w:color w:val="auto"/>
                <w:sz w:val="21"/>
                <w:szCs w:val="21"/>
                <w:highlight w:val="none"/>
              </w:rPr>
            </w:pPr>
          </w:p>
        </w:tc>
      </w:tr>
      <w:tr w14:paraId="6ED6A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99460F2">
            <w:pPr>
              <w:spacing w:line="360" w:lineRule="auto"/>
              <w:jc w:val="center"/>
              <w:rPr>
                <w:rFonts w:hint="eastAsia" w:ascii="宋体" w:hAnsi="宋体" w:eastAsia="宋体" w:cs="宋体"/>
                <w:color w:val="auto"/>
                <w:sz w:val="21"/>
                <w:szCs w:val="21"/>
                <w:highlight w:val="none"/>
              </w:rPr>
            </w:pPr>
          </w:p>
        </w:tc>
        <w:tc>
          <w:tcPr>
            <w:tcW w:w="1826" w:type="dxa"/>
            <w:vAlign w:val="center"/>
          </w:tcPr>
          <w:p w14:paraId="5178E367">
            <w:pPr>
              <w:spacing w:line="360" w:lineRule="auto"/>
              <w:jc w:val="center"/>
              <w:rPr>
                <w:rFonts w:hint="eastAsia" w:ascii="宋体" w:hAnsi="宋体" w:eastAsia="宋体" w:cs="宋体"/>
                <w:color w:val="auto"/>
                <w:sz w:val="21"/>
                <w:szCs w:val="21"/>
                <w:highlight w:val="none"/>
              </w:rPr>
            </w:pPr>
          </w:p>
        </w:tc>
        <w:tc>
          <w:tcPr>
            <w:tcW w:w="1559" w:type="dxa"/>
            <w:vAlign w:val="center"/>
          </w:tcPr>
          <w:p w14:paraId="08266ABF">
            <w:pPr>
              <w:spacing w:line="360" w:lineRule="auto"/>
              <w:jc w:val="center"/>
              <w:rPr>
                <w:rFonts w:hint="eastAsia" w:ascii="宋体" w:hAnsi="宋体" w:eastAsia="宋体" w:cs="宋体"/>
                <w:color w:val="auto"/>
                <w:sz w:val="21"/>
                <w:szCs w:val="21"/>
                <w:highlight w:val="none"/>
              </w:rPr>
            </w:pPr>
          </w:p>
        </w:tc>
        <w:tc>
          <w:tcPr>
            <w:tcW w:w="2410" w:type="dxa"/>
            <w:vAlign w:val="center"/>
          </w:tcPr>
          <w:p w14:paraId="3D5806E3">
            <w:pPr>
              <w:spacing w:line="360" w:lineRule="auto"/>
              <w:jc w:val="center"/>
              <w:rPr>
                <w:rFonts w:hint="eastAsia" w:ascii="宋体" w:hAnsi="宋体" w:eastAsia="宋体" w:cs="宋体"/>
                <w:color w:val="auto"/>
                <w:sz w:val="21"/>
                <w:szCs w:val="21"/>
                <w:highlight w:val="none"/>
              </w:rPr>
            </w:pPr>
          </w:p>
        </w:tc>
        <w:tc>
          <w:tcPr>
            <w:tcW w:w="2729" w:type="dxa"/>
            <w:vAlign w:val="center"/>
          </w:tcPr>
          <w:p w14:paraId="7A2A480B">
            <w:pPr>
              <w:spacing w:line="360" w:lineRule="auto"/>
              <w:jc w:val="center"/>
              <w:rPr>
                <w:rFonts w:hint="eastAsia" w:ascii="宋体" w:hAnsi="宋体" w:eastAsia="宋体" w:cs="宋体"/>
                <w:color w:val="auto"/>
                <w:sz w:val="21"/>
                <w:szCs w:val="21"/>
                <w:highlight w:val="none"/>
              </w:rPr>
            </w:pPr>
          </w:p>
        </w:tc>
      </w:tr>
      <w:tr w14:paraId="135DC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1D22774">
            <w:pPr>
              <w:spacing w:line="360" w:lineRule="auto"/>
              <w:jc w:val="center"/>
              <w:rPr>
                <w:rFonts w:hint="eastAsia" w:ascii="宋体" w:hAnsi="宋体" w:eastAsia="宋体" w:cs="宋体"/>
                <w:color w:val="auto"/>
                <w:sz w:val="21"/>
                <w:szCs w:val="21"/>
                <w:highlight w:val="none"/>
              </w:rPr>
            </w:pPr>
          </w:p>
        </w:tc>
        <w:tc>
          <w:tcPr>
            <w:tcW w:w="1826" w:type="dxa"/>
            <w:vAlign w:val="center"/>
          </w:tcPr>
          <w:p w14:paraId="37B0C6D6">
            <w:pPr>
              <w:spacing w:line="360" w:lineRule="auto"/>
              <w:jc w:val="center"/>
              <w:rPr>
                <w:rFonts w:hint="eastAsia" w:ascii="宋体" w:hAnsi="宋体" w:eastAsia="宋体" w:cs="宋体"/>
                <w:color w:val="auto"/>
                <w:sz w:val="21"/>
                <w:szCs w:val="21"/>
                <w:highlight w:val="none"/>
              </w:rPr>
            </w:pPr>
          </w:p>
        </w:tc>
        <w:tc>
          <w:tcPr>
            <w:tcW w:w="1559" w:type="dxa"/>
            <w:vAlign w:val="center"/>
          </w:tcPr>
          <w:p w14:paraId="22FCE2A1">
            <w:pPr>
              <w:spacing w:line="360" w:lineRule="auto"/>
              <w:jc w:val="center"/>
              <w:rPr>
                <w:rFonts w:hint="eastAsia" w:ascii="宋体" w:hAnsi="宋体" w:eastAsia="宋体" w:cs="宋体"/>
                <w:color w:val="auto"/>
                <w:sz w:val="21"/>
                <w:szCs w:val="21"/>
                <w:highlight w:val="none"/>
              </w:rPr>
            </w:pPr>
          </w:p>
        </w:tc>
        <w:tc>
          <w:tcPr>
            <w:tcW w:w="2410" w:type="dxa"/>
            <w:vAlign w:val="center"/>
          </w:tcPr>
          <w:p w14:paraId="26F088F2">
            <w:pPr>
              <w:spacing w:line="360" w:lineRule="auto"/>
              <w:jc w:val="center"/>
              <w:rPr>
                <w:rFonts w:hint="eastAsia" w:ascii="宋体" w:hAnsi="宋体" w:eastAsia="宋体" w:cs="宋体"/>
                <w:color w:val="auto"/>
                <w:sz w:val="21"/>
                <w:szCs w:val="21"/>
                <w:highlight w:val="none"/>
              </w:rPr>
            </w:pPr>
          </w:p>
        </w:tc>
        <w:tc>
          <w:tcPr>
            <w:tcW w:w="2729" w:type="dxa"/>
            <w:vAlign w:val="center"/>
          </w:tcPr>
          <w:p w14:paraId="06F1FC34">
            <w:pPr>
              <w:spacing w:line="360" w:lineRule="auto"/>
              <w:jc w:val="center"/>
              <w:rPr>
                <w:rFonts w:hint="eastAsia" w:ascii="宋体" w:hAnsi="宋体" w:eastAsia="宋体" w:cs="宋体"/>
                <w:color w:val="auto"/>
                <w:sz w:val="21"/>
                <w:szCs w:val="21"/>
                <w:highlight w:val="none"/>
              </w:rPr>
            </w:pPr>
          </w:p>
        </w:tc>
      </w:tr>
      <w:tr w14:paraId="458EC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100A8DA">
            <w:pPr>
              <w:spacing w:line="360" w:lineRule="auto"/>
              <w:jc w:val="center"/>
              <w:rPr>
                <w:rFonts w:hint="eastAsia" w:ascii="宋体" w:hAnsi="宋体" w:eastAsia="宋体" w:cs="宋体"/>
                <w:color w:val="auto"/>
                <w:sz w:val="21"/>
                <w:szCs w:val="21"/>
                <w:highlight w:val="none"/>
              </w:rPr>
            </w:pPr>
          </w:p>
        </w:tc>
        <w:tc>
          <w:tcPr>
            <w:tcW w:w="1826" w:type="dxa"/>
            <w:vAlign w:val="center"/>
          </w:tcPr>
          <w:p w14:paraId="047948F1">
            <w:pPr>
              <w:spacing w:line="360" w:lineRule="auto"/>
              <w:jc w:val="center"/>
              <w:rPr>
                <w:rFonts w:hint="eastAsia" w:ascii="宋体" w:hAnsi="宋体" w:eastAsia="宋体" w:cs="宋体"/>
                <w:color w:val="auto"/>
                <w:sz w:val="21"/>
                <w:szCs w:val="21"/>
                <w:highlight w:val="none"/>
              </w:rPr>
            </w:pPr>
          </w:p>
        </w:tc>
        <w:tc>
          <w:tcPr>
            <w:tcW w:w="1559" w:type="dxa"/>
            <w:vAlign w:val="center"/>
          </w:tcPr>
          <w:p w14:paraId="270C3F36">
            <w:pPr>
              <w:spacing w:line="360" w:lineRule="auto"/>
              <w:jc w:val="center"/>
              <w:rPr>
                <w:rFonts w:hint="eastAsia" w:ascii="宋体" w:hAnsi="宋体" w:eastAsia="宋体" w:cs="宋体"/>
                <w:color w:val="auto"/>
                <w:sz w:val="21"/>
                <w:szCs w:val="21"/>
                <w:highlight w:val="none"/>
              </w:rPr>
            </w:pPr>
          </w:p>
        </w:tc>
        <w:tc>
          <w:tcPr>
            <w:tcW w:w="2410" w:type="dxa"/>
            <w:vAlign w:val="center"/>
          </w:tcPr>
          <w:p w14:paraId="6BE530D8">
            <w:pPr>
              <w:spacing w:line="360" w:lineRule="auto"/>
              <w:jc w:val="center"/>
              <w:rPr>
                <w:rFonts w:hint="eastAsia" w:ascii="宋体" w:hAnsi="宋体" w:eastAsia="宋体" w:cs="宋体"/>
                <w:color w:val="auto"/>
                <w:sz w:val="21"/>
                <w:szCs w:val="21"/>
                <w:highlight w:val="none"/>
              </w:rPr>
            </w:pPr>
          </w:p>
        </w:tc>
        <w:tc>
          <w:tcPr>
            <w:tcW w:w="2729" w:type="dxa"/>
            <w:vAlign w:val="center"/>
          </w:tcPr>
          <w:p w14:paraId="29D7A8EC">
            <w:pPr>
              <w:spacing w:line="360" w:lineRule="auto"/>
              <w:jc w:val="center"/>
              <w:rPr>
                <w:rFonts w:hint="eastAsia" w:ascii="宋体" w:hAnsi="宋体" w:eastAsia="宋体" w:cs="宋体"/>
                <w:color w:val="auto"/>
                <w:sz w:val="21"/>
                <w:szCs w:val="21"/>
                <w:highlight w:val="none"/>
              </w:rPr>
            </w:pPr>
          </w:p>
        </w:tc>
      </w:tr>
      <w:tr w14:paraId="3F619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1C90874">
            <w:pPr>
              <w:spacing w:line="360" w:lineRule="auto"/>
              <w:jc w:val="center"/>
              <w:rPr>
                <w:rFonts w:hint="eastAsia" w:ascii="宋体" w:hAnsi="宋体" w:eastAsia="宋体" w:cs="宋体"/>
                <w:color w:val="auto"/>
                <w:sz w:val="21"/>
                <w:szCs w:val="21"/>
                <w:highlight w:val="none"/>
              </w:rPr>
            </w:pPr>
          </w:p>
        </w:tc>
        <w:tc>
          <w:tcPr>
            <w:tcW w:w="1826" w:type="dxa"/>
            <w:vAlign w:val="center"/>
          </w:tcPr>
          <w:p w14:paraId="50D5E378">
            <w:pPr>
              <w:spacing w:line="360" w:lineRule="auto"/>
              <w:jc w:val="center"/>
              <w:rPr>
                <w:rFonts w:hint="eastAsia" w:ascii="宋体" w:hAnsi="宋体" w:eastAsia="宋体" w:cs="宋体"/>
                <w:color w:val="auto"/>
                <w:sz w:val="21"/>
                <w:szCs w:val="21"/>
                <w:highlight w:val="none"/>
              </w:rPr>
            </w:pPr>
          </w:p>
        </w:tc>
        <w:tc>
          <w:tcPr>
            <w:tcW w:w="1559" w:type="dxa"/>
            <w:vAlign w:val="center"/>
          </w:tcPr>
          <w:p w14:paraId="5A04D524">
            <w:pPr>
              <w:spacing w:line="360" w:lineRule="auto"/>
              <w:jc w:val="center"/>
              <w:rPr>
                <w:rFonts w:hint="eastAsia" w:ascii="宋体" w:hAnsi="宋体" w:eastAsia="宋体" w:cs="宋体"/>
                <w:color w:val="auto"/>
                <w:sz w:val="21"/>
                <w:szCs w:val="21"/>
                <w:highlight w:val="none"/>
              </w:rPr>
            </w:pPr>
          </w:p>
        </w:tc>
        <w:tc>
          <w:tcPr>
            <w:tcW w:w="2410" w:type="dxa"/>
            <w:vAlign w:val="center"/>
          </w:tcPr>
          <w:p w14:paraId="7544C5D4">
            <w:pPr>
              <w:spacing w:line="360" w:lineRule="auto"/>
              <w:jc w:val="center"/>
              <w:rPr>
                <w:rFonts w:hint="eastAsia" w:ascii="宋体" w:hAnsi="宋体" w:eastAsia="宋体" w:cs="宋体"/>
                <w:color w:val="auto"/>
                <w:sz w:val="21"/>
                <w:szCs w:val="21"/>
                <w:highlight w:val="none"/>
              </w:rPr>
            </w:pPr>
          </w:p>
        </w:tc>
        <w:tc>
          <w:tcPr>
            <w:tcW w:w="2729" w:type="dxa"/>
            <w:vAlign w:val="center"/>
          </w:tcPr>
          <w:p w14:paraId="56139DED">
            <w:pPr>
              <w:spacing w:line="360" w:lineRule="auto"/>
              <w:jc w:val="center"/>
              <w:rPr>
                <w:rFonts w:hint="eastAsia" w:ascii="宋体" w:hAnsi="宋体" w:eastAsia="宋体" w:cs="宋体"/>
                <w:color w:val="auto"/>
                <w:sz w:val="21"/>
                <w:szCs w:val="21"/>
                <w:highlight w:val="none"/>
              </w:rPr>
            </w:pPr>
          </w:p>
        </w:tc>
      </w:tr>
    </w:tbl>
    <w:p w14:paraId="11A1040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DF717E"/>
    <w:rsid w:val="45DF7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2" w:lineRule="auto"/>
      <w:outlineLvl w:val="2"/>
    </w:pPr>
    <w:rPr>
      <w:rFonts w:ascii="Times New Roman" w:hAnsi="Times New Roman"/>
      <w:b/>
      <w:sz w:val="32"/>
      <w:szCs w:val="20"/>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unhideWhenUsed/>
    <w:qFormat/>
    <w:uiPriority w:val="99"/>
    <w:pPr>
      <w:spacing w:after="120"/>
    </w:pPr>
  </w:style>
  <w:style w:type="paragraph" w:styleId="4">
    <w:name w:val="toc 1"/>
    <w:basedOn w:val="1"/>
    <w:next w:val="1"/>
    <w:qFormat/>
    <w:uiPriority w:val="0"/>
    <w:pPr>
      <w:widowControl/>
      <w:spacing w:after="100" w:line="276" w:lineRule="auto"/>
      <w:jc w:val="left"/>
    </w:pPr>
    <w:rPr>
      <w:kern w:val="0"/>
      <w:sz w:val="22"/>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9">
    <w:name w:val="Table Text"/>
    <w:basedOn w:val="1"/>
    <w:autoRedefine/>
    <w:semiHidden/>
    <w:qFormat/>
    <w:uiPriority w:val="0"/>
    <w:pPr>
      <w:kinsoku w:val="0"/>
      <w:autoSpaceDE w:val="0"/>
      <w:autoSpaceDN w:val="0"/>
      <w:adjustRightInd w:val="0"/>
      <w:snapToGrid w:val="0"/>
      <w:ind w:left="105" w:right="105" w:firstLine="200" w:firstLineChars="100"/>
      <w:jc w:val="center"/>
      <w:textAlignment w:val="baseline"/>
    </w:pPr>
    <w:rPr>
      <w:rFonts w:asciiTheme="minorEastAsia" w:hAnsiTheme="minorEastAsia" w:eastAsiaTheme="minorEastAsia"/>
      <w:snapToGrid w:val="0"/>
      <w:color w:val="FF0000"/>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2025-06-04T03:33:00Z</dcterms:created>
  <dc:creator>代理公司</dc:creator>
  <cp:lastModifiedBy>代理公司</cp:lastModifiedBy>
  <dcterms:modified xsi:type="dcterms:W3CDTF">2025-06-04T03:34:18Z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D2F26DD8726E435CAD629F6CC4F8906D_11</vt:lpwstr>
  </property>
  <property fmtid="{D5CDD505-2E9C-101B-9397-08002B2CF9AE}" pid="4" name="KSOTemplateDocerSaveRecord">
    <vt:lpwstr>eyJoZGlkIjoiNTU4MTg4NzM5MmMxMzE3OTU5ZTE4YzVhNTk4NDcwY2UiLCJ1c2VySWQiOiIyMjY0NTY0NzgifQ==</vt:lpwstr>
  </property>
</Properties>
</file>