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188" w:name="_GoBack"/>
      <w:bookmarkEnd w:id="188"/>
    </w:p>
    <w:p>
      <w:pPr>
        <w:jc w:val="center"/>
        <w:rPr>
          <w:rFonts w:asciiTheme="minorEastAsia" w:hAnsiTheme="minorEastAsia"/>
          <w:b/>
          <w:sz w:val="32"/>
          <w:szCs w:val="32"/>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hint="default" w:asciiTheme="minorEastAsia" w:hAnsiTheme="minorEastAsia"/>
          <w:b/>
          <w:sz w:val="40"/>
          <w:szCs w:val="40"/>
          <w:lang w:val="en-US" w:eastAsia="zh-CN"/>
        </w:rPr>
      </w:pPr>
      <w:r>
        <w:rPr>
          <w:rFonts w:hint="eastAsia" w:asciiTheme="minorEastAsia" w:hAnsiTheme="minorEastAsia"/>
          <w:b/>
          <w:sz w:val="40"/>
          <w:szCs w:val="40"/>
          <w:lang w:val="en-US" w:eastAsia="zh-CN"/>
        </w:rPr>
        <w:t>2026-202</w:t>
      </w:r>
      <w:r>
        <w:rPr>
          <w:rFonts w:hint="default" w:asciiTheme="minorEastAsia" w:hAnsiTheme="minorEastAsia"/>
          <w:b/>
          <w:sz w:val="40"/>
          <w:szCs w:val="40"/>
          <w:lang w:val="en-US" w:eastAsia="zh-CN"/>
        </w:rPr>
        <w:t>8</w:t>
      </w:r>
      <w:r>
        <w:rPr>
          <w:rFonts w:hint="eastAsia" w:asciiTheme="minorEastAsia" w:hAnsiTheme="minorEastAsia"/>
          <w:b/>
          <w:sz w:val="40"/>
          <w:szCs w:val="40"/>
          <w:lang w:val="en-US" w:eastAsia="zh-CN"/>
        </w:rPr>
        <w:t>年中海石油建滔化工有限公司</w:t>
      </w:r>
    </w:p>
    <w:p>
      <w:pPr>
        <w:jc w:val="center"/>
        <w:rPr>
          <w:rFonts w:hint="eastAsia" w:asciiTheme="minorEastAsia" w:hAnsiTheme="minorEastAsia"/>
          <w:b/>
          <w:sz w:val="40"/>
          <w:szCs w:val="40"/>
          <w:u w:val="none" w:color="EB3624"/>
        </w:rPr>
      </w:pPr>
      <w:r>
        <w:rPr>
          <w:rFonts w:hint="eastAsia" w:asciiTheme="minorEastAsia" w:hAnsiTheme="minorEastAsia"/>
          <w:b/>
          <w:sz w:val="40"/>
          <w:szCs w:val="40"/>
        </w:rPr>
        <w:t>工作场所职业病危害因素</w:t>
      </w:r>
      <w:r>
        <w:rPr>
          <w:rFonts w:hint="eastAsia" w:asciiTheme="minorEastAsia" w:hAnsiTheme="minorEastAsia"/>
          <w:b/>
          <w:sz w:val="40"/>
          <w:szCs w:val="40"/>
          <w:u w:val="none" w:color="EB3624"/>
        </w:rPr>
        <w:t>检测</w:t>
      </w:r>
    </w:p>
    <w:p>
      <w:pPr>
        <w:jc w:val="center"/>
        <w:rPr>
          <w:rFonts w:hint="eastAsia" w:asciiTheme="minorEastAsia" w:hAnsiTheme="minorEastAsia"/>
          <w:b/>
          <w:sz w:val="40"/>
          <w:szCs w:val="40"/>
          <w:lang w:val="en-US" w:eastAsia="zh-CN"/>
        </w:rPr>
      </w:pPr>
      <w:r>
        <w:rPr>
          <w:rFonts w:hint="eastAsia" w:asciiTheme="minorEastAsia" w:hAnsiTheme="minorEastAsia"/>
          <w:b/>
          <w:sz w:val="40"/>
          <w:szCs w:val="40"/>
          <w:lang w:val="en-US" w:eastAsia="zh-CN"/>
        </w:rPr>
        <w:t>及现状评价检测服务</w:t>
      </w:r>
    </w:p>
    <w:p>
      <w:pPr>
        <w:jc w:val="center"/>
        <w:rPr>
          <w:rFonts w:hint="eastAsia" w:asciiTheme="minorEastAsia" w:hAnsiTheme="minorEastAsia"/>
          <w:b/>
          <w:sz w:val="40"/>
          <w:szCs w:val="40"/>
          <w:lang w:val="en-US" w:eastAsia="zh-CN"/>
        </w:rPr>
      </w:pPr>
    </w:p>
    <w:p>
      <w:pPr>
        <w:pStyle w:val="2"/>
        <w:rPr>
          <w:rFonts w:hint="default"/>
          <w:lang w:val="en-US" w:eastAsia="zh-CN"/>
        </w:rPr>
      </w:pPr>
    </w:p>
    <w:p>
      <w:pPr>
        <w:spacing w:line="360" w:lineRule="auto"/>
        <w:ind w:left="315" w:hanging="315"/>
        <w:jc w:val="center"/>
        <w:rPr>
          <w:rFonts w:hint="eastAsia" w:ascii="宋体" w:hAnsi="宋体"/>
          <w:b/>
          <w:sz w:val="48"/>
          <w:szCs w:val="48"/>
        </w:rPr>
      </w:pPr>
      <w:r>
        <w:rPr>
          <w:rFonts w:hint="eastAsia" w:ascii="宋体" w:hAnsi="宋体"/>
          <w:b/>
          <w:sz w:val="48"/>
          <w:szCs w:val="48"/>
        </w:rPr>
        <w:t>技术询价文件</w:t>
      </w:r>
    </w:p>
    <w:p>
      <w:pPr>
        <w:spacing w:line="360" w:lineRule="auto"/>
        <w:ind w:left="315" w:hanging="315"/>
        <w:jc w:val="center"/>
        <w:rPr>
          <w:rFonts w:ascii="宋体" w:hAnsi="宋体"/>
          <w:b/>
          <w:sz w:val="48"/>
          <w:szCs w:val="48"/>
        </w:rPr>
      </w:pPr>
      <w:r>
        <w:rPr>
          <w:rFonts w:hint="eastAsia" w:ascii="宋体" w:hAnsi="宋体"/>
          <w:b/>
          <w:sz w:val="48"/>
          <w:szCs w:val="48"/>
        </w:rPr>
        <w:t>（服务类）</w:t>
      </w:r>
    </w:p>
    <w:p>
      <w:pPr>
        <w:jc w:val="center"/>
        <w:rPr>
          <w:rFonts w:asciiTheme="minorEastAsia" w:hAnsiTheme="minorEastAsia"/>
          <w:b/>
          <w:sz w:val="32"/>
          <w:szCs w:val="32"/>
        </w:rPr>
      </w:pPr>
    </w:p>
    <w:p>
      <w:pPr>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jc w:val="center"/>
        <w:rPr>
          <w:rFonts w:asciiTheme="minorEastAsia" w:hAnsiTheme="minorEastAsia"/>
          <w:b/>
          <w:sz w:val="30"/>
          <w:szCs w:val="30"/>
        </w:rPr>
      </w:pPr>
      <w:r>
        <w:rPr>
          <w:rFonts w:hint="eastAsia" w:asciiTheme="minorEastAsia" w:hAnsiTheme="minorEastAsia"/>
          <w:b/>
          <w:sz w:val="30"/>
          <w:szCs w:val="30"/>
        </w:rPr>
        <w:t>20</w:t>
      </w:r>
      <w:r>
        <w:rPr>
          <w:rFonts w:asciiTheme="minorEastAsia" w:hAnsiTheme="minorEastAsia"/>
          <w:b/>
          <w:sz w:val="30"/>
          <w:szCs w:val="30"/>
        </w:rPr>
        <w:t>2</w:t>
      </w:r>
      <w:r>
        <w:rPr>
          <w:rFonts w:hint="eastAsia" w:asciiTheme="minorEastAsia" w:hAnsiTheme="minorEastAsia"/>
          <w:b/>
          <w:sz w:val="30"/>
          <w:szCs w:val="30"/>
          <w:lang w:val="en-US" w:eastAsia="zh-CN"/>
        </w:rPr>
        <w:t>5</w:t>
      </w:r>
      <w:r>
        <w:rPr>
          <w:rFonts w:hint="eastAsia" w:asciiTheme="minorEastAsia" w:hAnsiTheme="minorEastAsia"/>
          <w:b/>
          <w:sz w:val="30"/>
          <w:szCs w:val="30"/>
        </w:rPr>
        <w:t>年</w:t>
      </w:r>
      <w:r>
        <w:rPr>
          <w:rFonts w:hint="eastAsia" w:asciiTheme="minorEastAsia" w:hAnsiTheme="minorEastAsia"/>
          <w:b/>
          <w:sz w:val="30"/>
          <w:szCs w:val="30"/>
          <w:lang w:val="en-US" w:eastAsia="zh-CN"/>
        </w:rPr>
        <w:t>12</w:t>
      </w:r>
      <w:r>
        <w:rPr>
          <w:rFonts w:hint="eastAsia" w:asciiTheme="minorEastAsia" w:hAnsiTheme="minorEastAsia"/>
          <w:b/>
          <w:sz w:val="30"/>
          <w:szCs w:val="30"/>
        </w:rPr>
        <w:t>月</w:t>
      </w:r>
    </w:p>
    <w:p>
      <w:pPr>
        <w:jc w:val="center"/>
        <w:rPr>
          <w:rFonts w:hint="eastAsia" w:asciiTheme="minorEastAsia" w:hAnsiTheme="minorEastAsia"/>
          <w:b/>
          <w:sz w:val="30"/>
          <w:szCs w:val="30"/>
        </w:rPr>
      </w:pPr>
    </w:p>
    <w:sdt>
      <w:sdtPr>
        <w:rPr>
          <w:rFonts w:ascii="宋体" w:hAnsi="宋体" w:eastAsia="宋体" w:cstheme="minorBidi"/>
          <w:kern w:val="2"/>
          <w:sz w:val="21"/>
          <w:szCs w:val="22"/>
          <w:lang w:val="en-US" w:eastAsia="zh-CN" w:bidi="ar-SA"/>
        </w:rPr>
        <w:id w:val="14748079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5"/>
            <w:tabs>
              <w:tab w:val="right" w:leader="dot" w:pos="8306"/>
            </w:tabs>
          </w:pPr>
          <w:r>
            <w:fldChar w:fldCharType="begin"/>
          </w:r>
          <w:r>
            <w:instrText xml:space="preserve">TOC \o "1-1" \h \u </w:instrText>
          </w:r>
          <w:r>
            <w:fldChar w:fldCharType="separate"/>
          </w:r>
          <w:r>
            <w:fldChar w:fldCharType="begin"/>
          </w:r>
          <w:r>
            <w:instrText xml:space="preserve"> HYPERLINK \l _Toc2441 </w:instrText>
          </w:r>
          <w:r>
            <w:fldChar w:fldCharType="separate"/>
          </w:r>
          <w:r>
            <w:rPr>
              <w:rFonts w:hint="eastAsia" w:ascii="宋体" w:hAnsi="宋体"/>
              <w:bCs/>
              <w:szCs w:val="21"/>
            </w:rPr>
            <w:t>1 总则</w:t>
          </w:r>
          <w:r>
            <w:tab/>
          </w:r>
          <w:r>
            <w:fldChar w:fldCharType="begin"/>
          </w:r>
          <w:r>
            <w:instrText xml:space="preserve"> PAGEREF _Toc2441 \h </w:instrText>
          </w:r>
          <w:r>
            <w:fldChar w:fldCharType="separate"/>
          </w:r>
          <w:r>
            <w:t>2</w:t>
          </w:r>
          <w:r>
            <w:fldChar w:fldCharType="end"/>
          </w:r>
          <w:r>
            <w:fldChar w:fldCharType="end"/>
          </w:r>
        </w:p>
        <w:p>
          <w:pPr>
            <w:pStyle w:val="55"/>
            <w:tabs>
              <w:tab w:val="right" w:leader="dot" w:pos="8306"/>
            </w:tabs>
          </w:pPr>
          <w:r>
            <w:fldChar w:fldCharType="begin"/>
          </w:r>
          <w:r>
            <w:instrText xml:space="preserve"> HYPERLINK \l _Toc20100 </w:instrText>
          </w:r>
          <w:r>
            <w:fldChar w:fldCharType="separate"/>
          </w:r>
          <w:r>
            <w:rPr>
              <w:rFonts w:hint="eastAsia" w:ascii="宋体" w:hAnsi="宋体"/>
              <w:bCs/>
              <w:szCs w:val="21"/>
            </w:rPr>
            <w:t>2 项目概况</w:t>
          </w:r>
          <w:r>
            <w:tab/>
          </w:r>
          <w:r>
            <w:fldChar w:fldCharType="begin"/>
          </w:r>
          <w:r>
            <w:instrText xml:space="preserve"> PAGEREF _Toc20100 \h </w:instrText>
          </w:r>
          <w:r>
            <w:fldChar w:fldCharType="separate"/>
          </w:r>
          <w:r>
            <w:t>3</w:t>
          </w:r>
          <w:r>
            <w:fldChar w:fldCharType="end"/>
          </w:r>
          <w:r>
            <w:fldChar w:fldCharType="end"/>
          </w:r>
        </w:p>
        <w:p>
          <w:pPr>
            <w:pStyle w:val="55"/>
            <w:tabs>
              <w:tab w:val="right" w:leader="dot" w:pos="8306"/>
            </w:tabs>
          </w:pPr>
          <w:r>
            <w:fldChar w:fldCharType="begin"/>
          </w:r>
          <w:r>
            <w:instrText xml:space="preserve"> HYPERLINK \l _Toc31088 </w:instrText>
          </w:r>
          <w:r>
            <w:fldChar w:fldCharType="separate"/>
          </w:r>
          <w:r>
            <w:rPr>
              <w:rFonts w:hint="eastAsia" w:ascii="宋体" w:hAnsi="宋体"/>
              <w:bCs/>
              <w:szCs w:val="21"/>
            </w:rPr>
            <w:t>3 标准规范及技术要求</w:t>
          </w:r>
          <w:r>
            <w:tab/>
          </w:r>
          <w:r>
            <w:fldChar w:fldCharType="begin"/>
          </w:r>
          <w:r>
            <w:instrText xml:space="preserve"> PAGEREF _Toc31088 \h </w:instrText>
          </w:r>
          <w:r>
            <w:fldChar w:fldCharType="separate"/>
          </w:r>
          <w:r>
            <w:t>4</w:t>
          </w:r>
          <w:r>
            <w:fldChar w:fldCharType="end"/>
          </w:r>
          <w:r>
            <w:fldChar w:fldCharType="end"/>
          </w:r>
        </w:p>
        <w:p>
          <w:pPr>
            <w:pStyle w:val="55"/>
            <w:tabs>
              <w:tab w:val="right" w:leader="dot" w:pos="8306"/>
            </w:tabs>
          </w:pPr>
          <w:r>
            <w:fldChar w:fldCharType="begin"/>
          </w:r>
          <w:r>
            <w:instrText xml:space="preserve"> HYPERLINK \l _Toc6145 </w:instrText>
          </w:r>
          <w:r>
            <w:fldChar w:fldCharType="separate"/>
          </w:r>
          <w:r>
            <w:rPr>
              <w:rFonts w:hint="eastAsia" w:ascii="宋体" w:hAnsi="宋体"/>
              <w:bCs/>
              <w:szCs w:val="21"/>
            </w:rPr>
            <w:t>3.1 标准规范</w:t>
          </w:r>
          <w:r>
            <w:tab/>
          </w:r>
          <w:r>
            <w:fldChar w:fldCharType="begin"/>
          </w:r>
          <w:r>
            <w:instrText xml:space="preserve"> PAGEREF _Toc6145 \h </w:instrText>
          </w:r>
          <w:r>
            <w:fldChar w:fldCharType="separate"/>
          </w:r>
          <w:r>
            <w:t>4</w:t>
          </w:r>
          <w:r>
            <w:fldChar w:fldCharType="end"/>
          </w:r>
          <w:r>
            <w:fldChar w:fldCharType="end"/>
          </w:r>
        </w:p>
        <w:p>
          <w:pPr>
            <w:pStyle w:val="55"/>
            <w:tabs>
              <w:tab w:val="right" w:leader="dot" w:pos="8306"/>
            </w:tabs>
          </w:pPr>
          <w:r>
            <w:fldChar w:fldCharType="begin"/>
          </w:r>
          <w:r>
            <w:instrText xml:space="preserve"> HYPERLINK \l _Toc30592 </w:instrText>
          </w:r>
          <w:r>
            <w:fldChar w:fldCharType="separate"/>
          </w:r>
          <w:r>
            <w:rPr>
              <w:rFonts w:hint="eastAsia" w:ascii="宋体" w:hAnsi="宋体"/>
              <w:bCs/>
              <w:szCs w:val="21"/>
            </w:rPr>
            <w:t>3.2 技术要求</w:t>
          </w:r>
          <w:r>
            <w:tab/>
          </w:r>
          <w:r>
            <w:fldChar w:fldCharType="begin"/>
          </w:r>
          <w:r>
            <w:instrText xml:space="preserve"> PAGEREF _Toc30592 \h </w:instrText>
          </w:r>
          <w:r>
            <w:fldChar w:fldCharType="separate"/>
          </w:r>
          <w:r>
            <w:t>5</w:t>
          </w:r>
          <w:r>
            <w:fldChar w:fldCharType="end"/>
          </w:r>
          <w:r>
            <w:fldChar w:fldCharType="end"/>
          </w:r>
        </w:p>
        <w:p>
          <w:pPr>
            <w:pStyle w:val="55"/>
            <w:tabs>
              <w:tab w:val="right" w:leader="dot" w:pos="8306"/>
            </w:tabs>
          </w:pPr>
          <w:r>
            <w:fldChar w:fldCharType="begin"/>
          </w:r>
          <w:r>
            <w:instrText xml:space="preserve"> HYPERLINK \l _Toc7132 </w:instrText>
          </w:r>
          <w:r>
            <w:fldChar w:fldCharType="separate"/>
          </w:r>
          <w:r>
            <w:rPr>
              <w:rFonts w:hint="eastAsia" w:ascii="宋体" w:hAnsi="宋体"/>
              <w:bCs/>
              <w:szCs w:val="21"/>
            </w:rPr>
            <w:t>3.3 技术要求</w:t>
          </w:r>
          <w:r>
            <w:tab/>
          </w:r>
          <w:r>
            <w:fldChar w:fldCharType="begin"/>
          </w:r>
          <w:r>
            <w:instrText xml:space="preserve"> PAGEREF _Toc7132 \h </w:instrText>
          </w:r>
          <w:r>
            <w:fldChar w:fldCharType="separate"/>
          </w:r>
          <w:r>
            <w:t>5</w:t>
          </w:r>
          <w:r>
            <w:fldChar w:fldCharType="end"/>
          </w:r>
          <w:r>
            <w:fldChar w:fldCharType="end"/>
          </w:r>
        </w:p>
        <w:p>
          <w:pPr>
            <w:pStyle w:val="55"/>
            <w:tabs>
              <w:tab w:val="right" w:leader="dot" w:pos="8306"/>
            </w:tabs>
          </w:pPr>
          <w:r>
            <w:fldChar w:fldCharType="begin"/>
          </w:r>
          <w:r>
            <w:instrText xml:space="preserve"> HYPERLINK \l _Toc18671 </w:instrText>
          </w:r>
          <w:r>
            <w:fldChar w:fldCharType="separate"/>
          </w:r>
          <w:r>
            <w:rPr>
              <w:rFonts w:hint="eastAsia" w:ascii="宋体" w:hAnsi="宋体"/>
              <w:bCs/>
              <w:szCs w:val="21"/>
            </w:rPr>
            <w:t>4 供货与服务范围</w:t>
          </w:r>
          <w:r>
            <w:tab/>
          </w:r>
          <w:r>
            <w:fldChar w:fldCharType="begin"/>
          </w:r>
          <w:r>
            <w:instrText xml:space="preserve"> PAGEREF _Toc18671 \h </w:instrText>
          </w:r>
          <w:r>
            <w:fldChar w:fldCharType="separate"/>
          </w:r>
          <w:r>
            <w:t>13</w:t>
          </w:r>
          <w:r>
            <w:fldChar w:fldCharType="end"/>
          </w:r>
          <w:r>
            <w:fldChar w:fldCharType="end"/>
          </w:r>
        </w:p>
        <w:p>
          <w:pPr>
            <w:pStyle w:val="55"/>
            <w:tabs>
              <w:tab w:val="right" w:leader="dot" w:pos="8306"/>
            </w:tabs>
          </w:pPr>
          <w:r>
            <w:fldChar w:fldCharType="begin"/>
          </w:r>
          <w:r>
            <w:instrText xml:space="preserve"> HYPERLINK \l _Toc2870 </w:instrText>
          </w:r>
          <w:r>
            <w:fldChar w:fldCharType="separate"/>
          </w:r>
          <w:r>
            <w:rPr>
              <w:rFonts w:hint="eastAsia" w:ascii="宋体" w:hAnsi="宋体" w:eastAsia="宋体"/>
              <w:bCs/>
              <w:szCs w:val="21"/>
            </w:rPr>
            <w:t xml:space="preserve">4.1 </w:t>
          </w:r>
          <w:r>
            <w:rPr>
              <w:rFonts w:hint="eastAsia"/>
              <w:szCs w:val="21"/>
              <w:lang w:eastAsia="zh-CN"/>
            </w:rPr>
            <w:t>招标人</w:t>
          </w:r>
          <w:r>
            <w:rPr>
              <w:rFonts w:hint="eastAsia"/>
              <w:szCs w:val="21"/>
            </w:rPr>
            <w:t>供货范围</w:t>
          </w:r>
          <w:r>
            <w:tab/>
          </w:r>
          <w:r>
            <w:fldChar w:fldCharType="begin"/>
          </w:r>
          <w:r>
            <w:instrText xml:space="preserve"> PAGEREF _Toc2870 \h </w:instrText>
          </w:r>
          <w:r>
            <w:fldChar w:fldCharType="separate"/>
          </w:r>
          <w:r>
            <w:t>13</w:t>
          </w:r>
          <w:r>
            <w:fldChar w:fldCharType="end"/>
          </w:r>
          <w:r>
            <w:fldChar w:fldCharType="end"/>
          </w:r>
        </w:p>
        <w:p>
          <w:pPr>
            <w:pStyle w:val="55"/>
            <w:tabs>
              <w:tab w:val="right" w:leader="dot" w:pos="8306"/>
            </w:tabs>
          </w:pPr>
          <w:r>
            <w:fldChar w:fldCharType="begin"/>
          </w:r>
          <w:r>
            <w:instrText xml:space="preserve"> HYPERLINK \l _Toc24591 </w:instrText>
          </w:r>
          <w:r>
            <w:fldChar w:fldCharType="separate"/>
          </w:r>
          <w:r>
            <w:rPr>
              <w:rFonts w:hint="eastAsia" w:ascii="宋体" w:hAnsi="宋体" w:eastAsia="宋体"/>
              <w:szCs w:val="21"/>
            </w:rPr>
            <w:t xml:space="preserve">4.2 </w:t>
          </w:r>
          <w:r>
            <w:rPr>
              <w:rFonts w:hint="eastAsia"/>
              <w:szCs w:val="21"/>
              <w:lang w:eastAsia="zh-CN"/>
            </w:rPr>
            <w:t>投标人</w:t>
          </w:r>
          <w:r>
            <w:rPr>
              <w:rFonts w:hint="eastAsia"/>
              <w:szCs w:val="21"/>
            </w:rPr>
            <w:t>供货范围</w:t>
          </w:r>
          <w:r>
            <w:tab/>
          </w:r>
          <w:r>
            <w:fldChar w:fldCharType="begin"/>
          </w:r>
          <w:r>
            <w:instrText xml:space="preserve"> PAGEREF _Toc24591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_Toc26088 </w:instrText>
          </w:r>
          <w:r>
            <w:fldChar w:fldCharType="separate"/>
          </w:r>
          <w:r>
            <w:rPr>
              <w:rFonts w:hint="eastAsia" w:ascii="宋体" w:hAnsi="宋体" w:eastAsia="宋体"/>
              <w:szCs w:val="21"/>
            </w:rPr>
            <w:t xml:space="preserve">4.3 </w:t>
          </w:r>
          <w:r>
            <w:rPr>
              <w:rFonts w:hint="eastAsia"/>
              <w:szCs w:val="21"/>
              <w:lang w:eastAsia="zh-CN"/>
            </w:rPr>
            <w:t>投标人</w:t>
          </w:r>
          <w:r>
            <w:rPr>
              <w:rFonts w:hint="eastAsia"/>
              <w:szCs w:val="21"/>
            </w:rPr>
            <w:t>供货要求</w:t>
          </w:r>
          <w:r>
            <w:tab/>
          </w:r>
          <w:r>
            <w:fldChar w:fldCharType="begin"/>
          </w:r>
          <w:r>
            <w:instrText xml:space="preserve"> PAGEREF _Toc26088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_Toc228 </w:instrText>
          </w:r>
          <w:r>
            <w:fldChar w:fldCharType="separate"/>
          </w:r>
          <w:r>
            <w:rPr>
              <w:rFonts w:hint="eastAsia" w:ascii="宋体" w:hAnsi="宋体" w:eastAsia="宋体"/>
              <w:bCs/>
              <w:szCs w:val="21"/>
            </w:rPr>
            <w:t xml:space="preserve">4.4 </w:t>
          </w:r>
          <w:r>
            <w:rPr>
              <w:rFonts w:hint="eastAsia" w:ascii="宋体" w:hAnsi="宋体"/>
              <w:bCs/>
              <w:szCs w:val="21"/>
            </w:rPr>
            <w:t>拒收</w:t>
          </w:r>
          <w:r>
            <w:tab/>
          </w:r>
          <w:r>
            <w:fldChar w:fldCharType="begin"/>
          </w:r>
          <w:r>
            <w:instrText xml:space="preserve"> PAGEREF _Toc228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_Toc15687 </w:instrText>
          </w:r>
          <w:r>
            <w:fldChar w:fldCharType="separate"/>
          </w:r>
          <w:r>
            <w:rPr>
              <w:rFonts w:hint="eastAsia" w:ascii="宋体" w:hAnsi="宋体" w:eastAsia="宋体"/>
              <w:szCs w:val="21"/>
            </w:rPr>
            <w:t xml:space="preserve">4.5 </w:t>
          </w:r>
          <w:r>
            <w:rPr>
              <w:rFonts w:hint="eastAsia"/>
              <w:szCs w:val="21"/>
              <w:lang w:eastAsia="zh-CN"/>
            </w:rPr>
            <w:t>招标人</w:t>
          </w:r>
          <w:r>
            <w:rPr>
              <w:rFonts w:hint="eastAsia"/>
              <w:szCs w:val="21"/>
            </w:rPr>
            <w:t>服务范围</w:t>
          </w:r>
          <w:r>
            <w:tab/>
          </w:r>
          <w:r>
            <w:fldChar w:fldCharType="begin"/>
          </w:r>
          <w:r>
            <w:instrText xml:space="preserve"> PAGEREF _Toc15687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_Toc26439 </w:instrText>
          </w:r>
          <w:r>
            <w:fldChar w:fldCharType="separate"/>
          </w:r>
          <w:r>
            <w:rPr>
              <w:rFonts w:hint="eastAsia" w:ascii="宋体" w:hAnsi="宋体" w:eastAsia="宋体"/>
              <w:bCs/>
              <w:szCs w:val="21"/>
            </w:rPr>
            <w:t xml:space="preserve">4.6 </w:t>
          </w:r>
          <w:r>
            <w:rPr>
              <w:rFonts w:hint="eastAsia"/>
              <w:szCs w:val="21"/>
              <w:lang w:eastAsia="zh-CN"/>
            </w:rPr>
            <w:t>投标人</w:t>
          </w:r>
          <w:r>
            <w:rPr>
              <w:rFonts w:hint="eastAsia"/>
              <w:szCs w:val="21"/>
            </w:rPr>
            <w:t>服务范围</w:t>
          </w:r>
          <w:r>
            <w:tab/>
          </w:r>
          <w:r>
            <w:fldChar w:fldCharType="begin"/>
          </w:r>
          <w:r>
            <w:instrText xml:space="preserve"> PAGEREF _Toc26439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_Toc30271 </w:instrText>
          </w:r>
          <w:r>
            <w:fldChar w:fldCharType="separate"/>
          </w:r>
          <w:r>
            <w:rPr>
              <w:rFonts w:hint="eastAsia" w:ascii="宋体" w:hAnsi="宋体"/>
              <w:bCs/>
              <w:szCs w:val="21"/>
            </w:rPr>
            <w:t>5 交货期与工期要求</w:t>
          </w:r>
          <w:r>
            <w:tab/>
          </w:r>
          <w:r>
            <w:fldChar w:fldCharType="begin"/>
          </w:r>
          <w:r>
            <w:instrText xml:space="preserve"> PAGEREF _Toc30271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_Toc25374 </w:instrText>
          </w:r>
          <w:r>
            <w:fldChar w:fldCharType="separate"/>
          </w:r>
          <w:r>
            <w:rPr>
              <w:rFonts w:hint="eastAsia" w:ascii="宋体" w:hAnsi="宋体"/>
              <w:bCs/>
              <w:szCs w:val="21"/>
            </w:rPr>
            <w:t>6 检验和试验</w:t>
          </w:r>
          <w:r>
            <w:tab/>
          </w:r>
          <w:r>
            <w:fldChar w:fldCharType="begin"/>
          </w:r>
          <w:r>
            <w:instrText xml:space="preserve"> PAGEREF _Toc25374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_Toc19741 </w:instrText>
          </w:r>
          <w:r>
            <w:fldChar w:fldCharType="separate"/>
          </w:r>
          <w:r>
            <w:rPr>
              <w:rFonts w:hint="eastAsia" w:ascii="宋体" w:hAnsi="宋体"/>
              <w:bCs/>
              <w:szCs w:val="21"/>
            </w:rPr>
            <w:t>7 售后服务</w:t>
          </w:r>
          <w:r>
            <w:tab/>
          </w:r>
          <w:r>
            <w:fldChar w:fldCharType="begin"/>
          </w:r>
          <w:r>
            <w:instrText xml:space="preserve"> PAGEREF _Toc19741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_Toc17277 </w:instrText>
          </w:r>
          <w:r>
            <w:fldChar w:fldCharType="separate"/>
          </w:r>
          <w:r>
            <w:rPr>
              <w:rFonts w:hint="eastAsia" w:ascii="宋体" w:hAnsi="宋体" w:cs="宋体"/>
              <w:bCs/>
              <w:szCs w:val="21"/>
            </w:rPr>
            <w:t>8 技术投标文件要求</w:t>
          </w:r>
          <w:r>
            <w:tab/>
          </w:r>
          <w:r>
            <w:fldChar w:fldCharType="begin"/>
          </w:r>
          <w:r>
            <w:instrText xml:space="preserve"> PAGEREF _Toc17277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_Toc12471 </w:instrText>
          </w:r>
          <w:r>
            <w:fldChar w:fldCharType="separate"/>
          </w:r>
          <w:r>
            <w:rPr>
              <w:rFonts w:hint="eastAsia" w:ascii="宋体" w:hAnsi="宋体" w:eastAsia="宋体"/>
              <w:szCs w:val="21"/>
              <w:lang w:val="zh-CN"/>
            </w:rPr>
            <w:t xml:space="preserve">8.10 </w:t>
          </w:r>
          <w:r>
            <w:rPr>
              <w:rFonts w:hint="eastAsia" w:ascii="宋体" w:hAnsi="宋体" w:cs="宋体"/>
              <w:szCs w:val="21"/>
            </w:rPr>
            <w:t>技术偏离等（附件3）。</w:t>
          </w:r>
          <w:r>
            <w:tab/>
          </w:r>
          <w:r>
            <w:fldChar w:fldCharType="begin"/>
          </w:r>
          <w:r>
            <w:instrText xml:space="preserve"> PAGEREF _Toc12471 \h </w:instrText>
          </w:r>
          <w:r>
            <w:fldChar w:fldCharType="separate"/>
          </w:r>
          <w:r>
            <w:t>15</w:t>
          </w:r>
          <w:r>
            <w:fldChar w:fldCharType="end"/>
          </w:r>
          <w:r>
            <w:fldChar w:fldCharType="end"/>
          </w:r>
        </w:p>
        <w:p>
          <w:pPr>
            <w:pStyle w:val="55"/>
            <w:tabs>
              <w:tab w:val="right" w:leader="dot" w:pos="8306"/>
            </w:tabs>
          </w:pPr>
          <w:r>
            <w:fldChar w:fldCharType="begin"/>
          </w:r>
          <w:r>
            <w:instrText xml:space="preserve"> HYPERLINK \l _Toc28587 </w:instrText>
          </w:r>
          <w:r>
            <w:fldChar w:fldCharType="separate"/>
          </w:r>
          <w:r>
            <w:rPr>
              <w:rFonts w:hint="eastAsia" w:ascii="宋体" w:hAnsi="宋体"/>
              <w:szCs w:val="21"/>
              <w:lang w:val="zh-CN"/>
            </w:rPr>
            <w:t xml:space="preserve">9 </w:t>
          </w:r>
          <w:r>
            <w:rPr>
              <w:rFonts w:hint="eastAsia" w:ascii="宋体" w:hAnsi="宋体"/>
              <w:bCs/>
              <w:szCs w:val="21"/>
              <w:lang w:eastAsia="zh-CN"/>
            </w:rPr>
            <w:t>投标人</w:t>
          </w:r>
          <w:r>
            <w:rPr>
              <w:rFonts w:hint="eastAsia" w:ascii="宋体" w:hAnsi="宋体"/>
              <w:bCs/>
              <w:szCs w:val="21"/>
            </w:rPr>
            <w:t>应提供的项目完工资料</w:t>
          </w:r>
          <w:r>
            <w:tab/>
          </w:r>
          <w:r>
            <w:fldChar w:fldCharType="begin"/>
          </w:r>
          <w:r>
            <w:instrText xml:space="preserve"> PAGEREF _Toc28587 \h </w:instrText>
          </w:r>
          <w:r>
            <w:fldChar w:fldCharType="separate"/>
          </w:r>
          <w:r>
            <w:t>15</w:t>
          </w:r>
          <w:r>
            <w:fldChar w:fldCharType="end"/>
          </w:r>
          <w:r>
            <w:fldChar w:fldCharType="end"/>
          </w:r>
        </w:p>
        <w:p>
          <w:pPr>
            <w:pStyle w:val="55"/>
            <w:tabs>
              <w:tab w:val="right" w:leader="dot" w:pos="8306"/>
            </w:tabs>
          </w:pPr>
          <w:r>
            <w:fldChar w:fldCharType="begin"/>
          </w:r>
          <w:r>
            <w:instrText xml:space="preserve"> HYPERLINK \l _Toc30683 </w:instrText>
          </w:r>
          <w:r>
            <w:fldChar w:fldCharType="separate"/>
          </w:r>
          <w:r>
            <w:rPr>
              <w:rFonts w:hint="eastAsia" w:ascii="宋体" w:hAnsi="宋体" w:eastAsia="宋体"/>
              <w:szCs w:val="30"/>
              <w:lang w:val="en-US" w:eastAsia="zh-CN"/>
            </w:rPr>
            <w:t>附件1预</w:t>
          </w:r>
          <w:r>
            <w:rPr>
              <w:rFonts w:ascii="宋体" w:hAnsi="宋体" w:eastAsia="宋体"/>
              <w:szCs w:val="30"/>
            </w:rPr>
            <w:t>检测</w:t>
          </w:r>
          <w:r>
            <w:rPr>
              <w:rFonts w:hint="eastAsia" w:ascii="宋体" w:hAnsi="宋体" w:eastAsia="宋体"/>
              <w:szCs w:val="30"/>
              <w:lang w:val="en-US" w:eastAsia="zh-CN"/>
            </w:rPr>
            <w:t>点和</w:t>
          </w:r>
          <w:r>
            <w:rPr>
              <w:rFonts w:hint="eastAsia" w:ascii="宋体" w:hAnsi="宋体" w:eastAsia="宋体"/>
              <w:szCs w:val="30"/>
            </w:rPr>
            <w:t>检测</w:t>
          </w:r>
          <w:r>
            <w:rPr>
              <w:rFonts w:hint="eastAsia" w:ascii="宋体" w:hAnsi="宋体" w:eastAsia="宋体"/>
              <w:szCs w:val="30"/>
              <w:lang w:val="en-US" w:eastAsia="zh-CN"/>
            </w:rPr>
            <w:t>项目</w:t>
          </w:r>
          <w:r>
            <w:tab/>
          </w:r>
          <w:r>
            <w:fldChar w:fldCharType="begin"/>
          </w:r>
          <w:r>
            <w:instrText xml:space="preserve"> PAGEREF _Toc30683 \h </w:instrText>
          </w:r>
          <w:r>
            <w:fldChar w:fldCharType="separate"/>
          </w:r>
          <w:r>
            <w:t>16</w:t>
          </w:r>
          <w:r>
            <w:fldChar w:fldCharType="end"/>
          </w:r>
          <w:r>
            <w:fldChar w:fldCharType="end"/>
          </w:r>
        </w:p>
        <w:p>
          <w:pPr>
            <w:pStyle w:val="55"/>
            <w:tabs>
              <w:tab w:val="right" w:leader="dot" w:pos="8306"/>
            </w:tabs>
          </w:pPr>
          <w:r>
            <w:fldChar w:fldCharType="begin"/>
          </w:r>
          <w:r>
            <w:instrText xml:space="preserve"> HYPERLINK \l _Toc17752 </w:instrText>
          </w:r>
          <w:r>
            <w:fldChar w:fldCharType="separate"/>
          </w:r>
          <w:r>
            <w:rPr>
              <w:rFonts w:hint="eastAsia" w:eastAsia="宋体" w:cs="Times New Roman"/>
              <w:bCs/>
            </w:rPr>
            <w:t>附件</w:t>
          </w:r>
          <w:r>
            <w:rPr>
              <w:rFonts w:hint="eastAsia" w:cs="Times New Roman"/>
              <w:bCs/>
              <w:lang w:val="en-US" w:eastAsia="zh-CN"/>
            </w:rPr>
            <w:t>2</w:t>
          </w:r>
          <w:r>
            <w:rPr>
              <w:rFonts w:hint="eastAsia" w:eastAsia="宋体" w:cs="Times New Roman"/>
              <w:bCs/>
              <w:lang w:val="en-US" w:eastAsia="zh-CN"/>
            </w:rPr>
            <w:t xml:space="preserve"> </w:t>
          </w:r>
          <w:r>
            <w:rPr>
              <w:rFonts w:hint="eastAsia" w:eastAsia="宋体" w:cs="Times New Roman"/>
              <w:bCs/>
            </w:rPr>
            <w:t>动员计划</w:t>
          </w:r>
          <w:r>
            <w:tab/>
          </w:r>
          <w:r>
            <w:fldChar w:fldCharType="begin"/>
          </w:r>
          <w:r>
            <w:instrText xml:space="preserve"> PAGEREF _Toc17752 \h </w:instrText>
          </w:r>
          <w:r>
            <w:fldChar w:fldCharType="separate"/>
          </w:r>
          <w:r>
            <w:t>21</w:t>
          </w:r>
          <w:r>
            <w:fldChar w:fldCharType="end"/>
          </w:r>
          <w:r>
            <w:fldChar w:fldCharType="end"/>
          </w:r>
        </w:p>
        <w:p>
          <w:pPr>
            <w:pStyle w:val="55"/>
            <w:tabs>
              <w:tab w:val="right" w:leader="dot" w:pos="8306"/>
            </w:tabs>
          </w:pPr>
          <w:r>
            <w:fldChar w:fldCharType="begin"/>
          </w:r>
          <w:r>
            <w:instrText xml:space="preserve"> HYPERLINK \l _Toc19240 </w:instrText>
          </w:r>
          <w:r>
            <w:fldChar w:fldCharType="separate"/>
          </w:r>
          <w:r>
            <w:rPr>
              <w:rFonts w:hint="eastAsia"/>
            </w:rPr>
            <w:t>附件</w:t>
          </w:r>
          <w:r>
            <w:rPr>
              <w:rFonts w:hint="eastAsia"/>
              <w:lang w:val="en-US" w:eastAsia="zh-CN"/>
            </w:rPr>
            <w:t>3</w:t>
          </w:r>
          <w:r>
            <w:rPr>
              <w:rFonts w:hint="eastAsia"/>
            </w:rPr>
            <w:t xml:space="preserve"> </w:t>
          </w:r>
          <w:r>
            <w:rPr>
              <w:rFonts w:hint="eastAsia"/>
              <w:lang w:val="en-US" w:eastAsia="zh-CN"/>
            </w:rPr>
            <w:t xml:space="preserve"> </w:t>
          </w:r>
          <w:r>
            <w:rPr>
              <w:rFonts w:hint="eastAsia"/>
            </w:rPr>
            <w:t>技术偏离表</w:t>
          </w:r>
          <w:r>
            <w:tab/>
          </w:r>
          <w:r>
            <w:fldChar w:fldCharType="begin"/>
          </w:r>
          <w:r>
            <w:instrText xml:space="preserve"> PAGEREF _Toc19240 \h </w:instrText>
          </w:r>
          <w:r>
            <w:fldChar w:fldCharType="separate"/>
          </w:r>
          <w:r>
            <w:t>21</w:t>
          </w:r>
          <w:r>
            <w:fldChar w:fldCharType="end"/>
          </w:r>
          <w:r>
            <w:fldChar w:fldCharType="end"/>
          </w:r>
        </w:p>
        <w:p>
          <w:pPr>
            <w:pStyle w:val="55"/>
            <w:tabs>
              <w:tab w:val="right" w:leader="dot" w:pos="8306"/>
            </w:tabs>
          </w:pPr>
          <w:r>
            <w:fldChar w:fldCharType="begin"/>
          </w:r>
          <w:r>
            <w:instrText xml:space="preserve"> HYPERLINK \l _Toc19856 </w:instrText>
          </w:r>
          <w:r>
            <w:fldChar w:fldCharType="separate"/>
          </w:r>
          <w:r>
            <w:rPr>
              <w:rFonts w:hint="eastAsia" w:ascii="宋体" w:hAnsi="宋体" w:eastAsia="宋体" w:cs="Times New Roman"/>
              <w:bCs/>
              <w:lang w:val="en-US" w:eastAsia="zh-CN"/>
            </w:rPr>
            <w:t>附件</w:t>
          </w:r>
          <w:r>
            <w:rPr>
              <w:rFonts w:hint="eastAsia" w:cs="Times New Roman"/>
              <w:bCs/>
              <w:lang w:val="en-US" w:eastAsia="zh-CN"/>
            </w:rPr>
            <w:t>4</w:t>
          </w:r>
          <w:r>
            <w:rPr>
              <w:rFonts w:hint="eastAsia" w:ascii="宋体" w:hAnsi="宋体" w:eastAsia="宋体" w:cs="Times New Roman"/>
              <w:bCs/>
              <w:lang w:val="en-US" w:eastAsia="zh-CN"/>
            </w:rPr>
            <w:t>报价总汇表</w:t>
          </w:r>
          <w:r>
            <w:tab/>
          </w:r>
          <w:r>
            <w:fldChar w:fldCharType="begin"/>
          </w:r>
          <w:r>
            <w:instrText xml:space="preserve"> PAGEREF _Toc19856 \h </w:instrText>
          </w:r>
          <w:r>
            <w:fldChar w:fldCharType="separate"/>
          </w:r>
          <w:r>
            <w:t>22</w:t>
          </w:r>
          <w:r>
            <w:fldChar w:fldCharType="end"/>
          </w:r>
          <w:r>
            <w:fldChar w:fldCharType="end"/>
          </w:r>
        </w:p>
        <w:p>
          <w:r>
            <w:fldChar w:fldCharType="end"/>
          </w:r>
        </w:p>
      </w:sdtContent>
    </w:sdt>
    <w:p/>
    <w:p/>
    <w:p/>
    <w:p/>
    <w:p/>
    <w:p/>
    <w:p/>
    <w:p/>
    <w:p/>
    <w:p/>
    <w:p/>
    <w:p/>
    <w:p/>
    <w:p/>
    <w:p>
      <w:pPr>
        <w:pStyle w:val="2"/>
      </w:pPr>
    </w:p>
    <w:p>
      <w:pPr>
        <w:pStyle w:val="2"/>
      </w:pPr>
    </w:p>
    <w:p>
      <w:pPr>
        <w:pStyle w:val="2"/>
      </w:pPr>
    </w:p>
    <w:p/>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0" w:name="_Toc2441"/>
      <w:bookmarkStart w:id="1" w:name="_Toc15535"/>
      <w:bookmarkStart w:id="2" w:name="_Toc804"/>
      <w:bookmarkStart w:id="3" w:name="_Toc38896845"/>
      <w:bookmarkStart w:id="4" w:name="_Toc8067"/>
      <w:bookmarkStart w:id="5" w:name="_Toc1668"/>
      <w:r>
        <w:rPr>
          <w:rFonts w:hint="eastAsia" w:ascii="宋体" w:hAnsi="宋体"/>
          <w:b/>
          <w:bCs/>
          <w:color w:val="000000"/>
          <w:sz w:val="21"/>
          <w:szCs w:val="21"/>
        </w:rPr>
        <w:t>总则</w:t>
      </w:r>
      <w:bookmarkEnd w:id="0"/>
      <w:bookmarkEnd w:id="1"/>
      <w:bookmarkEnd w:id="2"/>
      <w:bookmarkEnd w:id="3"/>
      <w:bookmarkEnd w:id="4"/>
      <w:bookmarkEnd w:id="5"/>
    </w:p>
    <w:p>
      <w:pPr>
        <w:spacing w:line="360" w:lineRule="auto"/>
        <w:ind w:firstLine="424" w:firstLineChars="202"/>
        <w:rPr>
          <w:rFonts w:ascii="宋体" w:hAnsi="宋体"/>
          <w:color w:val="000000"/>
          <w:szCs w:val="21"/>
        </w:rPr>
      </w:pPr>
      <w:r>
        <w:rPr>
          <w:rFonts w:ascii="宋体" w:hAnsi="宋体"/>
          <w:color w:val="000000"/>
          <w:szCs w:val="21"/>
        </w:rPr>
        <w:t>本</w:t>
      </w:r>
      <w:r>
        <w:rPr>
          <w:rFonts w:hint="eastAsia" w:ascii="宋体" w:hAnsi="宋体"/>
          <w:color w:val="000000"/>
          <w:szCs w:val="21"/>
        </w:rPr>
        <w:t>合同技术附件仅适用于</w:t>
      </w:r>
      <w:r>
        <w:rPr>
          <w:rFonts w:hint="eastAsia" w:ascii="宋体" w:hAnsi="宋体"/>
          <w:color w:val="000000"/>
          <w:szCs w:val="21"/>
          <w:lang w:val="en-US" w:eastAsia="zh-CN"/>
        </w:rPr>
        <w:t>中海石油建滔化工有限公司（甲醇一期）</w:t>
      </w:r>
      <w:r>
        <w:rPr>
          <w:rFonts w:hint="eastAsia" w:ascii="宋体" w:hAnsi="宋体"/>
          <w:b/>
          <w:i/>
          <w:color w:val="000000"/>
          <w:szCs w:val="21"/>
          <w:lang w:val="en-US" w:eastAsia="zh-CN"/>
        </w:rPr>
        <w:t>2026-202</w:t>
      </w:r>
      <w:r>
        <w:rPr>
          <w:rFonts w:hint="default" w:ascii="宋体" w:hAnsi="宋体"/>
          <w:b/>
          <w:i/>
          <w:color w:val="000000"/>
          <w:szCs w:val="21"/>
          <w:lang w:val="en-US" w:eastAsia="zh-CN"/>
        </w:rPr>
        <w:t>8</w:t>
      </w:r>
      <w:r>
        <w:rPr>
          <w:rFonts w:hint="eastAsia" w:ascii="宋体" w:hAnsi="宋体"/>
          <w:b/>
          <w:i/>
          <w:color w:val="000000"/>
          <w:szCs w:val="21"/>
          <w:lang w:val="en-US" w:eastAsia="zh-CN"/>
        </w:rPr>
        <w:t>年</w:t>
      </w:r>
      <w:r>
        <w:rPr>
          <w:rFonts w:hint="eastAsia" w:ascii="宋体" w:hAnsi="宋体"/>
          <w:b/>
          <w:i/>
          <w:color w:val="000000"/>
          <w:szCs w:val="21"/>
        </w:rPr>
        <w:t>工作场所职业病危害因素检测</w:t>
      </w:r>
      <w:r>
        <w:rPr>
          <w:rFonts w:hint="eastAsia" w:ascii="宋体" w:hAnsi="宋体"/>
          <w:b/>
          <w:i/>
          <w:color w:val="000000"/>
          <w:szCs w:val="21"/>
          <w:lang w:val="en-US" w:eastAsia="zh-CN"/>
        </w:rPr>
        <w:t>及现状评价检测服务</w:t>
      </w:r>
      <w:r>
        <w:rPr>
          <w:rFonts w:hint="eastAsia" w:ascii="宋体" w:hAnsi="宋体"/>
          <w:b/>
          <w:i/>
          <w:color w:val="000000"/>
          <w:szCs w:val="21"/>
        </w:rPr>
        <w:t>项目的采办</w:t>
      </w:r>
      <w:r>
        <w:rPr>
          <w:rFonts w:ascii="宋体" w:hAnsi="宋体"/>
          <w:color w:val="000000"/>
          <w:szCs w:val="21"/>
        </w:rPr>
        <w:t>。它</w:t>
      </w:r>
      <w:r>
        <w:rPr>
          <w:rFonts w:hint="eastAsia" w:ascii="宋体" w:hAnsi="宋体"/>
          <w:color w:val="000000"/>
          <w:szCs w:val="21"/>
        </w:rPr>
        <w:t>规定</w:t>
      </w:r>
      <w:r>
        <w:rPr>
          <w:rFonts w:ascii="宋体" w:hAnsi="宋体"/>
          <w:color w:val="000000"/>
          <w:szCs w:val="21"/>
        </w:rPr>
        <w:t>了该</w:t>
      </w:r>
      <w:r>
        <w:rPr>
          <w:rFonts w:hint="eastAsia" w:ascii="宋体" w:hAnsi="宋体"/>
          <w:color w:val="000000"/>
          <w:szCs w:val="21"/>
        </w:rPr>
        <w:t>项目</w:t>
      </w:r>
      <w:r>
        <w:rPr>
          <w:rFonts w:hint="eastAsia" w:ascii="宋体" w:hAnsi="宋体"/>
          <w:color w:val="000000"/>
          <w:szCs w:val="21"/>
          <w:u w:val="none" w:color="EB3624"/>
        </w:rPr>
        <w:t>采办</w:t>
      </w:r>
      <w:r>
        <w:rPr>
          <w:rFonts w:hint="eastAsia" w:ascii="宋体" w:hAnsi="宋体"/>
          <w:color w:val="000000"/>
          <w:szCs w:val="21"/>
        </w:rPr>
        <w:t>在标准规范与技术要求、供货与服务范围、交货期与工期、检验与试验、售后服务、完工资料等方面的具体要求</w:t>
      </w:r>
      <w:r>
        <w:rPr>
          <w:rFonts w:ascii="宋体" w:hAnsi="宋体"/>
          <w:color w:val="000000"/>
          <w:szCs w:val="21"/>
        </w:rPr>
        <w:t>。</w:t>
      </w:r>
    </w:p>
    <w:p>
      <w:pPr>
        <w:numPr>
          <w:ilvl w:val="0"/>
          <w:numId w:val="2"/>
        </w:numPr>
        <w:spacing w:line="360" w:lineRule="auto"/>
        <w:ind w:left="0" w:firstLine="0"/>
        <w:rPr>
          <w:rFonts w:hint="eastAsia"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提出的是最低限度的技术要求，并未对一切技术细节</w:t>
      </w:r>
      <w:r>
        <w:rPr>
          <w:rFonts w:hint="eastAsia" w:ascii="宋体" w:hAnsi="宋体"/>
          <w:szCs w:val="21"/>
        </w:rPr>
        <w:t>做</w:t>
      </w:r>
      <w:r>
        <w:rPr>
          <w:rFonts w:ascii="宋体" w:hAnsi="宋体"/>
          <w:szCs w:val="21"/>
        </w:rPr>
        <w:t>出规定，也未引述</w:t>
      </w:r>
      <w:r>
        <w:rPr>
          <w:rFonts w:hint="eastAsia" w:ascii="宋体" w:hAnsi="宋体"/>
          <w:szCs w:val="21"/>
        </w:rPr>
        <w:t>全部</w:t>
      </w:r>
      <w:r>
        <w:rPr>
          <w:rFonts w:ascii="宋体" w:hAnsi="宋体"/>
          <w:szCs w:val="21"/>
        </w:rPr>
        <w:t>有关标准规范的条文，</w:t>
      </w:r>
      <w:r>
        <w:rPr>
          <w:rFonts w:hint="eastAsia" w:ascii="宋体" w:hAnsi="宋体"/>
          <w:szCs w:val="21"/>
        </w:rPr>
        <w:t>投标人应按本技术询价文件的要求进行投标，并</w:t>
      </w:r>
      <w:r>
        <w:rPr>
          <w:rFonts w:ascii="宋体" w:hAnsi="宋体"/>
          <w:szCs w:val="21"/>
        </w:rPr>
        <w:t>应提供符合本</w:t>
      </w:r>
      <w:r>
        <w:rPr>
          <w:rFonts w:hint="eastAsia" w:ascii="宋体" w:hAnsi="宋体"/>
          <w:szCs w:val="21"/>
        </w:rPr>
        <w:t>技术询价文件</w:t>
      </w:r>
      <w:r>
        <w:rPr>
          <w:rFonts w:ascii="宋体" w:hAnsi="宋体"/>
          <w:szCs w:val="21"/>
        </w:rPr>
        <w:t>和有关标准规范的优质</w:t>
      </w:r>
      <w:r>
        <w:rPr>
          <w:rFonts w:hint="eastAsia" w:ascii="宋体" w:hAnsi="宋体"/>
          <w:szCs w:val="21"/>
        </w:rPr>
        <w:t>服务及其备件材料。对国家有关</w:t>
      </w:r>
      <w:r>
        <w:rPr>
          <w:rFonts w:hint="eastAsia" w:ascii="宋体" w:hAnsi="宋体"/>
          <w:szCs w:val="21"/>
          <w:lang w:val="en-US" w:eastAsia="zh-CN"/>
        </w:rPr>
        <w:t>职业</w:t>
      </w:r>
      <w:r>
        <w:rPr>
          <w:rFonts w:hint="eastAsia" w:ascii="宋体" w:hAnsi="宋体" w:eastAsia="宋体" w:cs="Times New Roman"/>
          <w:szCs w:val="21"/>
          <w:lang w:val="en-US" w:eastAsia="zh-CN"/>
        </w:rPr>
        <w:t>卫生</w:t>
      </w:r>
      <w:r>
        <w:rPr>
          <w:rFonts w:hint="eastAsia" w:ascii="宋体" w:hAnsi="宋体"/>
          <w:szCs w:val="21"/>
        </w:rPr>
        <w:t>等强制性标准，投标人必须满足。</w:t>
      </w:r>
    </w:p>
    <w:p>
      <w:pPr>
        <w:numPr>
          <w:ilvl w:val="0"/>
          <w:numId w:val="2"/>
        </w:numPr>
        <w:spacing w:line="360" w:lineRule="auto"/>
        <w:ind w:left="0" w:firstLine="0"/>
        <w:rPr>
          <w:rFonts w:ascii="宋体" w:hAnsi="宋体"/>
          <w:szCs w:val="21"/>
        </w:rPr>
      </w:pPr>
      <w:r>
        <w:rPr>
          <w:rFonts w:hint="eastAsia" w:ascii="宋体" w:hAnsi="宋体"/>
          <w:szCs w:val="21"/>
        </w:rPr>
        <w:t>任何偏差都应取得招标人的书面确认，否则招标人将认为投标人已经认可了本技术询价文件中的所有要求。</w:t>
      </w:r>
      <w:r>
        <w:rPr>
          <w:rFonts w:ascii="宋体" w:hAnsi="宋体"/>
          <w:szCs w:val="21"/>
        </w:rPr>
        <w:t>如果</w:t>
      </w:r>
      <w:r>
        <w:rPr>
          <w:rFonts w:hint="eastAsia" w:ascii="宋体" w:hAnsi="宋体"/>
          <w:szCs w:val="21"/>
        </w:rPr>
        <w:t>投标人</w:t>
      </w:r>
      <w:r>
        <w:rPr>
          <w:rFonts w:ascii="宋体" w:hAnsi="宋体"/>
          <w:szCs w:val="21"/>
        </w:rPr>
        <w:t>没有以书面形式对本</w:t>
      </w:r>
      <w:r>
        <w:rPr>
          <w:rFonts w:hint="eastAsia" w:ascii="宋体" w:hAnsi="宋体"/>
          <w:szCs w:val="21"/>
        </w:rPr>
        <w:t>技术询价文件</w:t>
      </w:r>
      <w:r>
        <w:rPr>
          <w:rFonts w:ascii="宋体" w:hAnsi="宋体"/>
          <w:szCs w:val="21"/>
        </w:rPr>
        <w:t>的条文提出异议，则意味着</w:t>
      </w:r>
      <w:r>
        <w:rPr>
          <w:rFonts w:hint="eastAsia" w:ascii="宋体" w:hAnsi="宋体"/>
          <w:szCs w:val="21"/>
        </w:rPr>
        <w:t>投标人</w:t>
      </w:r>
      <w:r>
        <w:rPr>
          <w:rFonts w:ascii="宋体" w:hAnsi="宋体"/>
          <w:szCs w:val="21"/>
        </w:rPr>
        <w:t>提供的</w:t>
      </w:r>
      <w:r>
        <w:rPr>
          <w:rFonts w:hint="eastAsia" w:ascii="宋体" w:hAnsi="宋体"/>
          <w:szCs w:val="21"/>
        </w:rPr>
        <w:t>服务及备件材料</w:t>
      </w:r>
      <w:r>
        <w:rPr>
          <w:rFonts w:ascii="宋体" w:hAnsi="宋体"/>
          <w:szCs w:val="21"/>
        </w:rPr>
        <w:t>完全符合本</w:t>
      </w:r>
      <w:r>
        <w:rPr>
          <w:rFonts w:hint="eastAsia" w:ascii="宋体" w:hAnsi="宋体"/>
          <w:szCs w:val="21"/>
        </w:rPr>
        <w:t>技术询价文件</w:t>
      </w:r>
      <w:r>
        <w:rPr>
          <w:rFonts w:ascii="宋体" w:hAnsi="宋体"/>
          <w:szCs w:val="21"/>
        </w:rPr>
        <w:t>的</w:t>
      </w:r>
      <w:r>
        <w:rPr>
          <w:rFonts w:hint="eastAsia" w:ascii="宋体" w:hAnsi="宋体"/>
          <w:szCs w:val="21"/>
        </w:rPr>
        <w:t>明确的和潜在</w:t>
      </w:r>
      <w:r>
        <w:rPr>
          <w:rFonts w:ascii="宋体" w:hAnsi="宋体"/>
          <w:szCs w:val="21"/>
        </w:rPr>
        <w:t>要求</w:t>
      </w:r>
      <w:r>
        <w:rPr>
          <w:rFonts w:hint="eastAsia" w:ascii="宋体" w:hAnsi="宋体"/>
          <w:szCs w:val="21"/>
        </w:rPr>
        <w:t>，</w:t>
      </w:r>
      <w:r>
        <w:rPr>
          <w:rFonts w:ascii="宋体" w:hAnsi="宋体"/>
          <w:szCs w:val="21"/>
        </w:rPr>
        <w:t>如有异议应在以“</w:t>
      </w:r>
      <w:r>
        <w:rPr>
          <w:rFonts w:hint="eastAsia" w:ascii="宋体" w:hAnsi="宋体"/>
          <w:szCs w:val="21"/>
        </w:rPr>
        <w:t>技术偏离表</w:t>
      </w:r>
      <w:r>
        <w:rPr>
          <w:rFonts w:ascii="宋体" w:hAnsi="宋体"/>
          <w:szCs w:val="21"/>
        </w:rPr>
        <w:t>”为标题的专门</w:t>
      </w:r>
      <w:r>
        <w:rPr>
          <w:rFonts w:hint="eastAsia" w:ascii="宋体" w:hAnsi="宋体"/>
          <w:szCs w:val="21"/>
        </w:rPr>
        <w:t>文件</w:t>
      </w:r>
      <w:r>
        <w:rPr>
          <w:rFonts w:ascii="宋体" w:hAnsi="宋体"/>
          <w:szCs w:val="21"/>
        </w:rPr>
        <w:t>中加以详细描述。</w:t>
      </w:r>
    </w:p>
    <w:p>
      <w:pPr>
        <w:numPr>
          <w:ilvl w:val="0"/>
          <w:numId w:val="2"/>
        </w:numPr>
        <w:spacing w:line="360" w:lineRule="auto"/>
        <w:ind w:left="0" w:firstLine="0"/>
        <w:rPr>
          <w:rFonts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所使用的标准</w:t>
      </w:r>
      <w:r>
        <w:rPr>
          <w:rFonts w:hint="eastAsia" w:ascii="宋体" w:hAnsi="宋体"/>
          <w:szCs w:val="21"/>
        </w:rPr>
        <w:t xml:space="preserve">规范 </w:t>
      </w:r>
      <w:r>
        <w:rPr>
          <w:rFonts w:ascii="宋体" w:hAnsi="宋体"/>
          <w:szCs w:val="21"/>
        </w:rPr>
        <w:t>如遇与</w:t>
      </w:r>
      <w:r>
        <w:rPr>
          <w:rFonts w:hint="eastAsia" w:ascii="宋体" w:hAnsi="宋体"/>
          <w:szCs w:val="21"/>
        </w:rPr>
        <w:t>投标人</w:t>
      </w:r>
      <w:r>
        <w:rPr>
          <w:rFonts w:ascii="宋体" w:hAnsi="宋体"/>
          <w:szCs w:val="21"/>
        </w:rPr>
        <w:t>所执行的标准发生矛盾时，按较高标准执行。在合同签订后，</w:t>
      </w:r>
      <w:r>
        <w:rPr>
          <w:rFonts w:hint="eastAsia" w:ascii="宋体" w:hAnsi="宋体"/>
          <w:szCs w:val="21"/>
        </w:rPr>
        <w:t>招标人</w:t>
      </w:r>
      <w:r>
        <w:rPr>
          <w:rFonts w:ascii="宋体" w:hAnsi="宋体"/>
          <w:szCs w:val="21"/>
        </w:rPr>
        <w:t>有权提出因标准规范发生变化</w:t>
      </w:r>
      <w:r>
        <w:rPr>
          <w:rFonts w:hint="eastAsia" w:ascii="宋体" w:hAnsi="宋体"/>
          <w:szCs w:val="21"/>
        </w:rPr>
        <w:t>或招标人实际工作需要</w:t>
      </w:r>
      <w:r>
        <w:rPr>
          <w:rFonts w:ascii="宋体" w:hAnsi="宋体"/>
          <w:szCs w:val="21"/>
        </w:rPr>
        <w:t>而产生的修订要求，具体事宜由</w:t>
      </w:r>
      <w:r>
        <w:rPr>
          <w:rFonts w:hint="eastAsia" w:ascii="宋体" w:hAnsi="宋体"/>
          <w:szCs w:val="21"/>
        </w:rPr>
        <w:t>招投标</w:t>
      </w:r>
      <w:r>
        <w:rPr>
          <w:rFonts w:ascii="宋体" w:hAnsi="宋体"/>
          <w:szCs w:val="21"/>
        </w:rPr>
        <w:t>双方协商确定。</w:t>
      </w:r>
    </w:p>
    <w:p>
      <w:pPr>
        <w:numPr>
          <w:ilvl w:val="0"/>
          <w:numId w:val="2"/>
        </w:numPr>
        <w:spacing w:line="360" w:lineRule="auto"/>
        <w:ind w:left="0" w:firstLine="0"/>
        <w:rPr>
          <w:rFonts w:hint="eastAsia" w:ascii="宋体" w:hAnsi="宋体"/>
          <w:szCs w:val="21"/>
        </w:rPr>
      </w:pPr>
      <w:r>
        <w:rPr>
          <w:rFonts w:hint="eastAsia" w:ascii="宋体" w:hAnsi="宋体"/>
          <w:szCs w:val="21"/>
        </w:rPr>
        <w:t>当招标人的有关技术文件发生相互矛盾或抵触时，将按照下列顺序优先执行：标准规范及有关技术文件、详细设计图纸、工程量清单、工程报价单或预算书。</w:t>
      </w:r>
    </w:p>
    <w:p>
      <w:pPr>
        <w:numPr>
          <w:ilvl w:val="0"/>
          <w:numId w:val="2"/>
        </w:numPr>
        <w:spacing w:line="360" w:lineRule="auto"/>
        <w:ind w:left="0" w:firstLine="0"/>
        <w:rPr>
          <w:rFonts w:hint="eastAsia" w:ascii="宋体" w:hAnsi="宋体"/>
          <w:szCs w:val="21"/>
        </w:rPr>
      </w:pPr>
      <w:r>
        <w:rPr>
          <w:rFonts w:hint="eastAsia" w:ascii="宋体" w:hAnsi="宋体"/>
          <w:szCs w:val="21"/>
        </w:rPr>
        <w:t>招标人对投标人技术文件的审核，并不能减轻或取消投标人对所供设备或服务应承担的责任和义务。</w:t>
      </w:r>
    </w:p>
    <w:p>
      <w:pPr>
        <w:numPr>
          <w:ilvl w:val="0"/>
          <w:numId w:val="2"/>
        </w:numPr>
        <w:spacing w:line="360" w:lineRule="auto"/>
        <w:ind w:left="0" w:firstLine="0"/>
        <w:rPr>
          <w:rFonts w:hint="eastAsia" w:ascii="宋体" w:hAnsi="宋体"/>
          <w:szCs w:val="21"/>
        </w:rPr>
      </w:pPr>
      <w:r>
        <w:rPr>
          <w:rFonts w:hint="eastAsia" w:ascii="宋体" w:hAnsi="宋体"/>
          <w:szCs w:val="21"/>
        </w:rPr>
        <w:t>投标人所提供的服务</w:t>
      </w:r>
      <w:r>
        <w:rPr>
          <w:rFonts w:ascii="宋体" w:hAnsi="宋体"/>
          <w:szCs w:val="21"/>
        </w:rPr>
        <w:t>及备件材料</w:t>
      </w:r>
      <w:r>
        <w:rPr>
          <w:rFonts w:hint="eastAsia" w:ascii="宋体" w:hAnsi="宋体"/>
          <w:szCs w:val="21"/>
        </w:rPr>
        <w:t>，必须完全满足招标人技术询价文件及标准规范要求，并对</w:t>
      </w:r>
      <w:r>
        <w:rPr>
          <w:rFonts w:hint="eastAsia" w:ascii="宋体" w:hAnsi="宋体"/>
          <w:szCs w:val="21"/>
          <w:u w:val="none" w:color="EB3624"/>
        </w:rPr>
        <w:t>所供</w:t>
      </w:r>
      <w:r>
        <w:rPr>
          <w:rFonts w:hint="eastAsia" w:ascii="宋体" w:hAnsi="宋体"/>
          <w:szCs w:val="21"/>
        </w:rPr>
        <w:t>服务及</w:t>
      </w:r>
      <w:r>
        <w:rPr>
          <w:rFonts w:ascii="宋体" w:hAnsi="宋体"/>
          <w:szCs w:val="21"/>
        </w:rPr>
        <w:t>备件材料</w:t>
      </w:r>
      <w:r>
        <w:rPr>
          <w:rFonts w:hint="eastAsia" w:ascii="宋体" w:hAnsi="宋体"/>
          <w:szCs w:val="21"/>
        </w:rPr>
        <w:t>的质量负有全部责任。</w:t>
      </w:r>
    </w:p>
    <w:p>
      <w:pPr>
        <w:numPr>
          <w:ilvl w:val="0"/>
          <w:numId w:val="2"/>
        </w:numPr>
        <w:spacing w:line="360" w:lineRule="auto"/>
        <w:ind w:left="0" w:firstLine="0"/>
        <w:rPr>
          <w:rFonts w:ascii="宋体" w:hAnsi="宋体"/>
          <w:szCs w:val="21"/>
        </w:rPr>
      </w:pPr>
      <w:r>
        <w:rPr>
          <w:rFonts w:hint="eastAsia" w:ascii="宋体" w:hAnsi="宋体"/>
          <w:szCs w:val="21"/>
        </w:rPr>
        <w:t>投标文件不满足任何一项本技术询价文件中加注星号（“★”）的技术条款（参数），其投标将被拒绝。</w:t>
      </w:r>
    </w:p>
    <w:p>
      <w:pPr>
        <w:numPr>
          <w:ilvl w:val="0"/>
          <w:numId w:val="2"/>
        </w:numPr>
        <w:spacing w:line="360" w:lineRule="auto"/>
        <w:ind w:left="0" w:firstLine="0"/>
        <w:rPr>
          <w:rFonts w:ascii="宋体" w:hAnsi="宋体"/>
          <w:szCs w:val="21"/>
        </w:rPr>
      </w:pPr>
      <w:r>
        <w:rPr>
          <w:rFonts w:ascii="宋体" w:hAnsi="宋体" w:eastAsia="宋体" w:cs="Times New Roman"/>
          <w:szCs w:val="21"/>
        </w:rPr>
        <w:t>投标人须对提供的检测报告及现场评价报告的合规性承担法律责任；若出现不合规情形，由投标方承担全部法律责任</w:t>
      </w:r>
      <w:r>
        <w:rPr>
          <w:rFonts w:hint="eastAsia" w:ascii="宋体" w:hAnsi="宋体" w:eastAsia="宋体" w:cs="Times New Roman"/>
          <w:szCs w:val="21"/>
          <w:lang w:val="en-US" w:eastAsia="zh-CN"/>
        </w:rPr>
        <w:t>和经济责任</w:t>
      </w:r>
      <w:r>
        <w:rPr>
          <w:rFonts w:ascii="宋体" w:hAnsi="宋体" w:eastAsia="宋体" w:cs="Times New Roman"/>
          <w:szCs w:val="21"/>
        </w:rPr>
        <w:t>。</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6" w:name="_Toc30382"/>
      <w:bookmarkStart w:id="7" w:name="_Toc20987"/>
      <w:bookmarkStart w:id="8" w:name="_Toc31348"/>
      <w:bookmarkStart w:id="9" w:name="_Toc38896846"/>
      <w:bookmarkStart w:id="10" w:name="_Toc20100"/>
      <w:bookmarkStart w:id="11" w:name="_Toc4459"/>
      <w:r>
        <w:rPr>
          <w:rFonts w:hint="eastAsia" w:ascii="宋体" w:hAnsi="宋体"/>
          <w:b/>
          <w:bCs/>
          <w:color w:val="000000"/>
          <w:sz w:val="21"/>
          <w:szCs w:val="21"/>
        </w:rPr>
        <w:t>项目概况</w:t>
      </w:r>
      <w:bookmarkEnd w:id="6"/>
      <w:bookmarkEnd w:id="7"/>
      <w:bookmarkEnd w:id="8"/>
      <w:bookmarkEnd w:id="9"/>
      <w:bookmarkEnd w:id="10"/>
      <w:bookmarkEnd w:id="11"/>
    </w:p>
    <w:p>
      <w:pPr>
        <w:numPr>
          <w:ilvl w:val="0"/>
          <w:numId w:val="3"/>
        </w:numPr>
        <w:spacing w:line="360" w:lineRule="auto"/>
        <w:rPr>
          <w:rFonts w:hint="eastAsia" w:ascii="宋体" w:hAnsi="宋体"/>
          <w:szCs w:val="21"/>
        </w:rPr>
      </w:pPr>
      <w:r>
        <w:rPr>
          <w:rFonts w:hint="eastAsia" w:ascii="宋体" w:hAnsi="宋体"/>
          <w:szCs w:val="21"/>
        </w:rPr>
        <w:t>项目名称：</w:t>
      </w:r>
      <w:r>
        <w:rPr>
          <w:rFonts w:hint="eastAsia" w:ascii="宋体" w:hAnsi="宋体"/>
          <w:b/>
          <w:i/>
          <w:color w:val="000000"/>
          <w:szCs w:val="21"/>
          <w:lang w:val="en-US" w:eastAsia="zh-CN"/>
        </w:rPr>
        <w:t>2026-202</w:t>
      </w:r>
      <w:r>
        <w:rPr>
          <w:rFonts w:hint="default" w:ascii="宋体" w:hAnsi="宋体"/>
          <w:b/>
          <w:i/>
          <w:color w:val="000000"/>
          <w:szCs w:val="21"/>
          <w:lang w:val="en-US" w:eastAsia="zh-CN"/>
        </w:rPr>
        <w:t>8</w:t>
      </w:r>
      <w:r>
        <w:rPr>
          <w:rFonts w:hint="eastAsia" w:ascii="宋体" w:hAnsi="宋体"/>
          <w:b/>
          <w:i/>
          <w:color w:val="000000"/>
          <w:szCs w:val="21"/>
          <w:lang w:val="en-US" w:eastAsia="zh-CN"/>
        </w:rPr>
        <w:t>年</w:t>
      </w:r>
      <w:r>
        <w:rPr>
          <w:rFonts w:hint="eastAsia" w:ascii="宋体" w:hAnsi="宋体"/>
          <w:b/>
          <w:i/>
          <w:color w:val="000000"/>
          <w:szCs w:val="21"/>
          <w:lang w:eastAsia="zh-CN"/>
        </w:rPr>
        <w:t>中海石油建滔化工有限公司</w:t>
      </w:r>
      <w:r>
        <w:rPr>
          <w:rFonts w:hint="eastAsia" w:ascii="宋体" w:hAnsi="宋体"/>
          <w:b/>
          <w:i/>
          <w:color w:val="000000"/>
          <w:szCs w:val="21"/>
        </w:rPr>
        <w:t>工作场所职业病危害因素检测</w:t>
      </w:r>
      <w:r>
        <w:rPr>
          <w:rFonts w:hint="eastAsia" w:ascii="宋体" w:hAnsi="宋体"/>
          <w:b/>
          <w:i/>
          <w:color w:val="000000"/>
          <w:szCs w:val="21"/>
          <w:lang w:val="en-US" w:eastAsia="zh-CN"/>
        </w:rPr>
        <w:t>及现状评价检测服务</w:t>
      </w:r>
    </w:p>
    <w:p>
      <w:pPr>
        <w:numPr>
          <w:ilvl w:val="0"/>
          <w:numId w:val="3"/>
        </w:numPr>
        <w:spacing w:line="360" w:lineRule="auto"/>
        <w:rPr>
          <w:rFonts w:hint="eastAsia" w:ascii="宋体" w:hAnsi="宋体"/>
          <w:szCs w:val="21"/>
        </w:rPr>
      </w:pPr>
      <w:r>
        <w:rPr>
          <w:rFonts w:hint="eastAsia" w:ascii="宋体" w:hAnsi="宋体"/>
          <w:szCs w:val="21"/>
        </w:rPr>
        <w:t>建设地点：海南省东方市八所镇园区三路</w:t>
      </w:r>
      <w:r>
        <w:rPr>
          <w:rFonts w:hint="eastAsia" w:ascii="宋体" w:hAnsi="宋体"/>
          <w:szCs w:val="21"/>
          <w:lang w:val="en-US" w:eastAsia="zh-CN"/>
        </w:rPr>
        <w:t>5</w:t>
      </w:r>
      <w:r>
        <w:rPr>
          <w:rFonts w:hint="eastAsia" w:ascii="宋体" w:hAnsi="宋体"/>
          <w:szCs w:val="21"/>
        </w:rPr>
        <w:t>号。</w:t>
      </w:r>
    </w:p>
    <w:p>
      <w:pPr>
        <w:numPr>
          <w:ilvl w:val="0"/>
          <w:numId w:val="3"/>
        </w:numPr>
        <w:spacing w:line="360" w:lineRule="auto"/>
        <w:rPr>
          <w:rFonts w:hint="eastAsia" w:ascii="宋体" w:hAnsi="宋体"/>
          <w:szCs w:val="21"/>
        </w:rPr>
      </w:pPr>
      <w:r>
        <w:rPr>
          <w:rFonts w:hint="eastAsia" w:ascii="宋体" w:hAnsi="宋体"/>
          <w:szCs w:val="21"/>
        </w:rPr>
        <w:t>概述：</w:t>
      </w:r>
    </w:p>
    <w:p>
      <w:pPr>
        <w:spacing w:line="360" w:lineRule="auto"/>
        <w:ind w:firstLine="420" w:firstLineChars="200"/>
        <w:rPr>
          <w:rFonts w:hint="eastAsia" w:ascii="宋体" w:hAnsi="宋体"/>
          <w:szCs w:val="21"/>
        </w:rPr>
      </w:pPr>
      <w:bookmarkStart w:id="12" w:name="_Toc38896847"/>
      <w:bookmarkStart w:id="13" w:name="_Toc21353"/>
      <w:r>
        <w:rPr>
          <w:rFonts w:hint="eastAsia" w:ascii="宋体" w:hAnsi="宋体"/>
          <w:szCs w:val="21"/>
          <w:lang w:eastAsia="zh-CN"/>
        </w:rPr>
        <w:t>中海石油建滔化工有限公司（甲醇一期）</w:t>
      </w:r>
      <w:r>
        <w:rPr>
          <w:rFonts w:hint="eastAsia" w:ascii="宋体" w:hAnsi="宋体"/>
          <w:szCs w:val="21"/>
        </w:rPr>
        <w:t>是以</w:t>
      </w:r>
      <w:r>
        <w:rPr>
          <w:rFonts w:hint="eastAsia" w:ascii="宋体" w:hAnsi="宋体"/>
          <w:szCs w:val="21"/>
          <w:lang w:val="en-US" w:eastAsia="zh-CN"/>
        </w:rPr>
        <w:t>天然气</w:t>
      </w:r>
      <w:r>
        <w:rPr>
          <w:rFonts w:hint="eastAsia" w:ascii="宋体" w:hAnsi="宋体"/>
          <w:szCs w:val="21"/>
        </w:rPr>
        <w:t>为原料，生产</w:t>
      </w:r>
      <w:r>
        <w:rPr>
          <w:rFonts w:hint="eastAsia" w:ascii="宋体" w:hAnsi="宋体"/>
          <w:szCs w:val="21"/>
          <w:lang w:val="en-US" w:eastAsia="zh-CN"/>
        </w:rPr>
        <w:t>甲醇</w:t>
      </w:r>
      <w:r>
        <w:rPr>
          <w:rFonts w:hint="eastAsia" w:ascii="宋体" w:hAnsi="宋体"/>
          <w:szCs w:val="21"/>
        </w:rPr>
        <w:t>的一家化工企业，生产过程中产生噪声、</w:t>
      </w:r>
      <w:r>
        <w:rPr>
          <w:rFonts w:hint="eastAsia" w:ascii="宋体" w:hAnsi="宋体"/>
          <w:szCs w:val="21"/>
          <w:lang w:val="en-US" w:eastAsia="zh-CN"/>
        </w:rPr>
        <w:t>高温、</w:t>
      </w:r>
      <w:r>
        <w:rPr>
          <w:rFonts w:hint="eastAsia" w:ascii="宋体" w:hAnsi="宋体"/>
          <w:szCs w:val="21"/>
        </w:rPr>
        <w:t>化学毒物等职业病危害因素，根据《中华人民共和国职业病防治法》第二十六条规定，</w:t>
      </w:r>
      <w:r>
        <w:rPr>
          <w:rFonts w:hint="eastAsia" w:ascii="宋体" w:hAnsi="宋体"/>
          <w:szCs w:val="21"/>
          <w:lang w:eastAsia="zh-CN"/>
        </w:rPr>
        <w:t>招标人</w:t>
      </w:r>
      <w:r>
        <w:rPr>
          <w:rFonts w:hint="eastAsia" w:ascii="宋体" w:hAnsi="宋体"/>
          <w:szCs w:val="21"/>
        </w:rPr>
        <w:t>单位应当按照国务院卫生行政部门的规定，</w:t>
      </w:r>
      <w:r>
        <w:rPr>
          <w:rFonts w:hint="eastAsia" w:ascii="宋体" w:hAnsi="宋体"/>
          <w:szCs w:val="21"/>
          <w:lang w:val="en-US" w:eastAsia="zh-CN"/>
        </w:rPr>
        <w:t>定期对所属</w:t>
      </w:r>
      <w:r>
        <w:rPr>
          <w:rFonts w:hint="eastAsia" w:ascii="宋体" w:hAnsi="宋体"/>
          <w:szCs w:val="21"/>
        </w:rPr>
        <w:t>工作场所</w:t>
      </w:r>
      <w:r>
        <w:rPr>
          <w:rFonts w:hint="eastAsia" w:ascii="宋体" w:hAnsi="宋体"/>
          <w:szCs w:val="21"/>
          <w:lang w:val="en-US" w:eastAsia="zh-CN"/>
        </w:rPr>
        <w:t>开展</w:t>
      </w:r>
      <w:r>
        <w:rPr>
          <w:rFonts w:hint="eastAsia" w:ascii="宋体" w:hAnsi="宋体"/>
          <w:szCs w:val="21"/>
        </w:rPr>
        <w:t>职业病危害因素检测</w:t>
      </w:r>
      <w:r>
        <w:rPr>
          <w:rFonts w:hint="eastAsia" w:ascii="宋体" w:hAnsi="宋体"/>
          <w:szCs w:val="21"/>
          <w:lang w:val="en-US" w:eastAsia="zh-CN"/>
        </w:rPr>
        <w:t>及现状评价工作</w:t>
      </w:r>
      <w:r>
        <w:rPr>
          <w:rFonts w:hint="eastAsia" w:ascii="宋体" w:hAnsi="宋体"/>
          <w:szCs w:val="21"/>
        </w:rPr>
        <w:t>。</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4" w:name="_Toc13146"/>
      <w:bookmarkStart w:id="15" w:name="_Toc3894"/>
      <w:bookmarkStart w:id="16" w:name="_Toc17548"/>
      <w:bookmarkStart w:id="17" w:name="_Toc31088"/>
      <w:r>
        <w:rPr>
          <w:rFonts w:hint="eastAsia" w:ascii="宋体" w:hAnsi="宋体"/>
          <w:b/>
          <w:bCs/>
          <w:color w:val="000000"/>
          <w:sz w:val="21"/>
          <w:szCs w:val="21"/>
        </w:rPr>
        <w:t>标准规范及技术要求</w:t>
      </w:r>
      <w:bookmarkEnd w:id="12"/>
      <w:bookmarkEnd w:id="13"/>
      <w:bookmarkEnd w:id="14"/>
      <w:bookmarkEnd w:id="15"/>
      <w:bookmarkEnd w:id="16"/>
      <w:bookmarkEnd w:id="17"/>
    </w:p>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18" w:name="_Toc25307"/>
      <w:bookmarkStart w:id="19" w:name="_Toc26494"/>
      <w:bookmarkStart w:id="20" w:name="_Toc26600"/>
      <w:bookmarkStart w:id="21" w:name="_Toc3264"/>
      <w:bookmarkStart w:id="22" w:name="_Toc38896848"/>
      <w:bookmarkStart w:id="23" w:name="_Toc6422"/>
      <w:bookmarkStart w:id="24" w:name="_Toc29761"/>
      <w:bookmarkStart w:id="25" w:name="_Toc6145"/>
      <w:bookmarkStart w:id="26" w:name="_Toc38896849"/>
      <w:bookmarkStart w:id="27" w:name="OLE_LINK3"/>
      <w:r>
        <w:rPr>
          <w:rFonts w:hint="eastAsia" w:ascii="宋体" w:hAnsi="宋体"/>
          <w:b/>
          <w:bCs/>
          <w:color w:val="000000"/>
          <w:sz w:val="21"/>
          <w:szCs w:val="21"/>
        </w:rPr>
        <w:t>标准规范</w:t>
      </w:r>
      <w:bookmarkEnd w:id="18"/>
      <w:bookmarkEnd w:id="19"/>
      <w:bookmarkEnd w:id="20"/>
      <w:bookmarkEnd w:id="21"/>
      <w:bookmarkEnd w:id="22"/>
      <w:bookmarkEnd w:id="23"/>
      <w:bookmarkEnd w:id="24"/>
      <w:bookmarkEnd w:id="25"/>
    </w:p>
    <w:p>
      <w:pPr>
        <w:autoSpaceDE w:val="0"/>
        <w:autoSpaceDN w:val="0"/>
        <w:spacing w:line="360" w:lineRule="auto"/>
        <w:ind w:firstLine="424" w:firstLineChars="202"/>
        <w:rPr>
          <w:rFonts w:hint="eastAsia" w:ascii="宋体" w:hAnsi="宋体"/>
          <w:szCs w:val="21"/>
        </w:rPr>
      </w:pPr>
      <w:bookmarkStart w:id="28" w:name="_Toc25365"/>
      <w:r>
        <w:rPr>
          <w:rFonts w:hint="eastAsia" w:ascii="宋体" w:hAnsi="宋体"/>
          <w:szCs w:val="21"/>
        </w:rPr>
        <w:t>本项目执行的标准规范，包括但不限于以下标准规范，若以下标准规范与最新的国家、行业的标准规范不一致或相冲突，则应按最新的标准规范执行。</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《中华人民共和国职业病防治法》中华人民共和国主席令[2018]第24号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《中华人民共和国安全生产法</w:t>
      </w:r>
      <w:r>
        <w:rPr>
          <w:rFonts w:hint="eastAsia" w:ascii="宋体" w:hAnsi="宋体" w:eastAsia="宋体" w:cs="Times New Roman"/>
          <w:szCs w:val="21"/>
        </w:rPr>
        <w:t>》中华人民共和国主席令〔20</w:t>
      </w:r>
      <w:r>
        <w:rPr>
          <w:rFonts w:hint="eastAsia" w:ascii="宋体" w:hAnsi="宋体" w:eastAsia="宋体" w:cs="Times New Roman"/>
          <w:szCs w:val="21"/>
          <w:lang w:val="en-US" w:eastAsia="zh-CN"/>
        </w:rPr>
        <w:t>21</w:t>
      </w:r>
      <w:r>
        <w:rPr>
          <w:rFonts w:hint="eastAsia" w:ascii="宋体" w:hAnsi="宋体" w:eastAsia="宋体" w:cs="Times New Roman"/>
          <w:szCs w:val="21"/>
        </w:rPr>
        <w:t>〕第</w:t>
      </w:r>
      <w:r>
        <w:rPr>
          <w:rFonts w:hint="eastAsia" w:ascii="宋体" w:hAnsi="宋体" w:eastAsia="宋体" w:cs="Times New Roman"/>
          <w:szCs w:val="21"/>
          <w:lang w:val="en-US" w:eastAsia="zh-CN"/>
        </w:rPr>
        <w:t>88</w:t>
      </w:r>
      <w:r>
        <w:rPr>
          <w:rFonts w:hint="eastAsia" w:ascii="宋体" w:hAnsi="宋体" w:eastAsia="宋体" w:cs="Times New Roman"/>
          <w:szCs w:val="21"/>
        </w:rPr>
        <w:t>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《中华人民共和国劳动合同法》中华人民共和国主席令[2013]第65号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《中华人民共和国尘肺病防治条例》    国务院令[1987]第105号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《职业病危害因素分类目录》国卫疾控发</w:t>
      </w:r>
      <w:r>
        <w:rPr>
          <w:rFonts w:hint="eastAsia" w:ascii="宋体" w:hAnsi="宋体"/>
          <w:szCs w:val="21"/>
          <w:u w:val="none" w:color="EB3624"/>
        </w:rPr>
        <w:t>[2015]</w:t>
      </w:r>
      <w:r>
        <w:rPr>
          <w:rFonts w:hint="eastAsia" w:ascii="宋体" w:hAnsi="宋体"/>
          <w:szCs w:val="21"/>
        </w:rPr>
        <w:t>92号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《工作场所有害因素职业接触限值化学有害因素》（GBZ2.1-2019）</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《工作场所有害因素职业接触限值第2部分</w:t>
      </w:r>
      <w:r>
        <w:rPr>
          <w:rFonts w:hint="eastAsia" w:ascii="宋体" w:hAnsi="宋体"/>
          <w:szCs w:val="21"/>
          <w:u w:val="none" w:color="EB3624"/>
        </w:rPr>
        <w:t>:</w:t>
      </w:r>
      <w:r>
        <w:rPr>
          <w:rFonts w:hint="eastAsia" w:ascii="宋体" w:hAnsi="宋体"/>
          <w:szCs w:val="21"/>
        </w:rPr>
        <w:t>物理因素》GBZ2.2-2007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《工作场所物理因素测量第8部分</w:t>
      </w:r>
      <w:r>
        <w:rPr>
          <w:rFonts w:hint="eastAsia" w:ascii="宋体" w:hAnsi="宋体"/>
          <w:szCs w:val="21"/>
          <w:u w:val="none" w:color="EB3624"/>
        </w:rPr>
        <w:t>:</w:t>
      </w:r>
      <w:r>
        <w:rPr>
          <w:rFonts w:hint="eastAsia" w:ascii="宋体" w:hAnsi="宋体"/>
          <w:szCs w:val="21"/>
        </w:rPr>
        <w:t>噪声》    GBZ/T 189.8-2007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《工作场所物理因素测量第7部分</w:t>
      </w:r>
      <w:r>
        <w:rPr>
          <w:rFonts w:hint="eastAsia" w:ascii="宋体" w:hAnsi="宋体"/>
          <w:szCs w:val="21"/>
          <w:u w:val="none" w:color="EB3624"/>
        </w:rPr>
        <w:t>:</w:t>
      </w:r>
      <w:r>
        <w:rPr>
          <w:rFonts w:hint="eastAsia" w:ascii="宋体" w:hAnsi="宋体"/>
          <w:szCs w:val="21"/>
        </w:rPr>
        <w:t>高温》    GBZ/T 189.7-2007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《工作场所空气中粉尘测定第1部分</w:t>
      </w:r>
      <w:r>
        <w:rPr>
          <w:rFonts w:hint="eastAsia" w:ascii="宋体" w:hAnsi="宋体"/>
          <w:szCs w:val="21"/>
          <w:u w:val="none" w:color="EB3624"/>
        </w:rPr>
        <w:t>:</w:t>
      </w:r>
      <w:r>
        <w:rPr>
          <w:rFonts w:hint="eastAsia" w:ascii="宋体" w:hAnsi="宋体"/>
          <w:szCs w:val="21"/>
        </w:rPr>
        <w:t>总粉尘浓度》GBZ/T 192.1-2007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《工作场所空气中有害物质监测的采样规范》（GBZ 159-2004）</w:t>
      </w:r>
    </w:p>
    <w:p>
      <w:pPr>
        <w:numPr>
          <w:ilvl w:val="0"/>
          <w:numId w:val="5"/>
        </w:numPr>
        <w:autoSpaceDE w:val="0"/>
        <w:autoSpaceDN w:val="0"/>
        <w:spacing w:line="360" w:lineRule="auto"/>
        <w:rPr>
          <w:rFonts w:ascii="宋体" w:hAnsi="宋体"/>
          <w:szCs w:val="21"/>
        </w:rPr>
      </w:pPr>
      <w:r>
        <w:rPr>
          <w:rFonts w:hint="eastAsia" w:ascii="宋体" w:hAnsi="宋体"/>
          <w:szCs w:val="21"/>
        </w:rPr>
        <w:t>《工作场所物理因素测量》（GBZ/T 189-2007）</w:t>
      </w:r>
    </w:p>
    <w:p>
      <w:pPr>
        <w:numPr>
          <w:ilvl w:val="0"/>
          <w:numId w:val="5"/>
        </w:numPr>
        <w:autoSpaceDE w:val="0"/>
        <w:autoSpaceDN w:val="0"/>
        <w:spacing w:line="360" w:lineRule="auto"/>
        <w:rPr>
          <w:rFonts w:ascii="宋体" w:hAnsi="宋体"/>
          <w:szCs w:val="21"/>
        </w:rPr>
      </w:pPr>
      <w:r>
        <w:rPr>
          <w:rFonts w:hint="eastAsia" w:ascii="宋体" w:hAnsi="宋体"/>
          <w:szCs w:val="21"/>
        </w:rPr>
        <w:t>《工作场所空气有毒物质测定》（GBZ/T 160-2004）</w:t>
      </w:r>
    </w:p>
    <w:p>
      <w:pPr>
        <w:numPr>
          <w:ilvl w:val="0"/>
          <w:numId w:val="5"/>
        </w:numPr>
        <w:autoSpaceDE w:val="0"/>
        <w:autoSpaceDN w:val="0"/>
        <w:spacing w:line="360" w:lineRule="auto"/>
        <w:rPr>
          <w:rFonts w:ascii="宋体" w:hAnsi="宋体"/>
          <w:szCs w:val="21"/>
        </w:rPr>
      </w:pPr>
      <w:r>
        <w:rPr>
          <w:rFonts w:hint="eastAsia" w:ascii="宋体" w:hAnsi="宋体"/>
          <w:szCs w:val="21"/>
        </w:rPr>
        <w:t>《工作场所空气有毒物质测定》（GBZ/T 300-2017）</w:t>
      </w:r>
    </w:p>
    <w:p>
      <w:pPr>
        <w:numPr>
          <w:ilvl w:val="0"/>
          <w:numId w:val="5"/>
        </w:numPr>
        <w:autoSpaceDE w:val="0"/>
        <w:autoSpaceDN w:val="0"/>
        <w:spacing w:line="360" w:lineRule="auto"/>
        <w:rPr>
          <w:rFonts w:ascii="宋体" w:hAnsi="宋体"/>
          <w:szCs w:val="21"/>
        </w:rPr>
      </w:pPr>
      <w:r>
        <w:rPr>
          <w:rFonts w:hint="eastAsia" w:ascii="宋体" w:hAnsi="宋体"/>
          <w:szCs w:val="21"/>
        </w:rPr>
        <w:t>《生产过程安全卫生要求总则》</w:t>
      </w:r>
      <w:r>
        <w:rPr>
          <w:rFonts w:hint="eastAsia" w:ascii="宋体" w:hAnsi="宋体"/>
          <w:szCs w:val="21"/>
          <w:u w:val="none" w:color="EB3624"/>
        </w:rPr>
        <w:t>(</w:t>
      </w:r>
      <w:r>
        <w:rPr>
          <w:rFonts w:hint="eastAsia" w:ascii="宋体" w:hAnsi="宋体"/>
          <w:szCs w:val="21"/>
        </w:rPr>
        <w:t>GB/T 12801-2008</w:t>
      </w:r>
      <w:r>
        <w:rPr>
          <w:rFonts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《工业企业总平面设计规范》（</w:t>
      </w:r>
      <w:r>
        <w:rPr>
          <w:rFonts w:ascii="宋体" w:hAnsi="宋体"/>
          <w:szCs w:val="21"/>
        </w:rPr>
        <w:t>GB 50187-2012</w:t>
      </w:r>
      <w:r>
        <w:rPr>
          <w:rFonts w:hint="eastAsia" w:ascii="宋体" w:hAnsi="宋体"/>
          <w:szCs w:val="21"/>
        </w:rPr>
        <w:t>）</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《工业企业设计卫生标准》（</w:t>
      </w:r>
      <w:r>
        <w:rPr>
          <w:rFonts w:ascii="宋体" w:hAnsi="宋体"/>
          <w:szCs w:val="21"/>
        </w:rPr>
        <w:t>GBZ 1-2010</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《工作场所防止职业中毒卫生工程防护措施规范》</w:t>
      </w:r>
      <w:r>
        <w:rPr>
          <w:rFonts w:hint="eastAsia" w:ascii="宋体" w:hAnsi="宋体"/>
          <w:szCs w:val="21"/>
          <w:u w:val="none" w:color="EB3624"/>
        </w:rPr>
        <w:t>(</w:t>
      </w:r>
      <w:r>
        <w:rPr>
          <w:rFonts w:hint="eastAsia" w:ascii="宋体" w:hAnsi="宋体"/>
          <w:szCs w:val="21"/>
        </w:rPr>
        <w:t>GBZ/T194-2007</w:t>
      </w:r>
      <w:r>
        <w:rPr>
          <w:rFonts w:hint="eastAsia"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《排风罩的分类及技术条件》（</w:t>
      </w:r>
      <w:r>
        <w:rPr>
          <w:rFonts w:ascii="宋体" w:hAnsi="宋体"/>
          <w:szCs w:val="21"/>
        </w:rPr>
        <w:t>GB/T 16758-2008</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《工作场所有毒气体检测报警装置设置规范》</w:t>
      </w:r>
      <w:r>
        <w:rPr>
          <w:rFonts w:hint="eastAsia" w:ascii="宋体" w:hAnsi="宋体"/>
          <w:szCs w:val="21"/>
          <w:u w:val="none" w:color="EB3624"/>
        </w:rPr>
        <w:t>(</w:t>
      </w:r>
      <w:r>
        <w:rPr>
          <w:rFonts w:hint="eastAsia" w:ascii="宋体" w:hAnsi="宋体"/>
          <w:szCs w:val="21"/>
        </w:rPr>
        <w:t>GBZ/T223-2009</w:t>
      </w:r>
      <w:r>
        <w:rPr>
          <w:rFonts w:hint="eastAsia" w:ascii="宋体" w:hAnsi="宋体"/>
          <w:szCs w:val="21"/>
          <w:u w:val="none" w:color="EB3624"/>
        </w:rPr>
        <w:t>)</w:t>
      </w:r>
    </w:p>
    <w:p>
      <w:pPr>
        <w:numPr>
          <w:ilvl w:val="0"/>
          <w:numId w:val="5"/>
        </w:numPr>
        <w:autoSpaceDE w:val="0"/>
        <w:autoSpaceDN w:val="0"/>
        <w:spacing w:line="360" w:lineRule="auto"/>
        <w:rPr>
          <w:rFonts w:hint="eastAsia" w:ascii="宋体" w:hAnsi="宋体"/>
          <w:szCs w:val="21"/>
        </w:rPr>
      </w:pPr>
      <w:r>
        <w:rPr>
          <w:rFonts w:hint="eastAsia" w:ascii="宋体" w:hAnsi="宋体"/>
          <w:szCs w:val="21"/>
        </w:rPr>
        <w:t>《</w:t>
      </w:r>
      <w:r>
        <w:rPr>
          <w:rFonts w:hint="eastAsia" w:ascii="宋体" w:hAnsi="宋体"/>
          <w:szCs w:val="21"/>
          <w:lang w:eastAsia="zh-CN"/>
        </w:rPr>
        <w:t>招标人</w:t>
      </w:r>
      <w:r>
        <w:rPr>
          <w:rFonts w:hint="eastAsia" w:ascii="宋体" w:hAnsi="宋体"/>
          <w:szCs w:val="21"/>
        </w:rPr>
        <w:t>单位职业病防治指南》（</w:t>
      </w:r>
      <w:r>
        <w:rPr>
          <w:rFonts w:ascii="宋体" w:hAnsi="宋体"/>
          <w:szCs w:val="21"/>
        </w:rPr>
        <w:t>GBZ/T 225-2010</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《职业健康监护技术规范》 （GBZ188</w:t>
      </w:r>
      <w:r>
        <w:rPr>
          <w:rFonts w:ascii="宋体" w:hAnsi="宋体"/>
          <w:szCs w:val="21"/>
        </w:rPr>
        <w:t>-2014</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《高毒物品作业岗位职业病危害告知规范》（GBZ/T 203-2007）</w:t>
      </w:r>
    </w:p>
    <w:p>
      <w:pPr>
        <w:numPr>
          <w:ilvl w:val="0"/>
          <w:numId w:val="5"/>
        </w:numPr>
        <w:autoSpaceDE w:val="0"/>
        <w:autoSpaceDN w:val="0"/>
        <w:spacing w:line="360" w:lineRule="auto"/>
        <w:rPr>
          <w:rFonts w:ascii="宋体" w:hAnsi="宋体"/>
          <w:szCs w:val="21"/>
        </w:rPr>
      </w:pPr>
      <w:r>
        <w:rPr>
          <w:rFonts w:hint="eastAsia" w:ascii="宋体" w:hAnsi="宋体"/>
          <w:szCs w:val="21"/>
        </w:rPr>
        <w:t>《工作场所职业病危害警示标识》</w:t>
      </w:r>
      <w:r>
        <w:rPr>
          <w:rFonts w:hint="eastAsia" w:ascii="宋体" w:hAnsi="宋体"/>
          <w:szCs w:val="21"/>
          <w:u w:val="none" w:color="EB3624"/>
        </w:rPr>
        <w:t>(</w:t>
      </w:r>
      <w:r>
        <w:rPr>
          <w:rFonts w:hint="eastAsia" w:ascii="宋体" w:hAnsi="宋体"/>
          <w:szCs w:val="21"/>
        </w:rPr>
        <w:t>GBZ158-2003</w:t>
      </w:r>
      <w:r>
        <w:rPr>
          <w:rFonts w:hint="eastAsia"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《个体防护装备选用规范》（GB/T 11651-2008）</w:t>
      </w:r>
    </w:p>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29" w:name="_Toc30592"/>
      <w:bookmarkStart w:id="30" w:name="_Toc24280"/>
      <w:bookmarkStart w:id="31" w:name="_Toc12234"/>
      <w:bookmarkStart w:id="32" w:name="_Toc24332"/>
      <w:r>
        <w:rPr>
          <w:rFonts w:hint="eastAsia" w:ascii="宋体" w:hAnsi="宋体"/>
          <w:b/>
          <w:bCs/>
          <w:color w:val="000000"/>
          <w:sz w:val="21"/>
          <w:szCs w:val="21"/>
        </w:rPr>
        <w:t>技术要求</w:t>
      </w:r>
      <w:bookmarkEnd w:id="26"/>
      <w:bookmarkEnd w:id="28"/>
      <w:bookmarkEnd w:id="29"/>
      <w:bookmarkEnd w:id="30"/>
      <w:bookmarkEnd w:id="31"/>
      <w:bookmarkEnd w:id="32"/>
    </w:p>
    <w:bookmarkEnd w:id="27"/>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33" w:name="_Toc350325975"/>
      <w:bookmarkEnd w:id="33"/>
      <w:bookmarkStart w:id="34" w:name="_Toc350329399"/>
      <w:bookmarkEnd w:id="34"/>
      <w:bookmarkStart w:id="35" w:name="_Toc350329395"/>
      <w:bookmarkEnd w:id="35"/>
      <w:bookmarkStart w:id="36" w:name="_Toc350329412"/>
      <w:bookmarkEnd w:id="36"/>
      <w:bookmarkStart w:id="37" w:name="_Toc350329408"/>
      <w:bookmarkEnd w:id="37"/>
      <w:bookmarkStart w:id="38" w:name="_Toc350329406"/>
      <w:bookmarkEnd w:id="38"/>
      <w:bookmarkStart w:id="39" w:name="_Toc350329404"/>
      <w:bookmarkEnd w:id="39"/>
      <w:bookmarkStart w:id="40" w:name="_Toc350265937"/>
      <w:bookmarkEnd w:id="40"/>
      <w:bookmarkStart w:id="41" w:name="_Toc350235037"/>
      <w:bookmarkEnd w:id="41"/>
      <w:bookmarkStart w:id="42" w:name="_Toc350329405"/>
      <w:bookmarkEnd w:id="42"/>
      <w:bookmarkStart w:id="43" w:name="_Toc350032031"/>
      <w:bookmarkEnd w:id="43"/>
      <w:bookmarkStart w:id="44" w:name="_Toc350329397"/>
      <w:bookmarkEnd w:id="44"/>
      <w:bookmarkStart w:id="45" w:name="_Toc350329392"/>
      <w:bookmarkEnd w:id="45"/>
      <w:bookmarkStart w:id="46" w:name="_Toc350329403"/>
      <w:bookmarkEnd w:id="46"/>
      <w:bookmarkStart w:id="47" w:name="_Toc350329402"/>
      <w:bookmarkEnd w:id="47"/>
      <w:bookmarkStart w:id="48" w:name="_Toc350329409"/>
      <w:bookmarkEnd w:id="48"/>
      <w:bookmarkStart w:id="49" w:name="_Toc350329411"/>
      <w:bookmarkEnd w:id="49"/>
      <w:bookmarkStart w:id="50" w:name="_Toc350329393"/>
      <w:bookmarkEnd w:id="50"/>
      <w:bookmarkStart w:id="51" w:name="_Toc350329407"/>
      <w:bookmarkEnd w:id="51"/>
      <w:bookmarkStart w:id="52" w:name="_Toc350329396"/>
      <w:bookmarkEnd w:id="52"/>
      <w:bookmarkStart w:id="53" w:name="_Toc350329394"/>
      <w:bookmarkEnd w:id="53"/>
      <w:bookmarkStart w:id="54" w:name="_Toc350329400"/>
      <w:bookmarkEnd w:id="54"/>
      <w:bookmarkStart w:id="55" w:name="_Toc350033527"/>
      <w:bookmarkEnd w:id="55"/>
      <w:bookmarkStart w:id="56" w:name="_Toc350329398"/>
      <w:bookmarkEnd w:id="56"/>
      <w:bookmarkStart w:id="57" w:name="_Toc350329401"/>
      <w:bookmarkEnd w:id="57"/>
      <w:bookmarkStart w:id="58" w:name="_Toc350329410"/>
      <w:bookmarkEnd w:id="58"/>
      <w:bookmarkStart w:id="59" w:name="_Toc73"/>
      <w:bookmarkStart w:id="60" w:name="_Toc26720"/>
      <w:bookmarkStart w:id="61" w:name="_Toc29012"/>
      <w:bookmarkStart w:id="62" w:name="_Toc2219"/>
      <w:bookmarkStart w:id="63" w:name="_Toc7132"/>
      <w:bookmarkStart w:id="64" w:name="_Toc8301"/>
      <w:bookmarkStart w:id="65" w:name="_Toc17977"/>
      <w:bookmarkStart w:id="66" w:name="_Toc349220119"/>
      <w:bookmarkStart w:id="67" w:name="_Toc38896850"/>
      <w:r>
        <w:rPr>
          <w:rFonts w:hint="eastAsia" w:ascii="宋体" w:hAnsi="宋体"/>
          <w:b/>
          <w:bCs/>
          <w:color w:val="000000"/>
          <w:sz w:val="21"/>
          <w:szCs w:val="21"/>
        </w:rPr>
        <w:t>技术要求</w:t>
      </w:r>
      <w:bookmarkEnd w:id="59"/>
      <w:bookmarkEnd w:id="60"/>
      <w:bookmarkEnd w:id="61"/>
      <w:bookmarkEnd w:id="62"/>
      <w:bookmarkEnd w:id="63"/>
      <w:bookmarkEnd w:id="64"/>
      <w:bookmarkEnd w:id="65"/>
    </w:p>
    <w:p>
      <w:pPr>
        <w:pStyle w:val="17"/>
        <w:numPr>
          <w:ilvl w:val="2"/>
          <w:numId w:val="6"/>
        </w:numPr>
        <w:rPr>
          <w:rFonts w:hint="eastAsia" w:ascii="宋体" w:hAnsi="宋体"/>
          <w:color w:val="000000"/>
          <w:sz w:val="21"/>
          <w:szCs w:val="21"/>
        </w:rPr>
      </w:pPr>
      <w:r>
        <w:rPr>
          <w:rFonts w:hint="eastAsia" w:ascii="宋体" w:hAnsi="宋体"/>
          <w:color w:val="000000"/>
          <w:sz w:val="21"/>
          <w:szCs w:val="21"/>
          <w:lang w:val="en-US" w:eastAsia="zh-CN"/>
        </w:rPr>
        <w:t>资格要求：</w:t>
      </w:r>
      <w:r>
        <w:rPr>
          <w:rStyle w:val="54"/>
          <w:rFonts w:hint="default"/>
          <w:color w:val="auto"/>
          <w:sz w:val="21"/>
          <w:szCs w:val="21"/>
        </w:rPr>
        <w:t>投标人具有合法有效的企业法人营业执照、税务登记证及组织机构代码证或证照合一的营业执照，投标时需提供原件扫描件（原件备查）</w:t>
      </w:r>
      <w:r>
        <w:rPr>
          <w:rStyle w:val="54"/>
          <w:rFonts w:hint="eastAsia" w:eastAsia="宋体"/>
          <w:color w:val="auto"/>
          <w:sz w:val="21"/>
          <w:szCs w:val="21"/>
          <w:lang w:eastAsia="zh-CN"/>
        </w:rPr>
        <w:t>。</w:t>
      </w:r>
    </w:p>
    <w:p>
      <w:pPr>
        <w:pStyle w:val="17"/>
        <w:numPr>
          <w:ilvl w:val="2"/>
          <w:numId w:val="6"/>
        </w:numPr>
        <w:rPr>
          <w:rFonts w:hint="eastAsia" w:ascii="宋体" w:hAnsi="宋体"/>
          <w:color w:val="000000"/>
          <w:sz w:val="21"/>
          <w:szCs w:val="21"/>
        </w:rPr>
      </w:pPr>
      <w:r>
        <w:rPr>
          <w:rStyle w:val="54"/>
          <w:rFonts w:hint="default"/>
          <w:sz w:val="21"/>
          <w:szCs w:val="21"/>
          <w:highlight w:val="none"/>
        </w:rPr>
        <w:t>★</w:t>
      </w:r>
      <w:r>
        <w:rPr>
          <w:rStyle w:val="54"/>
          <w:rFonts w:hint="default"/>
          <w:sz w:val="21"/>
          <w:szCs w:val="21"/>
        </w:rPr>
        <w:t>资质要求：</w:t>
      </w:r>
      <w:r>
        <w:rPr>
          <w:rStyle w:val="54"/>
          <w:rFonts w:hint="eastAsia" w:cs="Times New Roman"/>
          <w:b w:val="0"/>
          <w:bCs w:val="0"/>
          <w:i w:val="0"/>
          <w:iCs w:val="0"/>
          <w:kern w:val="2"/>
          <w:sz w:val="21"/>
          <w:szCs w:val="21"/>
          <w:lang w:val="en-US" w:eastAsia="zh-CN" w:bidi="ar-SA"/>
        </w:rPr>
        <w:t>投标人具有省、自治区、直辖市卫生健康主管部门认可及颁发的职业卫生技术服务机构资质证书。</w:t>
      </w:r>
    </w:p>
    <w:p>
      <w:pPr>
        <w:numPr>
          <w:ilvl w:val="2"/>
          <w:numId w:val="6"/>
        </w:numPr>
        <w:spacing w:line="360" w:lineRule="auto"/>
        <w:rPr>
          <w:rStyle w:val="54"/>
          <w:rFonts w:ascii="宋体" w:hAnsi="宋体" w:eastAsia="宋体"/>
          <w:color w:val="000000"/>
          <w:szCs w:val="21"/>
        </w:rPr>
      </w:pPr>
      <w:r>
        <w:rPr>
          <w:rFonts w:hint="eastAsia"/>
          <w:lang w:val="en-US" w:eastAsia="zh-CN"/>
        </w:rPr>
        <w:t>★</w:t>
      </w:r>
      <w:r>
        <w:rPr>
          <w:rStyle w:val="54"/>
          <w:rFonts w:hint="default"/>
          <w:sz w:val="21"/>
          <w:szCs w:val="21"/>
        </w:rPr>
        <w:t>业绩要求：2021年1月1日至投标截止日（以合同签署时间为准），投标人至少完成</w:t>
      </w:r>
      <w:r>
        <w:rPr>
          <w:rStyle w:val="54"/>
          <w:rFonts w:hint="eastAsia" w:eastAsia="宋体"/>
          <w:sz w:val="21"/>
          <w:szCs w:val="21"/>
          <w:lang w:eastAsia="zh-CN"/>
        </w:rPr>
        <w:t>2</w:t>
      </w:r>
      <w:r>
        <w:rPr>
          <w:rStyle w:val="54"/>
          <w:rFonts w:hint="default"/>
          <w:sz w:val="21"/>
          <w:szCs w:val="21"/>
        </w:rPr>
        <w:t>项承担</w:t>
      </w:r>
      <w:r>
        <w:rPr>
          <w:rStyle w:val="54"/>
          <w:rFonts w:hint="eastAsia" w:eastAsia="宋体"/>
          <w:sz w:val="21"/>
          <w:szCs w:val="21"/>
          <w:lang w:val="en-US" w:eastAsia="zh-CN"/>
        </w:rPr>
        <w:t>同行业或相近行业</w:t>
      </w:r>
      <w:r>
        <w:rPr>
          <w:rStyle w:val="54"/>
          <w:rFonts w:hint="default"/>
          <w:sz w:val="21"/>
          <w:szCs w:val="21"/>
        </w:rPr>
        <w:t>职业危害因素监测</w:t>
      </w:r>
      <w:r>
        <w:rPr>
          <w:rStyle w:val="54"/>
          <w:rFonts w:hint="eastAsia" w:eastAsia="宋体"/>
          <w:sz w:val="21"/>
          <w:szCs w:val="21"/>
          <w:lang w:val="en-US" w:eastAsia="zh-CN"/>
        </w:rPr>
        <w:t>和</w:t>
      </w:r>
      <w:r>
        <w:rPr>
          <w:rStyle w:val="54"/>
          <w:rFonts w:hint="default"/>
          <w:sz w:val="21"/>
          <w:szCs w:val="21"/>
        </w:rPr>
        <w:t>职业卫生现状评价的合同业绩。业绩证明文件包括但不限于：1）合同和2）服务验收证明材料(或结算发票)。投标人所提交的业绩证明文件必须至少体现以下内容：合同签署时间、合同名称、合同工作内容、</w:t>
      </w:r>
      <w:r>
        <w:rPr>
          <w:rStyle w:val="54"/>
          <w:rFonts w:hint="default" w:ascii="宋体" w:hAnsi="宋体" w:eastAsia="宋体"/>
          <w:sz w:val="21"/>
          <w:szCs w:val="21"/>
        </w:rPr>
        <w:t>现状评价报告复印件</w:t>
      </w:r>
      <w:r>
        <w:rPr>
          <w:rStyle w:val="54"/>
          <w:rFonts w:hint="eastAsia" w:ascii="宋体" w:hAnsi="宋体" w:eastAsia="宋体"/>
          <w:sz w:val="21"/>
          <w:szCs w:val="21"/>
          <w:lang w:eastAsia="zh-CN"/>
        </w:rPr>
        <w:t>、</w:t>
      </w:r>
      <w:r>
        <w:rPr>
          <w:rStyle w:val="54"/>
          <w:rFonts w:hint="default"/>
          <w:sz w:val="21"/>
          <w:szCs w:val="21"/>
        </w:rPr>
        <w:t>服务验收证明材料(或结算发票)。未提交业绩证明文件，或所提供的业绩证明文件无法认定满足上述要求的，均视为无效业绩。</w:t>
      </w:r>
    </w:p>
    <w:p>
      <w:pPr>
        <w:numPr>
          <w:ilvl w:val="2"/>
          <w:numId w:val="6"/>
        </w:numPr>
        <w:spacing w:line="360" w:lineRule="auto"/>
        <w:rPr>
          <w:rStyle w:val="54"/>
          <w:rFonts w:hint="default"/>
          <w:sz w:val="21"/>
          <w:szCs w:val="21"/>
        </w:rPr>
      </w:pPr>
      <w:r>
        <w:rPr>
          <w:rStyle w:val="54"/>
          <w:rFonts w:hint="default"/>
          <w:sz w:val="21"/>
          <w:szCs w:val="21"/>
        </w:rPr>
        <w:t>★人员要求：</w:t>
      </w:r>
      <w:r>
        <w:rPr>
          <w:rStyle w:val="54"/>
          <w:rFonts w:hint="eastAsia"/>
          <w:sz w:val="21"/>
          <w:szCs w:val="21"/>
        </w:rPr>
        <w:t>投标人须满足</w:t>
      </w:r>
      <w:r>
        <w:rPr>
          <w:rStyle w:val="54"/>
          <w:rFonts w:hint="eastAsia" w:eastAsia="宋体"/>
          <w:sz w:val="21"/>
          <w:szCs w:val="21"/>
          <w:lang w:val="en-US" w:eastAsia="zh-CN"/>
        </w:rPr>
        <w:t>以下条件，</w:t>
      </w:r>
      <w:r>
        <w:rPr>
          <w:rStyle w:val="54"/>
          <w:rFonts w:hint="eastAsia"/>
          <w:sz w:val="21"/>
          <w:szCs w:val="21"/>
        </w:rPr>
        <w:t>不满足则按无效投标处理：</w:t>
      </w:r>
    </w:p>
    <w:p>
      <w:pPr>
        <w:numPr>
          <w:ilvl w:val="0"/>
          <w:numId w:val="7"/>
        </w:numPr>
        <w:spacing w:line="360" w:lineRule="auto"/>
        <w:ind w:left="425" w:hanging="425"/>
        <w:rPr>
          <w:rStyle w:val="54"/>
          <w:rFonts w:hint="default"/>
          <w:sz w:val="21"/>
          <w:szCs w:val="21"/>
        </w:rPr>
      </w:pPr>
      <w:r>
        <w:rPr>
          <w:rStyle w:val="54"/>
          <w:rFonts w:hint="eastAsia"/>
          <w:sz w:val="21"/>
          <w:szCs w:val="21"/>
        </w:rPr>
        <w:t>职业卫生专</w:t>
      </w:r>
      <w:r>
        <w:rPr>
          <w:rStyle w:val="54"/>
          <w:rFonts w:hint="default"/>
          <w:sz w:val="21"/>
          <w:szCs w:val="21"/>
        </w:rPr>
        <w:t>职</w:t>
      </w:r>
      <w:r>
        <w:rPr>
          <w:rStyle w:val="54"/>
          <w:rFonts w:hint="eastAsia" w:eastAsia="宋体"/>
          <w:sz w:val="21"/>
          <w:szCs w:val="21"/>
          <w:lang w:eastAsia="zh-CN"/>
        </w:rPr>
        <w:t>业</w:t>
      </w:r>
      <w:r>
        <w:rPr>
          <w:rStyle w:val="54"/>
          <w:rFonts w:hint="eastAsia"/>
          <w:sz w:val="21"/>
          <w:szCs w:val="21"/>
        </w:rPr>
        <w:t>技术人员≥15名</w:t>
      </w:r>
      <w:r>
        <w:rPr>
          <w:rStyle w:val="54"/>
          <w:rFonts w:eastAsia="宋体"/>
          <w:sz w:val="21"/>
          <w:szCs w:val="21"/>
          <w:lang w:eastAsia="zh-CN"/>
        </w:rPr>
        <w:t>，</w:t>
      </w:r>
      <w:r>
        <w:rPr>
          <w:rStyle w:val="54"/>
          <w:rFonts w:hint="eastAsia" w:ascii="宋体" w:hAnsi="宋体" w:eastAsia="宋体" w:cs="Times New Roman"/>
          <w:b w:val="0"/>
          <w:bCs w:val="0"/>
          <w:i w:val="0"/>
          <w:iCs w:val="0"/>
          <w:sz w:val="21"/>
          <w:szCs w:val="21"/>
          <w:highlight w:val="none"/>
          <w:lang w:val="en-US" w:eastAsia="zh-CN"/>
        </w:rPr>
        <w:t>其中</w:t>
      </w:r>
      <w:r>
        <w:rPr>
          <w:rStyle w:val="54"/>
          <w:rFonts w:hint="default" w:ascii="宋体" w:hAnsi="宋体" w:eastAsia="宋体" w:cs="Times New Roman"/>
          <w:b w:val="0"/>
          <w:bCs w:val="0"/>
          <w:i w:val="0"/>
          <w:iCs w:val="0"/>
          <w:sz w:val="21"/>
          <w:szCs w:val="21"/>
          <w:highlight w:val="none"/>
          <w:lang w:val="en-US" w:eastAsia="zh-CN"/>
        </w:rPr>
        <w:t>包含</w:t>
      </w:r>
      <w:r>
        <w:rPr>
          <w:rStyle w:val="54"/>
          <w:rFonts w:hint="eastAsia"/>
          <w:sz w:val="21"/>
          <w:szCs w:val="21"/>
        </w:rPr>
        <w:t>专职技术负责人</w:t>
      </w:r>
      <w:r>
        <w:rPr>
          <w:rStyle w:val="54"/>
          <w:rFonts w:hint="default" w:ascii="宋体" w:hAnsi="宋体" w:eastAsia="宋体" w:cs="Times New Roman"/>
          <w:b w:val="0"/>
          <w:bCs w:val="0"/>
          <w:i w:val="0"/>
          <w:iCs w:val="0"/>
          <w:sz w:val="21"/>
          <w:szCs w:val="21"/>
          <w:highlight w:val="yellow"/>
          <w:u w:val="single"/>
          <w:lang w:val="en-US" w:eastAsia="zh-CN"/>
        </w:rPr>
        <w:t>、</w:t>
      </w:r>
      <w:r>
        <w:rPr>
          <w:rStyle w:val="54"/>
          <w:rFonts w:hint="default"/>
          <w:sz w:val="21"/>
          <w:szCs w:val="21"/>
        </w:rPr>
        <w:t>质量控制负责人</w:t>
      </w:r>
      <w:r>
        <w:rPr>
          <w:rStyle w:val="54"/>
          <w:rFonts w:hint="eastAsia" w:eastAsia="宋体"/>
          <w:sz w:val="21"/>
          <w:szCs w:val="21"/>
          <w:lang w:val="en-US" w:eastAsia="zh-CN"/>
        </w:rPr>
        <w:t>及其他职业卫生专业技术人员</w:t>
      </w:r>
      <w:r>
        <w:rPr>
          <w:rStyle w:val="54"/>
          <w:rFonts w:hint="eastAsia"/>
          <w:sz w:val="21"/>
          <w:szCs w:val="21"/>
        </w:rPr>
        <w:t>；</w:t>
      </w:r>
    </w:p>
    <w:p>
      <w:pPr>
        <w:numPr>
          <w:ilvl w:val="0"/>
          <w:numId w:val="7"/>
        </w:numPr>
        <w:spacing w:line="360" w:lineRule="auto"/>
        <w:ind w:left="425" w:hanging="425"/>
        <w:rPr>
          <w:rStyle w:val="54"/>
          <w:sz w:val="21"/>
          <w:szCs w:val="21"/>
        </w:rPr>
      </w:pPr>
      <w:r>
        <w:rPr>
          <w:rStyle w:val="54"/>
          <w:rFonts w:hint="eastAsia"/>
          <w:sz w:val="21"/>
          <w:szCs w:val="21"/>
        </w:rPr>
        <w:t>专职技术负责人</w:t>
      </w:r>
      <w:r>
        <w:rPr>
          <w:rStyle w:val="54"/>
          <w:rFonts w:hint="eastAsia" w:eastAsia="宋体"/>
          <w:sz w:val="21"/>
          <w:szCs w:val="21"/>
          <w:lang w:val="en-US" w:eastAsia="zh-CN"/>
        </w:rPr>
        <w:t>至少</w:t>
      </w:r>
      <w:r>
        <w:rPr>
          <w:rStyle w:val="54"/>
          <w:rFonts w:hint="eastAsia" w:eastAsia="宋体"/>
          <w:sz w:val="21"/>
          <w:szCs w:val="21"/>
          <w:highlight w:val="yellow"/>
          <w:u w:val="single"/>
          <w:lang w:val="en-US" w:eastAsia="zh-CN"/>
        </w:rPr>
        <w:t>1</w:t>
      </w:r>
      <w:r>
        <w:rPr>
          <w:rStyle w:val="54"/>
          <w:rFonts w:hint="eastAsia" w:eastAsia="宋体"/>
          <w:sz w:val="21"/>
          <w:szCs w:val="21"/>
          <w:highlight w:val="yellow"/>
          <w:lang w:val="en-US" w:eastAsia="zh-CN"/>
        </w:rPr>
        <w:t>人</w:t>
      </w:r>
      <w:r>
        <w:rPr>
          <w:rStyle w:val="54"/>
          <w:rFonts w:hint="eastAsia"/>
          <w:sz w:val="21"/>
          <w:szCs w:val="21"/>
        </w:rPr>
        <w:t>（</w:t>
      </w:r>
      <w:bookmarkStart w:id="68" w:name="OLE_LINK4"/>
      <w:r>
        <w:rPr>
          <w:rStyle w:val="54"/>
          <w:rFonts w:hint="eastAsia" w:eastAsia="宋体"/>
          <w:sz w:val="21"/>
          <w:szCs w:val="21"/>
          <w:lang w:val="en-US" w:eastAsia="zh-CN"/>
        </w:rPr>
        <w:t>获得</w:t>
      </w:r>
      <w:r>
        <w:rPr>
          <w:rStyle w:val="54"/>
          <w:rFonts w:hint="eastAsia"/>
          <w:sz w:val="21"/>
          <w:szCs w:val="21"/>
        </w:rPr>
        <w:t>职业卫生</w:t>
      </w:r>
      <w:r>
        <w:rPr>
          <w:rStyle w:val="54"/>
          <w:rFonts w:hint="eastAsia" w:eastAsia="宋体"/>
          <w:sz w:val="21"/>
          <w:szCs w:val="21"/>
          <w:lang w:val="en-US" w:eastAsia="zh-CN"/>
        </w:rPr>
        <w:t>相关专业</w:t>
      </w:r>
      <w:bookmarkEnd w:id="68"/>
      <w:r>
        <w:rPr>
          <w:rStyle w:val="54"/>
          <w:rFonts w:hint="default"/>
          <w:sz w:val="21"/>
          <w:szCs w:val="21"/>
        </w:rPr>
        <w:t>高级专业技术职称</w:t>
      </w:r>
      <w:r>
        <w:rPr>
          <w:rStyle w:val="54"/>
          <w:rFonts w:hint="eastAsia" w:eastAsia="宋体"/>
          <w:sz w:val="21"/>
          <w:szCs w:val="21"/>
          <w:lang w:val="en-US" w:eastAsia="zh-CN"/>
        </w:rPr>
        <w:t>且满三年</w:t>
      </w:r>
      <w:r>
        <w:rPr>
          <w:rStyle w:val="54"/>
          <w:rFonts w:hint="eastAsia" w:eastAsia="宋体"/>
          <w:sz w:val="21"/>
          <w:szCs w:val="21"/>
          <w:lang w:eastAsia="zh-CN"/>
        </w:rPr>
        <w:t>，或</w:t>
      </w:r>
      <w:r>
        <w:rPr>
          <w:rStyle w:val="54"/>
          <w:rFonts w:hint="eastAsia" w:eastAsia="宋体"/>
          <w:sz w:val="21"/>
          <w:szCs w:val="21"/>
          <w:lang w:val="en-US" w:eastAsia="zh-CN"/>
        </w:rPr>
        <w:t>获得</w:t>
      </w:r>
      <w:r>
        <w:rPr>
          <w:rStyle w:val="54"/>
          <w:rFonts w:hint="default"/>
          <w:sz w:val="21"/>
          <w:szCs w:val="21"/>
        </w:rPr>
        <w:t>中级专业技术职称</w:t>
      </w:r>
      <w:r>
        <w:rPr>
          <w:rStyle w:val="54"/>
          <w:rFonts w:hint="eastAsia" w:eastAsia="宋体"/>
          <w:sz w:val="21"/>
          <w:szCs w:val="21"/>
          <w:lang w:val="en-US" w:eastAsia="zh-CN"/>
        </w:rPr>
        <w:t>且满8年</w:t>
      </w:r>
      <w:r>
        <w:rPr>
          <w:rStyle w:val="54"/>
          <w:rFonts w:hint="eastAsia" w:eastAsia="宋体"/>
          <w:sz w:val="21"/>
          <w:szCs w:val="21"/>
          <w:lang w:eastAsia="zh-CN"/>
        </w:rPr>
        <w:t>）；</w:t>
      </w:r>
    </w:p>
    <w:p>
      <w:pPr>
        <w:numPr>
          <w:ilvl w:val="0"/>
          <w:numId w:val="7"/>
        </w:numPr>
        <w:spacing w:line="360" w:lineRule="auto"/>
        <w:ind w:left="425" w:hanging="425"/>
        <w:rPr>
          <w:rStyle w:val="54"/>
          <w:sz w:val="21"/>
          <w:szCs w:val="21"/>
        </w:rPr>
      </w:pPr>
      <w:r>
        <w:rPr>
          <w:rStyle w:val="54"/>
          <w:rFonts w:hint="default"/>
          <w:sz w:val="21"/>
          <w:szCs w:val="21"/>
        </w:rPr>
        <w:t>质量控制负责人</w:t>
      </w:r>
      <w:r>
        <w:rPr>
          <w:rStyle w:val="54"/>
          <w:rFonts w:hint="eastAsia" w:eastAsia="宋体"/>
          <w:sz w:val="21"/>
          <w:szCs w:val="21"/>
          <w:lang w:val="en-US" w:eastAsia="zh-CN"/>
        </w:rPr>
        <w:t>至少</w:t>
      </w:r>
      <w:r>
        <w:rPr>
          <w:rStyle w:val="54"/>
          <w:rFonts w:hint="eastAsia" w:eastAsia="宋体"/>
          <w:sz w:val="21"/>
          <w:szCs w:val="21"/>
          <w:highlight w:val="yellow"/>
          <w:u w:val="single"/>
          <w:lang w:val="en-US" w:eastAsia="zh-CN"/>
        </w:rPr>
        <w:t>1</w:t>
      </w:r>
      <w:r>
        <w:rPr>
          <w:rStyle w:val="54"/>
          <w:rFonts w:hint="eastAsia" w:eastAsia="宋体"/>
          <w:sz w:val="21"/>
          <w:szCs w:val="21"/>
          <w:highlight w:val="yellow"/>
          <w:lang w:val="en-US" w:eastAsia="zh-CN"/>
        </w:rPr>
        <w:t>人</w:t>
      </w:r>
      <w:r>
        <w:rPr>
          <w:rStyle w:val="54"/>
          <w:rFonts w:hint="eastAsia"/>
          <w:sz w:val="21"/>
          <w:szCs w:val="21"/>
        </w:rPr>
        <w:t>（</w:t>
      </w:r>
      <w:r>
        <w:rPr>
          <w:rStyle w:val="54"/>
          <w:rFonts w:hint="eastAsia" w:eastAsia="宋体"/>
          <w:sz w:val="21"/>
          <w:szCs w:val="21"/>
          <w:lang w:val="en-US" w:eastAsia="zh-CN"/>
        </w:rPr>
        <w:t>获得</w:t>
      </w:r>
      <w:r>
        <w:rPr>
          <w:rStyle w:val="54"/>
          <w:rFonts w:hint="eastAsia"/>
          <w:sz w:val="21"/>
          <w:szCs w:val="21"/>
        </w:rPr>
        <w:t>职业卫生</w:t>
      </w:r>
      <w:r>
        <w:rPr>
          <w:rStyle w:val="54"/>
          <w:rFonts w:hint="eastAsia" w:eastAsia="宋体"/>
          <w:sz w:val="21"/>
          <w:szCs w:val="21"/>
          <w:lang w:val="en-US" w:eastAsia="zh-CN"/>
        </w:rPr>
        <w:t>相关专业</w:t>
      </w:r>
      <w:r>
        <w:rPr>
          <w:rStyle w:val="54"/>
          <w:rFonts w:hint="default"/>
          <w:sz w:val="21"/>
          <w:szCs w:val="21"/>
        </w:rPr>
        <w:t>高级专业技术职称</w:t>
      </w:r>
      <w:r>
        <w:rPr>
          <w:rStyle w:val="54"/>
          <w:rFonts w:hint="eastAsia" w:eastAsia="宋体"/>
          <w:sz w:val="21"/>
          <w:szCs w:val="21"/>
          <w:lang w:val="en-US" w:eastAsia="zh-CN"/>
        </w:rPr>
        <w:t>且满三年</w:t>
      </w:r>
      <w:r>
        <w:rPr>
          <w:rStyle w:val="54"/>
          <w:rFonts w:hint="eastAsia" w:eastAsia="宋体"/>
          <w:sz w:val="21"/>
          <w:szCs w:val="21"/>
          <w:lang w:eastAsia="zh-CN"/>
        </w:rPr>
        <w:t>，或</w:t>
      </w:r>
      <w:r>
        <w:rPr>
          <w:rStyle w:val="54"/>
          <w:rFonts w:hint="eastAsia" w:eastAsia="宋体"/>
          <w:sz w:val="21"/>
          <w:szCs w:val="21"/>
          <w:lang w:val="en-US" w:eastAsia="zh-CN"/>
        </w:rPr>
        <w:t>获得</w:t>
      </w:r>
      <w:r>
        <w:rPr>
          <w:rStyle w:val="54"/>
          <w:rFonts w:hint="default"/>
          <w:sz w:val="21"/>
          <w:szCs w:val="21"/>
        </w:rPr>
        <w:t>中级专业技术职称</w:t>
      </w:r>
      <w:r>
        <w:rPr>
          <w:rStyle w:val="54"/>
          <w:rFonts w:hint="eastAsia" w:eastAsia="宋体"/>
          <w:sz w:val="21"/>
          <w:szCs w:val="21"/>
          <w:lang w:val="en-US" w:eastAsia="zh-CN"/>
        </w:rPr>
        <w:t>且满5年</w:t>
      </w:r>
      <w:r>
        <w:rPr>
          <w:rStyle w:val="54"/>
          <w:rFonts w:hint="eastAsia"/>
          <w:sz w:val="21"/>
          <w:szCs w:val="21"/>
        </w:rPr>
        <w:t>）；</w:t>
      </w:r>
    </w:p>
    <w:p>
      <w:pPr>
        <w:numPr>
          <w:ilvl w:val="0"/>
          <w:numId w:val="7"/>
        </w:numPr>
        <w:spacing w:line="360" w:lineRule="auto"/>
        <w:ind w:left="425" w:hanging="425"/>
        <w:rPr>
          <w:rStyle w:val="54"/>
          <w:sz w:val="21"/>
          <w:szCs w:val="21"/>
        </w:rPr>
      </w:pPr>
      <w:r>
        <w:rPr>
          <w:rStyle w:val="54"/>
          <w:rFonts w:hint="eastAsia" w:eastAsia="宋体"/>
          <w:sz w:val="21"/>
          <w:szCs w:val="21"/>
          <w:lang w:val="en-US" w:eastAsia="zh-CN"/>
        </w:rPr>
        <w:t>投标时需</w:t>
      </w:r>
      <w:r>
        <w:rPr>
          <w:rStyle w:val="54"/>
          <w:rFonts w:hint="eastAsia"/>
          <w:sz w:val="21"/>
          <w:szCs w:val="21"/>
        </w:rPr>
        <w:t>提供</w:t>
      </w:r>
      <w:r>
        <w:rPr>
          <w:rStyle w:val="54"/>
          <w:rFonts w:hint="eastAsia" w:eastAsia="宋体"/>
          <w:sz w:val="21"/>
          <w:szCs w:val="21"/>
          <w:lang w:val="en-US" w:eastAsia="zh-CN"/>
        </w:rPr>
        <w:t>技术人员</w:t>
      </w:r>
      <w:r>
        <w:rPr>
          <w:rStyle w:val="54"/>
          <w:rFonts w:hint="eastAsia"/>
          <w:sz w:val="21"/>
          <w:szCs w:val="21"/>
        </w:rPr>
        <w:t>职称、资格证、社保证明等材料</w:t>
      </w:r>
      <w:r>
        <w:rPr>
          <w:rStyle w:val="54"/>
          <w:rFonts w:hint="eastAsia" w:ascii="宋体" w:hAnsi="宋体" w:eastAsia="宋体"/>
          <w:sz w:val="21"/>
          <w:szCs w:val="21"/>
          <w:lang w:eastAsia="zh-CN"/>
        </w:rPr>
        <w:t>，</w:t>
      </w:r>
      <w:r>
        <w:rPr>
          <w:rStyle w:val="54"/>
          <w:rFonts w:hint="eastAsia" w:ascii="宋体" w:hAnsi="宋体" w:eastAsia="宋体"/>
          <w:sz w:val="21"/>
          <w:szCs w:val="21"/>
        </w:rPr>
        <w:t>具体</w:t>
      </w:r>
      <w:r>
        <w:rPr>
          <w:rStyle w:val="54"/>
          <w:rFonts w:hint="eastAsia" w:eastAsia="宋体"/>
          <w:sz w:val="21"/>
          <w:szCs w:val="21"/>
          <w:lang w:val="en-US" w:eastAsia="zh-CN"/>
        </w:rPr>
        <w:t>技术人员</w:t>
      </w:r>
      <w:r>
        <w:rPr>
          <w:rStyle w:val="54"/>
          <w:rFonts w:hint="eastAsia" w:eastAsia="宋体"/>
          <w:sz w:val="21"/>
          <w:szCs w:val="21"/>
          <w:lang w:eastAsia="zh-CN"/>
        </w:rPr>
        <w:t>数量</w:t>
      </w:r>
      <w:r>
        <w:rPr>
          <w:rStyle w:val="54"/>
          <w:rFonts w:hint="eastAsia" w:ascii="宋体" w:hAnsi="宋体" w:eastAsia="宋体"/>
          <w:sz w:val="21"/>
          <w:szCs w:val="21"/>
        </w:rPr>
        <w:t>由</w:t>
      </w:r>
      <w:r>
        <w:rPr>
          <w:rStyle w:val="54"/>
          <w:rFonts w:hint="eastAsia" w:eastAsia="宋体"/>
          <w:sz w:val="21"/>
          <w:szCs w:val="21"/>
          <w:lang w:eastAsia="zh-CN"/>
        </w:rPr>
        <w:t>投标人</w:t>
      </w:r>
      <w:r>
        <w:rPr>
          <w:rStyle w:val="54"/>
          <w:rFonts w:hint="eastAsia" w:ascii="宋体" w:hAnsi="宋体" w:eastAsia="宋体"/>
          <w:sz w:val="21"/>
          <w:szCs w:val="21"/>
        </w:rPr>
        <w:t>依据自己人员技</w:t>
      </w:r>
      <w:r>
        <w:rPr>
          <w:rStyle w:val="54"/>
          <w:rFonts w:hint="eastAsia" w:eastAsia="宋体"/>
          <w:sz w:val="21"/>
          <w:szCs w:val="21"/>
          <w:lang w:eastAsia="zh-CN"/>
        </w:rPr>
        <w:t>术</w:t>
      </w:r>
      <w:r>
        <w:rPr>
          <w:rStyle w:val="54"/>
          <w:rFonts w:hint="eastAsia" w:ascii="宋体" w:hAnsi="宋体" w:eastAsia="宋体"/>
          <w:sz w:val="21"/>
          <w:szCs w:val="21"/>
        </w:rPr>
        <w:t>水平评估确认后报出（附件2 表1 人力动员计划）；</w:t>
      </w:r>
    </w:p>
    <w:p>
      <w:pPr>
        <w:numPr>
          <w:ilvl w:val="2"/>
          <w:numId w:val="6"/>
        </w:numPr>
        <w:spacing w:line="360" w:lineRule="auto"/>
        <w:rPr>
          <w:rStyle w:val="54"/>
          <w:rFonts w:hint="default"/>
          <w:sz w:val="21"/>
          <w:szCs w:val="21"/>
        </w:rPr>
      </w:pPr>
      <w:r>
        <w:rPr>
          <w:rStyle w:val="54"/>
          <w:rFonts w:hint="default"/>
          <w:sz w:val="21"/>
          <w:szCs w:val="21"/>
        </w:rPr>
        <w:t>工</w:t>
      </w:r>
      <w:r>
        <w:rPr>
          <w:rStyle w:val="54"/>
          <w:rFonts w:hint="default"/>
          <w:sz w:val="21"/>
          <w:szCs w:val="21"/>
          <w:u w:val="none" w:color="EB3624"/>
        </w:rPr>
        <w:t>机</w:t>
      </w:r>
      <w:r>
        <w:rPr>
          <w:rStyle w:val="54"/>
          <w:rFonts w:hint="default"/>
          <w:sz w:val="21"/>
          <w:szCs w:val="21"/>
        </w:rPr>
        <w:t>具要求：</w:t>
      </w:r>
      <w:bookmarkStart w:id="69" w:name="OLE_LINK2"/>
      <w:r>
        <w:rPr>
          <w:rStyle w:val="54"/>
          <w:rFonts w:hint="eastAsia" w:eastAsia="宋体"/>
          <w:sz w:val="21"/>
          <w:szCs w:val="21"/>
          <w:lang w:val="en-US" w:eastAsia="zh-CN"/>
        </w:rPr>
        <w:t>投标人</w:t>
      </w:r>
      <w:bookmarkEnd w:id="69"/>
      <w:r>
        <w:rPr>
          <w:rStyle w:val="54"/>
          <w:rFonts w:hint="default"/>
          <w:sz w:val="21"/>
          <w:szCs w:val="21"/>
        </w:rPr>
        <w:t>具有与检测分析相适应的检测仪器、分析仪器及相应的检验分析技术</w:t>
      </w:r>
      <w:r>
        <w:rPr>
          <w:rStyle w:val="54"/>
          <w:rFonts w:hint="eastAsia" w:eastAsia="宋体"/>
          <w:sz w:val="21"/>
          <w:szCs w:val="21"/>
          <w:lang w:eastAsia="zh-CN"/>
        </w:rPr>
        <w:t>。</w:t>
      </w:r>
      <w:r>
        <w:rPr>
          <w:rStyle w:val="54"/>
          <w:rFonts w:hint="default" w:ascii="宋体" w:hAnsi="宋体" w:eastAsia="宋体" w:cs="Times New Roman"/>
          <w:b w:val="0"/>
          <w:bCs w:val="0"/>
          <w:i w:val="0"/>
          <w:iCs w:val="0"/>
          <w:sz w:val="21"/>
          <w:szCs w:val="21"/>
          <w:highlight w:val="none"/>
          <w:lang w:val="en-US" w:eastAsia="zh-CN"/>
        </w:rPr>
        <w:t>具体工机具计划由</w:t>
      </w:r>
      <w:r>
        <w:rPr>
          <w:rStyle w:val="54"/>
          <w:rFonts w:hint="eastAsia" w:eastAsia="宋体"/>
          <w:sz w:val="21"/>
          <w:szCs w:val="21"/>
          <w:lang w:val="en-US" w:eastAsia="zh-CN"/>
        </w:rPr>
        <w:t>投标人</w:t>
      </w:r>
      <w:r>
        <w:rPr>
          <w:rStyle w:val="54"/>
          <w:rFonts w:hint="default" w:ascii="宋体" w:hAnsi="宋体" w:eastAsia="宋体" w:cs="Times New Roman"/>
          <w:b w:val="0"/>
          <w:bCs w:val="0"/>
          <w:i w:val="0"/>
          <w:iCs w:val="0"/>
          <w:sz w:val="21"/>
          <w:szCs w:val="21"/>
          <w:highlight w:val="none"/>
          <w:lang w:val="en-US" w:eastAsia="zh-CN"/>
        </w:rPr>
        <w:t>依据自己评估确认后报出（附件</w:t>
      </w:r>
      <w:r>
        <w:rPr>
          <w:rStyle w:val="54"/>
          <w:rFonts w:hint="eastAsia" w:ascii="宋体" w:hAnsi="宋体" w:eastAsia="宋体" w:cs="Times New Roman"/>
          <w:b w:val="0"/>
          <w:bCs w:val="0"/>
          <w:i w:val="0"/>
          <w:iCs w:val="0"/>
          <w:sz w:val="21"/>
          <w:szCs w:val="21"/>
          <w:highlight w:val="none"/>
          <w:lang w:val="en-US" w:eastAsia="zh-CN"/>
        </w:rPr>
        <w:t>2</w:t>
      </w:r>
      <w:r>
        <w:rPr>
          <w:rStyle w:val="54"/>
          <w:rFonts w:hint="default" w:ascii="宋体" w:hAnsi="宋体" w:eastAsia="宋体" w:cs="Times New Roman"/>
          <w:b w:val="0"/>
          <w:bCs w:val="0"/>
          <w:i w:val="0"/>
          <w:iCs w:val="0"/>
          <w:sz w:val="21"/>
          <w:szCs w:val="21"/>
          <w:highlight w:val="none"/>
          <w:lang w:val="en-US" w:eastAsia="zh-CN"/>
        </w:rPr>
        <w:t>表2 工机具动员计划）</w:t>
      </w:r>
      <w:r>
        <w:rPr>
          <w:rStyle w:val="54"/>
          <w:rFonts w:hint="default"/>
          <w:sz w:val="21"/>
          <w:szCs w:val="21"/>
        </w:rPr>
        <w:t>。</w:t>
      </w:r>
    </w:p>
    <w:p>
      <w:pPr>
        <w:numPr>
          <w:ilvl w:val="2"/>
          <w:numId w:val="6"/>
        </w:numPr>
        <w:spacing w:line="360" w:lineRule="auto"/>
        <w:rPr>
          <w:rFonts w:ascii="宋体" w:hAnsi="宋体"/>
          <w:color w:val="000000"/>
        </w:rPr>
      </w:pPr>
      <w:r>
        <w:rPr>
          <w:rFonts w:hint="eastAsia" w:ascii="宋体" w:hAnsi="宋体"/>
          <w:color w:val="000000"/>
        </w:rPr>
        <w:t>职业病危害检测</w:t>
      </w:r>
    </w:p>
    <w:p>
      <w:pPr>
        <w:spacing w:line="360" w:lineRule="auto"/>
        <w:rPr>
          <w:rFonts w:hint="eastAsia" w:ascii="宋体" w:hAnsi="宋体"/>
          <w:color w:val="000000"/>
        </w:rPr>
      </w:pPr>
      <w:r>
        <w:rPr>
          <w:rFonts w:hint="eastAsia" w:ascii="宋体" w:hAnsi="宋体"/>
          <w:color w:val="000000"/>
        </w:rPr>
        <w:t>3.2.5.1.基本要求</w:t>
      </w:r>
    </w:p>
    <w:p>
      <w:pPr>
        <w:spacing w:line="360" w:lineRule="auto"/>
        <w:rPr>
          <w:rFonts w:hint="eastAsia" w:ascii="宋体" w:hAnsi="宋体"/>
          <w:color w:val="000000"/>
        </w:rPr>
      </w:pPr>
      <w:r>
        <w:rPr>
          <w:rFonts w:ascii="宋体" w:hAnsi="宋体"/>
          <w:color w:val="000000"/>
        </w:rPr>
        <w:t>a</w:t>
      </w:r>
      <w:r>
        <w:rPr>
          <w:rFonts w:hint="eastAsia" w:ascii="宋体" w:hAnsi="宋体"/>
          <w:color w:val="000000"/>
        </w:rPr>
        <w:t>）检</w:t>
      </w:r>
      <w:r>
        <w:rPr>
          <w:rStyle w:val="54"/>
          <w:rFonts w:hint="eastAsia" w:cs="Times New Roman"/>
          <w:b w:val="0"/>
          <w:bCs w:val="0"/>
          <w:i w:val="0"/>
          <w:iCs w:val="0"/>
          <w:sz w:val="21"/>
          <w:szCs w:val="21"/>
        </w:rPr>
        <w:t>测工作应遵循国家</w:t>
      </w:r>
      <w:r>
        <w:rPr>
          <w:rStyle w:val="54"/>
          <w:rFonts w:hint="eastAsia" w:cs="Times New Roman"/>
          <w:b w:val="0"/>
          <w:bCs w:val="0"/>
          <w:i w:val="0"/>
          <w:iCs w:val="0"/>
          <w:sz w:val="21"/>
          <w:szCs w:val="21"/>
          <w:lang w:val="en-US" w:eastAsia="zh-CN"/>
        </w:rPr>
        <w:t>标准</w:t>
      </w:r>
      <w:r>
        <w:rPr>
          <w:rStyle w:val="54"/>
          <w:rFonts w:hint="eastAsia" w:cs="Times New Roman"/>
          <w:b w:val="0"/>
          <w:bCs w:val="0"/>
          <w:i w:val="0"/>
          <w:iCs w:val="0"/>
          <w:sz w:val="21"/>
          <w:szCs w:val="21"/>
        </w:rPr>
        <w:t>规定，开展检测工作的机构应具有职业卫生</w:t>
      </w:r>
      <w:r>
        <w:rPr>
          <w:rStyle w:val="54"/>
          <w:rFonts w:hint="eastAsia" w:cs="Times New Roman"/>
          <w:b w:val="0"/>
          <w:bCs w:val="0"/>
          <w:i w:val="0"/>
          <w:iCs w:val="0"/>
          <w:sz w:val="21"/>
          <w:szCs w:val="21"/>
          <w:lang w:val="en-US" w:eastAsia="zh-CN"/>
        </w:rPr>
        <w:t>技术</w:t>
      </w:r>
      <w:r>
        <w:rPr>
          <w:rStyle w:val="54"/>
          <w:rFonts w:hint="eastAsia" w:cs="Times New Roman"/>
          <w:b w:val="0"/>
          <w:bCs w:val="0"/>
          <w:i w:val="0"/>
          <w:iCs w:val="0"/>
          <w:sz w:val="21"/>
          <w:szCs w:val="21"/>
        </w:rPr>
        <w:t>服务机构</w:t>
      </w:r>
      <w:r>
        <w:rPr>
          <w:rStyle w:val="54"/>
          <w:rFonts w:hint="eastAsia" w:cs="Times New Roman"/>
          <w:b w:val="0"/>
          <w:bCs w:val="0"/>
          <w:i w:val="0"/>
          <w:iCs w:val="0"/>
          <w:sz w:val="21"/>
          <w:szCs w:val="21"/>
          <w:lang w:val="en-US" w:eastAsia="zh-CN"/>
        </w:rPr>
        <w:t>资质，并不得分包。</w:t>
      </w:r>
    </w:p>
    <w:p>
      <w:pPr>
        <w:spacing w:line="360" w:lineRule="auto"/>
        <w:rPr>
          <w:rFonts w:hint="eastAsia" w:ascii="宋体" w:hAnsi="宋体"/>
          <w:color w:val="000000"/>
        </w:rPr>
      </w:pPr>
      <w:r>
        <w:rPr>
          <w:rFonts w:ascii="宋体" w:hAnsi="宋体"/>
          <w:color w:val="000000"/>
        </w:rPr>
        <w:t>b</w:t>
      </w:r>
      <w:r>
        <w:rPr>
          <w:rFonts w:hint="eastAsia" w:ascii="宋体" w:hAnsi="宋体"/>
          <w:color w:val="000000"/>
        </w:rPr>
        <w:t>）</w:t>
      </w:r>
      <w:r>
        <w:rPr>
          <w:rStyle w:val="54"/>
          <w:rFonts w:hint="eastAsia" w:cs="Times New Roman"/>
          <w:b w:val="0"/>
          <w:bCs w:val="0"/>
          <w:i w:val="0"/>
          <w:iCs w:val="0"/>
          <w:sz w:val="21"/>
          <w:szCs w:val="21"/>
          <w:lang w:val="en-US" w:eastAsia="zh-CN"/>
        </w:rPr>
        <w:t>样品的保存条件和保存时限应</w:t>
      </w:r>
      <w:r>
        <w:rPr>
          <w:rStyle w:val="54"/>
          <w:rFonts w:hint="eastAsia" w:cs="Times New Roman"/>
          <w:b w:val="0"/>
          <w:bCs w:val="0"/>
          <w:i w:val="0"/>
          <w:iCs w:val="0"/>
          <w:sz w:val="21"/>
          <w:szCs w:val="21"/>
        </w:rPr>
        <w:t>按照GBZ/T 160和GBZ/T 300有关标准</w:t>
      </w:r>
      <w:r>
        <w:rPr>
          <w:rStyle w:val="54"/>
          <w:rFonts w:hint="eastAsia" w:cs="Times New Roman"/>
          <w:b w:val="0"/>
          <w:bCs w:val="0"/>
          <w:i w:val="0"/>
          <w:iCs w:val="0"/>
          <w:sz w:val="21"/>
          <w:szCs w:val="21"/>
          <w:lang w:val="en-US" w:eastAsia="zh-CN"/>
        </w:rPr>
        <w:t>执行，甲醇、氮氧化物、臭氧等项目样品采集完成24小时内进行实验室检测，氨样品采集完成，当天进行实验室检测。</w:t>
      </w:r>
    </w:p>
    <w:p>
      <w:pPr>
        <w:spacing w:line="360" w:lineRule="auto"/>
        <w:rPr>
          <w:rFonts w:hint="eastAsia" w:ascii="宋体" w:hAnsi="宋体"/>
          <w:color w:val="000000"/>
        </w:rPr>
      </w:pPr>
      <w:r>
        <w:rPr>
          <w:rFonts w:ascii="宋体" w:hAnsi="宋体"/>
          <w:color w:val="000000"/>
        </w:rPr>
        <w:t>c</w:t>
      </w:r>
      <w:r>
        <w:rPr>
          <w:rFonts w:ascii="宋体" w:hAnsi="宋体"/>
          <w:color w:val="000000"/>
          <w:u w:val="none" w:color="EB3624"/>
        </w:rPr>
        <w:t>)</w:t>
      </w:r>
      <w:r>
        <w:rPr>
          <w:rFonts w:hint="eastAsia" w:ascii="宋体" w:hAnsi="宋体"/>
          <w:color w:val="000000"/>
          <w:lang w:val="en-US" w:eastAsia="zh-CN"/>
        </w:rPr>
        <w:t xml:space="preserve"> </w:t>
      </w:r>
      <w:r>
        <w:rPr>
          <w:rFonts w:hint="eastAsia" w:ascii="宋体" w:hAnsi="宋体"/>
          <w:color w:val="000000"/>
        </w:rPr>
        <w:t>检测应在正常生产情况下进行。</w:t>
      </w:r>
    </w:p>
    <w:p>
      <w:pPr>
        <w:spacing w:line="360" w:lineRule="auto"/>
        <w:rPr>
          <w:rFonts w:hint="eastAsia" w:ascii="宋体" w:hAnsi="宋体"/>
          <w:color w:val="000000"/>
        </w:rPr>
      </w:pPr>
      <w:r>
        <w:rPr>
          <w:rFonts w:hint="eastAsia" w:ascii="宋体" w:hAnsi="宋体"/>
          <w:color w:val="000000"/>
          <w:lang w:val="en-US" w:eastAsia="zh-CN"/>
        </w:rPr>
        <w:t>d</w:t>
      </w:r>
      <w:r>
        <w:rPr>
          <w:rFonts w:ascii="宋体" w:hAnsi="宋体"/>
          <w:color w:val="000000"/>
          <w:u w:val="none" w:color="EB3624"/>
        </w:rPr>
        <w:t>)</w:t>
      </w:r>
      <w:r>
        <w:rPr>
          <w:rFonts w:hint="eastAsia" w:ascii="宋体" w:hAnsi="宋体"/>
          <w:color w:val="000000"/>
        </w:rPr>
        <w:t xml:space="preserve"> 异常工况下的职业病危害因素检测，应注明检测时工作场所的生产状况。</w:t>
      </w:r>
    </w:p>
    <w:p>
      <w:pPr>
        <w:spacing w:line="360" w:lineRule="auto"/>
        <w:rPr>
          <w:rFonts w:hint="eastAsia" w:ascii="宋体" w:hAnsi="宋体"/>
          <w:color w:val="000000"/>
        </w:rPr>
      </w:pPr>
      <w:r>
        <w:rPr>
          <w:rFonts w:hint="eastAsia" w:ascii="宋体" w:hAnsi="宋体"/>
          <w:color w:val="000000"/>
          <w:lang w:val="en-US" w:eastAsia="zh-CN"/>
        </w:rPr>
        <w:t>e</w:t>
      </w:r>
      <w:r>
        <w:rPr>
          <w:rFonts w:ascii="宋体" w:hAnsi="宋体"/>
          <w:color w:val="000000"/>
          <w:u w:val="none" w:color="EB3624"/>
        </w:rPr>
        <w:t>)</w:t>
      </w:r>
      <w:r>
        <w:rPr>
          <w:rFonts w:hint="eastAsia" w:ascii="宋体" w:hAnsi="宋体"/>
          <w:color w:val="000000"/>
        </w:rPr>
        <w:t xml:space="preserve"> 在易燃、易爆工作场所采样（测量）时，应使用防爆型采样（测量）设备。</w:t>
      </w:r>
    </w:p>
    <w:p>
      <w:pPr>
        <w:spacing w:line="360" w:lineRule="auto"/>
        <w:rPr>
          <w:rFonts w:hint="eastAsia" w:ascii="宋体" w:hAnsi="宋体"/>
          <w:color w:val="000000"/>
        </w:rPr>
      </w:pPr>
      <w:r>
        <w:rPr>
          <w:rFonts w:hint="eastAsia" w:ascii="宋体" w:hAnsi="宋体"/>
          <w:color w:val="000000"/>
          <w:lang w:val="en-US" w:eastAsia="zh-CN"/>
        </w:rPr>
        <w:t>f</w:t>
      </w:r>
      <w:r>
        <w:rPr>
          <w:rFonts w:ascii="宋体" w:hAnsi="宋体"/>
          <w:color w:val="000000"/>
          <w:u w:val="none" w:color="EB3624"/>
        </w:rPr>
        <w:t>)</w:t>
      </w:r>
      <w:r>
        <w:rPr>
          <w:rFonts w:hint="eastAsia" w:ascii="宋体" w:hAnsi="宋体"/>
          <w:color w:val="000000"/>
        </w:rPr>
        <w:t xml:space="preserve"> 工作场所职业卫生调查及现场采样应在生产经营单位相关人员陪同下进行。</w:t>
      </w:r>
    </w:p>
    <w:p>
      <w:pPr>
        <w:spacing w:line="360" w:lineRule="auto"/>
        <w:rPr>
          <w:rFonts w:hint="eastAsia" w:ascii="宋体" w:hAnsi="宋体"/>
          <w:color w:val="000000"/>
        </w:rPr>
      </w:pPr>
      <w:r>
        <w:rPr>
          <w:rFonts w:hint="eastAsia" w:ascii="宋体" w:hAnsi="宋体"/>
          <w:color w:val="000000"/>
          <w:lang w:val="en-US" w:eastAsia="zh-CN"/>
        </w:rPr>
        <w:t>g</w:t>
      </w:r>
      <w:r>
        <w:rPr>
          <w:rFonts w:hint="eastAsia" w:ascii="宋体" w:hAnsi="宋体"/>
          <w:color w:val="000000"/>
        </w:rPr>
        <w:t>）工作人员在现场调查及采样时，应穿戴好必要的个体防护用品。</w:t>
      </w:r>
    </w:p>
    <w:p>
      <w:pPr>
        <w:spacing w:line="360" w:lineRule="auto"/>
        <w:rPr>
          <w:rFonts w:hint="eastAsia" w:ascii="宋体" w:hAnsi="宋体"/>
          <w:color w:val="000000"/>
        </w:rPr>
      </w:pPr>
      <w:r>
        <w:rPr>
          <w:rFonts w:hint="eastAsia" w:ascii="宋体" w:hAnsi="宋体"/>
          <w:color w:val="000000"/>
          <w:lang w:val="en-US" w:eastAsia="zh-CN"/>
        </w:rPr>
        <w:t>h</w:t>
      </w:r>
      <w:r>
        <w:rPr>
          <w:rFonts w:hint="eastAsia" w:ascii="宋体" w:hAnsi="宋体"/>
          <w:color w:val="000000"/>
        </w:rPr>
        <w:t>）可能影响监测结果的异常天气不应进行样品采集。</w:t>
      </w:r>
    </w:p>
    <w:p>
      <w:pPr>
        <w:spacing w:line="360" w:lineRule="auto"/>
        <w:rPr>
          <w:rFonts w:hint="eastAsia" w:ascii="宋体" w:hAnsi="宋体"/>
          <w:color w:val="000000"/>
        </w:rPr>
      </w:pPr>
      <w:r>
        <w:rPr>
          <w:rFonts w:hint="eastAsia" w:ascii="宋体" w:hAnsi="宋体"/>
          <w:color w:val="000000"/>
          <w:lang w:val="en-US" w:eastAsia="zh-CN"/>
        </w:rPr>
        <w:t>i</w:t>
      </w:r>
      <w:r>
        <w:rPr>
          <w:rFonts w:hint="eastAsia" w:ascii="宋体" w:hAnsi="宋体"/>
          <w:color w:val="000000"/>
        </w:rPr>
        <w:t>）检测机构对检测报告内容的真实性负责。</w:t>
      </w:r>
    </w:p>
    <w:p>
      <w:pPr>
        <w:spacing w:line="360" w:lineRule="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J</w:t>
      </w:r>
      <w:r>
        <w:rPr>
          <w:rFonts w:hint="eastAsia" w:ascii="宋体" w:hAnsi="宋体" w:eastAsia="宋体" w:cs="Times New Roman"/>
          <w:color w:val="000000"/>
          <w:u w:val="none" w:color="EB3624"/>
          <w:lang w:val="en-US" w:eastAsia="zh-CN"/>
        </w:rPr>
        <w:t>)</w:t>
      </w:r>
      <w:r>
        <w:rPr>
          <w:rFonts w:hint="eastAsia" w:ascii="宋体" w:hAnsi="宋体" w:eastAsia="宋体" w:cs="Times New Roman"/>
          <w:color w:val="000000"/>
          <w:lang w:val="en-US" w:eastAsia="zh-CN"/>
        </w:rPr>
        <w:t xml:space="preserve"> </w:t>
      </w:r>
      <w:r>
        <w:rPr>
          <w:rFonts w:hint="eastAsia" w:ascii="宋体" w:hAnsi="宋体" w:eastAsia="宋体" w:cs="Times New Roman"/>
          <w:color w:val="000000"/>
        </w:rPr>
        <w:t>现场调查</w:t>
      </w:r>
      <w:r>
        <w:rPr>
          <w:rFonts w:hint="eastAsia" w:ascii="宋体" w:hAnsi="宋体" w:eastAsia="宋体" w:cs="Times New Roman"/>
          <w:color w:val="000000"/>
          <w:lang w:val="en-US" w:eastAsia="zh-CN"/>
        </w:rPr>
        <w:t>、采样和现场检测</w:t>
      </w:r>
      <w:r>
        <w:rPr>
          <w:rFonts w:hint="eastAsia" w:ascii="宋体" w:hAnsi="宋体" w:eastAsia="宋体" w:cs="Times New Roman"/>
          <w:color w:val="000000"/>
        </w:rPr>
        <w:t>应摄取并留存</w:t>
      </w:r>
      <w:r>
        <w:rPr>
          <w:rFonts w:hint="eastAsia" w:ascii="宋体" w:hAnsi="宋体" w:eastAsia="宋体" w:cs="Times New Roman"/>
          <w:color w:val="000000"/>
          <w:lang w:val="en-US" w:eastAsia="zh-CN"/>
        </w:rPr>
        <w:t>带有时间和经纬度水印</w:t>
      </w:r>
      <w:r>
        <w:rPr>
          <w:rFonts w:hint="eastAsia" w:ascii="宋体" w:hAnsi="宋体" w:eastAsia="宋体" w:cs="Times New Roman"/>
          <w:color w:val="000000"/>
        </w:rPr>
        <w:t>的影像资料。</w:t>
      </w:r>
    </w:p>
    <w:p>
      <w:pPr>
        <w:spacing w:line="360" w:lineRule="auto"/>
        <w:rPr>
          <w:rFonts w:hint="eastAsia" w:ascii="宋体" w:hAnsi="宋体"/>
          <w:color w:val="000000"/>
        </w:rPr>
      </w:pPr>
      <w:r>
        <w:rPr>
          <w:rFonts w:hint="eastAsia" w:ascii="宋体" w:hAnsi="宋体"/>
          <w:color w:val="000000"/>
        </w:rPr>
        <w:t>3.2.5.</w:t>
      </w:r>
      <w:r>
        <w:rPr>
          <w:rFonts w:hint="eastAsia" w:ascii="宋体" w:hAnsi="宋体"/>
          <w:color w:val="000000"/>
          <w:lang w:val="en-US" w:eastAsia="zh-CN"/>
        </w:rPr>
        <w:t>2</w:t>
      </w:r>
      <w:r>
        <w:rPr>
          <w:rFonts w:hint="eastAsia" w:ascii="宋体" w:hAnsi="宋体"/>
          <w:color w:val="000000"/>
        </w:rPr>
        <w:t>.检测工作程序</w:t>
      </w:r>
    </w:p>
    <w:p>
      <w:pPr>
        <w:spacing w:line="360" w:lineRule="auto"/>
        <w:rPr>
          <w:rFonts w:hint="eastAsia" w:ascii="宋体" w:hAnsi="宋体"/>
          <w:color w:val="000000"/>
        </w:rPr>
      </w:pPr>
      <w:r>
        <w:rPr>
          <w:rFonts w:hint="eastAsia" w:ascii="宋体" w:hAnsi="宋体"/>
          <w:color w:val="000000"/>
          <w:u w:val="none" w:color="EB3624"/>
        </w:rPr>
        <w:t>(1)</w:t>
      </w:r>
      <w:r>
        <w:rPr>
          <w:rFonts w:hint="eastAsia" w:ascii="宋体" w:hAnsi="宋体"/>
          <w:color w:val="000000"/>
        </w:rPr>
        <w:t>工作场所职业卫生调查</w:t>
      </w:r>
    </w:p>
    <w:p>
      <w:pPr>
        <w:spacing w:line="360" w:lineRule="auto"/>
        <w:rPr>
          <w:rFonts w:hint="eastAsia" w:ascii="宋体" w:hAnsi="宋体"/>
          <w:color w:val="000000"/>
        </w:rPr>
      </w:pPr>
      <w:r>
        <w:rPr>
          <w:rFonts w:hint="eastAsia" w:ascii="宋体" w:hAnsi="宋体"/>
          <w:color w:val="000000"/>
        </w:rPr>
        <w:t>a）工作过程中使用的原料、辅助材料，生产的产品、副产品和中间产物等的种类、用（产）量、主要</w:t>
      </w:r>
      <w:r>
        <w:rPr>
          <w:rFonts w:hint="eastAsia" w:ascii="宋体" w:hAnsi="宋体"/>
          <w:color w:val="000000"/>
          <w:u w:val="none" w:color="EB3624"/>
        </w:rPr>
        <w:t>成份</w:t>
      </w:r>
      <w:r>
        <w:rPr>
          <w:rFonts w:hint="eastAsia" w:ascii="宋体" w:hAnsi="宋体"/>
          <w:color w:val="000000"/>
        </w:rPr>
        <w:t>（浓度）及其理化性质等；</w:t>
      </w:r>
    </w:p>
    <w:p>
      <w:pPr>
        <w:spacing w:line="360" w:lineRule="auto"/>
        <w:rPr>
          <w:rFonts w:hint="eastAsia" w:ascii="宋体" w:hAnsi="宋体"/>
          <w:color w:val="000000"/>
        </w:rPr>
      </w:pPr>
      <w:r>
        <w:rPr>
          <w:rFonts w:hint="eastAsia" w:ascii="宋体" w:hAnsi="宋体"/>
          <w:color w:val="000000"/>
        </w:rPr>
        <w:t>b）生产工艺、生产方式、劳动组织及工种（岗位）定员等。</w:t>
      </w:r>
    </w:p>
    <w:p>
      <w:pPr>
        <w:spacing w:line="360" w:lineRule="auto"/>
        <w:rPr>
          <w:rFonts w:hint="eastAsia" w:ascii="宋体" w:hAnsi="宋体"/>
          <w:color w:val="000000"/>
        </w:rPr>
      </w:pPr>
      <w:r>
        <w:rPr>
          <w:rFonts w:hint="eastAsia" w:ascii="宋体" w:hAnsi="宋体"/>
          <w:color w:val="000000"/>
        </w:rPr>
        <w:t>c）各工种作业人员的工作状况，包括人数、在各工作地点停留时间、工作方式、接触有害物质的程度、频度及持续时间等。</w:t>
      </w:r>
    </w:p>
    <w:p>
      <w:pPr>
        <w:spacing w:line="360" w:lineRule="auto"/>
        <w:rPr>
          <w:rFonts w:hint="eastAsia" w:ascii="宋体" w:hAnsi="宋体"/>
          <w:color w:val="000000"/>
        </w:rPr>
      </w:pPr>
      <w:r>
        <w:rPr>
          <w:rFonts w:hint="eastAsia" w:ascii="宋体" w:hAnsi="宋体"/>
          <w:color w:val="000000"/>
        </w:rPr>
        <w:t>d）工作地点空气中有害物质的产生和扩散规律、存在状态等。</w:t>
      </w:r>
    </w:p>
    <w:p>
      <w:pPr>
        <w:spacing w:line="360" w:lineRule="auto"/>
        <w:rPr>
          <w:rFonts w:hint="eastAsia" w:ascii="宋体" w:hAnsi="宋体"/>
          <w:color w:val="000000"/>
        </w:rPr>
      </w:pPr>
      <w:r>
        <w:rPr>
          <w:rFonts w:hint="eastAsia" w:ascii="宋体" w:hAnsi="宋体"/>
          <w:color w:val="000000"/>
        </w:rPr>
        <w:t>e）工作地点的卫生状况和环境条件、卫生防护设施及其使用情况、个人防护用品及使用状况等。</w:t>
      </w:r>
    </w:p>
    <w:p>
      <w:pPr>
        <w:spacing w:line="360" w:lineRule="auto"/>
        <w:rPr>
          <w:rFonts w:hint="eastAsia" w:ascii="宋体" w:hAnsi="宋体"/>
          <w:color w:val="000000"/>
        </w:rPr>
      </w:pPr>
      <w:r>
        <w:rPr>
          <w:rFonts w:hint="eastAsia" w:ascii="宋体" w:hAnsi="宋体"/>
          <w:color w:val="000000"/>
        </w:rPr>
        <w:t>f）现场调查应摄取并留存必要的影像资料。</w:t>
      </w:r>
    </w:p>
    <w:p>
      <w:pPr>
        <w:spacing w:line="360" w:lineRule="auto"/>
        <w:rPr>
          <w:rFonts w:hint="eastAsia" w:ascii="宋体" w:hAnsi="宋体"/>
          <w:color w:val="000000"/>
        </w:rPr>
      </w:pPr>
      <w:r>
        <w:rPr>
          <w:rFonts w:hint="eastAsia" w:ascii="宋体" w:hAnsi="宋体"/>
          <w:color w:val="000000"/>
          <w:u w:val="none" w:color="EB3624"/>
        </w:rPr>
        <w:t>(2)</w:t>
      </w:r>
      <w:r>
        <w:rPr>
          <w:rFonts w:hint="eastAsia" w:ascii="宋体" w:hAnsi="宋体"/>
          <w:color w:val="000000"/>
        </w:rPr>
        <w:t>职业病危害因素的辨识</w:t>
      </w:r>
    </w:p>
    <w:p>
      <w:pPr>
        <w:spacing w:line="360" w:lineRule="auto"/>
        <w:ind w:firstLine="420" w:firstLineChars="200"/>
        <w:rPr>
          <w:rFonts w:hint="eastAsia" w:ascii="宋体" w:hAnsi="宋体"/>
          <w:color w:val="000000"/>
        </w:rPr>
      </w:pPr>
      <w:r>
        <w:rPr>
          <w:rFonts w:hint="eastAsia" w:ascii="宋体" w:hAnsi="宋体"/>
          <w:color w:val="000000"/>
        </w:rPr>
        <w:t>根据生产工艺及使用原辅材料，结合工作场所设置的各工种作业人员的工作方式、活动范围等情况，按照《职业病危害因素分类目录》和GBZ2的有害因素范围，辨识出各工种接触的职业病危害因素。</w:t>
      </w:r>
    </w:p>
    <w:p>
      <w:pPr>
        <w:spacing w:line="360" w:lineRule="auto"/>
        <w:rPr>
          <w:rFonts w:hint="eastAsia" w:ascii="宋体" w:hAnsi="宋体"/>
          <w:color w:val="000000"/>
        </w:rPr>
      </w:pPr>
      <w:r>
        <w:rPr>
          <w:rFonts w:hint="eastAsia" w:ascii="宋体" w:hAnsi="宋体"/>
          <w:color w:val="000000"/>
          <w:u w:val="none" w:color="EB3624"/>
        </w:rPr>
        <w:t>(3)</w:t>
      </w:r>
      <w:r>
        <w:rPr>
          <w:rFonts w:hint="eastAsia" w:ascii="宋体" w:hAnsi="宋体"/>
          <w:color w:val="000000"/>
        </w:rPr>
        <w:t>制定采样方案</w:t>
      </w:r>
    </w:p>
    <w:p>
      <w:pPr>
        <w:spacing w:line="360" w:lineRule="auto"/>
        <w:ind w:firstLine="420" w:firstLineChars="200"/>
        <w:rPr>
          <w:rFonts w:hint="eastAsia" w:ascii="宋体" w:hAnsi="宋体"/>
          <w:color w:val="000000"/>
        </w:rPr>
      </w:pPr>
      <w:r>
        <w:rPr>
          <w:rFonts w:hint="eastAsia" w:ascii="宋体" w:hAnsi="宋体"/>
          <w:color w:val="000000"/>
        </w:rPr>
        <w:t>根据检测目的，确定采样</w:t>
      </w:r>
      <w:r>
        <w:rPr>
          <w:rFonts w:hint="eastAsia" w:ascii="宋体" w:hAnsi="宋体" w:eastAsia="宋体" w:cs="Times New Roman"/>
          <w:color w:val="000000"/>
        </w:rPr>
        <w:t>天数。按照GBZ 159和GBZ/T 189的要求，选择采样方法、样品采集地点、采样对象和数量。制定现场采样方案或计划，</w:t>
      </w:r>
      <w:r>
        <w:rPr>
          <w:rFonts w:hint="eastAsia" w:ascii="宋体" w:hAnsi="宋体" w:eastAsia="宋体" w:cs="Times New Roman"/>
          <w:color w:val="000000"/>
          <w:lang w:val="en-US" w:eastAsia="zh-CN"/>
        </w:rPr>
        <w:t>按国家标准要求的时效进行实验室检测，</w:t>
      </w:r>
      <w:r>
        <w:rPr>
          <w:rFonts w:hint="eastAsia" w:ascii="宋体" w:hAnsi="宋体" w:eastAsia="宋体" w:cs="Times New Roman"/>
          <w:color w:val="000000"/>
        </w:rPr>
        <w:t>经审核后实施。</w:t>
      </w:r>
    </w:p>
    <w:p>
      <w:pPr>
        <w:spacing w:line="360" w:lineRule="auto"/>
        <w:rPr>
          <w:rFonts w:hint="eastAsia" w:ascii="宋体" w:hAnsi="宋体"/>
          <w:color w:val="000000"/>
        </w:rPr>
      </w:pPr>
      <w:r>
        <w:rPr>
          <w:rFonts w:hint="eastAsia" w:ascii="宋体" w:hAnsi="宋体"/>
          <w:color w:val="000000"/>
          <w:u w:val="none" w:color="EB3624"/>
        </w:rPr>
        <w:t>(4)</w:t>
      </w:r>
      <w:r>
        <w:rPr>
          <w:rFonts w:hint="eastAsia" w:ascii="宋体" w:hAnsi="宋体"/>
          <w:color w:val="000000"/>
        </w:rPr>
        <w:t>职业病危害因素样品采集</w:t>
      </w:r>
    </w:p>
    <w:p>
      <w:pPr>
        <w:spacing w:line="360" w:lineRule="auto"/>
        <w:ind w:firstLine="420" w:firstLineChars="200"/>
        <w:rPr>
          <w:rFonts w:hint="eastAsia" w:ascii="宋体" w:hAnsi="宋体"/>
          <w:color w:val="000000"/>
        </w:rPr>
      </w:pPr>
      <w:r>
        <w:rPr>
          <w:rFonts w:hint="eastAsia" w:ascii="宋体" w:hAnsi="宋体"/>
          <w:color w:val="000000"/>
        </w:rPr>
        <w:t>工作场所有害物质的样品采集，应根据作业人员现场工作情况和采样方案，按照GBZ 159的要求</w:t>
      </w:r>
      <w:r>
        <w:rPr>
          <w:rFonts w:hint="eastAsia" w:ascii="宋体" w:hAnsi="宋体"/>
          <w:color w:val="000000"/>
          <w:u w:val="none" w:color="EB3624"/>
        </w:rPr>
        <w:t>,</w:t>
      </w:r>
      <w:r>
        <w:rPr>
          <w:rFonts w:hint="eastAsia" w:ascii="宋体" w:hAnsi="宋体"/>
          <w:color w:val="000000"/>
        </w:rPr>
        <w:t>进行采样前采样仪器的准备，采样时应在专用采样记录表上做好采样记录。</w:t>
      </w:r>
    </w:p>
    <w:p>
      <w:pPr>
        <w:spacing w:line="360" w:lineRule="auto"/>
        <w:rPr>
          <w:rFonts w:hint="eastAsia" w:ascii="宋体" w:hAnsi="宋体"/>
          <w:color w:val="000000"/>
        </w:rPr>
      </w:pPr>
      <w:r>
        <w:rPr>
          <w:rFonts w:hint="eastAsia" w:ascii="宋体" w:hAnsi="宋体"/>
          <w:color w:val="000000"/>
        </w:rPr>
        <w:t>工作场所物理因素的测量按照GBZ/T 189有关要求进行现场测量。</w:t>
      </w:r>
    </w:p>
    <w:p>
      <w:pPr>
        <w:spacing w:line="360" w:lineRule="auto"/>
        <w:rPr>
          <w:rFonts w:hint="eastAsia" w:ascii="宋体" w:hAnsi="宋体"/>
          <w:color w:val="000000"/>
        </w:rPr>
      </w:pPr>
      <w:r>
        <w:rPr>
          <w:rFonts w:hint="eastAsia" w:ascii="宋体" w:hAnsi="宋体"/>
          <w:color w:val="000000"/>
          <w:u w:val="none" w:color="EB3624"/>
        </w:rPr>
        <w:t>(5)</w:t>
      </w:r>
      <w:r>
        <w:rPr>
          <w:rFonts w:hint="eastAsia" w:ascii="宋体" w:hAnsi="宋体"/>
          <w:color w:val="000000"/>
        </w:rPr>
        <w:t>职业病危害因素测定</w:t>
      </w:r>
    </w:p>
    <w:p>
      <w:pPr>
        <w:spacing w:line="360" w:lineRule="auto"/>
        <w:ind w:firstLine="420" w:firstLineChars="200"/>
        <w:rPr>
          <w:rFonts w:hint="eastAsia" w:ascii="宋体" w:hAnsi="宋体"/>
          <w:color w:val="000000"/>
        </w:rPr>
      </w:pPr>
      <w:r>
        <w:rPr>
          <w:rFonts w:hint="eastAsia" w:ascii="宋体" w:hAnsi="宋体"/>
          <w:color w:val="000000"/>
        </w:rPr>
        <w:t>工作场所有毒物质的测定按照GBZ/T 160和GBZ/T 300有关标准进行定量分析测定。</w:t>
      </w:r>
    </w:p>
    <w:p>
      <w:pPr>
        <w:spacing w:line="360" w:lineRule="auto"/>
        <w:ind w:firstLine="420" w:firstLineChars="200"/>
        <w:rPr>
          <w:rFonts w:hint="eastAsia" w:ascii="宋体" w:hAnsi="宋体"/>
          <w:color w:val="000000"/>
        </w:rPr>
      </w:pPr>
      <w:r>
        <w:rPr>
          <w:rFonts w:hint="eastAsia" w:ascii="宋体" w:hAnsi="宋体"/>
          <w:color w:val="000000"/>
        </w:rPr>
        <w:t>工作场所粉尘的测定按照GBZ/T 192有关标准进行定量分析测定。</w:t>
      </w:r>
    </w:p>
    <w:p>
      <w:pPr>
        <w:spacing w:line="360" w:lineRule="auto"/>
        <w:ind w:firstLine="420" w:firstLineChars="200"/>
        <w:rPr>
          <w:rFonts w:hint="eastAsia" w:ascii="宋体" w:hAnsi="宋体"/>
          <w:color w:val="000000"/>
        </w:rPr>
      </w:pPr>
      <w:r>
        <w:rPr>
          <w:rFonts w:hint="eastAsia" w:ascii="宋体" w:hAnsi="宋体"/>
          <w:color w:val="000000"/>
        </w:rPr>
        <w:t>工作场所物理因素的测量按照GBZ/T 189有关标准进行现场测量。</w:t>
      </w:r>
    </w:p>
    <w:p>
      <w:pPr>
        <w:spacing w:line="360" w:lineRule="auto"/>
        <w:rPr>
          <w:rFonts w:hint="eastAsia" w:ascii="宋体" w:hAnsi="宋体"/>
          <w:color w:val="000000"/>
        </w:rPr>
      </w:pPr>
      <w:r>
        <w:rPr>
          <w:rFonts w:hint="eastAsia" w:ascii="宋体" w:hAnsi="宋体"/>
          <w:color w:val="000000"/>
          <w:u w:val="none" w:color="EB3624"/>
        </w:rPr>
        <w:t>(6)</w:t>
      </w:r>
      <w:r>
        <w:rPr>
          <w:rFonts w:hint="eastAsia" w:ascii="宋体" w:hAnsi="宋体"/>
          <w:color w:val="000000"/>
        </w:rPr>
        <w:t>各工种接触职业病危害浓（强）度计算</w:t>
      </w:r>
    </w:p>
    <w:p>
      <w:pPr>
        <w:spacing w:line="360" w:lineRule="auto"/>
        <w:ind w:firstLine="420" w:firstLineChars="200"/>
        <w:rPr>
          <w:rFonts w:hint="eastAsia" w:ascii="宋体" w:hAnsi="宋体"/>
          <w:color w:val="000000"/>
        </w:rPr>
      </w:pPr>
      <w:r>
        <w:rPr>
          <w:rFonts w:hint="eastAsia" w:ascii="宋体" w:hAnsi="宋体"/>
          <w:color w:val="000000"/>
        </w:rPr>
        <w:t>粉尘和化学物质浓度的计算，按照GBZ 159的计算方法，结合各工种职业病危害因素接触情况，分析计算接触职业病危害因素的时间加权平均浓度（CTWA）、短时间接触最高浓度（CSTEL）、最高浓度（CMAC）或峰接触浓度等结果，与GBZ2.1限值标准进行比较。物理因素按照GBZT 189有关要求进行现场测量后读数或计算，结果与GBZ2.2限值标准进行比较。</w:t>
      </w:r>
    </w:p>
    <w:p>
      <w:pPr>
        <w:spacing w:line="360" w:lineRule="auto"/>
        <w:rPr>
          <w:rFonts w:hint="eastAsia" w:ascii="宋体" w:hAnsi="宋体"/>
          <w:color w:val="000000"/>
        </w:rPr>
      </w:pPr>
      <w:r>
        <w:rPr>
          <w:rFonts w:hint="eastAsia" w:ascii="宋体" w:hAnsi="宋体"/>
          <w:color w:val="000000"/>
          <w:u w:val="none" w:color="EB3624"/>
        </w:rPr>
        <w:t>(</w:t>
      </w:r>
      <w:r>
        <w:rPr>
          <w:rFonts w:hint="eastAsia" w:ascii="宋体" w:hAnsi="宋体"/>
          <w:color w:val="000000"/>
        </w:rPr>
        <w:t>7)编制职业病危害因素检测报告</w:t>
      </w:r>
    </w:p>
    <w:p>
      <w:pPr>
        <w:spacing w:line="360" w:lineRule="auto"/>
        <w:ind w:firstLine="420" w:firstLineChars="200"/>
        <w:rPr>
          <w:rFonts w:hint="eastAsia" w:ascii="宋体" w:hAnsi="宋体"/>
          <w:color w:val="000000"/>
        </w:rPr>
      </w:pPr>
      <w:r>
        <w:rPr>
          <w:rFonts w:hint="eastAsia" w:ascii="宋体" w:hAnsi="宋体"/>
          <w:color w:val="000000"/>
        </w:rPr>
        <w:t>根据职业病危害因素浓（强）度情况，分析接触职业病危害因素超标原因，提出整改措施建议。</w:t>
      </w:r>
    </w:p>
    <w:p>
      <w:pPr>
        <w:numPr>
          <w:ilvl w:val="2"/>
          <w:numId w:val="6"/>
        </w:numPr>
        <w:spacing w:line="360" w:lineRule="auto"/>
        <w:rPr>
          <w:rFonts w:hint="eastAsia" w:ascii="宋体" w:hAnsi="宋体"/>
          <w:color w:val="000000"/>
        </w:rPr>
      </w:pPr>
      <w:r>
        <w:rPr>
          <w:rFonts w:hint="eastAsia" w:ascii="宋体" w:hAnsi="宋体"/>
          <w:color w:val="000000"/>
        </w:rPr>
        <w:t>职业病危害现状评价</w:t>
      </w:r>
      <w:r>
        <w:rPr>
          <w:rFonts w:hint="eastAsia" w:ascii="宋体" w:hAnsi="宋体"/>
          <w:color w:val="000000"/>
          <w:lang w:eastAsia="zh-CN"/>
        </w:rPr>
        <w:t>（</w:t>
      </w:r>
      <w:r>
        <w:rPr>
          <w:rFonts w:hint="eastAsia" w:ascii="宋体" w:hAnsi="宋体"/>
          <w:color w:val="000000"/>
          <w:lang w:val="en-US" w:eastAsia="zh-CN"/>
        </w:rPr>
        <w:t>2027年</w:t>
      </w:r>
      <w:r>
        <w:rPr>
          <w:rFonts w:hint="eastAsia" w:ascii="宋体" w:hAnsi="宋体"/>
          <w:color w:val="000000"/>
          <w:lang w:eastAsia="zh-CN"/>
        </w:rPr>
        <w:t>）</w:t>
      </w:r>
    </w:p>
    <w:p>
      <w:pPr>
        <w:spacing w:line="360" w:lineRule="auto"/>
        <w:ind w:firstLine="420" w:firstLineChars="200"/>
        <w:rPr>
          <w:rFonts w:hint="eastAsia" w:ascii="宋体" w:hAnsi="宋体"/>
        </w:rPr>
      </w:pPr>
      <w:r>
        <w:rPr>
          <w:rFonts w:hint="eastAsia" w:ascii="宋体" w:hAnsi="宋体"/>
        </w:rPr>
        <w:t>职业病危害现状评价：指对</w:t>
      </w:r>
      <w:r>
        <w:rPr>
          <w:rFonts w:hint="eastAsia" w:ascii="宋体" w:hAnsi="宋体"/>
          <w:lang w:eastAsia="zh-CN"/>
        </w:rPr>
        <w:t>招标人</w:t>
      </w:r>
      <w:r>
        <w:rPr>
          <w:rFonts w:hint="eastAsia" w:ascii="宋体" w:hAnsi="宋体"/>
        </w:rPr>
        <w:t>单位工作场所职业病危害因素及其接触水平、职业病防护设施及其他职业病防护措施与效果、职业病危害因素对劳动者的健康影响情况等进行的综合评价。</w:t>
      </w:r>
    </w:p>
    <w:p>
      <w:pPr>
        <w:spacing w:line="360" w:lineRule="auto"/>
        <w:rPr>
          <w:rFonts w:hint="eastAsia" w:ascii="宋体" w:hAnsi="宋体"/>
        </w:rPr>
      </w:pPr>
      <w:r>
        <w:rPr>
          <w:rFonts w:hint="eastAsia" w:ascii="宋体" w:hAnsi="宋体"/>
        </w:rPr>
        <w:t>3.2.6.1评价依据：我国现行有效的有关职业病防治的法律、法规、规章；我国现行有效的有关职业病防治的规范、标准。</w:t>
      </w:r>
    </w:p>
    <w:p>
      <w:pPr>
        <w:spacing w:line="360" w:lineRule="auto"/>
        <w:rPr>
          <w:rFonts w:hint="eastAsia" w:ascii="宋体" w:hAnsi="宋体"/>
        </w:rPr>
      </w:pPr>
      <w:r>
        <w:rPr>
          <w:rFonts w:hint="eastAsia" w:ascii="宋体" w:hAnsi="宋体"/>
        </w:rPr>
        <w:t>3.2.6.2基础依据</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单位从事生产经营活动过程中的职业卫生有关资料</w:t>
      </w:r>
      <w:r>
        <w:rPr>
          <w:rFonts w:hint="eastAsia" w:ascii="宋体" w:hAnsi="宋体"/>
          <w:u w:val="none" w:color="EB3624"/>
        </w:rPr>
        <w:t>;</w:t>
      </w:r>
      <w:r>
        <w:rPr>
          <w:rFonts w:hint="eastAsia" w:ascii="宋体" w:hAnsi="宋体"/>
        </w:rPr>
        <w:t>近3年职业病危害因素日常监测和职业健康监护资料</w:t>
      </w:r>
      <w:r>
        <w:rPr>
          <w:rFonts w:hint="eastAsia" w:ascii="宋体" w:hAnsi="宋体"/>
          <w:u w:val="none" w:color="EB3624"/>
        </w:rPr>
        <w:t>;</w:t>
      </w:r>
      <w:r>
        <w:rPr>
          <w:rFonts w:hint="eastAsia" w:ascii="宋体" w:hAnsi="宋体"/>
        </w:rPr>
        <w:t>最近1次职业卫生评价报告</w:t>
      </w:r>
      <w:r>
        <w:rPr>
          <w:rFonts w:hint="eastAsia" w:ascii="宋体" w:hAnsi="宋体"/>
          <w:u w:val="none" w:color="EB3624"/>
        </w:rPr>
        <w:t>;</w:t>
      </w:r>
      <w:r>
        <w:rPr>
          <w:rFonts w:hint="eastAsia" w:ascii="宋体" w:hAnsi="宋体"/>
        </w:rPr>
        <w:t>职业卫生调查、职业卫生检测等资料。</w:t>
      </w:r>
    </w:p>
    <w:p>
      <w:pPr>
        <w:spacing w:line="360" w:lineRule="auto"/>
        <w:rPr>
          <w:rFonts w:hint="eastAsia" w:ascii="宋体" w:hAnsi="宋体"/>
        </w:rPr>
      </w:pPr>
      <w:r>
        <w:rPr>
          <w:rFonts w:hint="eastAsia" w:ascii="宋体" w:hAnsi="宋体"/>
        </w:rPr>
        <w:t>3.2.6.3评价范围</w:t>
      </w:r>
    </w:p>
    <w:p>
      <w:pPr>
        <w:spacing w:line="360" w:lineRule="auto"/>
        <w:ind w:firstLine="420" w:firstLineChars="200"/>
        <w:rPr>
          <w:rFonts w:hint="eastAsia" w:ascii="宋体" w:hAnsi="宋体"/>
        </w:rPr>
      </w:pPr>
      <w:r>
        <w:rPr>
          <w:rFonts w:hint="eastAsia" w:ascii="宋体" w:hAnsi="宋体"/>
        </w:rPr>
        <w:t>以</w:t>
      </w:r>
      <w:r>
        <w:rPr>
          <w:rFonts w:hint="eastAsia" w:ascii="宋体" w:hAnsi="宋体"/>
          <w:lang w:eastAsia="zh-CN"/>
        </w:rPr>
        <w:t>招标人</w:t>
      </w:r>
      <w:r>
        <w:rPr>
          <w:rFonts w:hint="eastAsia" w:ascii="宋体" w:hAnsi="宋体"/>
        </w:rPr>
        <w:t>单位生产经营活动所涉及的内容、场所以及过程等为准，</w:t>
      </w:r>
      <w:r>
        <w:rPr>
          <w:rFonts w:hint="eastAsia" w:ascii="宋体" w:hAnsi="宋体"/>
          <w:lang w:eastAsia="zh-CN"/>
        </w:rPr>
        <w:t>招标人</w:t>
      </w:r>
      <w:r>
        <w:rPr>
          <w:rFonts w:hint="eastAsia" w:ascii="宋体" w:hAnsi="宋体"/>
        </w:rPr>
        <w:t>单位外包</w:t>
      </w:r>
      <w:r>
        <w:rPr>
          <w:rFonts w:hint="eastAsia" w:ascii="宋体" w:hAnsi="宋体"/>
          <w:u w:val="none" w:color="EB3624"/>
        </w:rPr>
        <w:t>(</w:t>
      </w:r>
      <w:r>
        <w:rPr>
          <w:rFonts w:hint="eastAsia" w:ascii="宋体" w:hAnsi="宋体"/>
        </w:rPr>
        <w:t>委</w:t>
      </w:r>
      <w:r>
        <w:rPr>
          <w:rFonts w:hint="eastAsia" w:ascii="宋体" w:hAnsi="宋体"/>
          <w:u w:val="none" w:color="EB3624"/>
        </w:rPr>
        <w:t>)</w:t>
      </w:r>
      <w:r>
        <w:rPr>
          <w:rFonts w:hint="eastAsia" w:ascii="宋体" w:hAnsi="宋体"/>
        </w:rPr>
        <w:t>工程，以及辅助生产岗位均应纳入评价范围。</w:t>
      </w:r>
    </w:p>
    <w:p>
      <w:pPr>
        <w:spacing w:line="360" w:lineRule="auto"/>
        <w:rPr>
          <w:rFonts w:hint="eastAsia" w:ascii="宋体" w:hAnsi="宋体"/>
        </w:rPr>
      </w:pPr>
      <w:r>
        <w:rPr>
          <w:rFonts w:hint="eastAsia" w:ascii="宋体" w:hAnsi="宋体"/>
        </w:rPr>
        <w:t>3.2.6.4评价内容</w:t>
      </w:r>
    </w:p>
    <w:p>
      <w:pPr>
        <w:spacing w:line="360" w:lineRule="auto"/>
        <w:ind w:firstLine="420" w:firstLineChars="200"/>
        <w:rPr>
          <w:rFonts w:hint="eastAsia" w:ascii="宋体" w:hAnsi="宋体"/>
        </w:rPr>
      </w:pPr>
      <w:r>
        <w:rPr>
          <w:rFonts w:hint="eastAsia" w:ascii="宋体" w:hAnsi="宋体"/>
        </w:rPr>
        <w:t>评价内容应包括：</w:t>
      </w:r>
    </w:p>
    <w:p>
      <w:pPr>
        <w:spacing w:line="360" w:lineRule="auto"/>
        <w:ind w:firstLine="420" w:firstLineChars="200"/>
        <w:rPr>
          <w:rFonts w:hint="eastAsia" w:ascii="宋体" w:hAnsi="宋体"/>
        </w:rPr>
      </w:pPr>
      <w:r>
        <w:rPr>
          <w:rFonts w:hint="eastAsia" w:ascii="宋体" w:hAnsi="宋体"/>
        </w:rPr>
        <w:t>——总体布局</w:t>
      </w:r>
    </w:p>
    <w:p>
      <w:pPr>
        <w:spacing w:line="360" w:lineRule="auto"/>
        <w:ind w:firstLine="420" w:firstLineChars="200"/>
        <w:rPr>
          <w:rFonts w:hint="eastAsia" w:ascii="宋体" w:hAnsi="宋体"/>
        </w:rPr>
      </w:pPr>
      <w:r>
        <w:rPr>
          <w:rFonts w:hint="eastAsia" w:ascii="宋体" w:hAnsi="宋体"/>
        </w:rPr>
        <w:t>——设备布局</w:t>
      </w:r>
    </w:p>
    <w:p>
      <w:pPr>
        <w:spacing w:line="360" w:lineRule="auto"/>
        <w:ind w:firstLine="420" w:firstLineChars="200"/>
        <w:rPr>
          <w:rFonts w:hint="eastAsia" w:ascii="宋体" w:hAnsi="宋体"/>
        </w:rPr>
      </w:pPr>
      <w:r>
        <w:rPr>
          <w:rFonts w:hint="eastAsia" w:ascii="宋体" w:hAnsi="宋体"/>
        </w:rPr>
        <w:t>——建筑卫生学</w:t>
      </w:r>
    </w:p>
    <w:p>
      <w:pPr>
        <w:spacing w:line="360" w:lineRule="auto"/>
        <w:ind w:firstLine="420" w:firstLineChars="200"/>
        <w:rPr>
          <w:rFonts w:hint="eastAsia" w:ascii="宋体" w:hAnsi="宋体"/>
        </w:rPr>
      </w:pPr>
      <w:r>
        <w:rPr>
          <w:rFonts w:hint="eastAsia" w:ascii="宋体" w:hAnsi="宋体"/>
        </w:rPr>
        <w:t>——职业病危害因素</w:t>
      </w:r>
    </w:p>
    <w:p>
      <w:pPr>
        <w:spacing w:line="360" w:lineRule="auto"/>
        <w:ind w:firstLine="420" w:firstLineChars="200"/>
        <w:rPr>
          <w:rFonts w:hint="eastAsia" w:ascii="宋体" w:hAnsi="宋体"/>
        </w:rPr>
      </w:pPr>
      <w:r>
        <w:rPr>
          <w:rFonts w:hint="eastAsia" w:ascii="宋体" w:hAnsi="宋体"/>
        </w:rPr>
        <w:t>——职业病防护设施与应急救援设施</w:t>
      </w:r>
    </w:p>
    <w:p>
      <w:pPr>
        <w:spacing w:line="360" w:lineRule="auto"/>
        <w:ind w:firstLine="420" w:firstLineChars="200"/>
        <w:rPr>
          <w:rFonts w:hint="eastAsia" w:ascii="宋体" w:hAnsi="宋体"/>
        </w:rPr>
      </w:pPr>
      <w:r>
        <w:rPr>
          <w:rFonts w:hint="eastAsia" w:ascii="宋体" w:hAnsi="宋体"/>
        </w:rPr>
        <w:t>——职业健康监护</w:t>
      </w:r>
    </w:p>
    <w:p>
      <w:pPr>
        <w:spacing w:line="360" w:lineRule="auto"/>
        <w:ind w:firstLine="420" w:firstLineChars="200"/>
        <w:rPr>
          <w:rFonts w:hint="eastAsia" w:ascii="宋体" w:hAnsi="宋体"/>
        </w:rPr>
      </w:pPr>
      <w:r>
        <w:rPr>
          <w:rFonts w:hint="eastAsia" w:ascii="宋体" w:hAnsi="宋体"/>
        </w:rPr>
        <w:t>——个人防护用品</w:t>
      </w:r>
    </w:p>
    <w:p>
      <w:pPr>
        <w:spacing w:line="360" w:lineRule="auto"/>
        <w:ind w:firstLine="420" w:firstLineChars="200"/>
        <w:rPr>
          <w:rFonts w:hint="eastAsia" w:ascii="宋体" w:hAnsi="宋体"/>
        </w:rPr>
      </w:pPr>
      <w:r>
        <w:rPr>
          <w:rFonts w:hint="eastAsia" w:ascii="宋体" w:hAnsi="宋体"/>
        </w:rPr>
        <w:t>——辅助用室</w:t>
      </w:r>
    </w:p>
    <w:p>
      <w:pPr>
        <w:spacing w:line="360" w:lineRule="auto"/>
        <w:ind w:firstLine="420" w:firstLineChars="200"/>
        <w:rPr>
          <w:rFonts w:hint="eastAsia" w:ascii="宋体" w:hAnsi="宋体"/>
        </w:rPr>
      </w:pPr>
      <w:r>
        <w:rPr>
          <w:rFonts w:hint="eastAsia" w:ascii="宋体" w:hAnsi="宋体"/>
        </w:rPr>
        <w:t>——职业卫生管理</w:t>
      </w:r>
    </w:p>
    <w:p>
      <w:pPr>
        <w:spacing w:line="360" w:lineRule="auto"/>
        <w:rPr>
          <w:rFonts w:hint="eastAsia" w:ascii="宋体" w:hAnsi="宋体"/>
        </w:rPr>
      </w:pPr>
      <w:r>
        <w:rPr>
          <w:rFonts w:hint="eastAsia" w:ascii="宋体" w:hAnsi="宋体"/>
        </w:rPr>
        <w:t>3.2.6.5评价方法</w:t>
      </w:r>
    </w:p>
    <w:p>
      <w:pPr>
        <w:spacing w:line="360" w:lineRule="auto"/>
        <w:ind w:firstLine="420" w:firstLineChars="200"/>
        <w:rPr>
          <w:rFonts w:hint="eastAsia" w:ascii="宋体" w:hAnsi="宋体"/>
        </w:rPr>
      </w:pPr>
      <w:r>
        <w:rPr>
          <w:rFonts w:hint="eastAsia" w:ascii="宋体" w:hAnsi="宋体"/>
        </w:rPr>
        <w:t>根据</w:t>
      </w:r>
      <w:r>
        <w:rPr>
          <w:rFonts w:hint="eastAsia" w:ascii="宋体" w:hAnsi="宋体"/>
          <w:lang w:eastAsia="zh-CN"/>
        </w:rPr>
        <w:t>招标人</w:t>
      </w:r>
      <w:r>
        <w:rPr>
          <w:rFonts w:hint="eastAsia" w:ascii="宋体" w:hAnsi="宋体"/>
        </w:rPr>
        <w:t>单位职业病危害特点，采用职业卫生调查、职业卫生检测、辐射防护屏蔽计算、职业健康检查、检查表分析、职业病危害作业分级等方法，对</w:t>
      </w:r>
      <w:r>
        <w:rPr>
          <w:rFonts w:hint="eastAsia" w:ascii="宋体" w:hAnsi="宋体"/>
          <w:lang w:eastAsia="zh-CN"/>
        </w:rPr>
        <w:t>招标人</w:t>
      </w:r>
      <w:r>
        <w:rPr>
          <w:rFonts w:hint="eastAsia" w:ascii="宋体" w:hAnsi="宋体"/>
        </w:rPr>
        <w:t>单位正常生产期间存在职业病危害暴露的劳动者的职业病危害因素接触水平、职业病防护设施效果以及职业卫生管理措施进行综合分析、定性和定量评价。职业病危害现状评价方法按照AQ/T 8008附录A执行。</w:t>
      </w:r>
    </w:p>
    <w:p>
      <w:pPr>
        <w:spacing w:line="360" w:lineRule="auto"/>
        <w:rPr>
          <w:rFonts w:hint="eastAsia" w:ascii="宋体" w:hAnsi="宋体"/>
        </w:rPr>
      </w:pPr>
      <w:r>
        <w:rPr>
          <w:rFonts w:hint="eastAsia" w:ascii="宋体" w:hAnsi="宋体"/>
        </w:rPr>
        <w:t>3.2.6.6评价程序</w:t>
      </w:r>
    </w:p>
    <w:p>
      <w:pPr>
        <w:spacing w:line="360" w:lineRule="auto"/>
        <w:ind w:firstLine="420" w:firstLineChars="200"/>
        <w:rPr>
          <w:rFonts w:hint="eastAsia" w:ascii="宋体" w:hAnsi="宋体"/>
        </w:rPr>
      </w:pPr>
      <w:r>
        <w:rPr>
          <w:rFonts w:hint="eastAsia" w:ascii="宋体" w:hAnsi="宋体"/>
        </w:rPr>
        <w:t>（1）收集资料与初步现场调查</w:t>
      </w:r>
    </w:p>
    <w:p>
      <w:pPr>
        <w:spacing w:line="360" w:lineRule="auto"/>
        <w:ind w:firstLine="420" w:firstLineChars="200"/>
        <w:rPr>
          <w:rFonts w:hint="eastAsia" w:ascii="宋体" w:hAnsi="宋体"/>
        </w:rPr>
      </w:pPr>
      <w:r>
        <w:rPr>
          <w:rFonts w:hint="eastAsia" w:ascii="宋体" w:hAnsi="宋体"/>
        </w:rPr>
        <w:t>接受</w:t>
      </w:r>
      <w:r>
        <w:rPr>
          <w:rFonts w:hint="eastAsia" w:ascii="宋体" w:hAnsi="宋体"/>
          <w:lang w:eastAsia="zh-CN"/>
        </w:rPr>
        <w:t>招标人</w:t>
      </w:r>
      <w:r>
        <w:rPr>
          <w:rFonts w:hint="eastAsia" w:ascii="宋体" w:hAnsi="宋体"/>
        </w:rPr>
        <w:t>单位委托后，应对</w:t>
      </w:r>
      <w:r>
        <w:rPr>
          <w:rFonts w:hint="eastAsia" w:ascii="宋体" w:hAnsi="宋体"/>
          <w:lang w:eastAsia="zh-CN"/>
        </w:rPr>
        <w:t>招标人</w:t>
      </w:r>
      <w:r>
        <w:rPr>
          <w:rFonts w:hint="eastAsia" w:ascii="宋体" w:hAnsi="宋体"/>
        </w:rPr>
        <w:t>单位基本情况进行初步现场调查。</w:t>
      </w:r>
    </w:p>
    <w:p>
      <w:pPr>
        <w:spacing w:line="360" w:lineRule="auto"/>
        <w:ind w:firstLine="420" w:firstLineChars="200"/>
        <w:rPr>
          <w:rFonts w:hint="eastAsia" w:ascii="宋体" w:hAnsi="宋体"/>
        </w:rPr>
      </w:pPr>
      <w:r>
        <w:rPr>
          <w:rFonts w:hint="eastAsia" w:ascii="宋体" w:hAnsi="宋体"/>
        </w:rPr>
        <w:t>（2）编制评价工作方案</w:t>
      </w:r>
    </w:p>
    <w:p>
      <w:pPr>
        <w:spacing w:line="360" w:lineRule="auto"/>
        <w:ind w:firstLine="420" w:firstLineChars="200"/>
        <w:rPr>
          <w:rFonts w:hint="eastAsia" w:ascii="宋体" w:hAnsi="宋体"/>
        </w:rPr>
      </w:pPr>
      <w:r>
        <w:rPr>
          <w:rFonts w:hint="eastAsia" w:ascii="宋体" w:hAnsi="宋体"/>
        </w:rPr>
        <w:t>在对收集的有关资料进行研读与初步现场调查的基础上，编制评价工作方案并对其进行技术审核。评价方案应包括以下主要内容：</w:t>
      </w:r>
    </w:p>
    <w:p>
      <w:pPr>
        <w:spacing w:line="360" w:lineRule="auto"/>
        <w:ind w:firstLine="420" w:firstLineChars="200"/>
        <w:rPr>
          <w:rFonts w:hint="eastAsia" w:ascii="宋体" w:hAnsi="宋体"/>
        </w:rPr>
      </w:pPr>
      <w:r>
        <w:rPr>
          <w:rFonts w:hint="eastAsia" w:ascii="宋体" w:hAnsi="宋体"/>
        </w:rPr>
        <w:t>——概述：简述评价任务由来、评价目的等。</w:t>
      </w:r>
    </w:p>
    <w:p>
      <w:pPr>
        <w:spacing w:line="360" w:lineRule="auto"/>
        <w:ind w:firstLine="420" w:firstLineChars="200"/>
        <w:rPr>
          <w:rFonts w:hint="eastAsia" w:ascii="宋体" w:hAnsi="宋体"/>
        </w:rPr>
      </w:pPr>
      <w:r>
        <w:rPr>
          <w:rFonts w:hint="eastAsia" w:ascii="宋体" w:hAnsi="宋体"/>
        </w:rPr>
        <w:t>——编制依据：按照评价依据法律法规内容编制。</w:t>
      </w:r>
    </w:p>
    <w:p>
      <w:pPr>
        <w:spacing w:line="360" w:lineRule="auto"/>
        <w:ind w:firstLine="420" w:firstLineChars="200"/>
        <w:rPr>
          <w:rFonts w:hint="eastAsia" w:ascii="宋体" w:hAnsi="宋体"/>
        </w:rPr>
      </w:pPr>
      <w:r>
        <w:rPr>
          <w:rFonts w:hint="eastAsia" w:ascii="宋体" w:hAnsi="宋体"/>
        </w:rPr>
        <w:t>——评价方法、范围及内容：根据</w:t>
      </w:r>
      <w:r>
        <w:rPr>
          <w:rFonts w:hint="eastAsia" w:ascii="宋体" w:hAnsi="宋体"/>
          <w:lang w:eastAsia="zh-CN"/>
        </w:rPr>
        <w:t>招标人</w:t>
      </w:r>
      <w:r>
        <w:rPr>
          <w:rFonts w:hint="eastAsia" w:ascii="宋体" w:hAnsi="宋体"/>
        </w:rPr>
        <w:t>单位职业病危害的特点，选定适用的评价方法，确定评价范围和评价内容，划分评价单元。</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单位概况：简述</w:t>
      </w:r>
      <w:r>
        <w:rPr>
          <w:rFonts w:hint="eastAsia" w:ascii="宋体" w:hAnsi="宋体"/>
          <w:lang w:eastAsia="zh-CN"/>
        </w:rPr>
        <w:t>招标人</w:t>
      </w:r>
      <w:r>
        <w:rPr>
          <w:rFonts w:hint="eastAsia" w:ascii="宋体" w:hAnsi="宋体"/>
        </w:rPr>
        <w:t>单位基本情况，以及正常生产运行情况。</w:t>
      </w:r>
    </w:p>
    <w:p>
      <w:pPr>
        <w:spacing w:line="360" w:lineRule="auto"/>
        <w:ind w:firstLine="420" w:firstLineChars="200"/>
        <w:rPr>
          <w:rFonts w:hint="eastAsia" w:ascii="宋体" w:hAnsi="宋体"/>
        </w:rPr>
      </w:pPr>
      <w:r>
        <w:rPr>
          <w:rFonts w:hint="eastAsia" w:ascii="宋体" w:hAnsi="宋体"/>
        </w:rPr>
        <w:t>——职业卫生调查内容：在分析最近1次职业卫生评价报告和有关资料的基础上，初步确定职业病危害因素的种类及其分布、职业病防护设施与应急救援设施的设置、职业卫生管理、职业健康监护等调查内容。</w:t>
      </w:r>
    </w:p>
    <w:p>
      <w:pPr>
        <w:spacing w:line="360" w:lineRule="auto"/>
        <w:ind w:firstLine="420" w:firstLineChars="200"/>
        <w:rPr>
          <w:rFonts w:hint="eastAsia" w:ascii="宋体" w:hAnsi="宋体"/>
        </w:rPr>
      </w:pPr>
      <w:r>
        <w:rPr>
          <w:rFonts w:hint="eastAsia" w:ascii="宋体" w:hAnsi="宋体"/>
        </w:rPr>
        <w:t>——职业卫生检测方案：确定职业病危害因素检测的范围、项目、方法、检测地点、采样对象和样品数量等</w:t>
      </w:r>
      <w:r>
        <w:rPr>
          <w:rFonts w:hint="eastAsia" w:ascii="宋体" w:hAnsi="宋体"/>
          <w:u w:val="none" w:color="EB3624"/>
        </w:rPr>
        <w:t>;</w:t>
      </w:r>
      <w:r>
        <w:rPr>
          <w:rFonts w:hint="eastAsia" w:ascii="宋体" w:hAnsi="宋体"/>
        </w:rPr>
        <w:t>确定所需检测的职业病防护设施及其检测的项目、方法等</w:t>
      </w:r>
      <w:r>
        <w:rPr>
          <w:rFonts w:hint="eastAsia" w:ascii="宋体" w:hAnsi="宋体"/>
          <w:u w:val="none" w:color="EB3624"/>
        </w:rPr>
        <w:t>;</w:t>
      </w:r>
      <w:r>
        <w:rPr>
          <w:rFonts w:hint="eastAsia" w:ascii="宋体" w:hAnsi="宋体"/>
        </w:rPr>
        <w:t>确定建筑卫生学检测的方法、仪器、条件、频次、检测地点等内容。</w:t>
      </w:r>
    </w:p>
    <w:p>
      <w:pPr>
        <w:spacing w:line="360" w:lineRule="auto"/>
        <w:ind w:firstLine="420" w:firstLineChars="200"/>
        <w:rPr>
          <w:rFonts w:hint="eastAsia" w:ascii="宋体" w:hAnsi="宋体"/>
        </w:rPr>
      </w:pPr>
      <w:r>
        <w:rPr>
          <w:rFonts w:hint="eastAsia" w:ascii="宋体" w:hAnsi="宋体"/>
        </w:rPr>
        <w:t>——组织计划：主要包括质量控制措施、工作进度、人员分工、仪器及车辆准备、经费概算等。</w:t>
      </w:r>
    </w:p>
    <w:p>
      <w:pPr>
        <w:spacing w:line="360" w:lineRule="auto"/>
        <w:rPr>
          <w:rFonts w:hint="eastAsia" w:ascii="宋体" w:hAnsi="宋体"/>
        </w:rPr>
      </w:pPr>
      <w:r>
        <w:rPr>
          <w:rFonts w:hint="eastAsia" w:ascii="宋体" w:hAnsi="宋体"/>
        </w:rPr>
        <w:t>3.2.6.7实施阶段</w:t>
      </w:r>
    </w:p>
    <w:p>
      <w:pPr>
        <w:spacing w:line="360" w:lineRule="auto"/>
        <w:ind w:firstLine="420" w:firstLineChars="200"/>
        <w:rPr>
          <w:rFonts w:hint="eastAsia" w:ascii="宋体" w:hAnsi="宋体"/>
        </w:rPr>
      </w:pPr>
      <w:r>
        <w:rPr>
          <w:rFonts w:hint="eastAsia" w:ascii="宋体" w:hAnsi="宋体"/>
        </w:rPr>
        <w:t>（1）</w:t>
      </w:r>
      <w:r>
        <w:rPr>
          <w:rFonts w:hint="eastAsia" w:ascii="宋体" w:hAnsi="宋体"/>
          <w:lang w:eastAsia="zh-CN"/>
        </w:rPr>
        <w:t>招标人</w:t>
      </w:r>
      <w:r>
        <w:rPr>
          <w:rFonts w:hint="eastAsia" w:ascii="宋体" w:hAnsi="宋体"/>
        </w:rPr>
        <w:t>单位基本情况调查</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单位基本情况调查应包括以下内容：</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单位概况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——地理位置及主要自然环境概况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——原、辅材料及产品</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——岗位定员及工作制度。</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单位概况：包括</w:t>
      </w:r>
      <w:r>
        <w:rPr>
          <w:rFonts w:hint="eastAsia" w:ascii="宋体" w:hAnsi="宋体"/>
          <w:lang w:eastAsia="zh-CN"/>
        </w:rPr>
        <w:t>招标人</w:t>
      </w:r>
      <w:r>
        <w:rPr>
          <w:rFonts w:hint="eastAsia" w:ascii="宋体" w:hAnsi="宋体"/>
        </w:rPr>
        <w:t>单位成立时间、地址、投产运行时间、生产运行状况等基本情况。生产运行状况应注重调查最近1次职业卫生评价以来</w:t>
      </w:r>
      <w:r>
        <w:rPr>
          <w:rFonts w:hint="eastAsia" w:ascii="宋体" w:hAnsi="宋体"/>
          <w:lang w:eastAsia="zh-CN"/>
        </w:rPr>
        <w:t>招标人</w:t>
      </w:r>
      <w:r>
        <w:rPr>
          <w:rFonts w:hint="eastAsia" w:ascii="宋体" w:hAnsi="宋体"/>
        </w:rPr>
        <w:t>单位发生哪些变化</w:t>
      </w:r>
      <w:r>
        <w:rPr>
          <w:rFonts w:hint="eastAsia" w:ascii="宋体" w:hAnsi="宋体"/>
          <w:u w:val="none" w:color="EB3624"/>
        </w:rPr>
        <w:t>;</w:t>
      </w:r>
      <w:r>
        <w:rPr>
          <w:rFonts w:hint="eastAsia" w:ascii="宋体" w:hAnsi="宋体"/>
        </w:rPr>
        <w:t>首次现状评价应简要分析自</w:t>
      </w:r>
      <w:r>
        <w:rPr>
          <w:rFonts w:hint="eastAsia" w:ascii="宋体" w:hAnsi="宋体"/>
          <w:lang w:eastAsia="zh-CN"/>
        </w:rPr>
        <w:t>招标人</w:t>
      </w:r>
      <w:r>
        <w:rPr>
          <w:rFonts w:hint="eastAsia" w:ascii="宋体" w:hAnsi="宋体"/>
        </w:rPr>
        <w:t>单位正式生产以来至此次评价前的历次变化以及现时运行情况</w:t>
      </w:r>
      <w:r>
        <w:rPr>
          <w:rFonts w:hint="eastAsia" w:ascii="宋体" w:hAnsi="宋体"/>
          <w:u w:val="none" w:color="EB3624"/>
        </w:rPr>
        <w:t>(</w:t>
      </w:r>
      <w:r>
        <w:rPr>
          <w:rFonts w:hint="eastAsia" w:ascii="宋体" w:hAnsi="宋体"/>
        </w:rPr>
        <w:t>能力</w:t>
      </w:r>
      <w:r>
        <w:rPr>
          <w:rFonts w:hint="eastAsia" w:ascii="宋体" w:hAnsi="宋体"/>
          <w:u w:val="none" w:color="EB3624"/>
        </w:rPr>
        <w:t>)</w:t>
      </w:r>
      <w:r>
        <w:rPr>
          <w:rFonts w:hint="eastAsia" w:ascii="宋体" w:hAnsi="宋体"/>
        </w:rPr>
        <w:t>。</w:t>
      </w:r>
    </w:p>
    <w:p>
      <w:pPr>
        <w:spacing w:line="360" w:lineRule="auto"/>
        <w:ind w:firstLine="420" w:firstLineChars="200"/>
        <w:rPr>
          <w:rFonts w:hint="eastAsia" w:ascii="宋体" w:hAnsi="宋体"/>
        </w:rPr>
      </w:pPr>
      <w:r>
        <w:rPr>
          <w:rFonts w:hint="eastAsia" w:ascii="宋体" w:hAnsi="宋体"/>
        </w:rPr>
        <w:t>地理位置及主要自然环境概况：应包括</w:t>
      </w:r>
      <w:r>
        <w:rPr>
          <w:rFonts w:hint="eastAsia" w:ascii="宋体" w:hAnsi="宋体"/>
          <w:lang w:eastAsia="zh-CN"/>
        </w:rPr>
        <w:t>招标人</w:t>
      </w:r>
      <w:r>
        <w:rPr>
          <w:rFonts w:hint="eastAsia" w:ascii="宋体" w:hAnsi="宋体"/>
        </w:rPr>
        <w:t>单位所在地全年和夏季的风向玫瑰图。</w:t>
      </w:r>
    </w:p>
    <w:p>
      <w:pPr>
        <w:spacing w:line="360" w:lineRule="auto"/>
        <w:ind w:firstLine="420" w:firstLineChars="200"/>
        <w:rPr>
          <w:rFonts w:hint="eastAsia" w:ascii="宋体" w:hAnsi="宋体"/>
        </w:rPr>
      </w:pPr>
      <w:r>
        <w:rPr>
          <w:rFonts w:hint="eastAsia" w:ascii="宋体" w:hAnsi="宋体"/>
        </w:rPr>
        <w:t>原、辅材料及产品：包括生产过程中使用原料、辅料，以及产品、中间产品、联产品、副产品的名称形态、储存和运输方式、年使用量或产量，以及化学品的组成成分等内容。</w:t>
      </w:r>
    </w:p>
    <w:p>
      <w:pPr>
        <w:spacing w:line="360" w:lineRule="auto"/>
        <w:ind w:firstLine="420" w:firstLineChars="200"/>
        <w:rPr>
          <w:rFonts w:ascii="仿宋" w:hAnsi="仿宋" w:eastAsia="仿宋"/>
          <w:sz w:val="32"/>
          <w:szCs w:val="32"/>
        </w:rPr>
      </w:pPr>
      <w:r>
        <w:rPr>
          <w:rFonts w:hint="eastAsia" w:ascii="宋体" w:hAnsi="宋体"/>
        </w:rPr>
        <w:t>岗位定员及工作制度：主要调查劳动岗位、班次、劳动者人数、性别、工作内容、作业方式等。</w:t>
      </w:r>
    </w:p>
    <w:p>
      <w:pPr>
        <w:spacing w:line="360" w:lineRule="auto"/>
        <w:ind w:firstLine="420" w:firstLineChars="200"/>
        <w:rPr>
          <w:rFonts w:hint="eastAsia" w:ascii="宋体" w:hAnsi="宋体"/>
        </w:rPr>
      </w:pPr>
      <w:r>
        <w:rPr>
          <w:rFonts w:hint="eastAsia" w:ascii="宋体" w:hAnsi="宋体"/>
        </w:rPr>
        <w:t>（2）总体布局调查</w:t>
      </w:r>
    </w:p>
    <w:p>
      <w:pPr>
        <w:spacing w:line="360" w:lineRule="auto"/>
        <w:ind w:firstLine="420" w:firstLineChars="200"/>
        <w:rPr>
          <w:rFonts w:hint="eastAsia" w:ascii="宋体" w:hAnsi="宋体"/>
        </w:rPr>
      </w:pPr>
      <w:r>
        <w:rPr>
          <w:rFonts w:hint="eastAsia" w:ascii="宋体" w:hAnsi="宋体"/>
        </w:rPr>
        <w:t>包括</w:t>
      </w:r>
      <w:r>
        <w:rPr>
          <w:rFonts w:hint="eastAsia" w:ascii="宋体" w:hAnsi="宋体"/>
          <w:lang w:eastAsia="zh-CN"/>
        </w:rPr>
        <w:t>招标人</w:t>
      </w:r>
      <w:r>
        <w:rPr>
          <w:rFonts w:hint="eastAsia" w:ascii="宋体" w:hAnsi="宋体"/>
        </w:rPr>
        <w:t>单位工作场所和生活场所的位置、有害工作场所和无害工作场所的位置、产生和</w:t>
      </w:r>
      <w:r>
        <w:rPr>
          <w:rFonts w:hint="eastAsia" w:ascii="宋体" w:hAnsi="宋体"/>
          <w:u w:val="none" w:color="EB3624"/>
        </w:rPr>
        <w:t>(</w:t>
      </w:r>
      <w:r>
        <w:rPr>
          <w:rFonts w:hint="eastAsia" w:ascii="宋体" w:hAnsi="宋体"/>
        </w:rPr>
        <w:t>或</w:t>
      </w:r>
      <w:r>
        <w:rPr>
          <w:rFonts w:hint="eastAsia" w:ascii="宋体" w:hAnsi="宋体"/>
          <w:u w:val="none" w:color="EB3624"/>
        </w:rPr>
        <w:t>)</w:t>
      </w:r>
      <w:r>
        <w:rPr>
          <w:rFonts w:hint="eastAsia" w:ascii="宋体" w:hAnsi="宋体"/>
        </w:rPr>
        <w:t>存在高毒物质工作场所的位置，重点调查</w:t>
      </w:r>
      <w:r>
        <w:rPr>
          <w:rFonts w:hint="eastAsia" w:ascii="宋体" w:hAnsi="宋体"/>
          <w:lang w:eastAsia="zh-CN"/>
        </w:rPr>
        <w:t>招标人</w:t>
      </w:r>
      <w:r>
        <w:rPr>
          <w:rFonts w:hint="eastAsia" w:ascii="宋体" w:hAnsi="宋体"/>
        </w:rPr>
        <w:t>单位自最近1次职业卫生评价以来总体布局是否发生变化。</w:t>
      </w:r>
    </w:p>
    <w:p>
      <w:pPr>
        <w:spacing w:line="360" w:lineRule="auto"/>
        <w:ind w:firstLine="420" w:firstLineChars="200"/>
        <w:rPr>
          <w:rFonts w:hint="eastAsia" w:ascii="宋体" w:hAnsi="宋体"/>
        </w:rPr>
      </w:pPr>
      <w:r>
        <w:rPr>
          <w:rFonts w:hint="eastAsia" w:ascii="宋体" w:hAnsi="宋体"/>
        </w:rPr>
        <w:t>（3）生产工艺和设备布局调查</w:t>
      </w:r>
    </w:p>
    <w:p>
      <w:pPr>
        <w:spacing w:line="360" w:lineRule="auto"/>
        <w:ind w:firstLine="420" w:firstLineChars="200"/>
        <w:rPr>
          <w:rFonts w:hint="eastAsia" w:ascii="宋体" w:hAnsi="宋体"/>
        </w:rPr>
      </w:pPr>
      <w:r>
        <w:rPr>
          <w:rFonts w:hint="eastAsia" w:ascii="宋体" w:hAnsi="宋体"/>
        </w:rPr>
        <w:t>包括生产工艺自最近1次职业卫生评价以来是否发生变化，以及存在职业病危害的工序和设备情况，包括设备的名称、数量、型号、基本性能参数、使用状态及分布。</w:t>
      </w:r>
    </w:p>
    <w:p>
      <w:pPr>
        <w:spacing w:line="360" w:lineRule="auto"/>
        <w:ind w:firstLine="420" w:firstLineChars="200"/>
        <w:rPr>
          <w:rFonts w:hint="eastAsia" w:ascii="宋体" w:hAnsi="宋体"/>
        </w:rPr>
      </w:pPr>
      <w:r>
        <w:rPr>
          <w:rFonts w:hint="eastAsia" w:ascii="宋体" w:hAnsi="宋体"/>
        </w:rPr>
        <w:t>（4）建筑卫生学调查</w:t>
      </w:r>
    </w:p>
    <w:p>
      <w:pPr>
        <w:spacing w:line="360" w:lineRule="auto"/>
        <w:ind w:firstLine="420" w:firstLineChars="200"/>
        <w:rPr>
          <w:rFonts w:hint="eastAsia" w:ascii="宋体" w:hAnsi="宋体"/>
        </w:rPr>
      </w:pPr>
      <w:r>
        <w:rPr>
          <w:rFonts w:hint="eastAsia" w:ascii="宋体" w:hAnsi="宋体"/>
        </w:rPr>
        <w:t>包括建筑结构、采暖、通风、空气调节、采光照明、微小气候等建筑卫生学情况。</w:t>
      </w:r>
    </w:p>
    <w:p>
      <w:pPr>
        <w:spacing w:line="360" w:lineRule="auto"/>
        <w:ind w:firstLine="420" w:firstLineChars="200"/>
        <w:rPr>
          <w:rFonts w:hint="eastAsia" w:ascii="宋体" w:hAnsi="宋体"/>
        </w:rPr>
      </w:pPr>
      <w:r>
        <w:rPr>
          <w:rFonts w:hint="eastAsia" w:ascii="宋体" w:hAnsi="宋体"/>
        </w:rPr>
        <w:t>（5）职业病危害因素调查</w:t>
      </w:r>
    </w:p>
    <w:p>
      <w:pPr>
        <w:spacing w:line="360" w:lineRule="auto"/>
        <w:ind w:firstLine="420" w:firstLineChars="200"/>
        <w:rPr>
          <w:rFonts w:hint="eastAsia" w:ascii="宋体" w:hAnsi="宋体"/>
        </w:rPr>
      </w:pPr>
      <w:r>
        <w:rPr>
          <w:rFonts w:hint="eastAsia" w:ascii="宋体" w:hAnsi="宋体"/>
        </w:rPr>
        <w:t>包括职业病危害因素的种类及分布情况，存在职业病危害暴露岗位的分布情况、职业病危害接触人数、接触时间及作业方式等。</w:t>
      </w:r>
    </w:p>
    <w:p>
      <w:pPr>
        <w:spacing w:line="360" w:lineRule="auto"/>
        <w:ind w:firstLine="420" w:firstLineChars="200"/>
        <w:rPr>
          <w:rFonts w:hint="eastAsia" w:ascii="宋体" w:hAnsi="宋体"/>
        </w:rPr>
      </w:pPr>
      <w:r>
        <w:rPr>
          <w:rFonts w:hint="eastAsia" w:ascii="宋体" w:hAnsi="宋体"/>
        </w:rPr>
        <w:t>（6）职业病防护设施与应急救援设施调查</w:t>
      </w:r>
    </w:p>
    <w:p>
      <w:pPr>
        <w:spacing w:line="360" w:lineRule="auto"/>
        <w:ind w:firstLine="420" w:firstLineChars="200"/>
        <w:rPr>
          <w:rFonts w:hint="eastAsia" w:ascii="宋体" w:hAnsi="宋体"/>
        </w:rPr>
      </w:pPr>
      <w:r>
        <w:rPr>
          <w:rFonts w:hint="eastAsia" w:ascii="宋体" w:hAnsi="宋体"/>
        </w:rPr>
        <w:t>包括工作场所防尘、防毒、防噪、减振、防高温、防辐射等各类职业病防护设施的设置种类、数量、设置地点、防护设计能力及运行维护等情况</w:t>
      </w:r>
      <w:r>
        <w:rPr>
          <w:rFonts w:hint="eastAsia" w:ascii="宋体" w:hAnsi="宋体"/>
          <w:u w:val="none" w:color="EB3624"/>
        </w:rPr>
        <w:t>;</w:t>
      </w:r>
      <w:r>
        <w:rPr>
          <w:rFonts w:hint="eastAsia" w:ascii="宋体" w:hAnsi="宋体"/>
        </w:rPr>
        <w:t>针对可导致急性职业病危害的职业病危害因素及其特点、可能发生泄漏</w:t>
      </w:r>
      <w:r>
        <w:rPr>
          <w:rFonts w:hint="eastAsia" w:ascii="宋体" w:hAnsi="宋体"/>
          <w:u w:val="none" w:color="EB3624"/>
        </w:rPr>
        <w:t>(</w:t>
      </w:r>
      <w:r>
        <w:rPr>
          <w:rFonts w:hint="eastAsia" w:ascii="宋体" w:hAnsi="宋体"/>
        </w:rPr>
        <w:t>逸出</w:t>
      </w:r>
      <w:r>
        <w:rPr>
          <w:rFonts w:hint="eastAsia" w:ascii="宋体" w:hAnsi="宋体"/>
          <w:u w:val="none" w:color="EB3624"/>
        </w:rPr>
        <w:t>)</w:t>
      </w:r>
      <w:r>
        <w:rPr>
          <w:rFonts w:hint="eastAsia" w:ascii="宋体" w:hAnsi="宋体"/>
        </w:rPr>
        <w:t>或聚积的工作场所，调查各类应急救援设施的种类、数量、设置地点及运行维护状况等。</w:t>
      </w:r>
    </w:p>
    <w:p>
      <w:pPr>
        <w:spacing w:line="360" w:lineRule="auto"/>
        <w:ind w:firstLine="420" w:firstLineChars="200"/>
        <w:rPr>
          <w:rFonts w:hint="eastAsia" w:ascii="宋体" w:hAnsi="宋体"/>
        </w:rPr>
      </w:pPr>
      <w:r>
        <w:rPr>
          <w:rFonts w:hint="eastAsia" w:ascii="宋体" w:hAnsi="宋体"/>
        </w:rPr>
        <w:t>（7）职业健康监护情况调查</w:t>
      </w:r>
    </w:p>
    <w:p>
      <w:pPr>
        <w:spacing w:line="360" w:lineRule="auto"/>
        <w:ind w:firstLine="420" w:firstLineChars="200"/>
        <w:rPr>
          <w:rFonts w:hint="eastAsia" w:ascii="宋体" w:hAnsi="宋体"/>
        </w:rPr>
      </w:pPr>
      <w:r>
        <w:rPr>
          <w:rFonts w:hint="eastAsia" w:ascii="宋体" w:hAnsi="宋体"/>
        </w:rPr>
        <w:t>主要调查近3年的职业健康监护资料，主要包括以下内容：</w:t>
      </w:r>
    </w:p>
    <w:p>
      <w:pPr>
        <w:spacing w:line="360" w:lineRule="auto"/>
        <w:ind w:firstLine="420" w:firstLineChars="200"/>
        <w:rPr>
          <w:rFonts w:hint="eastAsia" w:ascii="宋体" w:hAnsi="宋体"/>
        </w:rPr>
      </w:pPr>
      <w:r>
        <w:rPr>
          <w:rFonts w:hint="eastAsia" w:ascii="宋体" w:hAnsi="宋体"/>
        </w:rPr>
        <w:t>——职业健康监护管理情况。主要包括是否建立职业健康监护管理制度，并按制度组织劳动者进行上岗前、在岗期间、离岗时和应急的职业健康检查的情况</w:t>
      </w:r>
      <w:r>
        <w:rPr>
          <w:rFonts w:hint="eastAsia" w:ascii="宋体" w:hAnsi="宋体"/>
          <w:u w:val="none" w:color="EB3624"/>
        </w:rPr>
        <w:t>;</w:t>
      </w:r>
      <w:r>
        <w:rPr>
          <w:rFonts w:hint="eastAsia" w:ascii="宋体" w:hAnsi="宋体"/>
        </w:rPr>
        <w:t>是否建立劳动者职业健康监护档案，以及档案管理是否规范等情况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——职业健康检查情况。调查</w:t>
      </w:r>
      <w:r>
        <w:rPr>
          <w:rFonts w:hint="eastAsia" w:ascii="宋体" w:hAnsi="宋体"/>
          <w:lang w:eastAsia="zh-CN"/>
        </w:rPr>
        <w:t>招标人</w:t>
      </w:r>
      <w:r>
        <w:rPr>
          <w:rFonts w:hint="eastAsia" w:ascii="宋体" w:hAnsi="宋体"/>
        </w:rPr>
        <w:t>单位职业健康检查结果，有无职业病病例发生</w:t>
      </w:r>
      <w:r>
        <w:rPr>
          <w:rFonts w:hint="eastAsia" w:ascii="宋体" w:hAnsi="宋体"/>
          <w:u w:val="none" w:color="EB3624"/>
        </w:rPr>
        <w:t>;</w:t>
      </w:r>
      <w:r>
        <w:rPr>
          <w:rFonts w:hint="eastAsia" w:ascii="宋体" w:hAnsi="宋体"/>
        </w:rPr>
        <w:t>调查</w:t>
      </w:r>
      <w:r>
        <w:rPr>
          <w:rFonts w:hint="eastAsia" w:ascii="宋体" w:hAnsi="宋体"/>
          <w:lang w:eastAsia="zh-CN"/>
        </w:rPr>
        <w:t>招标人</w:t>
      </w:r>
      <w:r>
        <w:rPr>
          <w:rFonts w:hint="eastAsia" w:ascii="宋体" w:hAnsi="宋体"/>
        </w:rPr>
        <w:t>单位是否存在职业禁忌证、疑似职业病患者、职业病病人</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单位存在职业禁忌证的劳动者、疑似职业病患者和职业病病人的处置情况。</w:t>
      </w:r>
    </w:p>
    <w:p>
      <w:pPr>
        <w:spacing w:line="360" w:lineRule="auto"/>
        <w:ind w:firstLine="420" w:firstLineChars="200"/>
        <w:rPr>
          <w:rFonts w:hint="eastAsia" w:ascii="宋体" w:hAnsi="宋体"/>
        </w:rPr>
      </w:pPr>
      <w:r>
        <w:rPr>
          <w:rFonts w:hint="eastAsia" w:ascii="宋体" w:hAnsi="宋体"/>
        </w:rPr>
        <w:t>（8）个人防护用品调查</w:t>
      </w:r>
    </w:p>
    <w:p>
      <w:pPr>
        <w:spacing w:line="360" w:lineRule="auto"/>
        <w:ind w:firstLine="420" w:firstLineChars="200"/>
        <w:rPr>
          <w:rFonts w:hint="eastAsia" w:ascii="宋体" w:hAnsi="宋体"/>
        </w:rPr>
      </w:pPr>
      <w:r>
        <w:rPr>
          <w:rFonts w:hint="eastAsia" w:ascii="宋体" w:hAnsi="宋体"/>
        </w:rPr>
        <w:t>主要调查各类职业病危害作业的环境状况及其配备防护用品的种类、数量、性能参数、</w:t>
      </w:r>
      <w:r>
        <w:rPr>
          <w:rFonts w:hint="eastAsia" w:ascii="宋体" w:hAnsi="宋体"/>
          <w:u w:val="none" w:color="EB3624"/>
        </w:rPr>
        <w:t>适用</w:t>
      </w:r>
      <w:r>
        <w:rPr>
          <w:rFonts w:hint="eastAsia" w:ascii="宋体" w:hAnsi="宋体"/>
        </w:rPr>
        <w:t>条件以及防护用品使用管理制度及执行情况等。</w:t>
      </w:r>
    </w:p>
    <w:p>
      <w:pPr>
        <w:spacing w:line="360" w:lineRule="auto"/>
        <w:ind w:firstLine="420" w:firstLineChars="200"/>
        <w:rPr>
          <w:rFonts w:hint="eastAsia" w:ascii="宋体" w:hAnsi="宋体"/>
        </w:rPr>
      </w:pPr>
      <w:r>
        <w:rPr>
          <w:rFonts w:hint="eastAsia" w:ascii="宋体" w:hAnsi="宋体"/>
        </w:rPr>
        <w:t>（9）辅助用室调查</w:t>
      </w:r>
    </w:p>
    <w:p>
      <w:pPr>
        <w:spacing w:line="360" w:lineRule="auto"/>
        <w:ind w:firstLine="420" w:firstLineChars="200"/>
        <w:rPr>
          <w:rFonts w:hint="eastAsia" w:ascii="宋体" w:hAnsi="宋体"/>
        </w:rPr>
      </w:pPr>
      <w:r>
        <w:rPr>
          <w:rFonts w:hint="eastAsia" w:ascii="宋体" w:hAnsi="宋体"/>
        </w:rPr>
        <w:t>主要调查工作场所办公室、生产卫生室</w:t>
      </w:r>
      <w:r>
        <w:rPr>
          <w:rFonts w:hint="eastAsia" w:ascii="宋体" w:hAnsi="宋体"/>
          <w:u w:val="none" w:color="EB3624"/>
        </w:rPr>
        <w:t>(</w:t>
      </w:r>
      <w:r>
        <w:rPr>
          <w:rFonts w:hint="eastAsia" w:ascii="宋体" w:hAnsi="宋体"/>
        </w:rPr>
        <w:t>浴室、存衣室、盥洗室、洗衣房</w:t>
      </w:r>
      <w:r>
        <w:rPr>
          <w:rFonts w:hint="eastAsia" w:ascii="宋体" w:hAnsi="宋体"/>
          <w:u w:val="none" w:color="EB3624"/>
        </w:rPr>
        <w:t>)</w:t>
      </w:r>
      <w:r>
        <w:rPr>
          <w:rFonts w:hint="eastAsia" w:ascii="宋体" w:hAnsi="宋体"/>
        </w:rPr>
        <w:t>、生活室</w:t>
      </w:r>
      <w:r>
        <w:rPr>
          <w:rFonts w:hint="eastAsia" w:ascii="宋体" w:hAnsi="宋体"/>
          <w:u w:val="none" w:color="EB3624"/>
        </w:rPr>
        <w:t>(</w:t>
      </w:r>
      <w:r>
        <w:rPr>
          <w:rFonts w:hint="eastAsia" w:ascii="宋体" w:hAnsi="宋体"/>
        </w:rPr>
        <w:t>休息室、食堂、厕所</w:t>
      </w:r>
      <w:r>
        <w:rPr>
          <w:rFonts w:hint="eastAsia" w:ascii="宋体" w:hAnsi="宋体"/>
          <w:u w:val="none" w:color="EB3624"/>
        </w:rPr>
        <w:t>)</w:t>
      </w:r>
      <w:r>
        <w:rPr>
          <w:rFonts w:hint="eastAsia" w:ascii="宋体" w:hAnsi="宋体"/>
        </w:rPr>
        <w:t>等辅助用室的设置及自上次评价以来的变更情况。</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10</w:t>
      </w:r>
      <w:r>
        <w:rPr>
          <w:rFonts w:hint="eastAsia" w:ascii="宋体" w:hAnsi="宋体"/>
        </w:rPr>
        <w:t>）职业卫生管理情况调查</w:t>
      </w:r>
    </w:p>
    <w:p>
      <w:pPr>
        <w:spacing w:line="360" w:lineRule="auto"/>
        <w:ind w:firstLine="420" w:firstLineChars="200"/>
        <w:rPr>
          <w:rFonts w:hint="eastAsia" w:ascii="宋体" w:hAnsi="宋体"/>
        </w:rPr>
      </w:pPr>
      <w:r>
        <w:rPr>
          <w:rFonts w:hint="eastAsia" w:ascii="宋体" w:hAnsi="宋体"/>
        </w:rPr>
        <w:t>主要调查</w:t>
      </w:r>
      <w:r>
        <w:rPr>
          <w:rFonts w:hint="eastAsia" w:ascii="宋体" w:hAnsi="宋体"/>
          <w:lang w:eastAsia="zh-CN"/>
        </w:rPr>
        <w:t>《</w:t>
      </w:r>
      <w:r>
        <w:rPr>
          <w:rFonts w:hint="eastAsia" w:ascii="宋体" w:hAnsi="宋体"/>
        </w:rPr>
        <w:t>职业卫生管理组织机构及人员设置情况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职业病防治计划与实施方案制定及执行情况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职业卫生管理制度与操作规程及执行情况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职业病危害因素定期检测制度制定及执行情况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职业病危害的告知情况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职业卫生培训情况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职业病危害事故应急救援预案及演练情况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职业病危害警示标识及中文警示说明的设置状况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职业病危害项目申报情况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职业卫生档案建立及管理情况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职业病危害防治经费落实情况等</w:t>
      </w:r>
      <w:r>
        <w:rPr>
          <w:rFonts w:hint="eastAsia" w:ascii="宋体" w:hAnsi="宋体"/>
          <w:lang w:eastAsia="zh-CN"/>
        </w:rPr>
        <w:t>》</w:t>
      </w:r>
      <w:r>
        <w:rPr>
          <w:rFonts w:hint="eastAsia" w:ascii="宋体" w:hAnsi="宋体"/>
        </w:rPr>
        <w:t>。重点调查上述管理制度的执行及落实情况。</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11</w:t>
      </w:r>
      <w:r>
        <w:rPr>
          <w:rFonts w:hint="eastAsia" w:ascii="宋体" w:hAnsi="宋体"/>
        </w:rPr>
        <w:t>）既往职业卫生评价建议落实情况调查</w:t>
      </w:r>
    </w:p>
    <w:p>
      <w:pPr>
        <w:spacing w:line="360" w:lineRule="auto"/>
        <w:ind w:firstLine="420" w:firstLineChars="200"/>
        <w:rPr>
          <w:rFonts w:hint="eastAsia" w:ascii="宋体" w:hAnsi="宋体"/>
        </w:rPr>
      </w:pPr>
      <w:r>
        <w:rPr>
          <w:rFonts w:hint="eastAsia" w:ascii="宋体" w:hAnsi="宋体"/>
        </w:rPr>
        <w:t>主要对最近1次职业卫生评价建议的落实情况进行调查。</w:t>
      </w:r>
    </w:p>
    <w:p>
      <w:pPr>
        <w:spacing w:line="360" w:lineRule="auto"/>
        <w:ind w:firstLine="420" w:firstLineChars="200"/>
        <w:rPr>
          <w:rFonts w:hint="eastAsia" w:ascii="宋体" w:hAnsi="宋体"/>
        </w:rPr>
      </w:pPr>
      <w:r>
        <w:rPr>
          <w:rFonts w:hint="eastAsia" w:ascii="宋体" w:hAnsi="宋体"/>
        </w:rPr>
        <w:t>在调查中发现的问题应及时反馈给</w:t>
      </w:r>
      <w:r>
        <w:rPr>
          <w:rFonts w:hint="eastAsia" w:ascii="宋体" w:hAnsi="宋体"/>
          <w:lang w:eastAsia="zh-CN"/>
        </w:rPr>
        <w:t>招标人</w:t>
      </w:r>
      <w:r>
        <w:rPr>
          <w:rFonts w:hint="eastAsia" w:ascii="宋体" w:hAnsi="宋体"/>
        </w:rPr>
        <w:t>单位，协助并指导</w:t>
      </w:r>
      <w:r>
        <w:rPr>
          <w:rFonts w:hint="eastAsia" w:ascii="宋体" w:hAnsi="宋体"/>
          <w:lang w:eastAsia="zh-CN"/>
        </w:rPr>
        <w:t>招标人</w:t>
      </w:r>
      <w:r>
        <w:rPr>
          <w:rFonts w:hint="eastAsia" w:ascii="宋体" w:hAnsi="宋体"/>
        </w:rPr>
        <w:t>单位进行整改。</w:t>
      </w:r>
    </w:p>
    <w:p>
      <w:pPr>
        <w:spacing w:line="360" w:lineRule="auto"/>
        <w:rPr>
          <w:rFonts w:hint="eastAsia" w:ascii="宋体" w:hAnsi="宋体"/>
        </w:rPr>
      </w:pPr>
      <w:r>
        <w:rPr>
          <w:rFonts w:hint="eastAsia" w:ascii="宋体" w:hAnsi="宋体"/>
        </w:rPr>
        <w:t>3.2.6.8职业卫生检测</w:t>
      </w:r>
    </w:p>
    <w:p>
      <w:pPr>
        <w:spacing w:line="360" w:lineRule="auto"/>
        <w:ind w:firstLine="420" w:firstLineChars="200"/>
        <w:rPr>
          <w:rFonts w:hint="eastAsia" w:ascii="宋体" w:hAnsi="宋体"/>
        </w:rPr>
      </w:pPr>
      <w:r>
        <w:rPr>
          <w:rFonts w:hint="eastAsia" w:ascii="宋体" w:hAnsi="宋体"/>
        </w:rPr>
        <w:t>（1）职业病危害因素检测，应注意以下事项：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依照GBZ 2的规定确定应检测</w:t>
      </w:r>
      <w:r>
        <w:rPr>
          <w:rFonts w:hint="eastAsia" w:ascii="宋体" w:hAnsi="宋体"/>
          <w:u w:val="none" w:color="EB3624"/>
        </w:rPr>
        <w:t>的</w:t>
      </w:r>
      <w:r>
        <w:rPr>
          <w:rFonts w:hint="eastAsia" w:ascii="宋体" w:hAnsi="宋体"/>
        </w:rPr>
        <w:t>职业病危害因素项目</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按照GBZ 159、GBZ/T 160、GBZ/T 189、GBZ/T 192、GBZ/T300的要求确定检测</w:t>
      </w:r>
      <w:r>
        <w:rPr>
          <w:rFonts w:hint="eastAsia" w:ascii="宋体" w:hAnsi="宋体"/>
          <w:u w:val="none" w:color="EB3624"/>
        </w:rPr>
        <w:t>(</w:t>
      </w:r>
      <w:r>
        <w:rPr>
          <w:rFonts w:hint="eastAsia" w:ascii="宋体" w:hAnsi="宋体"/>
        </w:rPr>
        <w:t>采样</w:t>
      </w:r>
      <w:r>
        <w:rPr>
          <w:rFonts w:hint="eastAsia" w:ascii="宋体" w:hAnsi="宋体"/>
          <w:u w:val="none" w:color="EB3624"/>
        </w:rPr>
        <w:t>)</w:t>
      </w:r>
      <w:r>
        <w:rPr>
          <w:rFonts w:hint="eastAsia" w:ascii="宋体" w:hAnsi="宋体"/>
        </w:rPr>
        <w:t>对象、检测地点和检测方法，符合个体采样条件的，应优先选用个体采样，并经被采集对象签字确认</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根据</w:t>
      </w:r>
      <w:r>
        <w:rPr>
          <w:rFonts w:hint="eastAsia" w:ascii="宋体" w:hAnsi="宋体"/>
          <w:lang w:eastAsia="zh-CN"/>
        </w:rPr>
        <w:t>招标人</w:t>
      </w:r>
      <w:r>
        <w:rPr>
          <w:rFonts w:hint="eastAsia" w:ascii="宋体" w:hAnsi="宋体"/>
        </w:rPr>
        <w:t>单位生产实际情况，确定检测时段和频次</w:t>
      </w:r>
      <w:r>
        <w:rPr>
          <w:rFonts w:hint="eastAsia" w:ascii="宋体" w:hAnsi="宋体"/>
          <w:lang w:eastAsia="zh-CN"/>
        </w:rPr>
        <w:t>、</w:t>
      </w:r>
      <w:r>
        <w:rPr>
          <w:rFonts w:hint="eastAsia" w:ascii="宋体" w:hAnsi="宋体"/>
        </w:rPr>
        <w:t>确定检测仪器</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d</w:t>
      </w:r>
      <w:r>
        <w:rPr>
          <w:rFonts w:hint="eastAsia" w:ascii="宋体" w:hAnsi="宋体"/>
          <w:u w:val="none" w:color="EB3624"/>
        </w:rPr>
        <w:t>)</w:t>
      </w:r>
      <w:r>
        <w:rPr>
          <w:rFonts w:hint="eastAsia" w:ascii="宋体" w:hAnsi="宋体"/>
        </w:rPr>
        <w:t xml:space="preserve"> 检测时应对检测地点的气象条件进行检测</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e</w:t>
      </w:r>
      <w:r>
        <w:rPr>
          <w:rFonts w:hint="eastAsia" w:ascii="宋体" w:hAnsi="宋体"/>
          <w:u w:val="none" w:color="EB3624"/>
        </w:rPr>
        <w:t>)</w:t>
      </w:r>
      <w:r>
        <w:rPr>
          <w:rFonts w:hint="eastAsia" w:ascii="宋体" w:hAnsi="宋体"/>
        </w:rPr>
        <w:t xml:space="preserve"> 对检测情况进行实时拍摄留证，</w:t>
      </w:r>
      <w:r>
        <w:rPr>
          <w:rFonts w:hint="eastAsia" w:ascii="宋体" w:hAnsi="宋体"/>
          <w:lang w:eastAsia="zh-CN"/>
        </w:rPr>
        <w:t>招标人</w:t>
      </w:r>
      <w:r>
        <w:rPr>
          <w:rFonts w:hint="eastAsia" w:ascii="宋体" w:hAnsi="宋体"/>
        </w:rPr>
        <w:t>单位有特殊要求的除外</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f</w:t>
      </w:r>
      <w:r>
        <w:rPr>
          <w:rFonts w:hint="eastAsia" w:ascii="宋体" w:hAnsi="宋体"/>
          <w:u w:val="none" w:color="EB3624"/>
        </w:rPr>
        <w:t>)</w:t>
      </w:r>
      <w:r>
        <w:rPr>
          <w:rFonts w:hint="eastAsia" w:ascii="宋体" w:hAnsi="宋体"/>
        </w:rPr>
        <w:t xml:space="preserve"> 检测时应记录该时段的生产负荷率、生产设备及防护设施开启数量及其运行状况、人员操作等情况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g</w:t>
      </w:r>
      <w:r>
        <w:rPr>
          <w:rFonts w:hint="eastAsia" w:ascii="宋体" w:hAnsi="宋体"/>
          <w:u w:val="none" w:color="EB3624"/>
        </w:rPr>
        <w:t>)</w:t>
      </w:r>
      <w:r>
        <w:rPr>
          <w:rFonts w:hint="eastAsia" w:ascii="宋体" w:hAnsi="宋体"/>
        </w:rPr>
        <w:t xml:space="preserve"> 现场检测点布置示意图应经</w:t>
      </w:r>
      <w:r>
        <w:rPr>
          <w:rFonts w:hint="eastAsia" w:ascii="宋体" w:hAnsi="宋体"/>
          <w:lang w:eastAsia="zh-CN"/>
        </w:rPr>
        <w:t>招标人</w:t>
      </w:r>
      <w:r>
        <w:rPr>
          <w:rFonts w:hint="eastAsia" w:ascii="宋体" w:hAnsi="宋体"/>
        </w:rPr>
        <w:t>单位相关负责人签字确认。</w:t>
      </w:r>
    </w:p>
    <w:p>
      <w:pPr>
        <w:spacing w:line="360" w:lineRule="auto"/>
        <w:ind w:firstLine="420" w:firstLineChars="200"/>
        <w:rPr>
          <w:rFonts w:hint="eastAsia" w:ascii="宋体" w:hAnsi="宋体"/>
        </w:rPr>
      </w:pPr>
      <w:r>
        <w:rPr>
          <w:rFonts w:hint="eastAsia" w:ascii="宋体" w:hAnsi="宋体"/>
        </w:rPr>
        <w:t>（2）职业病防护设施检测</w:t>
      </w:r>
    </w:p>
    <w:p>
      <w:pPr>
        <w:spacing w:line="360" w:lineRule="auto"/>
        <w:ind w:firstLine="420" w:firstLineChars="200"/>
        <w:rPr>
          <w:rFonts w:hint="eastAsia" w:ascii="宋体" w:hAnsi="宋体"/>
        </w:rPr>
      </w:pPr>
      <w:r>
        <w:rPr>
          <w:rFonts w:hint="eastAsia" w:ascii="宋体" w:hAnsi="宋体"/>
        </w:rPr>
        <w:t>依据评价工作方案，按照职业病防护设施的种类及其性能参数，对现场职业病防护设施进行检测，并按照检测内容整理和分析检测结果。</w:t>
      </w:r>
    </w:p>
    <w:p>
      <w:pPr>
        <w:spacing w:line="360" w:lineRule="auto"/>
        <w:ind w:firstLine="420" w:firstLineChars="200"/>
        <w:rPr>
          <w:rFonts w:hint="eastAsia" w:ascii="宋体" w:hAnsi="宋体"/>
        </w:rPr>
      </w:pPr>
      <w:r>
        <w:rPr>
          <w:rFonts w:hint="eastAsia" w:ascii="宋体" w:hAnsi="宋体"/>
        </w:rPr>
        <w:t>（3）建筑卫生学检测</w:t>
      </w:r>
    </w:p>
    <w:p>
      <w:pPr>
        <w:spacing w:line="360" w:lineRule="auto"/>
        <w:ind w:firstLine="420" w:firstLineChars="200"/>
        <w:rPr>
          <w:rFonts w:hint="eastAsia" w:ascii="宋体" w:hAnsi="宋体"/>
        </w:rPr>
      </w:pPr>
      <w:r>
        <w:rPr>
          <w:rFonts w:hint="eastAsia" w:ascii="宋体" w:hAnsi="宋体"/>
        </w:rPr>
        <w:t>依据评价工作方案，对</w:t>
      </w:r>
      <w:r>
        <w:rPr>
          <w:rFonts w:hint="eastAsia" w:ascii="宋体" w:hAnsi="宋体"/>
          <w:lang w:eastAsia="zh-CN"/>
        </w:rPr>
        <w:t>招标人</w:t>
      </w:r>
      <w:r>
        <w:rPr>
          <w:rFonts w:hint="eastAsia" w:ascii="宋体" w:hAnsi="宋体"/>
        </w:rPr>
        <w:t>单位采暖、通风、空气调节、采光照明、微小气候等建筑卫生学进行检测，并按照检测内容整理和分析检测结果。</w:t>
      </w:r>
    </w:p>
    <w:p>
      <w:pPr>
        <w:spacing w:line="360" w:lineRule="auto"/>
        <w:rPr>
          <w:rFonts w:hint="eastAsia" w:ascii="宋体" w:hAnsi="宋体"/>
        </w:rPr>
      </w:pPr>
      <w:r>
        <w:rPr>
          <w:rFonts w:hint="eastAsia" w:ascii="宋体" w:hAnsi="宋体"/>
        </w:rPr>
        <w:t>3.2.6.9职业病危害评价</w:t>
      </w:r>
    </w:p>
    <w:p>
      <w:pPr>
        <w:spacing w:line="360" w:lineRule="auto"/>
        <w:ind w:firstLine="420" w:firstLineChars="200"/>
        <w:rPr>
          <w:rFonts w:hint="eastAsia" w:ascii="宋体" w:hAnsi="宋体"/>
        </w:rPr>
      </w:pPr>
      <w:r>
        <w:rPr>
          <w:rFonts w:hint="eastAsia" w:ascii="宋体" w:hAnsi="宋体"/>
        </w:rPr>
        <w:t>（1）总体布局评价</w:t>
      </w:r>
    </w:p>
    <w:p>
      <w:pPr>
        <w:spacing w:line="360" w:lineRule="auto"/>
        <w:ind w:firstLine="420" w:firstLineChars="200"/>
        <w:rPr>
          <w:rFonts w:hint="eastAsia" w:ascii="宋体" w:hAnsi="宋体"/>
        </w:rPr>
      </w:pPr>
      <w:r>
        <w:rPr>
          <w:rFonts w:hint="eastAsia" w:ascii="宋体" w:hAnsi="宋体"/>
        </w:rPr>
        <w:t>根据对</w:t>
      </w:r>
      <w:r>
        <w:rPr>
          <w:rFonts w:hint="eastAsia" w:ascii="宋体" w:hAnsi="宋体"/>
          <w:lang w:eastAsia="zh-CN"/>
        </w:rPr>
        <w:t>招标人</w:t>
      </w:r>
      <w:r>
        <w:rPr>
          <w:rFonts w:hint="eastAsia" w:ascii="宋体" w:hAnsi="宋体"/>
        </w:rPr>
        <w:t>单位总体布局的调查，评价</w:t>
      </w:r>
      <w:r>
        <w:rPr>
          <w:rFonts w:hint="eastAsia" w:ascii="宋体" w:hAnsi="宋体"/>
          <w:lang w:eastAsia="zh-CN"/>
        </w:rPr>
        <w:t>招标人</w:t>
      </w:r>
      <w:r>
        <w:rPr>
          <w:rFonts w:hint="eastAsia" w:ascii="宋体" w:hAnsi="宋体"/>
        </w:rPr>
        <w:t>单位自最近1次职业卫生评价以来总体布局发生变化的部分是否符合GBZ 1、GB/T 12801和GB 50187的相关要求。</w:t>
      </w:r>
    </w:p>
    <w:p>
      <w:pPr>
        <w:spacing w:line="360" w:lineRule="auto"/>
        <w:ind w:firstLine="420" w:firstLineChars="200"/>
        <w:rPr>
          <w:rFonts w:hint="eastAsia" w:ascii="宋体" w:hAnsi="宋体"/>
        </w:rPr>
      </w:pPr>
      <w:r>
        <w:rPr>
          <w:rFonts w:hint="eastAsia" w:ascii="宋体" w:hAnsi="宋体"/>
        </w:rPr>
        <w:t>（2）设备布局评价</w:t>
      </w:r>
    </w:p>
    <w:p>
      <w:pPr>
        <w:spacing w:line="360" w:lineRule="auto"/>
        <w:ind w:firstLine="420" w:firstLineChars="200"/>
        <w:rPr>
          <w:rFonts w:hint="eastAsia" w:ascii="宋体" w:hAnsi="宋体"/>
        </w:rPr>
      </w:pPr>
      <w:r>
        <w:rPr>
          <w:rFonts w:hint="eastAsia" w:ascii="宋体" w:hAnsi="宋体"/>
        </w:rPr>
        <w:t>根据对</w:t>
      </w:r>
      <w:r>
        <w:rPr>
          <w:rFonts w:hint="eastAsia" w:ascii="宋体" w:hAnsi="宋体"/>
          <w:lang w:eastAsia="zh-CN"/>
        </w:rPr>
        <w:t>招标人</w:t>
      </w:r>
      <w:r>
        <w:rPr>
          <w:rFonts w:hint="eastAsia" w:ascii="宋体" w:hAnsi="宋体"/>
        </w:rPr>
        <w:t>单位设备布局的调查，按照GBZ 1、GB/T 12801等相关要求，结合产生职业病危害的生产设备的机械化、自动化和密闭化程度，评价</w:t>
      </w:r>
      <w:r>
        <w:rPr>
          <w:rFonts w:hint="eastAsia" w:ascii="宋体" w:hAnsi="宋体"/>
          <w:lang w:eastAsia="zh-CN"/>
        </w:rPr>
        <w:t>招标人</w:t>
      </w:r>
      <w:r>
        <w:rPr>
          <w:rFonts w:hint="eastAsia" w:ascii="宋体" w:hAnsi="宋体"/>
        </w:rPr>
        <w:t>单位设备布局的合理性和符合性。</w:t>
      </w:r>
    </w:p>
    <w:p>
      <w:pPr>
        <w:spacing w:line="360" w:lineRule="auto"/>
        <w:ind w:firstLine="420" w:firstLineChars="200"/>
        <w:rPr>
          <w:rFonts w:hint="eastAsia" w:ascii="宋体" w:hAnsi="宋体"/>
        </w:rPr>
      </w:pPr>
      <w:r>
        <w:rPr>
          <w:rFonts w:hint="eastAsia" w:ascii="宋体" w:hAnsi="宋体"/>
        </w:rPr>
        <w:t>（3）建筑卫生学评价</w:t>
      </w:r>
    </w:p>
    <w:p>
      <w:pPr>
        <w:spacing w:line="360" w:lineRule="auto"/>
        <w:ind w:firstLine="420" w:firstLineChars="200"/>
        <w:rPr>
          <w:rFonts w:hint="eastAsia" w:ascii="宋体" w:hAnsi="宋体"/>
        </w:rPr>
      </w:pPr>
      <w:r>
        <w:rPr>
          <w:rFonts w:hint="eastAsia" w:ascii="宋体" w:hAnsi="宋体"/>
        </w:rPr>
        <w:t>根据建筑卫生学的调查与检测结果，对照GBZ 1及GB/T 12801等相关标准要求，评价</w:t>
      </w:r>
      <w:r>
        <w:rPr>
          <w:rFonts w:hint="eastAsia" w:ascii="宋体" w:hAnsi="宋体"/>
          <w:lang w:eastAsia="zh-CN"/>
        </w:rPr>
        <w:t>招标人</w:t>
      </w:r>
      <w:r>
        <w:rPr>
          <w:rFonts w:hint="eastAsia" w:ascii="宋体" w:hAnsi="宋体"/>
        </w:rPr>
        <w:t>单位的建筑结构、采暖、通风、空气调节、采光照明、微小气候等建筑卫生学的符合性。</w:t>
      </w:r>
    </w:p>
    <w:p>
      <w:pPr>
        <w:spacing w:line="360" w:lineRule="auto"/>
        <w:ind w:firstLine="420" w:firstLineChars="200"/>
        <w:rPr>
          <w:rFonts w:hint="eastAsia" w:ascii="宋体" w:hAnsi="宋体"/>
        </w:rPr>
      </w:pPr>
      <w:r>
        <w:rPr>
          <w:rFonts w:hint="eastAsia" w:ascii="宋体" w:hAnsi="宋体"/>
        </w:rPr>
        <w:t>（4）职业病危害因素评价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用简洁的文字、图表等对检测结果进行合理表述</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结合岗位设置、生产工作制度、职业病防护设施开启情况、个人防护用品佩戴或使用情况对职业病危害因素超标原因进行分析</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对既往</w:t>
      </w:r>
      <w:r>
        <w:rPr>
          <w:rFonts w:hint="eastAsia" w:ascii="宋体" w:hAnsi="宋体"/>
          <w:u w:val="none" w:color="EB3624"/>
        </w:rPr>
        <w:t>(</w:t>
      </w:r>
      <w:r>
        <w:rPr>
          <w:rFonts w:hint="eastAsia" w:ascii="宋体" w:hAnsi="宋体"/>
        </w:rPr>
        <w:t>重点为近3年</w:t>
      </w:r>
      <w:r>
        <w:rPr>
          <w:rFonts w:hint="eastAsia" w:ascii="宋体" w:hAnsi="宋体"/>
          <w:u w:val="none" w:color="EB3624"/>
        </w:rPr>
        <w:t>)</w:t>
      </w:r>
      <w:r>
        <w:rPr>
          <w:rFonts w:hint="eastAsia" w:ascii="宋体" w:hAnsi="宋体"/>
        </w:rPr>
        <w:t>职业病危害因素监测或检测结果的变化趋势进行分析，对劳动者职业病危害接触水平进行综合评价。</w:t>
      </w:r>
    </w:p>
    <w:p>
      <w:pPr>
        <w:spacing w:line="360" w:lineRule="auto"/>
        <w:ind w:firstLine="420" w:firstLineChars="200"/>
        <w:rPr>
          <w:rFonts w:hint="eastAsia" w:ascii="宋体" w:hAnsi="宋体"/>
        </w:rPr>
      </w:pPr>
      <w:r>
        <w:rPr>
          <w:rFonts w:hint="eastAsia" w:ascii="宋体" w:hAnsi="宋体"/>
        </w:rPr>
        <w:t>（5）职业病防护设施与应急救援设施评价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按照GBZ 1、GBZ/T 194的要求，评价工作场所防尘、防毒、防噪、减振、防高温、防辐射等职业病防护设施的设置、维护、检修的符合性</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根据职业病防护设施的调查和检测结果，结合职业病危害因素检测结果，对照GB/T 16758等相关职业卫生法规标准要求，综合分析职业病防护设施的合理性与有效性</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按照GBZ1、GBZ/T 194、GBZ/T 223、GBZ/T 225的要求，分析</w:t>
      </w:r>
      <w:r>
        <w:rPr>
          <w:rFonts w:hint="eastAsia" w:ascii="宋体" w:hAnsi="宋体"/>
          <w:lang w:eastAsia="zh-CN"/>
        </w:rPr>
        <w:t>招标人</w:t>
      </w:r>
      <w:r>
        <w:rPr>
          <w:rFonts w:hint="eastAsia" w:ascii="宋体" w:hAnsi="宋体"/>
        </w:rPr>
        <w:t>单位设置的应急救援设施及措施是否具备针对性、可行性，是否满足要求。</w:t>
      </w:r>
    </w:p>
    <w:p>
      <w:pPr>
        <w:spacing w:line="360" w:lineRule="auto"/>
        <w:ind w:firstLine="420" w:firstLineChars="200"/>
        <w:rPr>
          <w:rFonts w:hint="eastAsia" w:ascii="宋体" w:hAnsi="宋体"/>
        </w:rPr>
      </w:pPr>
      <w:r>
        <w:rPr>
          <w:rFonts w:hint="eastAsia" w:ascii="宋体" w:hAnsi="宋体"/>
        </w:rPr>
        <w:t>（6）职业健康监护评价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按照GBZ 188及相关标准的要求，对</w:t>
      </w:r>
      <w:r>
        <w:rPr>
          <w:rFonts w:hint="eastAsia" w:ascii="宋体" w:hAnsi="宋体"/>
          <w:lang w:eastAsia="zh-CN"/>
        </w:rPr>
        <w:t>招标人</w:t>
      </w:r>
      <w:r>
        <w:rPr>
          <w:rFonts w:hint="eastAsia" w:ascii="宋体" w:hAnsi="宋体"/>
        </w:rPr>
        <w:t>单位委托的职业健康检查机构的资质，职业健康检查项目，职业健康检查人数百分率，职业健康检查结果告知，以及对于职业健康检查结果异常人员的处置情况等进行分析和评价</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对于职业健康检查结果异常的情况，应结合劳动者作业岗位及其接触的职业病危害因素，分析结果异常原因及与作业活动的关联度。</w:t>
      </w:r>
    </w:p>
    <w:p>
      <w:pPr>
        <w:spacing w:line="360" w:lineRule="auto"/>
        <w:ind w:firstLine="420" w:firstLineChars="200"/>
        <w:rPr>
          <w:rFonts w:hint="eastAsia" w:ascii="宋体" w:hAnsi="宋体"/>
        </w:rPr>
      </w:pPr>
      <w:r>
        <w:rPr>
          <w:rFonts w:hint="eastAsia" w:ascii="宋体" w:hAnsi="宋体"/>
        </w:rPr>
        <w:t>（7）个人防护用品评价</w:t>
      </w:r>
    </w:p>
    <w:p>
      <w:pPr>
        <w:spacing w:line="360" w:lineRule="auto"/>
        <w:ind w:firstLine="420" w:firstLineChars="200"/>
        <w:rPr>
          <w:rFonts w:hint="eastAsia" w:ascii="宋体" w:hAnsi="宋体"/>
        </w:rPr>
      </w:pPr>
      <w:r>
        <w:rPr>
          <w:rFonts w:hint="eastAsia" w:ascii="宋体" w:hAnsi="宋体"/>
        </w:rPr>
        <w:t>根据劳动者职业病危害因素接触水平确定需要配备个人防护用品的岗位及人员</w:t>
      </w:r>
      <w:r>
        <w:rPr>
          <w:rFonts w:hint="eastAsia" w:ascii="宋体" w:hAnsi="宋体"/>
          <w:u w:val="none" w:color="EB3624"/>
        </w:rPr>
        <w:t>;</w:t>
      </w:r>
      <w:r>
        <w:rPr>
          <w:rFonts w:hint="eastAsia" w:ascii="宋体" w:hAnsi="宋体"/>
        </w:rPr>
        <w:t>结合个人防护用品的现场调查情况，综合评价</w:t>
      </w:r>
      <w:r>
        <w:rPr>
          <w:rFonts w:hint="eastAsia" w:ascii="宋体" w:hAnsi="宋体"/>
          <w:lang w:eastAsia="zh-CN"/>
        </w:rPr>
        <w:t>招标人</w:t>
      </w:r>
      <w:r>
        <w:rPr>
          <w:rFonts w:hint="eastAsia" w:ascii="宋体" w:hAnsi="宋体"/>
        </w:rPr>
        <w:t>单位个人防护用品的选用、配备数量、维护与管理是否符合GB/T 11651、GB/T 18664等标准的要求。</w:t>
      </w:r>
    </w:p>
    <w:p>
      <w:pPr>
        <w:spacing w:line="360" w:lineRule="auto"/>
        <w:ind w:firstLine="420" w:firstLineChars="200"/>
        <w:rPr>
          <w:rFonts w:hint="eastAsia" w:ascii="宋体" w:hAnsi="宋体"/>
        </w:rPr>
      </w:pPr>
      <w:r>
        <w:rPr>
          <w:rFonts w:hint="eastAsia" w:ascii="宋体" w:hAnsi="宋体"/>
        </w:rPr>
        <w:t>（8）辅助用室评价</w:t>
      </w:r>
    </w:p>
    <w:p>
      <w:pPr>
        <w:spacing w:line="360" w:lineRule="auto"/>
        <w:ind w:firstLine="420" w:firstLineChars="200"/>
        <w:rPr>
          <w:rFonts w:hint="eastAsia" w:ascii="宋体" w:hAnsi="宋体"/>
        </w:rPr>
      </w:pPr>
      <w:r>
        <w:rPr>
          <w:rFonts w:hint="eastAsia" w:ascii="宋体" w:hAnsi="宋体"/>
        </w:rPr>
        <w:t>根据职业卫生调查确定不同车间的车间卫生特征等级，</w:t>
      </w:r>
      <w:r>
        <w:rPr>
          <w:rFonts w:hint="eastAsia" w:ascii="宋体" w:hAnsi="宋体"/>
          <w:u w:val="none" w:color="EB3624"/>
        </w:rPr>
        <w:t>对照GBZ 1等</w:t>
      </w:r>
      <w:r>
        <w:rPr>
          <w:rFonts w:hint="eastAsia" w:ascii="宋体" w:hAnsi="宋体"/>
        </w:rPr>
        <w:t>相关职业卫生法规标准要求，结合</w:t>
      </w:r>
      <w:r>
        <w:rPr>
          <w:rFonts w:hint="eastAsia" w:ascii="宋体" w:hAnsi="宋体"/>
          <w:lang w:eastAsia="zh-CN"/>
        </w:rPr>
        <w:t>招标人</w:t>
      </w:r>
      <w:r>
        <w:rPr>
          <w:rFonts w:hint="eastAsia" w:ascii="宋体" w:hAnsi="宋体"/>
        </w:rPr>
        <w:t>单位人员变化情况，评价</w:t>
      </w:r>
      <w:r>
        <w:rPr>
          <w:rFonts w:hint="eastAsia" w:ascii="宋体" w:hAnsi="宋体"/>
          <w:lang w:eastAsia="zh-CN"/>
        </w:rPr>
        <w:t>招标人</w:t>
      </w:r>
      <w:r>
        <w:rPr>
          <w:rFonts w:hint="eastAsia" w:ascii="宋体" w:hAnsi="宋体"/>
        </w:rPr>
        <w:t>单位工作场所办公室、生产卫生室</w:t>
      </w:r>
      <w:r>
        <w:rPr>
          <w:rFonts w:hint="eastAsia" w:ascii="宋体" w:hAnsi="宋体"/>
          <w:u w:val="none" w:color="EB3624"/>
        </w:rPr>
        <w:t>(</w:t>
      </w:r>
      <w:r>
        <w:rPr>
          <w:rFonts w:hint="eastAsia" w:ascii="宋体" w:hAnsi="宋体"/>
        </w:rPr>
        <w:t>浴室、存衣室、盥洗室、洗衣房</w:t>
      </w:r>
      <w:r>
        <w:rPr>
          <w:rFonts w:hint="eastAsia" w:ascii="宋体" w:hAnsi="宋体"/>
          <w:u w:val="none" w:color="EB3624"/>
        </w:rPr>
        <w:t>)</w:t>
      </w:r>
      <w:r>
        <w:rPr>
          <w:rFonts w:hint="eastAsia" w:ascii="宋体" w:hAnsi="宋体"/>
        </w:rPr>
        <w:t>、生活室</w:t>
      </w:r>
      <w:r>
        <w:rPr>
          <w:rFonts w:hint="eastAsia" w:ascii="宋体" w:hAnsi="宋体"/>
          <w:u w:val="none" w:color="EB3624"/>
        </w:rPr>
        <w:t>(</w:t>
      </w:r>
      <w:r>
        <w:rPr>
          <w:rFonts w:hint="eastAsia" w:ascii="宋体" w:hAnsi="宋体"/>
        </w:rPr>
        <w:t>休息室、食堂、厕所</w:t>
      </w:r>
      <w:r>
        <w:rPr>
          <w:rFonts w:hint="eastAsia" w:ascii="宋体" w:hAnsi="宋体"/>
          <w:u w:val="none" w:color="EB3624"/>
        </w:rPr>
        <w:t>)</w:t>
      </w:r>
      <w:r>
        <w:rPr>
          <w:rFonts w:hint="eastAsia" w:ascii="宋体" w:hAnsi="宋体"/>
        </w:rPr>
        <w:t>等辅助用室的符合性。</w:t>
      </w:r>
    </w:p>
    <w:p>
      <w:pPr>
        <w:spacing w:line="360" w:lineRule="auto"/>
        <w:ind w:firstLine="420" w:firstLineChars="200"/>
        <w:rPr>
          <w:rFonts w:hint="eastAsia" w:ascii="宋体" w:hAnsi="宋体"/>
        </w:rPr>
      </w:pPr>
      <w:r>
        <w:rPr>
          <w:rFonts w:hint="eastAsia" w:ascii="宋体" w:hAnsi="宋体"/>
        </w:rPr>
        <w:t>（9）职业卫生管理评价</w:t>
      </w:r>
    </w:p>
    <w:p>
      <w:pPr>
        <w:spacing w:line="360" w:lineRule="auto"/>
        <w:ind w:firstLine="420" w:firstLineChars="200"/>
        <w:rPr>
          <w:rFonts w:hint="eastAsia" w:ascii="宋体" w:hAnsi="宋体"/>
        </w:rPr>
      </w:pPr>
      <w:r>
        <w:rPr>
          <w:rFonts w:hint="eastAsia" w:ascii="宋体" w:hAnsi="宋体"/>
        </w:rPr>
        <w:t>应包括以下内容：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职业卫生管理组织机构及人员：根据</w:t>
      </w:r>
      <w:r>
        <w:rPr>
          <w:rFonts w:hint="eastAsia" w:ascii="宋体" w:hAnsi="宋体"/>
          <w:lang w:eastAsia="zh-CN"/>
        </w:rPr>
        <w:t>招标人</w:t>
      </w:r>
      <w:r>
        <w:rPr>
          <w:rFonts w:hint="eastAsia" w:ascii="宋体" w:hAnsi="宋体"/>
        </w:rPr>
        <w:t>单位规模、职业病危害状况、接触人数等调查结果，评价</w:t>
      </w:r>
      <w:r>
        <w:rPr>
          <w:rFonts w:hint="eastAsia" w:ascii="宋体" w:hAnsi="宋体"/>
          <w:lang w:eastAsia="zh-CN"/>
        </w:rPr>
        <w:t>招标人</w:t>
      </w:r>
      <w:r>
        <w:rPr>
          <w:rFonts w:hint="eastAsia" w:ascii="宋体" w:hAnsi="宋体"/>
        </w:rPr>
        <w:t>单位职业卫生管理机构及人员配置的合理性。</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职业病防治计划、实施方案及执行情况：核实</w:t>
      </w:r>
      <w:r>
        <w:rPr>
          <w:rFonts w:hint="eastAsia" w:ascii="宋体" w:hAnsi="宋体"/>
          <w:lang w:eastAsia="zh-CN"/>
        </w:rPr>
        <w:t>招标人</w:t>
      </w:r>
      <w:r>
        <w:rPr>
          <w:rFonts w:hint="eastAsia" w:ascii="宋体" w:hAnsi="宋体"/>
        </w:rPr>
        <w:t>单位职业病防治计划、实施方案的制定及执行情况，评价其内容的完整性和合理性，以及执行程度。</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职业卫生管理制度与操作规程及执行情况：核实</w:t>
      </w:r>
      <w:r>
        <w:rPr>
          <w:rFonts w:hint="eastAsia" w:ascii="宋体" w:hAnsi="宋体"/>
          <w:lang w:eastAsia="zh-CN"/>
        </w:rPr>
        <w:t>招标人</w:t>
      </w:r>
      <w:r>
        <w:rPr>
          <w:rFonts w:hint="eastAsia" w:ascii="宋体" w:hAnsi="宋体"/>
        </w:rPr>
        <w:t>单位落实现有职业卫生管理制度和操作规程的各类记录资料，对其内容的全面性及其执行情况进行评价。</w:t>
      </w:r>
    </w:p>
    <w:p>
      <w:pPr>
        <w:spacing w:line="360" w:lineRule="auto"/>
        <w:ind w:firstLine="420" w:firstLineChars="200"/>
        <w:rPr>
          <w:rFonts w:hint="eastAsia" w:ascii="宋体" w:hAnsi="宋体"/>
        </w:rPr>
      </w:pPr>
      <w:r>
        <w:rPr>
          <w:rFonts w:hint="eastAsia" w:ascii="宋体" w:hAnsi="宋体"/>
        </w:rPr>
        <w:t>d</w:t>
      </w:r>
      <w:r>
        <w:rPr>
          <w:rFonts w:hint="eastAsia" w:ascii="宋体" w:hAnsi="宋体"/>
          <w:u w:val="none" w:color="EB3624"/>
        </w:rPr>
        <w:t>)</w:t>
      </w:r>
      <w:r>
        <w:rPr>
          <w:rFonts w:hint="eastAsia" w:ascii="宋体" w:hAnsi="宋体"/>
        </w:rPr>
        <w:t xml:space="preserve"> 职业病危害因素定期检测制度制定及执行情况：对该制度内容的完整性和规范性及其执行情况进行评价。</w:t>
      </w:r>
    </w:p>
    <w:p>
      <w:pPr>
        <w:spacing w:line="360" w:lineRule="auto"/>
        <w:ind w:firstLine="420" w:firstLineChars="200"/>
        <w:rPr>
          <w:rFonts w:hint="eastAsia" w:ascii="宋体" w:hAnsi="宋体"/>
        </w:rPr>
      </w:pPr>
      <w:r>
        <w:rPr>
          <w:rFonts w:hint="eastAsia" w:ascii="宋体" w:hAnsi="宋体"/>
        </w:rPr>
        <w:t>e</w:t>
      </w:r>
      <w:r>
        <w:rPr>
          <w:rFonts w:hint="eastAsia" w:ascii="宋体" w:hAnsi="宋体"/>
          <w:u w:val="none" w:color="EB3624"/>
        </w:rPr>
        <w:t>)</w:t>
      </w:r>
      <w:r>
        <w:rPr>
          <w:rFonts w:hint="eastAsia" w:ascii="宋体" w:hAnsi="宋体"/>
        </w:rPr>
        <w:t xml:space="preserve"> 职业病危害告知：对</w:t>
      </w:r>
      <w:r>
        <w:rPr>
          <w:rFonts w:hint="eastAsia" w:ascii="宋体" w:hAnsi="宋体"/>
          <w:lang w:eastAsia="zh-CN"/>
        </w:rPr>
        <w:t>招标人</w:t>
      </w:r>
      <w:r>
        <w:rPr>
          <w:rFonts w:hint="eastAsia" w:ascii="宋体" w:hAnsi="宋体"/>
        </w:rPr>
        <w:t>单位职业病危害告知栏设置和合同告知情况进行描述，综合评价</w:t>
      </w:r>
      <w:r>
        <w:rPr>
          <w:rFonts w:hint="eastAsia" w:ascii="宋体" w:hAnsi="宋体"/>
          <w:lang w:eastAsia="zh-CN"/>
        </w:rPr>
        <w:t>招标人</w:t>
      </w:r>
      <w:r>
        <w:rPr>
          <w:rFonts w:hint="eastAsia" w:ascii="宋体" w:hAnsi="宋体"/>
        </w:rPr>
        <w:t>单位在职业病危害告知方面是否符合GBZ 1、GBZ/T 203、GBZ/T 225及相关规章制度的要求。</w:t>
      </w:r>
    </w:p>
    <w:p>
      <w:pPr>
        <w:spacing w:line="360" w:lineRule="auto"/>
        <w:ind w:firstLine="420" w:firstLineChars="200"/>
        <w:rPr>
          <w:rFonts w:hint="eastAsia" w:ascii="宋体" w:hAnsi="宋体"/>
        </w:rPr>
      </w:pPr>
      <w:r>
        <w:rPr>
          <w:rFonts w:hint="eastAsia" w:ascii="宋体" w:hAnsi="宋体"/>
        </w:rPr>
        <w:t>f</w:t>
      </w:r>
      <w:r>
        <w:rPr>
          <w:rFonts w:hint="eastAsia" w:ascii="宋体" w:hAnsi="宋体"/>
          <w:u w:val="none" w:color="EB3624"/>
        </w:rPr>
        <w:t>)</w:t>
      </w:r>
      <w:r>
        <w:rPr>
          <w:rFonts w:hint="eastAsia" w:ascii="宋体" w:hAnsi="宋体"/>
        </w:rPr>
        <w:t xml:space="preserve"> 职业卫生培训情况：对</w:t>
      </w:r>
      <w:r>
        <w:rPr>
          <w:rFonts w:hint="eastAsia" w:ascii="宋体" w:hAnsi="宋体"/>
          <w:lang w:eastAsia="zh-CN"/>
        </w:rPr>
        <w:t>招标人</w:t>
      </w:r>
      <w:r>
        <w:rPr>
          <w:rFonts w:hint="eastAsia" w:ascii="宋体" w:hAnsi="宋体"/>
        </w:rPr>
        <w:t>单位职业卫生培训制度的制定，及近3年的落实情况，包括培训内容、形式、对象、人数等进行分析评价。</w:t>
      </w:r>
    </w:p>
    <w:p>
      <w:pPr>
        <w:spacing w:line="360" w:lineRule="auto"/>
        <w:ind w:firstLine="420" w:firstLineChars="200"/>
        <w:rPr>
          <w:rFonts w:hint="eastAsia" w:ascii="宋体" w:hAnsi="宋体"/>
        </w:rPr>
      </w:pPr>
      <w:r>
        <w:rPr>
          <w:rFonts w:hint="eastAsia" w:ascii="宋体" w:hAnsi="宋体"/>
        </w:rPr>
        <w:t>g</w:t>
      </w:r>
      <w:r>
        <w:rPr>
          <w:rFonts w:hint="eastAsia" w:ascii="宋体" w:hAnsi="宋体"/>
          <w:u w:val="none" w:color="EB3624"/>
        </w:rPr>
        <w:t>)</w:t>
      </w:r>
      <w:r>
        <w:rPr>
          <w:rFonts w:hint="eastAsia" w:ascii="宋体" w:hAnsi="宋体"/>
        </w:rPr>
        <w:t xml:space="preserve"> 职业病危害警示标识及中文警示说明的设置情况：按照GBZ 158、GBZ/T 203、GBZ/T 225及相关规章制度的要求对</w:t>
      </w:r>
      <w:r>
        <w:rPr>
          <w:rFonts w:hint="eastAsia" w:ascii="宋体" w:hAnsi="宋体"/>
          <w:lang w:eastAsia="zh-CN"/>
        </w:rPr>
        <w:t>招标人</w:t>
      </w:r>
      <w:r>
        <w:rPr>
          <w:rFonts w:hint="eastAsia" w:ascii="宋体" w:hAnsi="宋体"/>
        </w:rPr>
        <w:t>单位职业病危害警示标识和中文警示说明的设置及日常更新、维护情况进行评价。</w:t>
      </w:r>
    </w:p>
    <w:p>
      <w:pPr>
        <w:spacing w:line="360" w:lineRule="auto"/>
        <w:ind w:firstLine="420" w:firstLineChars="200"/>
        <w:rPr>
          <w:rFonts w:hint="eastAsia" w:ascii="宋体" w:hAnsi="宋体"/>
        </w:rPr>
      </w:pPr>
      <w:r>
        <w:rPr>
          <w:rFonts w:hint="eastAsia" w:ascii="宋体" w:hAnsi="宋体"/>
        </w:rPr>
        <w:t>h</w:t>
      </w:r>
      <w:r>
        <w:rPr>
          <w:rFonts w:hint="eastAsia" w:ascii="宋体" w:hAnsi="宋体"/>
          <w:u w:val="none" w:color="EB3624"/>
        </w:rPr>
        <w:t>)</w:t>
      </w:r>
      <w:r>
        <w:rPr>
          <w:rFonts w:hint="eastAsia" w:ascii="宋体" w:hAnsi="宋体"/>
        </w:rPr>
        <w:t xml:space="preserve"> 职业病危害项目申报情况：说明</w:t>
      </w:r>
      <w:r>
        <w:rPr>
          <w:rFonts w:hint="eastAsia" w:ascii="宋体" w:hAnsi="宋体"/>
          <w:lang w:eastAsia="zh-CN"/>
        </w:rPr>
        <w:t>招标人</w:t>
      </w:r>
      <w:r>
        <w:rPr>
          <w:rFonts w:hint="eastAsia" w:ascii="宋体" w:hAnsi="宋体"/>
        </w:rPr>
        <w:t>单位是否及时、如实申报职业病危害项目，结合现场调查情况，核实申报资料的正确性。</w:t>
      </w:r>
    </w:p>
    <w:p>
      <w:pPr>
        <w:spacing w:line="360" w:lineRule="auto"/>
        <w:ind w:firstLine="420" w:firstLineChars="200"/>
        <w:rPr>
          <w:rFonts w:hint="eastAsia" w:ascii="宋体" w:hAnsi="宋体"/>
        </w:rPr>
      </w:pPr>
      <w:r>
        <w:rPr>
          <w:rFonts w:hint="eastAsia" w:ascii="宋体" w:hAnsi="宋体"/>
        </w:rPr>
        <w:t>i</w:t>
      </w:r>
      <w:r>
        <w:rPr>
          <w:rFonts w:hint="eastAsia" w:ascii="宋体" w:hAnsi="宋体"/>
          <w:u w:val="none" w:color="EB3624"/>
        </w:rPr>
        <w:t>)</w:t>
      </w:r>
      <w:r>
        <w:rPr>
          <w:rFonts w:hint="eastAsia" w:ascii="宋体" w:hAnsi="宋体"/>
        </w:rPr>
        <w:t xml:space="preserve"> 职业卫生档案管理建立及管理情况：评价</w:t>
      </w:r>
      <w:r>
        <w:rPr>
          <w:rFonts w:hint="eastAsia" w:ascii="宋体" w:hAnsi="宋体"/>
          <w:lang w:eastAsia="zh-CN"/>
        </w:rPr>
        <w:t>招标人</w:t>
      </w:r>
      <w:r>
        <w:rPr>
          <w:rFonts w:hint="eastAsia" w:ascii="宋体" w:hAnsi="宋体"/>
        </w:rPr>
        <w:t>单位职业卫生档案的完整性及完善程度是否符合职业卫生有关法律法规的规定。</w:t>
      </w:r>
    </w:p>
    <w:p>
      <w:pPr>
        <w:spacing w:line="360" w:lineRule="auto"/>
        <w:ind w:firstLine="420" w:firstLineChars="200"/>
        <w:rPr>
          <w:rFonts w:hint="eastAsia" w:ascii="宋体" w:hAnsi="宋体"/>
        </w:rPr>
      </w:pPr>
      <w:r>
        <w:rPr>
          <w:rFonts w:hint="eastAsia" w:ascii="宋体" w:hAnsi="宋体"/>
        </w:rPr>
        <w:t>j</w:t>
      </w:r>
      <w:r>
        <w:rPr>
          <w:rFonts w:hint="eastAsia" w:ascii="宋体" w:hAnsi="宋体"/>
          <w:u w:val="none" w:color="EB3624"/>
        </w:rPr>
        <w:t>)</w:t>
      </w:r>
      <w:r>
        <w:rPr>
          <w:rFonts w:hint="eastAsia" w:ascii="宋体" w:hAnsi="宋体"/>
        </w:rPr>
        <w:t xml:space="preserve"> 职业病危害防治经费：描述</w:t>
      </w:r>
      <w:r>
        <w:rPr>
          <w:rFonts w:hint="eastAsia" w:ascii="宋体" w:hAnsi="宋体"/>
          <w:lang w:eastAsia="zh-CN"/>
        </w:rPr>
        <w:t>招标人</w:t>
      </w:r>
      <w:r>
        <w:rPr>
          <w:rFonts w:hint="eastAsia" w:ascii="宋体" w:hAnsi="宋体"/>
        </w:rPr>
        <w:t>单位每年职业病危害防治经费的投入明细，评价其合理性。</w:t>
      </w:r>
    </w:p>
    <w:p>
      <w:pPr>
        <w:spacing w:line="360" w:lineRule="auto"/>
        <w:ind w:firstLine="420" w:firstLineChars="200"/>
        <w:rPr>
          <w:rFonts w:hint="eastAsia" w:ascii="宋体" w:hAnsi="宋体"/>
        </w:rPr>
      </w:pPr>
      <w:r>
        <w:rPr>
          <w:rFonts w:hint="eastAsia" w:ascii="宋体" w:hAnsi="宋体"/>
        </w:rPr>
        <w:t>k</w:t>
      </w:r>
      <w:r>
        <w:rPr>
          <w:rFonts w:hint="eastAsia" w:ascii="宋体" w:hAnsi="宋体"/>
          <w:u w:val="none" w:color="EB3624"/>
        </w:rPr>
        <w:t>)</w:t>
      </w:r>
      <w:r>
        <w:rPr>
          <w:rFonts w:hint="eastAsia" w:ascii="宋体" w:hAnsi="宋体"/>
        </w:rPr>
        <w:t xml:space="preserve"> 既往职业卫生评价建议落实情况：对最近1次职业卫生评价建议的落实情况进行评价。</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10</w:t>
      </w:r>
      <w:r>
        <w:rPr>
          <w:rFonts w:hint="eastAsia" w:ascii="宋体" w:hAnsi="宋体"/>
        </w:rPr>
        <w:t>）给出评价结论</w:t>
      </w:r>
    </w:p>
    <w:p>
      <w:pPr>
        <w:spacing w:line="360" w:lineRule="auto"/>
        <w:ind w:firstLine="420" w:firstLineChars="200"/>
        <w:rPr>
          <w:rFonts w:hint="eastAsia" w:ascii="宋体" w:hAnsi="宋体"/>
        </w:rPr>
      </w:pPr>
      <w:r>
        <w:rPr>
          <w:rFonts w:hint="eastAsia" w:ascii="宋体" w:hAnsi="宋体"/>
        </w:rPr>
        <w:t>分项结论，对</w:t>
      </w:r>
      <w:r>
        <w:rPr>
          <w:rFonts w:hint="eastAsia" w:ascii="宋体" w:hAnsi="宋体"/>
          <w:lang w:eastAsia="zh-CN"/>
        </w:rPr>
        <w:t>招标人</w:t>
      </w:r>
      <w:r>
        <w:rPr>
          <w:rFonts w:hint="eastAsia" w:ascii="宋体" w:hAnsi="宋体"/>
        </w:rPr>
        <w:t>单位职业病危害现状及职业病危害防治现状进行逐项评价。</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70" w:name="_Toc19503"/>
      <w:bookmarkStart w:id="71" w:name="_Toc8501"/>
      <w:bookmarkStart w:id="72" w:name="_Toc2876"/>
      <w:bookmarkStart w:id="73" w:name="_Toc25299"/>
      <w:bookmarkStart w:id="74" w:name="_Toc18671"/>
      <w:r>
        <w:rPr>
          <w:rFonts w:hint="eastAsia" w:ascii="宋体" w:hAnsi="宋体"/>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23.4pt;height:0pt;width:0.05pt;z-index:251659264;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FHAnn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bookmarkEnd w:id="66"/>
      <w:r>
        <w:rPr>
          <w:rFonts w:hint="eastAsia" w:ascii="宋体" w:hAnsi="宋体"/>
          <w:b/>
          <w:bCs/>
          <w:color w:val="000000"/>
          <w:sz w:val="21"/>
          <w:szCs w:val="21"/>
        </w:rPr>
        <w:t>供货与服务范围</w:t>
      </w:r>
      <w:bookmarkEnd w:id="67"/>
      <w:bookmarkEnd w:id="70"/>
      <w:bookmarkEnd w:id="71"/>
      <w:bookmarkEnd w:id="72"/>
      <w:bookmarkEnd w:id="73"/>
      <w:bookmarkEnd w:id="74"/>
    </w:p>
    <w:p>
      <w:pPr>
        <w:pStyle w:val="34"/>
        <w:numPr>
          <w:ilvl w:val="0"/>
          <w:numId w:val="8"/>
        </w:numPr>
        <w:tabs>
          <w:tab w:val="left" w:pos="426"/>
          <w:tab w:val="right" w:pos="9356"/>
          <w:tab w:val="clear" w:pos="9360"/>
        </w:tabs>
        <w:suppressAutoHyphens w:val="0"/>
        <w:spacing w:line="360" w:lineRule="auto"/>
        <w:outlineLvl w:val="0"/>
        <w:rPr>
          <w:rFonts w:hint="eastAsia" w:ascii="宋体" w:hAnsi="宋体"/>
          <w:b/>
          <w:bCs/>
          <w:color w:val="000000"/>
          <w:sz w:val="21"/>
          <w:szCs w:val="21"/>
        </w:rPr>
      </w:pPr>
      <w:bookmarkStart w:id="75" w:name="_Toc38896851"/>
      <w:bookmarkStart w:id="76" w:name="_Toc4516"/>
      <w:bookmarkStart w:id="77" w:name="_Toc3159"/>
      <w:bookmarkStart w:id="78" w:name="_Toc13504"/>
      <w:bookmarkStart w:id="79" w:name="_Toc2870"/>
      <w:bookmarkStart w:id="80" w:name="_Toc343"/>
      <w:bookmarkStart w:id="81" w:name="_Toc350156118"/>
      <w:r>
        <w:rPr>
          <w:rFonts w:hint="eastAsia"/>
          <w:b/>
          <w:sz w:val="21"/>
          <w:szCs w:val="21"/>
          <w:lang w:eastAsia="zh-CN"/>
        </w:rPr>
        <w:t>招标人</w:t>
      </w:r>
      <w:r>
        <w:rPr>
          <w:rFonts w:hint="eastAsia"/>
          <w:b/>
          <w:sz w:val="21"/>
          <w:szCs w:val="21"/>
        </w:rPr>
        <w:t>供货范围</w:t>
      </w:r>
      <w:bookmarkEnd w:id="75"/>
      <w:bookmarkEnd w:id="76"/>
      <w:bookmarkEnd w:id="77"/>
      <w:bookmarkEnd w:id="78"/>
      <w:bookmarkEnd w:id="79"/>
      <w:bookmarkEnd w:id="80"/>
    </w:p>
    <w:p>
      <w:pPr>
        <w:spacing w:line="360" w:lineRule="auto"/>
        <w:ind w:firstLine="424" w:firstLineChars="202"/>
        <w:rPr>
          <w:rFonts w:hint="eastAsia"/>
          <w:szCs w:val="21"/>
        </w:rPr>
      </w:pPr>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ascii="Times New Roman" w:hAnsi="Times New Roman"/>
          <w:b/>
          <w:sz w:val="21"/>
          <w:szCs w:val="21"/>
        </w:rPr>
      </w:pPr>
      <w:bookmarkStart w:id="82" w:name="_Toc707"/>
      <w:bookmarkStart w:id="83" w:name="_Toc26060"/>
      <w:bookmarkStart w:id="84" w:name="_Toc24591"/>
      <w:bookmarkStart w:id="85" w:name="_Toc38896852"/>
      <w:bookmarkStart w:id="86" w:name="_Toc13126"/>
      <w:bookmarkStart w:id="87" w:name="_Toc23068"/>
      <w:r>
        <w:rPr>
          <w:rFonts w:hint="eastAsia"/>
          <w:b/>
          <w:sz w:val="21"/>
          <w:szCs w:val="21"/>
          <w:lang w:eastAsia="zh-CN"/>
        </w:rPr>
        <w:t>投标人</w:t>
      </w:r>
      <w:r>
        <w:rPr>
          <w:rFonts w:hint="eastAsia"/>
          <w:b/>
          <w:sz w:val="21"/>
          <w:szCs w:val="21"/>
        </w:rPr>
        <w:t>供货范围</w:t>
      </w:r>
      <w:bookmarkEnd w:id="82"/>
      <w:bookmarkEnd w:id="83"/>
      <w:bookmarkEnd w:id="84"/>
      <w:bookmarkEnd w:id="85"/>
      <w:bookmarkEnd w:id="86"/>
      <w:bookmarkEnd w:id="87"/>
    </w:p>
    <w:p>
      <w:pPr>
        <w:spacing w:line="360" w:lineRule="auto"/>
        <w:ind w:left="420"/>
        <w:rPr>
          <w:rFonts w:hint="eastAsia"/>
          <w:szCs w:val="21"/>
        </w:rPr>
      </w:pPr>
      <w:bookmarkStart w:id="88" w:name="_Toc38896853"/>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sz w:val="21"/>
          <w:szCs w:val="21"/>
        </w:rPr>
      </w:pPr>
      <w:bookmarkStart w:id="89" w:name="_Toc14148"/>
      <w:bookmarkStart w:id="90" w:name="_Toc15299"/>
      <w:bookmarkStart w:id="91" w:name="_Toc26088"/>
      <w:bookmarkStart w:id="92" w:name="_Toc20560"/>
      <w:bookmarkStart w:id="93" w:name="_Toc27984"/>
      <w:r>
        <w:rPr>
          <w:rFonts w:hint="eastAsia"/>
          <w:b/>
          <w:sz w:val="21"/>
          <w:szCs w:val="21"/>
          <w:lang w:eastAsia="zh-CN"/>
        </w:rPr>
        <w:t>投标人</w:t>
      </w:r>
      <w:r>
        <w:rPr>
          <w:rFonts w:hint="eastAsia"/>
          <w:b/>
          <w:sz w:val="21"/>
          <w:szCs w:val="21"/>
        </w:rPr>
        <w:t>供货要求</w:t>
      </w:r>
      <w:bookmarkEnd w:id="88"/>
      <w:bookmarkEnd w:id="89"/>
      <w:bookmarkEnd w:id="90"/>
      <w:bookmarkEnd w:id="91"/>
      <w:bookmarkEnd w:id="92"/>
      <w:bookmarkEnd w:id="93"/>
    </w:p>
    <w:p>
      <w:pPr>
        <w:spacing w:line="360" w:lineRule="auto"/>
        <w:ind w:left="420"/>
        <w:rPr>
          <w:rFonts w:hint="eastAsia"/>
          <w:szCs w:val="21"/>
        </w:rPr>
      </w:pPr>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ascii="宋体" w:hAnsi="宋体"/>
          <w:b/>
          <w:bCs/>
          <w:color w:val="000000"/>
          <w:sz w:val="21"/>
          <w:szCs w:val="21"/>
        </w:rPr>
      </w:pPr>
      <w:bookmarkStart w:id="94" w:name="_Toc3794"/>
      <w:bookmarkStart w:id="95" w:name="_Toc23848"/>
      <w:bookmarkStart w:id="96" w:name="_Toc228"/>
      <w:bookmarkStart w:id="97" w:name="_Toc15182"/>
      <w:bookmarkStart w:id="98" w:name="_Toc11727"/>
      <w:bookmarkStart w:id="99" w:name="_Toc38896854"/>
      <w:r>
        <w:rPr>
          <w:rFonts w:hint="eastAsia" w:ascii="宋体" w:hAnsi="宋体"/>
          <w:b/>
          <w:bCs/>
          <w:color w:val="000000"/>
          <w:sz w:val="21"/>
          <w:szCs w:val="21"/>
        </w:rPr>
        <w:t>拒收</w:t>
      </w:r>
      <w:bookmarkEnd w:id="94"/>
      <w:bookmarkEnd w:id="95"/>
      <w:bookmarkEnd w:id="96"/>
      <w:bookmarkEnd w:id="97"/>
      <w:bookmarkEnd w:id="98"/>
      <w:bookmarkEnd w:id="99"/>
    </w:p>
    <w:p>
      <w:pPr>
        <w:spacing w:line="360" w:lineRule="auto"/>
        <w:ind w:left="420"/>
        <w:rPr>
          <w:rFonts w:hint="eastAsia"/>
          <w:szCs w:val="21"/>
        </w:rPr>
      </w:pPr>
      <w:r>
        <w:rPr>
          <w:rFonts w:hint="eastAsia"/>
          <w:szCs w:val="21"/>
        </w:rPr>
        <w:t>不适用</w:t>
      </w:r>
      <w:r>
        <w:rPr>
          <w:szCs w:val="21"/>
        </w:rPr>
        <w:t>。</w:t>
      </w:r>
    </w:p>
    <w:bookmarkEnd w:id="81"/>
    <w:p>
      <w:pPr>
        <w:pStyle w:val="34"/>
        <w:numPr>
          <w:ilvl w:val="0"/>
          <w:numId w:val="8"/>
        </w:numPr>
        <w:tabs>
          <w:tab w:val="left" w:pos="426"/>
        </w:tabs>
        <w:suppressAutoHyphens w:val="0"/>
        <w:spacing w:line="360" w:lineRule="auto"/>
        <w:outlineLvl w:val="0"/>
        <w:rPr>
          <w:szCs w:val="21"/>
        </w:rPr>
      </w:pPr>
      <w:bookmarkStart w:id="100" w:name="_Toc38896855"/>
      <w:bookmarkStart w:id="101" w:name="_Toc15687"/>
      <w:bookmarkStart w:id="102" w:name="_Toc17952"/>
      <w:bookmarkStart w:id="103" w:name="_Toc27"/>
      <w:bookmarkStart w:id="104" w:name="_Toc16693"/>
      <w:bookmarkStart w:id="105" w:name="_Toc16923"/>
      <w:bookmarkStart w:id="106" w:name="_Toc349220121"/>
      <w:r>
        <w:rPr>
          <w:rFonts w:hint="eastAsia"/>
          <w:b/>
          <w:sz w:val="21"/>
          <w:szCs w:val="21"/>
          <w:lang w:eastAsia="zh-CN"/>
        </w:rPr>
        <w:t>招标人</w:t>
      </w:r>
      <w:r>
        <w:rPr>
          <w:rFonts w:hint="eastAsia"/>
          <w:b/>
          <w:sz w:val="21"/>
          <w:szCs w:val="21"/>
        </w:rPr>
        <w:t>服务范围</w:t>
      </w:r>
      <w:bookmarkEnd w:id="100"/>
      <w:bookmarkEnd w:id="101"/>
      <w:bookmarkEnd w:id="102"/>
      <w:bookmarkEnd w:id="103"/>
      <w:bookmarkEnd w:id="104"/>
      <w:bookmarkEnd w:id="105"/>
    </w:p>
    <w:p>
      <w:pPr>
        <w:spacing w:line="360" w:lineRule="auto"/>
        <w:ind w:left="420"/>
        <w:rPr>
          <w:rFonts w:hint="eastAsia"/>
          <w:szCs w:val="21"/>
        </w:rPr>
      </w:pPr>
      <w:bookmarkStart w:id="107" w:name="_Toc38896856"/>
      <w:bookmarkStart w:id="108" w:name="_Toc7357"/>
      <w:r>
        <w:rPr>
          <w:rFonts w:hint="eastAsia"/>
          <w:szCs w:val="21"/>
        </w:rPr>
        <w:t>不适用</w:t>
      </w:r>
    </w:p>
    <w:p>
      <w:pPr>
        <w:pStyle w:val="34"/>
        <w:numPr>
          <w:ilvl w:val="0"/>
          <w:numId w:val="8"/>
        </w:numPr>
        <w:tabs>
          <w:tab w:val="left" w:pos="426"/>
        </w:tabs>
        <w:suppressAutoHyphens w:val="0"/>
        <w:spacing w:line="360" w:lineRule="auto"/>
        <w:outlineLvl w:val="0"/>
        <w:rPr>
          <w:rFonts w:hint="eastAsia" w:ascii="宋体" w:hAnsi="宋体"/>
          <w:b/>
          <w:bCs/>
          <w:color w:val="000000"/>
          <w:sz w:val="21"/>
          <w:szCs w:val="21"/>
        </w:rPr>
      </w:pPr>
      <w:bookmarkStart w:id="109" w:name="_Toc1172"/>
      <w:bookmarkStart w:id="110" w:name="_Toc29713"/>
      <w:bookmarkStart w:id="111" w:name="_Toc26439"/>
      <w:bookmarkStart w:id="112" w:name="_Toc4847"/>
      <w:r>
        <w:rPr>
          <w:rFonts w:hint="eastAsia"/>
          <w:b/>
          <w:sz w:val="21"/>
          <w:szCs w:val="21"/>
          <w:lang w:eastAsia="zh-CN"/>
        </w:rPr>
        <w:t>投标人</w:t>
      </w:r>
      <w:r>
        <w:rPr>
          <w:rFonts w:hint="eastAsia"/>
          <w:b/>
          <w:sz w:val="21"/>
          <w:szCs w:val="21"/>
        </w:rPr>
        <w:t>服务范围</w:t>
      </w:r>
      <w:bookmarkEnd w:id="107"/>
      <w:bookmarkEnd w:id="108"/>
      <w:bookmarkEnd w:id="109"/>
      <w:bookmarkEnd w:id="110"/>
      <w:bookmarkEnd w:id="111"/>
      <w:bookmarkEnd w:id="112"/>
    </w:p>
    <w:p>
      <w:pPr>
        <w:spacing w:line="360" w:lineRule="auto"/>
        <w:ind w:firstLine="420" w:firstLineChars="200"/>
        <w:rPr>
          <w:rFonts w:hint="default" w:eastAsia="宋体"/>
          <w:szCs w:val="21"/>
          <w:lang w:val="en-US" w:eastAsia="zh-CN"/>
        </w:rPr>
      </w:pPr>
      <w:r>
        <w:rPr>
          <w:rFonts w:hint="eastAsia"/>
          <w:szCs w:val="21"/>
        </w:rPr>
        <w:t>202</w:t>
      </w:r>
      <w:r>
        <w:rPr>
          <w:rFonts w:hint="eastAsia"/>
          <w:szCs w:val="21"/>
          <w:lang w:val="en-US" w:eastAsia="zh-CN"/>
        </w:rPr>
        <w:t>6</w:t>
      </w:r>
      <w:r>
        <w:rPr>
          <w:rFonts w:hint="eastAsia"/>
          <w:szCs w:val="21"/>
        </w:rPr>
        <w:t>年</w:t>
      </w:r>
      <w:r>
        <w:rPr>
          <w:rFonts w:hint="eastAsia"/>
          <w:szCs w:val="21"/>
          <w:lang w:eastAsia="zh-CN"/>
        </w:rPr>
        <w:t>、</w:t>
      </w:r>
      <w:r>
        <w:rPr>
          <w:rFonts w:hint="eastAsia"/>
          <w:szCs w:val="21"/>
        </w:rPr>
        <w:t>202</w:t>
      </w:r>
      <w:r>
        <w:rPr>
          <w:rFonts w:hint="eastAsia"/>
          <w:szCs w:val="21"/>
          <w:lang w:val="en-US" w:eastAsia="zh-CN"/>
        </w:rPr>
        <w:t>8</w:t>
      </w:r>
      <w:r>
        <w:rPr>
          <w:rFonts w:hint="eastAsia"/>
          <w:szCs w:val="21"/>
        </w:rPr>
        <w:t>年</w:t>
      </w:r>
      <w:r>
        <w:rPr>
          <w:rFonts w:hint="eastAsia"/>
          <w:szCs w:val="21"/>
          <w:lang w:val="en-US" w:eastAsia="zh-CN"/>
        </w:rPr>
        <w:t>中海石油建滔化工有限公司（甲醇一期）所属的工作场所内</w:t>
      </w:r>
      <w:r>
        <w:rPr>
          <w:rFonts w:hint="eastAsia"/>
          <w:szCs w:val="21"/>
          <w:lang w:val="zh-CN"/>
        </w:rPr>
        <w:t>职业病危害因素</w:t>
      </w:r>
      <w:r>
        <w:rPr>
          <w:rFonts w:hint="eastAsia"/>
          <w:szCs w:val="21"/>
          <w:lang w:val="en-US" w:eastAsia="zh-CN"/>
        </w:rPr>
        <w:t>进行年度</w:t>
      </w:r>
      <w:r>
        <w:rPr>
          <w:rFonts w:hint="eastAsia"/>
          <w:szCs w:val="21"/>
          <w:lang w:val="zh-CN"/>
        </w:rPr>
        <w:t>检测</w:t>
      </w:r>
      <w:r>
        <w:rPr>
          <w:rFonts w:hint="eastAsia"/>
          <w:szCs w:val="21"/>
          <w:lang w:val="en-US" w:eastAsia="zh-CN"/>
        </w:rPr>
        <w:t>、</w:t>
      </w:r>
      <w:r>
        <w:rPr>
          <w:rFonts w:hint="eastAsia"/>
          <w:szCs w:val="21"/>
        </w:rPr>
        <w:t>202</w:t>
      </w:r>
      <w:r>
        <w:rPr>
          <w:rFonts w:hint="eastAsia"/>
          <w:szCs w:val="21"/>
          <w:lang w:val="en-US" w:eastAsia="zh-CN"/>
        </w:rPr>
        <w:t>7</w:t>
      </w:r>
      <w:r>
        <w:rPr>
          <w:rFonts w:hint="eastAsia"/>
          <w:szCs w:val="21"/>
        </w:rPr>
        <w:t>年</w:t>
      </w:r>
      <w:r>
        <w:rPr>
          <w:rFonts w:hint="eastAsia"/>
          <w:szCs w:val="21"/>
          <w:lang w:val="en-US" w:eastAsia="zh-CN"/>
        </w:rPr>
        <w:t>中海石油建滔化工有限公司（甲醇一期）</w:t>
      </w:r>
      <w:r>
        <w:rPr>
          <w:rFonts w:hint="eastAsia"/>
          <w:szCs w:val="21"/>
          <w:lang w:val="zh-CN"/>
        </w:rPr>
        <w:t>职业病危害现状评价</w:t>
      </w:r>
      <w:r>
        <w:rPr>
          <w:rFonts w:hint="eastAsia"/>
          <w:szCs w:val="21"/>
          <w:lang w:val="en-US" w:eastAsia="zh-CN"/>
        </w:rPr>
        <w:t>检测</w:t>
      </w:r>
      <w:r>
        <w:rPr>
          <w:rFonts w:hint="eastAsia"/>
          <w:szCs w:val="21"/>
          <w:lang w:val="zh-CN"/>
        </w:rPr>
        <w:t>服务，并出具职业病危害因素</w:t>
      </w:r>
      <w:r>
        <w:rPr>
          <w:rFonts w:hint="eastAsia"/>
          <w:szCs w:val="21"/>
          <w:lang w:val="en-US" w:eastAsia="zh-CN"/>
        </w:rPr>
        <w:t>年度</w:t>
      </w:r>
      <w:r>
        <w:rPr>
          <w:rFonts w:hint="eastAsia"/>
          <w:szCs w:val="21"/>
          <w:lang w:val="zh-CN"/>
        </w:rPr>
        <w:t>检测报告</w:t>
      </w:r>
      <w:r>
        <w:rPr>
          <w:rFonts w:hint="eastAsia"/>
          <w:szCs w:val="21"/>
          <w:lang w:val="en-US" w:eastAsia="zh-CN"/>
        </w:rPr>
        <w:t>和</w:t>
      </w:r>
      <w:r>
        <w:rPr>
          <w:rFonts w:hint="eastAsia"/>
          <w:szCs w:val="21"/>
          <w:lang w:val="zh-CN"/>
        </w:rPr>
        <w:t>职业病危害现状评价</w:t>
      </w:r>
      <w:r>
        <w:rPr>
          <w:rFonts w:hint="eastAsia"/>
          <w:szCs w:val="21"/>
          <w:lang w:val="en-US" w:eastAsia="zh-CN"/>
        </w:rPr>
        <w:t>报告</w:t>
      </w:r>
      <w:r>
        <w:rPr>
          <w:rFonts w:hint="eastAsia"/>
          <w:szCs w:val="21"/>
          <w:lang w:val="zh-CN"/>
        </w:rPr>
        <w:t>。检测项目有：粉尘、化学毒物、物理因素、噪声等。检测</w:t>
      </w:r>
      <w:r>
        <w:rPr>
          <w:rFonts w:hint="eastAsia"/>
          <w:szCs w:val="21"/>
          <w:lang w:val="en-US" w:eastAsia="zh-CN"/>
        </w:rPr>
        <w:t>点位</w:t>
      </w:r>
      <w:r>
        <w:rPr>
          <w:rFonts w:hint="eastAsia"/>
          <w:szCs w:val="21"/>
          <w:lang w:val="zh-CN"/>
        </w:rPr>
        <w:t>和检测项目参见附表1，检测点位应包含但不限于附表</w:t>
      </w:r>
      <w:r>
        <w:rPr>
          <w:rFonts w:hint="eastAsia"/>
          <w:szCs w:val="21"/>
        </w:rPr>
        <w:t>1</w:t>
      </w:r>
      <w:r>
        <w:rPr>
          <w:rFonts w:hint="eastAsia"/>
          <w:szCs w:val="21"/>
          <w:lang w:val="zh-CN"/>
        </w:rPr>
        <w:t>，</w:t>
      </w:r>
      <w:r>
        <w:rPr>
          <w:rFonts w:hint="eastAsia" w:ascii="Times New Roman" w:hAnsi="Times New Roman" w:eastAsia="宋体" w:cs="Times New Roman"/>
          <w:szCs w:val="21"/>
          <w:lang w:val="zh-CN"/>
        </w:rPr>
        <w:t>最终检测点位</w:t>
      </w:r>
      <w:r>
        <w:rPr>
          <w:rFonts w:hint="eastAsia" w:ascii="Times New Roman" w:hAnsi="Times New Roman" w:eastAsia="宋体" w:cs="Times New Roman"/>
          <w:szCs w:val="21"/>
          <w:lang w:val="en-US" w:eastAsia="zh-CN"/>
        </w:rPr>
        <w:t>及检测项目由招标人、投标人</w:t>
      </w:r>
      <w:r>
        <w:rPr>
          <w:rFonts w:hint="eastAsia" w:ascii="Times New Roman" w:hAnsi="Times New Roman" w:eastAsia="宋体" w:cs="Times New Roman"/>
          <w:szCs w:val="21"/>
          <w:lang w:val="zh-CN"/>
        </w:rPr>
        <w:t>依据</w:t>
      </w:r>
      <w:r>
        <w:rPr>
          <w:rFonts w:hint="eastAsia" w:ascii="Times New Roman" w:hAnsi="Times New Roman" w:eastAsia="宋体" w:cs="Times New Roman"/>
          <w:szCs w:val="21"/>
          <w:lang w:val="en-US" w:eastAsia="zh-CN"/>
        </w:rPr>
        <w:t>工作场所</w:t>
      </w:r>
      <w:r>
        <w:rPr>
          <w:rFonts w:hint="eastAsia" w:ascii="Times New Roman" w:hAnsi="Times New Roman" w:eastAsia="宋体" w:cs="Times New Roman"/>
          <w:szCs w:val="21"/>
          <w:lang w:val="zh-CN"/>
        </w:rPr>
        <w:t>职业危害辨识结果为准。</w:t>
      </w:r>
      <w:r>
        <w:rPr>
          <w:rFonts w:hint="eastAsia"/>
          <w:szCs w:val="21"/>
          <w:lang w:val="en-US" w:eastAsia="zh-CN"/>
        </w:rPr>
        <w:t>检测、评价过程需要的相关设备、仪器由投标人负责。</w:t>
      </w:r>
    </w:p>
    <w:bookmarkEnd w:id="106"/>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13" w:name="_Toc17147"/>
      <w:bookmarkStart w:id="114" w:name="_Toc24040"/>
      <w:bookmarkStart w:id="115" w:name="_Toc38896857"/>
      <w:bookmarkStart w:id="116" w:name="_Toc16811"/>
      <w:bookmarkStart w:id="117" w:name="_Toc20624"/>
      <w:bookmarkStart w:id="118" w:name="_Toc30271"/>
      <w:r>
        <w:rPr>
          <w:rFonts w:hint="eastAsia" w:ascii="宋体" w:hAnsi="宋体"/>
          <w:b/>
          <w:bCs/>
          <w:color w:val="000000"/>
          <w:sz w:val="21"/>
          <w:szCs w:val="21"/>
        </w:rPr>
        <w:t>交货期与工期要求</w:t>
      </w:r>
      <w:bookmarkEnd w:id="113"/>
      <w:bookmarkEnd w:id="114"/>
      <w:bookmarkEnd w:id="115"/>
      <w:bookmarkEnd w:id="116"/>
      <w:bookmarkEnd w:id="117"/>
      <w:bookmarkEnd w:id="118"/>
    </w:p>
    <w:p>
      <w:pPr>
        <w:spacing w:line="360" w:lineRule="auto"/>
        <w:ind w:firstLine="420" w:firstLineChars="200"/>
        <w:rPr>
          <w:rFonts w:hint="default" w:ascii="宋体" w:hAnsi="宋体"/>
          <w:szCs w:val="21"/>
          <w:lang w:val="en-US" w:eastAsia="zh-CN"/>
        </w:rPr>
      </w:pPr>
      <w:r>
        <w:rPr>
          <w:rFonts w:hint="eastAsia" w:ascii="宋体" w:hAnsi="宋体" w:eastAsia="宋体" w:cs="Times New Roman"/>
          <w:szCs w:val="21"/>
          <w:lang w:val="en-US" w:eastAsia="zh-CN"/>
        </w:rPr>
        <w:t>投标人在接到招标人委托书后，应于10个工作日内进场开展检测或评价工作；检测完成后，30个工作日内提交年度检测报告，60个工作日内提交现状评价报告，或按招标人另行要求的时间节点完成相应工作。</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19" w:name="_Toc12976"/>
      <w:bookmarkStart w:id="120" w:name="_Toc5893"/>
      <w:bookmarkStart w:id="121" w:name="_Toc31437"/>
      <w:bookmarkStart w:id="122" w:name="_Toc38896858"/>
      <w:bookmarkStart w:id="123" w:name="_Toc18013"/>
      <w:bookmarkStart w:id="124" w:name="_Toc25374"/>
      <w:r>
        <w:rPr>
          <w:rFonts w:hint="eastAsia" w:ascii="宋体" w:hAnsi="宋体"/>
          <w:b/>
          <w:bCs/>
          <w:color w:val="000000"/>
          <w:sz w:val="21"/>
          <w:szCs w:val="21"/>
        </w:rPr>
        <w:t>检验和试验</w:t>
      </w:r>
      <w:bookmarkEnd w:id="119"/>
      <w:bookmarkEnd w:id="120"/>
      <w:bookmarkEnd w:id="121"/>
      <w:bookmarkEnd w:id="122"/>
      <w:bookmarkEnd w:id="123"/>
      <w:bookmarkEnd w:id="124"/>
    </w:p>
    <w:p>
      <w:pPr>
        <w:spacing w:line="360" w:lineRule="auto"/>
        <w:ind w:firstLine="424" w:firstLineChars="202"/>
        <w:rPr>
          <w:rFonts w:hint="eastAsia" w:ascii="宋体" w:hAnsi="宋体"/>
          <w:szCs w:val="21"/>
          <w:lang w:val="zh-CN"/>
        </w:rPr>
      </w:pPr>
      <w:r>
        <w:rPr>
          <w:rFonts w:hint="eastAsia" w:ascii="宋体" w:hAnsi="宋体"/>
          <w:szCs w:val="21"/>
          <w:lang w:val="zh-CN"/>
        </w:rPr>
        <w:t>总体按</w:t>
      </w:r>
      <w:r>
        <w:rPr>
          <w:rFonts w:hint="eastAsia" w:ascii="宋体" w:hAnsi="宋体"/>
          <w:b/>
          <w:szCs w:val="21"/>
          <w:lang w:val="zh-CN"/>
        </w:rPr>
        <w:t>“3.标准规范及技术要求”</w:t>
      </w:r>
      <w:r>
        <w:rPr>
          <w:rFonts w:hint="eastAsia" w:ascii="宋体" w:hAnsi="宋体"/>
          <w:szCs w:val="21"/>
          <w:lang w:val="zh-CN"/>
        </w:rPr>
        <w:t>进行验收。</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25" w:name="_Toc12242"/>
      <w:bookmarkStart w:id="126" w:name="_Toc381169831"/>
      <w:bookmarkStart w:id="127" w:name="_Toc19741"/>
      <w:bookmarkStart w:id="128" w:name="_Toc38896859"/>
      <w:bookmarkStart w:id="129" w:name="_Toc26070"/>
      <w:bookmarkStart w:id="130" w:name="_Toc29155"/>
      <w:bookmarkStart w:id="131" w:name="_Toc380139610"/>
      <w:bookmarkStart w:id="132" w:name="_Toc19226"/>
      <w:r>
        <w:rPr>
          <w:rFonts w:hint="eastAsia" w:ascii="宋体" w:hAnsi="宋体"/>
          <w:b/>
          <w:bCs/>
          <w:color w:val="000000"/>
          <w:sz w:val="21"/>
          <w:szCs w:val="21"/>
        </w:rPr>
        <w:t>售后服务</w:t>
      </w:r>
      <w:bookmarkEnd w:id="125"/>
      <w:bookmarkEnd w:id="126"/>
      <w:bookmarkEnd w:id="127"/>
      <w:bookmarkEnd w:id="128"/>
      <w:bookmarkEnd w:id="129"/>
      <w:bookmarkEnd w:id="130"/>
      <w:bookmarkEnd w:id="131"/>
      <w:bookmarkEnd w:id="132"/>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无</w:t>
      </w:r>
    </w:p>
    <w:p>
      <w:pPr>
        <w:pStyle w:val="34"/>
        <w:numPr>
          <w:ilvl w:val="0"/>
          <w:numId w:val="1"/>
        </w:numPr>
        <w:tabs>
          <w:tab w:val="left" w:pos="426"/>
        </w:tabs>
        <w:suppressAutoHyphens w:val="0"/>
        <w:spacing w:line="360" w:lineRule="auto"/>
        <w:outlineLvl w:val="0"/>
        <w:rPr>
          <w:rFonts w:hint="eastAsia" w:ascii="宋体" w:hAnsi="宋体" w:cs="宋体"/>
          <w:b/>
          <w:bCs/>
          <w:color w:val="000000"/>
          <w:sz w:val="21"/>
          <w:szCs w:val="21"/>
        </w:rPr>
      </w:pPr>
      <w:bookmarkStart w:id="133" w:name="_Toc350329518"/>
      <w:bookmarkEnd w:id="133"/>
      <w:bookmarkStart w:id="134" w:name="_Toc350329515"/>
      <w:bookmarkEnd w:id="134"/>
      <w:bookmarkStart w:id="135" w:name="_Toc350325985"/>
      <w:bookmarkEnd w:id="135"/>
      <w:bookmarkStart w:id="136" w:name="_Toc350325984"/>
      <w:bookmarkEnd w:id="136"/>
      <w:bookmarkStart w:id="137" w:name="_Toc350325987"/>
      <w:bookmarkEnd w:id="137"/>
      <w:bookmarkStart w:id="138" w:name="_Toc350325982"/>
      <w:bookmarkEnd w:id="138"/>
      <w:bookmarkStart w:id="139" w:name="_Toc350325986"/>
      <w:bookmarkEnd w:id="139"/>
      <w:bookmarkStart w:id="140" w:name="_Toc350329516"/>
      <w:bookmarkEnd w:id="140"/>
      <w:bookmarkStart w:id="141" w:name="_Toc350329510"/>
      <w:bookmarkEnd w:id="141"/>
      <w:bookmarkStart w:id="142" w:name="_Toc350329513"/>
      <w:bookmarkEnd w:id="142"/>
      <w:bookmarkStart w:id="143" w:name="_Toc350329512"/>
      <w:bookmarkEnd w:id="143"/>
      <w:bookmarkStart w:id="144" w:name="_Toc350325979"/>
      <w:bookmarkEnd w:id="144"/>
      <w:bookmarkStart w:id="145" w:name="_Toc350329517"/>
      <w:bookmarkEnd w:id="145"/>
      <w:bookmarkStart w:id="146" w:name="_Toc350329519"/>
      <w:bookmarkEnd w:id="146"/>
      <w:bookmarkStart w:id="147" w:name="_Toc350329511"/>
      <w:bookmarkEnd w:id="147"/>
      <w:bookmarkStart w:id="148" w:name="_Toc350325983"/>
      <w:bookmarkEnd w:id="148"/>
      <w:bookmarkStart w:id="149" w:name="_Toc350325978"/>
      <w:bookmarkEnd w:id="149"/>
      <w:bookmarkStart w:id="150" w:name="_Toc350329514"/>
      <w:bookmarkEnd w:id="150"/>
      <w:bookmarkStart w:id="151" w:name="_Toc350325981"/>
      <w:bookmarkEnd w:id="151"/>
      <w:bookmarkStart w:id="152" w:name="_Toc350325980"/>
      <w:bookmarkEnd w:id="152"/>
      <w:bookmarkStart w:id="153" w:name="_Toc17518"/>
      <w:bookmarkStart w:id="154" w:name="_Toc13414"/>
      <w:bookmarkStart w:id="155" w:name="_Toc10349"/>
      <w:bookmarkStart w:id="156" w:name="_Toc23772"/>
      <w:bookmarkStart w:id="157" w:name="_Toc11935"/>
      <w:bookmarkStart w:id="158" w:name="_Toc8114"/>
      <w:bookmarkStart w:id="159" w:name="_Toc17277"/>
      <w:bookmarkStart w:id="160" w:name="_Toc15462"/>
      <w:bookmarkStart w:id="161" w:name="_Toc38896860"/>
      <w:bookmarkStart w:id="162" w:name="_Toc9916"/>
      <w:bookmarkStart w:id="163" w:name="_Toc38896861"/>
      <w:r>
        <w:rPr>
          <w:rFonts w:hint="eastAsia" w:ascii="宋体" w:hAnsi="宋体" w:cs="宋体"/>
          <w:b/>
          <w:bCs/>
          <w:color w:val="000000"/>
          <w:sz w:val="21"/>
          <w:szCs w:val="21"/>
        </w:rPr>
        <w:t>技术投标文件要求</w:t>
      </w:r>
      <w:bookmarkEnd w:id="153"/>
      <w:bookmarkEnd w:id="154"/>
      <w:bookmarkEnd w:id="155"/>
      <w:bookmarkEnd w:id="156"/>
      <w:bookmarkEnd w:id="157"/>
      <w:bookmarkEnd w:id="158"/>
      <w:bookmarkEnd w:id="159"/>
      <w:bookmarkEnd w:id="160"/>
      <w:bookmarkEnd w:id="161"/>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公司简介</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公司、人员资质及取证情况。</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近3年内同类或类似服务业绩。</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动员计划（附件2）</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技术方案。</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使用的标准规范。</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服务范围及工期。</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详细的进度控制计划表及进度保证措施。</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服务及质量承诺。</w:t>
      </w:r>
    </w:p>
    <w:p>
      <w:pPr>
        <w:numPr>
          <w:ilvl w:val="0"/>
          <w:numId w:val="9"/>
        </w:numPr>
        <w:suppressAutoHyphens w:val="0"/>
        <w:spacing w:line="360" w:lineRule="auto"/>
        <w:ind w:left="0" w:firstLine="0"/>
        <w:outlineLvl w:val="0"/>
        <w:rPr>
          <w:rFonts w:hint="eastAsia" w:ascii="宋体" w:hAnsi="宋体"/>
          <w:sz w:val="21"/>
          <w:szCs w:val="21"/>
          <w:lang w:val="zh-CN"/>
        </w:rPr>
      </w:pPr>
      <w:bookmarkStart w:id="164" w:name="_Toc25567"/>
      <w:bookmarkStart w:id="165" w:name="_Toc12471"/>
      <w:bookmarkStart w:id="166" w:name="_Toc11648"/>
      <w:bookmarkStart w:id="167" w:name="_Toc25894"/>
      <w:r>
        <w:rPr>
          <w:rFonts w:hint="eastAsia" w:ascii="宋体" w:hAnsi="宋体" w:cs="宋体"/>
          <w:szCs w:val="21"/>
        </w:rPr>
        <w:t>技术偏离等（附件3）。</w:t>
      </w:r>
      <w:bookmarkEnd w:id="164"/>
      <w:bookmarkEnd w:id="165"/>
      <w:bookmarkEnd w:id="166"/>
      <w:bookmarkEnd w:id="167"/>
    </w:p>
    <w:p>
      <w:pPr>
        <w:numPr>
          <w:ilvl w:val="0"/>
          <w:numId w:val="9"/>
        </w:numPr>
        <w:rPr>
          <w:rFonts w:hint="eastAsia" w:ascii="宋体" w:hAnsi="宋体" w:cs="宋体" w:eastAsiaTheme="minorEastAsia"/>
          <w:b w:val="0"/>
          <w:bCs w:val="0"/>
          <w:szCs w:val="21"/>
          <w:lang w:val="en-US" w:eastAsia="zh-CN"/>
        </w:rPr>
      </w:pPr>
      <w:r>
        <w:rPr>
          <w:rFonts w:hint="eastAsia" w:ascii="宋体" w:hAnsi="宋体" w:cs="宋体" w:eastAsiaTheme="minorEastAsia"/>
          <w:b w:val="0"/>
          <w:bCs w:val="0"/>
          <w:szCs w:val="21"/>
          <w:lang w:val="en-US" w:eastAsia="zh-CN"/>
        </w:rPr>
        <w:t>报价</w:t>
      </w:r>
      <w:r>
        <w:rPr>
          <w:rFonts w:hint="eastAsia" w:ascii="宋体" w:hAnsi="宋体" w:cs="宋体" w:eastAsiaTheme="minorEastAsia"/>
          <w:b w:val="0"/>
          <w:bCs w:val="0"/>
          <w:szCs w:val="21"/>
          <w:u w:val="none" w:color="EB3624"/>
          <w:lang w:val="en-US" w:eastAsia="zh-CN"/>
        </w:rPr>
        <w:t>总汇</w:t>
      </w:r>
      <w:r>
        <w:rPr>
          <w:rFonts w:hint="eastAsia" w:ascii="宋体" w:hAnsi="宋体" w:cs="宋体" w:eastAsiaTheme="minorEastAsia"/>
          <w:b w:val="0"/>
          <w:bCs w:val="0"/>
          <w:szCs w:val="21"/>
          <w:lang w:val="en-US" w:eastAsia="zh-CN"/>
        </w:rPr>
        <w:t>表</w:t>
      </w:r>
      <w:r>
        <w:rPr>
          <w:rFonts w:hint="eastAsia" w:ascii="宋体" w:hAnsi="宋体" w:cs="宋体"/>
          <w:b w:val="0"/>
          <w:bCs w:val="0"/>
          <w:szCs w:val="21"/>
          <w:lang w:val="en-US" w:eastAsia="zh-CN"/>
        </w:rPr>
        <w:t>（</w:t>
      </w:r>
      <w:r>
        <w:rPr>
          <w:rFonts w:hint="eastAsia" w:ascii="宋体" w:hAnsi="宋体" w:cs="宋体" w:eastAsiaTheme="minorEastAsia"/>
          <w:b w:val="0"/>
          <w:bCs w:val="0"/>
          <w:szCs w:val="21"/>
          <w:lang w:val="en-US" w:eastAsia="zh-CN"/>
        </w:rPr>
        <w:t>附件</w:t>
      </w:r>
      <w:r>
        <w:rPr>
          <w:rFonts w:hint="eastAsia" w:ascii="宋体" w:hAnsi="宋体" w:cs="宋体"/>
          <w:b w:val="0"/>
          <w:bCs w:val="0"/>
          <w:szCs w:val="21"/>
          <w:lang w:val="en-US" w:eastAsia="zh-CN"/>
        </w:rPr>
        <w:t>4）。</w:t>
      </w:r>
    </w:p>
    <w:p>
      <w:pPr>
        <w:pStyle w:val="2"/>
        <w:suppressAutoHyphens w:val="0"/>
        <w:spacing w:line="360" w:lineRule="auto"/>
        <w:ind w:firstLine="0"/>
        <w:outlineLvl w:val="9"/>
        <w:rPr>
          <w:rFonts w:hint="eastAsia"/>
          <w:lang w:val="zh-CN"/>
        </w:rPr>
      </w:pPr>
    </w:p>
    <w:p>
      <w:pPr>
        <w:pStyle w:val="34"/>
        <w:numPr>
          <w:ilvl w:val="0"/>
          <w:numId w:val="1"/>
        </w:numPr>
        <w:tabs>
          <w:tab w:val="left" w:pos="426"/>
        </w:tabs>
        <w:suppressAutoHyphens w:val="0"/>
        <w:spacing w:line="360" w:lineRule="auto"/>
        <w:outlineLvl w:val="0"/>
        <w:rPr>
          <w:rFonts w:hint="eastAsia" w:ascii="宋体" w:hAnsi="宋体"/>
          <w:sz w:val="21"/>
          <w:szCs w:val="21"/>
          <w:lang w:val="zh-CN"/>
        </w:rPr>
      </w:pPr>
      <w:bookmarkStart w:id="168" w:name="_Toc29209"/>
      <w:bookmarkStart w:id="169" w:name="_Toc13463"/>
      <w:bookmarkStart w:id="170" w:name="_Toc28587"/>
      <w:bookmarkStart w:id="171" w:name="_Toc3359"/>
      <w:r>
        <w:rPr>
          <w:rFonts w:hint="eastAsia" w:ascii="宋体" w:hAnsi="宋体"/>
          <w:b/>
          <w:bCs/>
          <w:color w:val="000000"/>
          <w:sz w:val="21"/>
          <w:szCs w:val="21"/>
          <w:lang w:eastAsia="zh-CN"/>
        </w:rPr>
        <w:t>投标人</w:t>
      </w:r>
      <w:r>
        <w:rPr>
          <w:rFonts w:hint="eastAsia" w:ascii="宋体" w:hAnsi="宋体"/>
          <w:b/>
          <w:bCs/>
          <w:color w:val="000000"/>
          <w:sz w:val="21"/>
          <w:szCs w:val="21"/>
        </w:rPr>
        <w:t>应提供的项目完工资料</w:t>
      </w:r>
      <w:bookmarkEnd w:id="162"/>
      <w:bookmarkEnd w:id="163"/>
      <w:bookmarkEnd w:id="168"/>
      <w:bookmarkEnd w:id="169"/>
      <w:bookmarkEnd w:id="170"/>
      <w:bookmarkEnd w:id="171"/>
    </w:p>
    <w:p>
      <w:pPr>
        <w:spacing w:line="360" w:lineRule="auto"/>
        <w:ind w:firstLine="424" w:firstLineChars="202"/>
        <w:rPr>
          <w:rFonts w:hint="eastAsia" w:ascii="宋体" w:hAnsi="宋体"/>
          <w:szCs w:val="21"/>
        </w:rPr>
      </w:pPr>
      <w:r>
        <w:rPr>
          <w:rFonts w:hint="eastAsia" w:ascii="宋体" w:hAnsi="宋体"/>
          <w:szCs w:val="21"/>
        </w:rPr>
        <w:t>项目完工</w:t>
      </w:r>
      <w:r>
        <w:rPr>
          <w:rFonts w:hint="eastAsia" w:ascii="宋体" w:hAnsi="宋体"/>
          <w:szCs w:val="21"/>
          <w:lang w:val="en-US" w:eastAsia="zh-CN"/>
        </w:rPr>
        <w:t>1-2</w:t>
      </w:r>
      <w:r>
        <w:rPr>
          <w:rFonts w:hint="eastAsia" w:ascii="宋体" w:hAnsi="宋体"/>
          <w:szCs w:val="21"/>
          <w:lang w:eastAsia="zh-CN"/>
        </w:rPr>
        <w:t>个</w:t>
      </w:r>
      <w:r>
        <w:rPr>
          <w:rFonts w:hint="eastAsia" w:ascii="宋体" w:hAnsi="宋体"/>
          <w:szCs w:val="21"/>
        </w:rPr>
        <w:t>月</w:t>
      </w:r>
      <w:r>
        <w:rPr>
          <w:rFonts w:ascii="宋体" w:hAnsi="宋体"/>
          <w:szCs w:val="21"/>
        </w:rPr>
        <w:t>后提供完工资料</w:t>
      </w:r>
      <w:r>
        <w:rPr>
          <w:rFonts w:hint="eastAsia" w:ascii="宋体" w:hAnsi="宋体"/>
          <w:szCs w:val="21"/>
        </w:rPr>
        <w:t>，</w:t>
      </w:r>
      <w:r>
        <w:rPr>
          <w:rFonts w:ascii="宋体" w:hAnsi="宋体"/>
          <w:szCs w:val="21"/>
        </w:rPr>
        <w:t>要求</w:t>
      </w:r>
      <w:r>
        <w:rPr>
          <w:rFonts w:hint="eastAsia" w:ascii="宋体" w:hAnsi="宋体"/>
          <w:szCs w:val="21"/>
          <w:lang w:val="en-US" w:eastAsia="zh-CN"/>
        </w:rPr>
        <w:t>纸质版5</w:t>
      </w:r>
      <w:r>
        <w:rPr>
          <w:rFonts w:hint="eastAsia" w:ascii="宋体" w:hAnsi="宋体"/>
          <w:szCs w:val="21"/>
        </w:rPr>
        <w:t>份</w:t>
      </w:r>
      <w:r>
        <w:rPr>
          <w:rFonts w:ascii="宋体" w:hAnsi="宋体"/>
          <w:szCs w:val="21"/>
        </w:rPr>
        <w:t>，电子版</w:t>
      </w:r>
      <w:r>
        <w:rPr>
          <w:rFonts w:hint="eastAsia" w:ascii="宋体" w:hAnsi="宋体"/>
          <w:szCs w:val="21"/>
        </w:rPr>
        <w:t>1份</w:t>
      </w:r>
      <w:r>
        <w:rPr>
          <w:rFonts w:ascii="宋体" w:hAnsi="宋体"/>
          <w:szCs w:val="21"/>
        </w:rPr>
        <w:t>。</w:t>
      </w:r>
    </w:p>
    <w:p>
      <w:pPr>
        <w:numPr>
          <w:ilvl w:val="-1"/>
          <w:numId w:val="0"/>
        </w:numPr>
        <w:ind w:left="0" w:firstLine="0"/>
        <w:outlineLvl w:val="9"/>
        <w:rPr>
          <w:rFonts w:hint="eastAsia" w:ascii="宋体" w:hAnsi="宋体" w:eastAsia="宋体"/>
          <w:b/>
          <w:sz w:val="30"/>
          <w:szCs w:val="30"/>
          <w:lang w:val="en-US" w:eastAsia="zh-CN"/>
        </w:rPr>
      </w:pPr>
      <w:bookmarkStart w:id="172" w:name="_Toc497940558"/>
      <w:bookmarkEnd w:id="172"/>
      <w:bookmarkStart w:id="173" w:name="_Toc460334455"/>
      <w:bookmarkEnd w:id="173"/>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0"/>
        <w:rPr>
          <w:rFonts w:hint="eastAsia" w:ascii="宋体" w:hAnsi="宋体" w:eastAsia="宋体"/>
          <w:b/>
          <w:sz w:val="30"/>
          <w:szCs w:val="30"/>
          <w:lang w:val="en-US" w:eastAsia="zh-CN"/>
        </w:rPr>
      </w:pPr>
      <w:bookmarkStart w:id="174" w:name="_Toc30683"/>
      <w:r>
        <w:rPr>
          <w:rFonts w:hint="eastAsia" w:ascii="宋体" w:hAnsi="宋体" w:eastAsia="宋体"/>
          <w:b/>
          <w:sz w:val="30"/>
          <w:szCs w:val="30"/>
          <w:lang w:val="en-US" w:eastAsia="zh-CN"/>
        </w:rPr>
        <w:t>附件1预</w:t>
      </w:r>
      <w:r>
        <w:rPr>
          <w:rFonts w:ascii="宋体" w:hAnsi="宋体" w:eastAsia="宋体"/>
          <w:b/>
          <w:sz w:val="30"/>
          <w:szCs w:val="30"/>
        </w:rPr>
        <w:t>检测</w:t>
      </w:r>
      <w:r>
        <w:rPr>
          <w:rFonts w:hint="eastAsia" w:ascii="宋体" w:hAnsi="宋体" w:eastAsia="宋体"/>
          <w:b/>
          <w:sz w:val="30"/>
          <w:szCs w:val="30"/>
          <w:lang w:val="en-US" w:eastAsia="zh-CN"/>
        </w:rPr>
        <w:t>点和</w:t>
      </w:r>
      <w:r>
        <w:rPr>
          <w:rFonts w:hint="eastAsia" w:ascii="宋体" w:hAnsi="宋体" w:eastAsia="宋体"/>
          <w:b/>
          <w:sz w:val="30"/>
          <w:szCs w:val="30"/>
        </w:rPr>
        <w:t>检测</w:t>
      </w:r>
      <w:r>
        <w:rPr>
          <w:rFonts w:hint="eastAsia" w:ascii="宋体" w:hAnsi="宋体" w:eastAsia="宋体"/>
          <w:b/>
          <w:sz w:val="30"/>
          <w:szCs w:val="30"/>
          <w:lang w:val="en-US" w:eastAsia="zh-CN"/>
        </w:rPr>
        <w:t>项目</w:t>
      </w:r>
      <w:bookmarkEnd w:id="174"/>
    </w:p>
    <w:p>
      <w:pPr>
        <w:pStyle w:val="2"/>
        <w:rPr>
          <w:rFonts w:hint="eastAsia" w:ascii="宋体" w:hAnsi="宋体" w:eastAsia="宋体"/>
          <w:b/>
          <w:snapToGrid w:val="0"/>
          <w:sz w:val="28"/>
          <w:szCs w:val="28"/>
        </w:rPr>
      </w:pPr>
      <w:r>
        <w:rPr>
          <w:rFonts w:ascii="宋体" w:hAnsi="宋体" w:eastAsia="宋体"/>
          <w:b/>
          <w:snapToGrid w:val="0"/>
          <w:sz w:val="28"/>
          <w:szCs w:val="28"/>
        </w:rPr>
        <w:t xml:space="preserve">1. </w:t>
      </w:r>
      <w:r>
        <w:rPr>
          <w:rFonts w:hint="eastAsia" w:ascii="宋体" w:hAnsi="宋体" w:eastAsia="宋体"/>
          <w:b/>
          <w:snapToGrid w:val="0"/>
          <w:sz w:val="28"/>
          <w:szCs w:val="28"/>
        </w:rPr>
        <w:t>化学因素检测</w:t>
      </w:r>
    </w:p>
    <w:tbl>
      <w:tblPr>
        <w:tblStyle w:val="19"/>
        <w:tblW w:w="9570" w:type="dxa"/>
        <w:tblInd w:w="-4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4130"/>
        <w:gridCol w:w="4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工段</w:t>
            </w:r>
          </w:p>
        </w:tc>
        <w:tc>
          <w:tcPr>
            <w:tcW w:w="4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测定地点</w:t>
            </w:r>
          </w:p>
        </w:tc>
        <w:tc>
          <w:tcPr>
            <w:tcW w:w="44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化学物质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转化</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天然气分离器F01005巡检位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加氢反应器、脱硫槽RO1OO1/R01002A/B</w:t>
            </w:r>
          </w:p>
          <w:p>
            <w:pPr>
              <w:keepNext w:val="0"/>
              <w:keepLines w:val="0"/>
              <w:widowControl/>
              <w:suppressLineNumbers w:val="0"/>
              <w:jc w:val="center"/>
              <w:textAlignment w:val="center"/>
              <w:rPr>
                <w:rFonts w:hint="default" w:ascii="等线" w:hAnsi="等线" w:eastAsia="等线" w:cs="等线"/>
                <w:i w:val="0"/>
                <w:iCs w:val="0"/>
                <w:color w:val="000000"/>
                <w:sz w:val="20"/>
                <w:szCs w:val="20"/>
                <w:u w:val="none"/>
                <w:lang w:val="en-US"/>
              </w:rPr>
            </w:pPr>
            <w:r>
              <w:rPr>
                <w:rFonts w:hint="eastAsia" w:ascii="等线" w:hAnsi="等线" w:eastAsia="等线" w:cs="等线"/>
                <w:i w:val="0"/>
                <w:iCs w:val="0"/>
                <w:color w:val="000000"/>
                <w:kern w:val="0"/>
                <w:sz w:val="20"/>
                <w:szCs w:val="20"/>
                <w:u w:val="none"/>
                <w:lang w:val="en-US" w:eastAsia="zh-CN" w:bidi="ar"/>
              </w:rPr>
              <w:t>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硫化氢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废热锅炉巡检位E01003</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燃气喷射器J01002平台巡检位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鼓风机C01001巡检位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汽堤塔（二楼）F01501巡检位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转化加药系统巡检位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锅炉给水/转化气预热器E-01005巡检位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引风机C01002巡检位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辅助锅炉B14001巡检位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转化炉B01001二楼测温平台</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转化炉B01001三楼测温平台</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转化炉B01001炉底巡检位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工艺冷凝液泵P01503A/B巡检位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对流段盘管平台巡检位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压缩</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压缩机C01001/C02002二楼巡检位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压缩机C01001/02002三楼巡检位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压缩机段间冷却器E02001巡检位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合成</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合成塔R02001巡检位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甲醇分离器F02002巡检位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合成塔进出口换热器E02002巡检位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PSA、膜分离</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膜分离巡检位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PSA分离器F01503巡检位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PSA吸附罐区巡检位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精馏</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闪蒸槽F03001巡检位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预塔D03001巡检位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预塔塔顶冷却器E03002平台巡检位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氢氧化钠加药系统巡检位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氢氧化钠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预塔空冷器平台AE03001巡检位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主塔D03002巡检位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主塔空冷器巡检位AE03002</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主塔塔顶冷凝器回流槽F03003巡检位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地下槽泵F03005巡检位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稳定甲醇泵（主塔进料）P03001A/B巡检位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预塔回流泵P03002A/B巡检位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主塔回流泵P03003A/B巡检位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主塔塔底水泵P03004A/B巡检位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洗涤塔D04001巡检位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粗甲醇罐K04001巡检位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精甲醇罐K04002A/B巡检位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精甲醇泵P04002A/B巡检位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粗甲醇泵P04001巡检位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成品罐TK11001/11002/11003巡检位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装车平台工人休息室</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甲醇装车鹤管操作位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循环水</w:t>
            </w: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循环水加药系统巡检位</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主控</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主控室</w:t>
            </w: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硫化氢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0"/>
                <w:szCs w:val="20"/>
                <w:u w:val="none"/>
              </w:rPr>
            </w:pPr>
          </w:p>
        </w:tc>
        <w:tc>
          <w:tcPr>
            <w:tcW w:w="4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氨</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ascii="宋体" w:hAnsi="宋体" w:eastAsia="宋体"/>
          <w:b/>
          <w:sz w:val="28"/>
          <w:szCs w:val="28"/>
        </w:rPr>
      </w:pPr>
      <w:r>
        <w:rPr>
          <w:rFonts w:ascii="宋体" w:hAnsi="宋体" w:eastAsia="宋体"/>
          <w:b/>
          <w:sz w:val="28"/>
          <w:szCs w:val="28"/>
        </w:rPr>
        <w:t xml:space="preserve">2. </w:t>
      </w:r>
      <w:r>
        <w:rPr>
          <w:rFonts w:hint="eastAsia" w:ascii="宋体" w:hAnsi="宋体" w:eastAsia="宋体"/>
          <w:b/>
          <w:sz w:val="28"/>
          <w:szCs w:val="28"/>
        </w:rPr>
        <w:t>噪声检测</w:t>
      </w: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1</w:t>
      </w:r>
      <w:r>
        <w:rPr>
          <w:rFonts w:hint="eastAsia" w:ascii="宋体" w:hAnsi="宋体" w:eastAsia="宋体"/>
          <w:sz w:val="28"/>
          <w:szCs w:val="21"/>
        </w:rPr>
        <w:t>）</w:t>
      </w:r>
      <w:r>
        <w:rPr>
          <w:rFonts w:ascii="宋体" w:hAnsi="宋体" w:eastAsia="宋体"/>
          <w:sz w:val="28"/>
          <w:szCs w:val="21"/>
        </w:rPr>
        <w:t xml:space="preserve"> </w:t>
      </w:r>
      <w:r>
        <w:rPr>
          <w:rFonts w:hint="eastAsia" w:ascii="宋体" w:hAnsi="宋体" w:eastAsia="宋体"/>
          <w:b/>
          <w:bCs/>
          <w:color w:val="auto"/>
          <w:sz w:val="28"/>
          <w:szCs w:val="21"/>
        </w:rPr>
        <w:t>噪声工作场所噪声定点检测</w:t>
      </w:r>
    </w:p>
    <w:tbl>
      <w:tblPr>
        <w:tblStyle w:val="19"/>
        <w:tblW w:w="958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4130"/>
        <w:gridCol w:w="4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工段</w:t>
            </w:r>
          </w:p>
        </w:tc>
        <w:tc>
          <w:tcPr>
            <w:tcW w:w="4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测定地点</w:t>
            </w:r>
          </w:p>
        </w:tc>
        <w:tc>
          <w:tcPr>
            <w:tcW w:w="44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天然气分离器F01005巡检位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加氢反应器、脱硫槽RO1OO1/R01002A/B</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废热锅炉E01003巡检位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燃料喷射器J01002巡检位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鼓风机C01001巡检位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汽堤塔F01501（二楼）巡检位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转化加药系统巡检位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引风机C01002巡检位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辅助锅炉离心通风机C14001巡检位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辅助锅炉B14001巡检位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转化炉B01001炉底巡检位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工艺冷凝液泵P01503A/B巡检位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压缩机段间冷却器E02001巡检位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压缩机C01001/C02002二楼巡检位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压缩机C01001/C02002三楼巡检位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合成塔R02001巡检位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甲醇分离器F02002巡检位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PSA分离器F02503巡检位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吸附罐区巡检位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精馏</w:t>
            </w: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闪蒸槽F03001巡检位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预塔D03001巡检位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预塔空冷器AE03001平台巡检位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主塔D03002巡检位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主塔空冷器AE03002巡检位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主塔塔顶冷凝器回流槽F03003巡检位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主塔进料稳定甲醇泵P03001A/B巡检位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预塔回流泵P03002A/B巡检位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主塔回流泵P03003A/B巡检位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主塔塔底水泵P03004A/B巡检位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侧抽泵P03007A/B巡检位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精甲醇泵P04002A/B巡检位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粗甲醇泵P04001巡检位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成品罐TK11001/11002/11003巡检位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循环水</w:t>
            </w:r>
          </w:p>
        </w:tc>
        <w:tc>
          <w:tcPr>
            <w:tcW w:w="41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循环水岗位P06001A/B巡检位</w:t>
            </w:r>
          </w:p>
        </w:tc>
        <w:tc>
          <w:tcPr>
            <w:tcW w:w="4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bl>
    <w:p>
      <w:pPr>
        <w:rPr>
          <w:rFonts w:ascii="宋体" w:hAnsi="宋体" w:eastAsia="宋体"/>
          <w:color w:val="auto"/>
          <w:szCs w:val="21"/>
        </w:rPr>
      </w:pPr>
    </w:p>
    <w:p>
      <w:pPr>
        <w:pStyle w:val="2"/>
        <w:rPr>
          <w:rFonts w:ascii="宋体" w:hAnsi="宋体" w:eastAsia="宋体"/>
          <w:color w:val="auto"/>
          <w:szCs w:val="21"/>
        </w:rPr>
      </w:pPr>
    </w:p>
    <w:p>
      <w:pPr>
        <w:pStyle w:val="2"/>
        <w:rPr>
          <w:rFonts w:ascii="宋体" w:hAnsi="宋体" w:eastAsia="宋体"/>
          <w:color w:val="auto"/>
          <w:szCs w:val="21"/>
        </w:rPr>
      </w:pPr>
    </w:p>
    <w:p>
      <w:pPr>
        <w:numPr>
          <w:ilvl w:val="0"/>
          <w:numId w:val="10"/>
        </w:numPr>
        <w:rPr>
          <w:rFonts w:hint="eastAsia" w:ascii="宋体" w:hAnsi="宋体" w:eastAsia="宋体"/>
          <w:sz w:val="28"/>
          <w:szCs w:val="21"/>
        </w:rPr>
      </w:pPr>
      <w:r>
        <w:rPr>
          <w:rFonts w:hint="eastAsia" w:ascii="宋体" w:hAnsi="宋体" w:eastAsia="宋体"/>
          <w:b/>
          <w:sz w:val="28"/>
          <w:szCs w:val="28"/>
          <w:lang w:val="en-US" w:eastAsia="zh-CN"/>
        </w:rPr>
        <w:t>非噪声</w:t>
      </w:r>
      <w:r>
        <w:rPr>
          <w:rFonts w:hint="eastAsia" w:ascii="宋体" w:hAnsi="宋体" w:eastAsia="宋体"/>
          <w:sz w:val="28"/>
          <w:szCs w:val="21"/>
        </w:rPr>
        <w:t>场所噪声定点检测</w:t>
      </w:r>
    </w:p>
    <w:tbl>
      <w:tblPr>
        <w:tblStyle w:val="19"/>
        <w:tblW w:w="834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160"/>
        <w:gridCol w:w="3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甲醇一期装置</w:t>
            </w:r>
          </w:p>
        </w:tc>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电气值班室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仪表值班室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工人交接班室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工人休息室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主控室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装车平台工人休息室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噪声</w:t>
            </w:r>
          </w:p>
        </w:tc>
      </w:tr>
    </w:tbl>
    <w:p>
      <w:pPr>
        <w:pStyle w:val="2"/>
        <w:numPr>
          <w:ilvl w:val="0"/>
          <w:numId w:val="0"/>
        </w:numPr>
        <w:rPr>
          <w:rFonts w:hint="eastAsia" w:ascii="等线" w:hAnsi="等线" w:eastAsia="等线" w:cs="等线"/>
          <w:sz w:val="28"/>
          <w:szCs w:val="21"/>
        </w:rPr>
      </w:pPr>
    </w:p>
    <w:p>
      <w:pPr>
        <w:pStyle w:val="2"/>
        <w:numPr>
          <w:ilvl w:val="0"/>
          <w:numId w:val="0"/>
        </w:numPr>
        <w:rPr>
          <w:rFonts w:hint="eastAsia" w:ascii="宋体" w:hAnsi="宋体" w:eastAsia="宋体"/>
          <w:sz w:val="28"/>
          <w:szCs w:val="21"/>
        </w:rPr>
      </w:pP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3</w:t>
      </w:r>
      <w:r>
        <w:rPr>
          <w:rFonts w:hint="eastAsia" w:ascii="宋体" w:hAnsi="宋体" w:eastAsia="宋体"/>
          <w:sz w:val="28"/>
          <w:szCs w:val="21"/>
        </w:rPr>
        <w:t>）</w:t>
      </w:r>
      <w:r>
        <w:rPr>
          <w:rFonts w:hint="eastAsia" w:ascii="宋体" w:hAnsi="宋体" w:eastAsia="宋体"/>
          <w:b/>
          <w:bCs/>
          <w:color w:val="auto"/>
          <w:sz w:val="28"/>
          <w:szCs w:val="21"/>
        </w:rPr>
        <w:t>噪声个体检测</w:t>
      </w:r>
    </w:p>
    <w:tbl>
      <w:tblPr>
        <w:tblStyle w:val="19"/>
        <w:tblW w:w="50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1"/>
        <w:gridCol w:w="6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部门或车间</w:t>
            </w: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甲醇一期装置</w:t>
            </w: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转化操作工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压缩操作工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合成精馏操作工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循环水操作工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电气工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2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仪表工</w:t>
            </w:r>
          </w:p>
        </w:tc>
      </w:tr>
    </w:tbl>
    <w:p>
      <w:pPr>
        <w:rPr>
          <w:rFonts w:ascii="宋体" w:hAnsi="宋体" w:eastAsia="宋体"/>
          <w:szCs w:val="21"/>
        </w:rPr>
      </w:pPr>
    </w:p>
    <w:p>
      <w:pPr>
        <w:rPr>
          <w:rFonts w:hint="eastAsia" w:ascii="宋体" w:hAnsi="宋体" w:eastAsia="宋体"/>
          <w:b/>
          <w:sz w:val="28"/>
          <w:szCs w:val="28"/>
          <w:lang w:val="en-US" w:eastAsia="zh-CN"/>
        </w:rPr>
      </w:pPr>
      <w:r>
        <w:rPr>
          <w:rFonts w:ascii="宋体" w:hAnsi="宋体" w:eastAsia="宋体"/>
          <w:b/>
          <w:sz w:val="28"/>
          <w:szCs w:val="28"/>
        </w:rPr>
        <w:t xml:space="preserve">3. </w:t>
      </w:r>
      <w:r>
        <w:rPr>
          <w:rFonts w:hint="eastAsia" w:ascii="宋体" w:hAnsi="宋体" w:eastAsia="宋体"/>
          <w:b/>
          <w:sz w:val="28"/>
          <w:szCs w:val="28"/>
          <w:lang w:val="en-US" w:eastAsia="zh-CN"/>
        </w:rPr>
        <w:t>工作场所高温检测</w:t>
      </w:r>
    </w:p>
    <w:tbl>
      <w:tblPr>
        <w:tblStyle w:val="19"/>
        <w:tblW w:w="832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160"/>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工段</w:t>
            </w:r>
          </w:p>
        </w:tc>
        <w:tc>
          <w:tcPr>
            <w:tcW w:w="4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测定地点</w:t>
            </w:r>
          </w:p>
        </w:tc>
        <w:tc>
          <w:tcPr>
            <w:tcW w:w="3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废热锅炉E01003巡检位</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燃料喷射器J01002巡检位</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辅助锅炉B14001巡检位</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转化炉B01001二楼测温平台</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转化炉B01001三楼测温平台</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转化炉B01001炉底巡检位</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合成</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合成塔R02001巡检位</w:t>
            </w:r>
          </w:p>
        </w:tc>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高温</w:t>
            </w:r>
          </w:p>
        </w:tc>
      </w:tr>
    </w:tbl>
    <w:p>
      <w:pPr>
        <w:rPr>
          <w:rFonts w:hint="default" w:ascii="宋体" w:hAnsi="宋体" w:eastAsia="宋体"/>
          <w:b/>
          <w:sz w:val="28"/>
          <w:szCs w:val="28"/>
          <w:lang w:val="en-US" w:eastAsia="zh-CN"/>
        </w:rPr>
      </w:pPr>
    </w:p>
    <w:p>
      <w:pPr>
        <w:rPr>
          <w:rFonts w:hint="eastAsia" w:ascii="宋体" w:hAnsi="宋体" w:eastAsia="宋体"/>
          <w:b/>
          <w:sz w:val="28"/>
          <w:szCs w:val="28"/>
          <w:lang w:val="en-US" w:eastAsia="zh-CN"/>
        </w:rPr>
      </w:pPr>
      <w:r>
        <w:rPr>
          <w:rFonts w:hint="eastAsia" w:ascii="宋体" w:hAnsi="宋体" w:eastAsia="宋体"/>
          <w:b/>
          <w:sz w:val="28"/>
          <w:szCs w:val="28"/>
          <w:lang w:val="en-US" w:eastAsia="zh-CN"/>
        </w:rPr>
        <w:t>4.</w:t>
      </w:r>
      <w:r>
        <w:rPr>
          <w:rFonts w:hint="eastAsia" w:ascii="宋体" w:hAnsi="宋体" w:eastAsia="宋体"/>
          <w:b/>
          <w:sz w:val="28"/>
          <w:szCs w:val="28"/>
        </w:rPr>
        <w:t>工作场所</w:t>
      </w:r>
      <w:r>
        <w:rPr>
          <w:rFonts w:hint="eastAsia" w:ascii="宋体" w:hAnsi="宋体" w:eastAsia="宋体"/>
          <w:b/>
          <w:sz w:val="28"/>
          <w:szCs w:val="28"/>
          <w:lang w:val="en-US" w:eastAsia="zh-CN"/>
        </w:rPr>
        <w:t>工频电场检测</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4196"/>
        <w:gridCol w:w="3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工段</w:t>
            </w:r>
          </w:p>
        </w:tc>
        <w:tc>
          <w:tcPr>
            <w:tcW w:w="24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测定地点</w:t>
            </w:r>
          </w:p>
        </w:tc>
        <w:tc>
          <w:tcPr>
            <w:tcW w:w="19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变配电装置、柴油发电机房</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电气ECS室</w:t>
            </w: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6kV高压配电柜</w:t>
            </w: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400V低压配电柜</w:t>
            </w: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jc w:val="center"/>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6kV/0.4kV变压器</w:t>
            </w: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柴油发电机房</w:t>
            </w:r>
          </w:p>
        </w:tc>
        <w:tc>
          <w:tcPr>
            <w:tcW w:w="1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bl>
    <w:p>
      <w:pPr>
        <w:rPr>
          <w:rFonts w:ascii="宋体" w:hAnsi="宋体" w:eastAsia="宋体"/>
          <w:b/>
          <w:sz w:val="30"/>
          <w:szCs w:val="30"/>
        </w:rPr>
      </w:pPr>
    </w:p>
    <w:p>
      <w:pPr>
        <w:pStyle w:val="33"/>
        <w:tabs>
          <w:tab w:val="left" w:pos="426"/>
        </w:tabs>
        <w:outlineLvl w:val="0"/>
        <w:rPr>
          <w:rFonts w:hint="eastAsia" w:eastAsia="宋体" w:cs="Times New Roman"/>
          <w:b/>
          <w:bCs/>
        </w:rPr>
      </w:pPr>
      <w:bookmarkStart w:id="175" w:name="_Toc17752"/>
      <w:r>
        <w:rPr>
          <w:rFonts w:hint="eastAsia" w:eastAsia="宋体" w:cs="Times New Roman"/>
          <w:b/>
          <w:bCs/>
        </w:rPr>
        <w:t>附件</w:t>
      </w:r>
      <w:r>
        <w:rPr>
          <w:rFonts w:hint="eastAsia" w:cs="Times New Roman"/>
          <w:b/>
          <w:bCs/>
          <w:lang w:val="en-US" w:eastAsia="zh-CN"/>
        </w:rPr>
        <w:t>2</w:t>
      </w:r>
      <w:r>
        <w:rPr>
          <w:rFonts w:hint="eastAsia" w:eastAsia="宋体" w:cs="Times New Roman"/>
          <w:b/>
          <w:bCs/>
          <w:lang w:val="en-US" w:eastAsia="zh-CN"/>
        </w:rPr>
        <w:t xml:space="preserve"> </w:t>
      </w:r>
      <w:r>
        <w:rPr>
          <w:rFonts w:hint="eastAsia" w:eastAsia="宋体" w:cs="Times New Roman"/>
          <w:b/>
          <w:bCs/>
        </w:rPr>
        <w:t>动员计划</w:t>
      </w:r>
      <w:bookmarkEnd w:id="175"/>
    </w:p>
    <w:p>
      <w:pPr>
        <w:spacing w:line="360" w:lineRule="auto"/>
        <w:jc w:val="center"/>
        <w:rPr>
          <w:rFonts w:hint="eastAsia"/>
        </w:rPr>
      </w:pPr>
      <w:r>
        <w:rPr>
          <w:rFonts w:hint="eastAsia"/>
        </w:rPr>
        <w:t>表</w:t>
      </w:r>
      <w:r>
        <w:t>1</w:t>
      </w:r>
      <w:r>
        <w:rPr>
          <w:rFonts w:hint="eastAsia"/>
        </w:rPr>
        <w:t>人力动员计划</w:t>
      </w:r>
    </w:p>
    <w:tbl>
      <w:tblPr>
        <w:tblStyle w:val="19"/>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bCs/>
                <w:sz w:val="18"/>
                <w:szCs w:val="21"/>
              </w:rPr>
            </w:pPr>
            <w:r>
              <w:rPr>
                <w:rFonts w:hint="eastAsia" w:ascii="宋体" w:hAnsi="宋体"/>
                <w:bCs/>
                <w:sz w:val="18"/>
                <w:szCs w:val="21"/>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r>
              <w:rPr>
                <w:rFonts w:hint="eastAsia" w:ascii="宋体" w:hAnsi="宋体"/>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r>
              <w:rPr>
                <w:rFonts w:hint="eastAsia" w:ascii="宋体" w:hAnsi="宋体"/>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rPr>
                <w:rFonts w:hint="eastAsia" w:ascii="宋体" w:hAnsi="宋体"/>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ascii="宋体" w:hAnsi="宋体"/>
                <w:sz w:val="18"/>
                <w:szCs w:val="21"/>
                <w:u w:val="none" w:color="EB36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r>
    </w:tbl>
    <w:p>
      <w:pPr>
        <w:spacing w:line="360" w:lineRule="auto"/>
        <w:rPr>
          <w:rFonts w:hint="eastAsia" w:ascii="宋体" w:hAnsi="宋体"/>
          <w:szCs w:val="21"/>
        </w:rPr>
      </w:pPr>
    </w:p>
    <w:p>
      <w:pPr>
        <w:spacing w:line="360" w:lineRule="auto"/>
        <w:jc w:val="center"/>
        <w:rPr>
          <w:rFonts w:hint="eastAsia"/>
        </w:rPr>
      </w:pPr>
      <w:r>
        <w:rPr>
          <w:rFonts w:hint="eastAsia"/>
        </w:rPr>
        <w:t>表</w:t>
      </w:r>
      <w:r>
        <w:t>2</w:t>
      </w:r>
      <w:r>
        <w:rPr>
          <w:rFonts w:hint="eastAsia"/>
        </w:rPr>
        <w:t>工</w:t>
      </w:r>
      <w:r>
        <w:rPr>
          <w:rFonts w:hint="eastAsia"/>
          <w:u w:val="none" w:color="EB3624"/>
        </w:rPr>
        <w:t>机</w:t>
      </w:r>
      <w:r>
        <w:rPr>
          <w:rFonts w:hint="eastAsia"/>
        </w:rPr>
        <w:t>具动员计划</w:t>
      </w:r>
    </w:p>
    <w:tbl>
      <w:tblPr>
        <w:tblStyle w:val="19"/>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bCs/>
                <w:kern w:val="0"/>
                <w:sz w:val="18"/>
                <w:szCs w:val="21"/>
              </w:rPr>
            </w:pPr>
            <w:r>
              <w:rPr>
                <w:rFonts w:hint="eastAsia" w:ascii="宋体" w:hAnsi="宋体"/>
                <w:bCs/>
                <w:kern w:val="0"/>
                <w:sz w:val="18"/>
                <w:szCs w:val="21"/>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r>
              <w:rPr>
                <w:rFonts w:hint="eastAsia" w:ascii="宋体" w:hAnsi="宋体"/>
                <w:kern w:val="0"/>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r>
              <w:rPr>
                <w:rFonts w:hint="eastAsia" w:ascii="宋体" w:hAnsi="宋体"/>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u w:val="none" w:color="EB3624"/>
              </w:rPr>
              <w:t>.</w:t>
            </w:r>
            <w:r>
              <w:rPr>
                <w:rFonts w:ascii="宋体" w:hAnsi="宋体"/>
                <w:kern w:val="0"/>
                <w:sz w:val="18"/>
                <w:szCs w:val="21"/>
                <w:u w:val="none" w:color="EB36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r>
              <w:rPr>
                <w:rFonts w:ascii="宋体" w:hAnsi="宋体"/>
                <w:sz w:val="18"/>
                <w:szCs w:val="21"/>
                <w:u w:val="none" w:color="EB36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r>
    </w:tbl>
    <w:p>
      <w:pPr>
        <w:spacing w:line="360" w:lineRule="auto"/>
        <w:ind w:firstLine="424" w:firstLineChars="202"/>
        <w:rPr>
          <w:rFonts w:hint="eastAsia" w:ascii="宋体" w:hAnsi="宋体"/>
          <w:szCs w:val="21"/>
        </w:rPr>
      </w:pPr>
    </w:p>
    <w:p>
      <w:pPr>
        <w:spacing w:line="360" w:lineRule="auto"/>
        <w:ind w:firstLine="424" w:firstLineChars="202"/>
        <w:rPr>
          <w:rFonts w:hint="eastAsia" w:ascii="宋体" w:hAnsi="宋体"/>
          <w:szCs w:val="21"/>
        </w:rPr>
      </w:pPr>
    </w:p>
    <w:p>
      <w:pPr>
        <w:pStyle w:val="33"/>
        <w:tabs>
          <w:tab w:val="left" w:pos="426"/>
        </w:tabs>
        <w:outlineLvl w:val="0"/>
        <w:rPr>
          <w:rFonts w:hint="eastAsia"/>
        </w:rPr>
      </w:pPr>
      <w:bookmarkStart w:id="176" w:name="_Toc381706332"/>
      <w:bookmarkStart w:id="177" w:name="_Toc381706233"/>
      <w:bookmarkStart w:id="178" w:name="_Toc381706860"/>
      <w:bookmarkStart w:id="179" w:name="_Toc19240"/>
      <w:bookmarkStart w:id="180" w:name="_Toc38896863"/>
      <w:bookmarkStart w:id="181" w:name="_Toc381169840"/>
      <w:bookmarkStart w:id="182" w:name="_Toc22707"/>
      <w:bookmarkStart w:id="183" w:name="_Toc8941"/>
      <w:r>
        <w:rPr>
          <w:rFonts w:hint="eastAsia"/>
        </w:rPr>
        <w:t>附件</w:t>
      </w:r>
      <w:r>
        <w:rPr>
          <w:rFonts w:hint="eastAsia"/>
          <w:lang w:val="en-US" w:eastAsia="zh-CN"/>
        </w:rPr>
        <w:t>3</w:t>
      </w:r>
      <w:r>
        <w:rPr>
          <w:rFonts w:hint="eastAsia"/>
        </w:rPr>
        <w:t xml:space="preserve"> </w:t>
      </w:r>
      <w:r>
        <w:rPr>
          <w:rFonts w:hint="eastAsia"/>
          <w:lang w:val="en-US" w:eastAsia="zh-CN"/>
        </w:rPr>
        <w:t xml:space="preserve"> </w:t>
      </w:r>
      <w:r>
        <w:rPr>
          <w:rFonts w:hint="eastAsia"/>
        </w:rPr>
        <w:t>技术偏离表</w:t>
      </w:r>
      <w:bookmarkEnd w:id="176"/>
      <w:bookmarkEnd w:id="177"/>
      <w:bookmarkEnd w:id="178"/>
      <w:bookmarkEnd w:id="179"/>
      <w:bookmarkEnd w:id="180"/>
      <w:bookmarkEnd w:id="181"/>
      <w:bookmarkEnd w:id="182"/>
      <w:bookmarkEnd w:id="183"/>
    </w:p>
    <w:tbl>
      <w:tblPr>
        <w:tblStyle w:val="19"/>
        <w:tblW w:w="4998"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958"/>
        <w:gridCol w:w="2683"/>
        <w:gridCol w:w="86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1" w:type="pct"/>
            <w:vMerge w:val="restart"/>
            <w:noWrap w:val="0"/>
            <w:vAlign w:val="center"/>
          </w:tcPr>
          <w:p>
            <w:pPr>
              <w:spacing w:line="480" w:lineRule="exact"/>
              <w:jc w:val="center"/>
              <w:rPr>
                <w:rFonts w:ascii="宋体" w:hAnsi="宋体"/>
                <w:szCs w:val="21"/>
              </w:rPr>
            </w:pPr>
            <w:r>
              <w:rPr>
                <w:rFonts w:hint="eastAsia" w:ascii="宋体" w:hAnsi="宋体"/>
                <w:szCs w:val="21"/>
              </w:rPr>
              <w:t>序号</w:t>
            </w:r>
          </w:p>
        </w:tc>
        <w:tc>
          <w:tcPr>
            <w:tcW w:w="2136" w:type="pct"/>
            <w:gridSpan w:val="2"/>
            <w:noWrap w:val="0"/>
            <w:vAlign w:val="center"/>
          </w:tcPr>
          <w:p>
            <w:pPr>
              <w:spacing w:line="480" w:lineRule="exact"/>
              <w:jc w:val="center"/>
              <w:rPr>
                <w:rFonts w:ascii="宋体" w:hAnsi="宋体"/>
                <w:szCs w:val="21"/>
              </w:rPr>
            </w:pPr>
            <w:r>
              <w:rPr>
                <w:rFonts w:hint="eastAsia" w:ascii="宋体" w:hAnsi="宋体"/>
                <w:szCs w:val="21"/>
              </w:rPr>
              <w:t>技术询价文件</w:t>
            </w:r>
          </w:p>
        </w:tc>
        <w:tc>
          <w:tcPr>
            <w:tcW w:w="2531" w:type="pct"/>
            <w:gridSpan w:val="2"/>
            <w:noWrap w:val="0"/>
            <w:vAlign w:val="center"/>
          </w:tcPr>
          <w:p>
            <w:pPr>
              <w:spacing w:line="480" w:lineRule="exact"/>
              <w:jc w:val="center"/>
              <w:rPr>
                <w:rFonts w:ascii="宋体" w:hAnsi="宋体"/>
                <w:szCs w:val="21"/>
              </w:rPr>
            </w:pPr>
            <w:r>
              <w:rPr>
                <w:rFonts w:hint="eastAsia" w:ascii="宋体" w:hAnsi="宋体"/>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1" w:type="pct"/>
            <w:vMerge w:val="continue"/>
            <w:noWrap w:val="0"/>
            <w:vAlign w:val="center"/>
          </w:tcPr>
          <w:p>
            <w:pPr>
              <w:spacing w:line="480" w:lineRule="exact"/>
              <w:jc w:val="center"/>
              <w:rPr>
                <w:rFonts w:ascii="宋体" w:hAnsi="宋体"/>
                <w:szCs w:val="21"/>
              </w:rPr>
            </w:pPr>
          </w:p>
        </w:tc>
        <w:tc>
          <w:tcPr>
            <w:tcW w:w="562" w:type="pct"/>
            <w:noWrap w:val="0"/>
            <w:vAlign w:val="center"/>
          </w:tcPr>
          <w:p>
            <w:pPr>
              <w:spacing w:line="480" w:lineRule="exact"/>
              <w:jc w:val="center"/>
              <w:rPr>
                <w:rFonts w:ascii="宋体" w:hAnsi="宋体"/>
                <w:szCs w:val="21"/>
              </w:rPr>
            </w:pPr>
            <w:r>
              <w:rPr>
                <w:rFonts w:hint="eastAsia" w:ascii="宋体" w:hAnsi="宋体"/>
                <w:szCs w:val="21"/>
              </w:rPr>
              <w:t>条目</w:t>
            </w:r>
          </w:p>
        </w:tc>
        <w:tc>
          <w:tcPr>
            <w:tcW w:w="1574" w:type="pct"/>
            <w:noWrap w:val="0"/>
            <w:vAlign w:val="center"/>
          </w:tcPr>
          <w:p>
            <w:pPr>
              <w:spacing w:line="480" w:lineRule="exact"/>
              <w:jc w:val="center"/>
              <w:rPr>
                <w:rFonts w:ascii="宋体" w:hAnsi="宋体"/>
                <w:szCs w:val="21"/>
              </w:rPr>
            </w:pPr>
            <w:r>
              <w:rPr>
                <w:rFonts w:hint="eastAsia" w:ascii="宋体" w:hAnsi="宋体"/>
                <w:szCs w:val="21"/>
              </w:rPr>
              <w:t>简要内容</w:t>
            </w:r>
          </w:p>
        </w:tc>
        <w:tc>
          <w:tcPr>
            <w:tcW w:w="505" w:type="pct"/>
            <w:noWrap w:val="0"/>
            <w:vAlign w:val="center"/>
          </w:tcPr>
          <w:p>
            <w:pPr>
              <w:spacing w:line="480" w:lineRule="exact"/>
              <w:jc w:val="center"/>
              <w:rPr>
                <w:rFonts w:ascii="宋体" w:hAnsi="宋体"/>
                <w:szCs w:val="21"/>
              </w:rPr>
            </w:pPr>
            <w:r>
              <w:rPr>
                <w:rFonts w:hint="eastAsia" w:ascii="宋体" w:hAnsi="宋体"/>
                <w:szCs w:val="21"/>
              </w:rPr>
              <w:t>条目</w:t>
            </w:r>
          </w:p>
        </w:tc>
        <w:tc>
          <w:tcPr>
            <w:tcW w:w="2026" w:type="pct"/>
            <w:noWrap w:val="0"/>
            <w:vAlign w:val="center"/>
          </w:tcPr>
          <w:p>
            <w:pPr>
              <w:spacing w:line="480" w:lineRule="exact"/>
              <w:jc w:val="center"/>
              <w:rPr>
                <w:rFonts w:ascii="宋体" w:hAnsi="宋体"/>
                <w:szCs w:val="21"/>
              </w:rPr>
            </w:pPr>
            <w:r>
              <w:rPr>
                <w:rFonts w:hint="eastAsia" w:ascii="宋体" w:hAnsi="宋体"/>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1" w:type="pct"/>
            <w:noWrap w:val="0"/>
            <w:vAlign w:val="center"/>
          </w:tcPr>
          <w:p>
            <w:pPr>
              <w:spacing w:line="480" w:lineRule="exact"/>
              <w:jc w:val="center"/>
              <w:rPr>
                <w:rFonts w:ascii="宋体" w:hAnsi="宋体"/>
                <w:szCs w:val="21"/>
              </w:rPr>
            </w:pPr>
          </w:p>
        </w:tc>
        <w:tc>
          <w:tcPr>
            <w:tcW w:w="562" w:type="pct"/>
            <w:noWrap w:val="0"/>
            <w:vAlign w:val="center"/>
          </w:tcPr>
          <w:p>
            <w:pPr>
              <w:spacing w:line="480" w:lineRule="exact"/>
              <w:jc w:val="center"/>
              <w:rPr>
                <w:rFonts w:ascii="宋体" w:hAnsi="宋体"/>
                <w:szCs w:val="21"/>
              </w:rPr>
            </w:pPr>
          </w:p>
        </w:tc>
        <w:tc>
          <w:tcPr>
            <w:tcW w:w="1574" w:type="pct"/>
            <w:noWrap w:val="0"/>
            <w:vAlign w:val="center"/>
          </w:tcPr>
          <w:p>
            <w:pPr>
              <w:spacing w:line="480" w:lineRule="exact"/>
              <w:jc w:val="center"/>
              <w:rPr>
                <w:rFonts w:ascii="宋体" w:hAnsi="宋体"/>
                <w:szCs w:val="21"/>
              </w:rPr>
            </w:pPr>
          </w:p>
        </w:tc>
        <w:tc>
          <w:tcPr>
            <w:tcW w:w="505" w:type="pct"/>
            <w:noWrap w:val="0"/>
            <w:vAlign w:val="center"/>
          </w:tcPr>
          <w:p>
            <w:pPr>
              <w:spacing w:line="480" w:lineRule="exact"/>
              <w:jc w:val="center"/>
              <w:rPr>
                <w:rFonts w:ascii="宋体" w:hAnsi="宋体"/>
                <w:szCs w:val="21"/>
              </w:rPr>
            </w:pPr>
          </w:p>
        </w:tc>
        <w:tc>
          <w:tcPr>
            <w:tcW w:w="2026" w:type="pct"/>
            <w:noWrap w:val="0"/>
            <w:vAlign w:val="center"/>
          </w:tcPr>
          <w:p>
            <w:pPr>
              <w:spacing w:line="4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top"/>
          </w:tcPr>
          <w:p>
            <w:pPr>
              <w:spacing w:line="480" w:lineRule="exact"/>
              <w:rPr>
                <w:rFonts w:ascii="宋体" w:hAnsi="宋体"/>
                <w:szCs w:val="21"/>
              </w:rPr>
            </w:pPr>
          </w:p>
        </w:tc>
        <w:tc>
          <w:tcPr>
            <w:tcW w:w="562" w:type="pct"/>
            <w:noWrap w:val="0"/>
            <w:vAlign w:val="top"/>
          </w:tcPr>
          <w:p>
            <w:pPr>
              <w:spacing w:line="480" w:lineRule="exact"/>
              <w:rPr>
                <w:rFonts w:ascii="宋体" w:hAnsi="宋体"/>
                <w:szCs w:val="21"/>
              </w:rPr>
            </w:pPr>
          </w:p>
        </w:tc>
        <w:tc>
          <w:tcPr>
            <w:tcW w:w="1574" w:type="pct"/>
            <w:noWrap w:val="0"/>
            <w:vAlign w:val="top"/>
          </w:tcPr>
          <w:p>
            <w:pPr>
              <w:spacing w:line="480" w:lineRule="exact"/>
              <w:rPr>
                <w:rFonts w:ascii="宋体" w:hAnsi="宋体"/>
                <w:szCs w:val="21"/>
              </w:rPr>
            </w:pPr>
          </w:p>
        </w:tc>
        <w:tc>
          <w:tcPr>
            <w:tcW w:w="505" w:type="pct"/>
            <w:noWrap w:val="0"/>
            <w:vAlign w:val="top"/>
          </w:tcPr>
          <w:p>
            <w:pPr>
              <w:spacing w:line="480" w:lineRule="exact"/>
              <w:rPr>
                <w:rFonts w:ascii="宋体" w:hAnsi="宋体"/>
                <w:szCs w:val="21"/>
              </w:rPr>
            </w:pPr>
          </w:p>
        </w:tc>
        <w:tc>
          <w:tcPr>
            <w:tcW w:w="2026" w:type="pct"/>
            <w:noWrap w:val="0"/>
            <w:vAlign w:val="top"/>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top"/>
          </w:tcPr>
          <w:p>
            <w:pPr>
              <w:spacing w:line="480" w:lineRule="exact"/>
              <w:rPr>
                <w:rFonts w:ascii="宋体" w:hAnsi="宋体"/>
                <w:szCs w:val="21"/>
              </w:rPr>
            </w:pPr>
          </w:p>
        </w:tc>
        <w:tc>
          <w:tcPr>
            <w:tcW w:w="562" w:type="pct"/>
            <w:noWrap w:val="0"/>
            <w:vAlign w:val="top"/>
          </w:tcPr>
          <w:p>
            <w:pPr>
              <w:spacing w:line="480" w:lineRule="exact"/>
              <w:rPr>
                <w:rFonts w:ascii="宋体" w:hAnsi="宋体"/>
                <w:szCs w:val="21"/>
              </w:rPr>
            </w:pPr>
          </w:p>
        </w:tc>
        <w:tc>
          <w:tcPr>
            <w:tcW w:w="1574" w:type="pct"/>
            <w:noWrap w:val="0"/>
            <w:vAlign w:val="top"/>
          </w:tcPr>
          <w:p>
            <w:pPr>
              <w:spacing w:line="480" w:lineRule="exact"/>
              <w:rPr>
                <w:rFonts w:ascii="宋体" w:hAnsi="宋体"/>
                <w:szCs w:val="21"/>
              </w:rPr>
            </w:pPr>
          </w:p>
        </w:tc>
        <w:tc>
          <w:tcPr>
            <w:tcW w:w="505" w:type="pct"/>
            <w:noWrap w:val="0"/>
            <w:vAlign w:val="top"/>
          </w:tcPr>
          <w:p>
            <w:pPr>
              <w:spacing w:line="480" w:lineRule="exact"/>
              <w:rPr>
                <w:rFonts w:ascii="宋体" w:hAnsi="宋体"/>
                <w:szCs w:val="21"/>
              </w:rPr>
            </w:pPr>
          </w:p>
        </w:tc>
        <w:tc>
          <w:tcPr>
            <w:tcW w:w="2026" w:type="pct"/>
            <w:noWrap w:val="0"/>
            <w:vAlign w:val="top"/>
          </w:tcPr>
          <w:p>
            <w:pPr>
              <w:spacing w:line="480" w:lineRule="exact"/>
              <w:rPr>
                <w:rFonts w:ascii="宋体" w:hAnsi="宋体"/>
                <w:szCs w:val="21"/>
              </w:rPr>
            </w:pPr>
          </w:p>
        </w:tc>
      </w:tr>
    </w:tbl>
    <w:p>
      <w:pPr>
        <w:spacing w:line="360" w:lineRule="auto"/>
        <w:rPr>
          <w:rFonts w:ascii="宋体" w:hAnsi="宋体"/>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pStyle w:val="33"/>
        <w:tabs>
          <w:tab w:val="left" w:pos="426"/>
        </w:tabs>
        <w:outlineLvl w:val="0"/>
        <w:rPr>
          <w:rFonts w:hint="eastAsia" w:ascii="宋体" w:hAnsi="宋体" w:eastAsia="宋体" w:cs="Times New Roman"/>
          <w:b/>
          <w:bCs/>
          <w:lang w:val="en-US" w:eastAsia="zh-CN"/>
        </w:rPr>
      </w:pPr>
      <w:bookmarkStart w:id="184" w:name="_Toc24874"/>
      <w:bookmarkStart w:id="185" w:name="_Toc19856"/>
      <w:r>
        <w:rPr>
          <w:rFonts w:hint="eastAsia" w:ascii="宋体" w:hAnsi="宋体" w:eastAsia="宋体" w:cs="Times New Roman"/>
          <w:b/>
          <w:bCs/>
          <w:lang w:val="en-US" w:eastAsia="zh-CN"/>
        </w:rPr>
        <w:t>附件</w:t>
      </w:r>
      <w:r>
        <w:rPr>
          <w:rFonts w:hint="eastAsia" w:cs="Times New Roman"/>
          <w:b/>
          <w:bCs/>
          <w:lang w:val="en-US" w:eastAsia="zh-CN"/>
        </w:rPr>
        <w:t>4</w:t>
      </w:r>
      <w:r>
        <w:rPr>
          <w:rFonts w:hint="eastAsia" w:ascii="宋体" w:hAnsi="宋体" w:eastAsia="宋体" w:cs="Times New Roman"/>
          <w:b/>
          <w:bCs/>
          <w:lang w:val="en-US" w:eastAsia="zh-CN"/>
        </w:rPr>
        <w:t>报价</w:t>
      </w:r>
      <w:r>
        <w:rPr>
          <w:rFonts w:hint="eastAsia" w:ascii="宋体" w:hAnsi="宋体" w:eastAsia="宋体" w:cs="Times New Roman"/>
          <w:b/>
          <w:bCs/>
          <w:u w:val="none" w:color="EB3624"/>
          <w:lang w:val="en-US" w:eastAsia="zh-CN"/>
        </w:rPr>
        <w:t>总汇</w:t>
      </w:r>
      <w:r>
        <w:rPr>
          <w:rFonts w:hint="eastAsia" w:ascii="宋体" w:hAnsi="宋体" w:eastAsia="宋体" w:cs="Times New Roman"/>
          <w:b/>
          <w:bCs/>
          <w:lang w:val="en-US" w:eastAsia="zh-CN"/>
        </w:rPr>
        <w:t>表</w:t>
      </w:r>
      <w:bookmarkEnd w:id="184"/>
      <w:bookmarkEnd w:id="185"/>
    </w:p>
    <w:tbl>
      <w:tblPr>
        <w:tblStyle w:val="19"/>
        <w:tblW w:w="85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3010"/>
        <w:gridCol w:w="915"/>
        <w:gridCol w:w="1057"/>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3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2026年职业病危害因素年度定期检测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2027年职业病危害因素年度定期检测及现状评价（2027））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2026年职业病危害因素年度定期检测</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合计总价（大写）</w:t>
            </w:r>
          </w:p>
        </w:tc>
        <w:tc>
          <w:tcPr>
            <w:tcW w:w="484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pStyle w:val="33"/>
        <w:tabs>
          <w:tab w:val="left" w:pos="426"/>
        </w:tabs>
        <w:rPr>
          <w:rFonts w:hint="eastAsia" w:ascii="宋体" w:hAnsi="宋体" w:eastAsia="宋体" w:cs="Times New Roman"/>
          <w:sz w:val="21"/>
          <w:szCs w:val="21"/>
          <w:lang w:val="en-US" w:eastAsia="zh-CN"/>
        </w:rPr>
      </w:pPr>
    </w:p>
    <w:p>
      <w:pPr>
        <w:pStyle w:val="33"/>
        <w:tabs>
          <w:tab w:val="left" w:pos="426"/>
        </w:tabs>
        <w:rPr>
          <w:rFonts w:hint="eastAsia" w:ascii="宋体" w:hAnsi="宋体" w:eastAsia="宋体" w:cs="Times New Roman"/>
          <w:b w:val="0"/>
          <w:bCs w:val="0"/>
          <w:sz w:val="21"/>
          <w:szCs w:val="21"/>
          <w:lang w:val="en-US" w:eastAsia="zh-CN"/>
        </w:rPr>
      </w:pPr>
      <w:bookmarkStart w:id="186" w:name="_Toc25320"/>
      <w:r>
        <w:rPr>
          <w:rFonts w:hint="eastAsia" w:ascii="宋体" w:hAnsi="宋体" w:eastAsia="宋体" w:cs="宋体"/>
          <w:b w:val="0"/>
          <w:bCs w:val="0"/>
          <w:i w:val="0"/>
          <w:iCs w:val="0"/>
          <w:color w:val="000000"/>
          <w:kern w:val="0"/>
          <w:sz w:val="22"/>
          <w:szCs w:val="22"/>
          <w:u w:val="none"/>
          <w:lang w:val="en-US" w:eastAsia="zh-CN" w:bidi="ar"/>
        </w:rPr>
        <w:t>说明：本合同为固定总价合同，以人民币为计价单位。报价人所报的费用应为合同要求全部责任和义务的全部费用。包括但不限于</w:t>
      </w:r>
      <w:r>
        <w:rPr>
          <w:rFonts w:hint="eastAsia" w:hAnsi="宋体" w:cs="宋体"/>
          <w:b w:val="0"/>
          <w:bCs w:val="0"/>
          <w:i w:val="0"/>
          <w:iCs w:val="0"/>
          <w:color w:val="000000"/>
          <w:kern w:val="0"/>
          <w:sz w:val="22"/>
          <w:szCs w:val="22"/>
          <w:u w:val="none"/>
          <w:lang w:val="en-US" w:eastAsia="zh-CN" w:bidi="ar"/>
        </w:rPr>
        <w:t>投标人</w:t>
      </w:r>
      <w:r>
        <w:rPr>
          <w:rFonts w:hint="eastAsia" w:ascii="宋体" w:hAnsi="宋体" w:eastAsia="宋体" w:cs="宋体"/>
          <w:b w:val="0"/>
          <w:bCs w:val="0"/>
          <w:i w:val="0"/>
          <w:iCs w:val="0"/>
          <w:color w:val="000000"/>
          <w:kern w:val="0"/>
          <w:sz w:val="22"/>
          <w:szCs w:val="22"/>
          <w:u w:val="none"/>
          <w:lang w:val="en-US" w:eastAsia="zh-CN" w:bidi="ar"/>
        </w:rPr>
        <w:t>为履行本合同有关的所有成本</w:t>
      </w:r>
      <w:r>
        <w:rPr>
          <w:rFonts w:hint="eastAsia" w:ascii="宋体" w:hAnsi="宋体" w:eastAsia="宋体" w:cs="宋体"/>
          <w:b w:val="0"/>
          <w:bCs w:val="0"/>
          <w:i w:val="0"/>
          <w:iCs w:val="0"/>
          <w:color w:val="000000"/>
          <w:kern w:val="0"/>
          <w:sz w:val="22"/>
          <w:szCs w:val="22"/>
          <w:u w:val="none" w:color="EB3624"/>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费用、各种税费、利润以及为履行本合同而发生的所有杂费。合同固定综合单价不因通货膨胀、政府政策调整而作任何调整。合同中税率根据国家政策调整，合同含税价格相应调整，若税率出现变化，合同中不含税价格保持不变，含税价格随税率的调整而调整，双方不再另行签订变更协议。</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付款条款：按项目任务完成进度</w:t>
      </w:r>
      <w:r>
        <w:rPr>
          <w:rFonts w:hint="eastAsia" w:ascii="宋体" w:hAnsi="宋体" w:eastAsia="宋体" w:cs="宋体"/>
          <w:b w:val="0"/>
          <w:bCs w:val="0"/>
          <w:i w:val="0"/>
          <w:iCs w:val="0"/>
          <w:color w:val="000000"/>
          <w:kern w:val="0"/>
          <w:sz w:val="22"/>
          <w:szCs w:val="22"/>
          <w:u w:val="none" w:color="EB3624"/>
          <w:lang w:val="en-US" w:eastAsia="zh-CN" w:bidi="ar"/>
        </w:rPr>
        <w:t>付</w:t>
      </w:r>
      <w:r>
        <w:rPr>
          <w:rFonts w:hint="eastAsia" w:ascii="宋体" w:hAnsi="宋体" w:eastAsia="宋体" w:cs="宋体"/>
          <w:b w:val="0"/>
          <w:bCs w:val="0"/>
          <w:i w:val="0"/>
          <w:iCs w:val="0"/>
          <w:color w:val="000000"/>
          <w:kern w:val="0"/>
          <w:sz w:val="22"/>
          <w:szCs w:val="22"/>
          <w:u w:val="none"/>
          <w:lang w:val="en-US" w:eastAsia="zh-CN" w:bidi="ar"/>
        </w:rPr>
        <w:t>款</w:t>
      </w:r>
      <w:bookmarkEnd w:id="186"/>
      <w:r>
        <w:rPr>
          <w:rFonts w:hint="eastAsia" w:hAnsi="宋体" w:cs="宋体"/>
          <w:b w:val="0"/>
          <w:bCs w:val="0"/>
          <w:i w:val="0"/>
          <w:iCs w:val="0"/>
          <w:color w:val="000000"/>
          <w:kern w:val="0"/>
          <w:sz w:val="22"/>
          <w:szCs w:val="22"/>
          <w:u w:val="none"/>
          <w:lang w:val="en-US" w:eastAsia="zh-CN" w:bidi="ar"/>
        </w:rPr>
        <w:t>。</w:t>
      </w:r>
    </w:p>
    <w:p>
      <w:pPr>
        <w:pStyle w:val="33"/>
        <w:tabs>
          <w:tab w:val="left" w:pos="426"/>
        </w:tabs>
        <w:rPr>
          <w:rFonts w:hint="eastAsia" w:ascii="宋体" w:hAnsi="宋体" w:eastAsia="宋体" w:cs="Times New Roman"/>
          <w:sz w:val="21"/>
          <w:szCs w:val="21"/>
          <w:lang w:val="en-US" w:eastAsia="zh-CN"/>
        </w:rPr>
      </w:pPr>
    </w:p>
    <w:p>
      <w:pPr>
        <w:pStyle w:val="33"/>
        <w:tabs>
          <w:tab w:val="left" w:pos="426"/>
        </w:tabs>
        <w:rPr>
          <w:rFonts w:hint="eastAsia" w:ascii="宋体" w:hAnsi="宋体" w:eastAsia="宋体" w:cs="Times New Roman"/>
          <w:sz w:val="21"/>
          <w:szCs w:val="21"/>
          <w:lang w:val="en-US" w:eastAsia="zh-CN"/>
        </w:rPr>
      </w:pPr>
    </w:p>
    <w:p>
      <w:pPr>
        <w:pStyle w:val="33"/>
        <w:tabs>
          <w:tab w:val="left" w:pos="426"/>
        </w:tabs>
        <w:ind w:firstLine="3120" w:firstLineChars="1300"/>
        <w:rPr>
          <w:rFonts w:hint="eastAsia" w:ascii="宋体" w:hAnsi="宋体" w:eastAsia="宋体" w:cs="宋体"/>
          <w:i w:val="0"/>
          <w:iCs w:val="0"/>
          <w:color w:val="000000"/>
          <w:kern w:val="0"/>
          <w:sz w:val="22"/>
          <w:szCs w:val="22"/>
          <w:u w:val="none"/>
          <w:lang w:val="en-US" w:eastAsia="zh-CN" w:bidi="ar"/>
        </w:rPr>
      </w:pPr>
      <w:bookmarkStart w:id="187" w:name="_Toc13683"/>
    </w:p>
    <w:p>
      <w:pPr>
        <w:pStyle w:val="33"/>
        <w:tabs>
          <w:tab w:val="left" w:pos="426"/>
        </w:tabs>
        <w:rPr>
          <w:rFonts w:hint="eastAsia" w:ascii="宋体" w:hAnsi="宋体"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报价人代表：</w:t>
      </w:r>
      <w:r>
        <w:rPr>
          <w:rFonts w:hint="eastAsia"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报价人单位（盖章）</w:t>
      </w:r>
      <w:bookmarkEnd w:id="187"/>
    </w:p>
    <w:p>
      <w:pPr>
        <w:widowControl/>
        <w:tabs>
          <w:tab w:val="left" w:pos="426"/>
          <w:tab w:val="left" w:pos="9000"/>
          <w:tab w:val="right" w:pos="9360"/>
        </w:tabs>
        <w:spacing w:line="360" w:lineRule="auto"/>
        <w:jc w:val="left"/>
        <w:outlineLvl w:val="9"/>
        <w:rPr>
          <w:rFonts w:hint="eastAsia" w:ascii="宋体" w:hAnsi="宋体"/>
          <w:color w:val="FF0000"/>
          <w:szCs w:val="21"/>
        </w:rPr>
      </w:pPr>
    </w:p>
    <w:p>
      <w:pPr>
        <w:rPr>
          <w:b/>
          <w:sz w:val="30"/>
          <w:szCs w:val="30"/>
        </w:rPr>
      </w:pPr>
    </w:p>
    <w:sectPr>
      <w:headerReference r:id="rId3" w:type="default"/>
      <w:footerReference r:id="rId4" w:type="default"/>
      <w:pgSz w:w="11906" w:h="16838"/>
      <w:pgMar w:top="1440" w:right="1800" w:bottom="1440" w:left="1800" w:header="68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宋体"/>
        <w:b w:val="0"/>
        <w:bCs/>
        <w:w w:val="105"/>
        <w:sz w:val="18"/>
        <w:szCs w:val="18"/>
        <w:lang w:eastAsia="zh-CN"/>
      </w:rPr>
      <w:t>中海石油建滔化工有限公司</w:t>
    </w:r>
    <w:r>
      <w:rPr>
        <w:rFonts w:hint="eastAsia" w:ascii="宋体" w:hAnsi="宋体" w:eastAsia="宋体" w:cs="宋体"/>
        <w:b w:val="0"/>
        <w:bCs/>
        <w:w w:val="105"/>
        <w:sz w:val="18"/>
        <w:szCs w:val="18"/>
        <w:lang w:val="en-US" w:eastAsia="zh-CN"/>
      </w:rPr>
      <w:t xml:space="preserve">                     </w:t>
    </w:r>
    <w:r>
      <w:rPr>
        <w:rFonts w:hint="eastAsia" w:ascii="宋体" w:hAnsi="宋体" w:cs="宋体"/>
        <w:b w:val="0"/>
        <w:bCs/>
        <w:sz w:val="18"/>
        <w:szCs w:val="18"/>
      </w:rPr>
      <w:t>工作场所职业病危害因素</w:t>
    </w:r>
    <w:r>
      <w:rPr>
        <w:rFonts w:hint="eastAsia" w:ascii="宋体" w:hAnsi="宋体" w:cs="宋体"/>
        <w:b w:val="0"/>
        <w:bCs/>
        <w:sz w:val="18"/>
        <w:szCs w:val="18"/>
        <w:u w:val="none" w:color="EB3624"/>
      </w:rPr>
      <w:t>检测</w:t>
    </w:r>
    <w:r>
      <w:rPr>
        <w:rFonts w:hint="eastAsia" w:ascii="宋体" w:hAnsi="宋体" w:cs="宋体"/>
        <w:b w:val="0"/>
        <w:bCs/>
        <w:sz w:val="18"/>
        <w:szCs w:val="18"/>
        <w:lang w:val="en-US" w:eastAsia="zh-CN"/>
      </w:rPr>
      <w:t>及现状评价检测服务</w:t>
    </w:r>
    <w:r>
      <w:rPr>
        <w:sz w:val="21"/>
        <w:szCs w:val="21"/>
      </w:rPr>
      <w:drawing>
        <wp:anchor distT="0" distB="0" distL="114300" distR="114300" simplePos="0" relativeHeight="251660288" behindDoc="0" locked="0" layoutInCell="1" allowOverlap="1">
          <wp:simplePos x="0" y="0"/>
          <wp:positionH relativeFrom="column">
            <wp:posOffset>-749935</wp:posOffset>
          </wp:positionH>
          <wp:positionV relativeFrom="paragraph">
            <wp:posOffset>-221615</wp:posOffset>
          </wp:positionV>
          <wp:extent cx="617220" cy="573405"/>
          <wp:effectExtent l="0" t="0" r="5080" b="10795"/>
          <wp:wrapNone/>
          <wp:docPr id="23" name="Picture 4" descr="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bia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17220" cy="57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42F6B"/>
    <w:multiLevelType w:val="singleLevel"/>
    <w:tmpl w:val="CC742F6B"/>
    <w:lvl w:ilvl="0" w:tentative="0">
      <w:start w:val="1"/>
      <w:numFmt w:val="decimal"/>
      <w:lvlText w:val="%1)"/>
      <w:lvlJc w:val="left"/>
      <w:pPr>
        <w:ind w:left="425" w:hanging="425"/>
      </w:pPr>
      <w:rPr>
        <w:rFonts w:hint="default"/>
      </w:rPr>
    </w:lvl>
  </w:abstractNum>
  <w:abstractNum w:abstractNumId="1">
    <w:nsid w:val="09475E41"/>
    <w:multiLevelType w:val="singleLevel"/>
    <w:tmpl w:val="09475E41"/>
    <w:lvl w:ilvl="0" w:tentative="0">
      <w:start w:val="2"/>
      <w:numFmt w:val="decimal"/>
      <w:suff w:val="space"/>
      <w:lvlText w:val="（%1）"/>
      <w:lvlJc w:val="left"/>
    </w:lvl>
  </w:abstractNum>
  <w:abstractNum w:abstractNumId="2">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4F7852"/>
    <w:multiLevelType w:val="multilevel"/>
    <w:tmpl w:val="174F7852"/>
    <w:lvl w:ilvl="0" w:tentative="0">
      <w:start w:val="1"/>
      <w:numFmt w:val="decimal"/>
      <w:lvlText w:val="8.%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C10A17"/>
    <w:multiLevelType w:val="multilevel"/>
    <w:tmpl w:val="29C10A17"/>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0D1E73"/>
    <w:multiLevelType w:val="multilevel"/>
    <w:tmpl w:val="4E0D1E7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58B0CCD"/>
    <w:multiLevelType w:val="multilevel"/>
    <w:tmpl w:val="558B0CCD"/>
    <w:lvl w:ilvl="0" w:tentative="0">
      <w:start w:val="1"/>
      <w:numFmt w:val="decimal"/>
      <w:lvlText w:val="4.%1"/>
      <w:lvlJc w:val="left"/>
      <w:pPr>
        <w:ind w:left="420" w:hanging="42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2"/>
  </w:num>
  <w:num w:numId="4">
    <w:abstractNumId w:val="4"/>
  </w:num>
  <w:num w:numId="5">
    <w:abstractNumId w:val="5"/>
  </w:num>
  <w:num w:numId="6">
    <w:abstractNumId w:val="8"/>
  </w:num>
  <w:num w:numId="7">
    <w:abstractNumId w:val="0"/>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105924"/>
  </w:docVars>
  <w:rsids>
    <w:rsidRoot w:val="007155D3"/>
    <w:rsid w:val="000222E5"/>
    <w:rsid w:val="00032842"/>
    <w:rsid w:val="000458EC"/>
    <w:rsid w:val="000555E1"/>
    <w:rsid w:val="00074BD0"/>
    <w:rsid w:val="000758B2"/>
    <w:rsid w:val="0008494C"/>
    <w:rsid w:val="0008794E"/>
    <w:rsid w:val="000C6EE9"/>
    <w:rsid w:val="000F5897"/>
    <w:rsid w:val="000F7764"/>
    <w:rsid w:val="00114A4A"/>
    <w:rsid w:val="001202F3"/>
    <w:rsid w:val="0013078F"/>
    <w:rsid w:val="001432E8"/>
    <w:rsid w:val="00165F32"/>
    <w:rsid w:val="001A14AD"/>
    <w:rsid w:val="001C10CE"/>
    <w:rsid w:val="001C6681"/>
    <w:rsid w:val="001C6E25"/>
    <w:rsid w:val="001F22E5"/>
    <w:rsid w:val="002242AC"/>
    <w:rsid w:val="00257465"/>
    <w:rsid w:val="00274334"/>
    <w:rsid w:val="002867C5"/>
    <w:rsid w:val="002B4F4A"/>
    <w:rsid w:val="002D5ADF"/>
    <w:rsid w:val="002E1DFD"/>
    <w:rsid w:val="002E72B7"/>
    <w:rsid w:val="002F18C3"/>
    <w:rsid w:val="00356FE2"/>
    <w:rsid w:val="00377B48"/>
    <w:rsid w:val="00386ED6"/>
    <w:rsid w:val="003A437E"/>
    <w:rsid w:val="003B58C7"/>
    <w:rsid w:val="00402C11"/>
    <w:rsid w:val="00431169"/>
    <w:rsid w:val="00431A09"/>
    <w:rsid w:val="004444BD"/>
    <w:rsid w:val="00462E7C"/>
    <w:rsid w:val="00487925"/>
    <w:rsid w:val="00492339"/>
    <w:rsid w:val="004B2C4A"/>
    <w:rsid w:val="004F0870"/>
    <w:rsid w:val="004F0A21"/>
    <w:rsid w:val="00517295"/>
    <w:rsid w:val="00561D21"/>
    <w:rsid w:val="00566650"/>
    <w:rsid w:val="00567DD2"/>
    <w:rsid w:val="00622D00"/>
    <w:rsid w:val="00640B65"/>
    <w:rsid w:val="00647FD3"/>
    <w:rsid w:val="006B39B8"/>
    <w:rsid w:val="006D6D55"/>
    <w:rsid w:val="006F27FB"/>
    <w:rsid w:val="006F4CE5"/>
    <w:rsid w:val="00710AD1"/>
    <w:rsid w:val="00713A9D"/>
    <w:rsid w:val="00713E61"/>
    <w:rsid w:val="007155D3"/>
    <w:rsid w:val="0075735D"/>
    <w:rsid w:val="00763A74"/>
    <w:rsid w:val="007808B8"/>
    <w:rsid w:val="007A4DA8"/>
    <w:rsid w:val="007E0A6B"/>
    <w:rsid w:val="007F7F55"/>
    <w:rsid w:val="0082756F"/>
    <w:rsid w:val="0085668C"/>
    <w:rsid w:val="00894279"/>
    <w:rsid w:val="008A07AB"/>
    <w:rsid w:val="008C46EC"/>
    <w:rsid w:val="009814C6"/>
    <w:rsid w:val="00982A80"/>
    <w:rsid w:val="009B5F9D"/>
    <w:rsid w:val="009F6A3A"/>
    <w:rsid w:val="00A178C9"/>
    <w:rsid w:val="00A344D7"/>
    <w:rsid w:val="00A806FE"/>
    <w:rsid w:val="00A9018C"/>
    <w:rsid w:val="00AB7F56"/>
    <w:rsid w:val="00AC4295"/>
    <w:rsid w:val="00AD106B"/>
    <w:rsid w:val="00B75E1E"/>
    <w:rsid w:val="00BA2DA4"/>
    <w:rsid w:val="00BA7AF6"/>
    <w:rsid w:val="00BD72C9"/>
    <w:rsid w:val="00BE1848"/>
    <w:rsid w:val="00BF1F30"/>
    <w:rsid w:val="00BF5197"/>
    <w:rsid w:val="00C55BC9"/>
    <w:rsid w:val="00C715EC"/>
    <w:rsid w:val="00C735B0"/>
    <w:rsid w:val="00C755DB"/>
    <w:rsid w:val="00C80B9A"/>
    <w:rsid w:val="00C85152"/>
    <w:rsid w:val="00CA11DD"/>
    <w:rsid w:val="00CB7D1C"/>
    <w:rsid w:val="00CD7003"/>
    <w:rsid w:val="00CF0850"/>
    <w:rsid w:val="00D02EAB"/>
    <w:rsid w:val="00D27DB1"/>
    <w:rsid w:val="00D419C5"/>
    <w:rsid w:val="00D51D0B"/>
    <w:rsid w:val="00D77843"/>
    <w:rsid w:val="00DD60F4"/>
    <w:rsid w:val="00DF447B"/>
    <w:rsid w:val="00E42F69"/>
    <w:rsid w:val="00E61CC5"/>
    <w:rsid w:val="00E7449D"/>
    <w:rsid w:val="00E8291C"/>
    <w:rsid w:val="00E86FCD"/>
    <w:rsid w:val="00EC623C"/>
    <w:rsid w:val="00EC627D"/>
    <w:rsid w:val="00ED0021"/>
    <w:rsid w:val="00EE363C"/>
    <w:rsid w:val="00F038C2"/>
    <w:rsid w:val="00F23C02"/>
    <w:rsid w:val="00F31D8C"/>
    <w:rsid w:val="00F4004D"/>
    <w:rsid w:val="00F622FB"/>
    <w:rsid w:val="00F85F98"/>
    <w:rsid w:val="00FD069E"/>
    <w:rsid w:val="00FF5AB4"/>
    <w:rsid w:val="06104D61"/>
    <w:rsid w:val="0F6A10F5"/>
    <w:rsid w:val="10242CA5"/>
    <w:rsid w:val="12910280"/>
    <w:rsid w:val="132A7E91"/>
    <w:rsid w:val="16122921"/>
    <w:rsid w:val="1F9C1EAE"/>
    <w:rsid w:val="20E76713"/>
    <w:rsid w:val="21BD28C2"/>
    <w:rsid w:val="24FC0AFD"/>
    <w:rsid w:val="262655D0"/>
    <w:rsid w:val="2C147D29"/>
    <w:rsid w:val="339F20FE"/>
    <w:rsid w:val="33B861FB"/>
    <w:rsid w:val="35063E85"/>
    <w:rsid w:val="36591DDE"/>
    <w:rsid w:val="366C7847"/>
    <w:rsid w:val="377431B2"/>
    <w:rsid w:val="3F147AFA"/>
    <w:rsid w:val="5A2711CB"/>
    <w:rsid w:val="5B876C92"/>
    <w:rsid w:val="5D012DEE"/>
    <w:rsid w:val="61A32FC3"/>
    <w:rsid w:val="68501E19"/>
    <w:rsid w:val="6BDA1F0D"/>
    <w:rsid w:val="6D5913EF"/>
    <w:rsid w:val="71092460"/>
    <w:rsid w:val="79CC4A6A"/>
    <w:rsid w:val="7DE8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Document Map"/>
    <w:basedOn w:val="1"/>
    <w:link w:val="35"/>
    <w:semiHidden/>
    <w:qFormat/>
    <w:uiPriority w:val="0"/>
    <w:pPr>
      <w:shd w:val="clear" w:color="auto" w:fill="000080"/>
    </w:pPr>
    <w:rPr>
      <w:rFonts w:ascii="Times New Roman" w:hAnsi="Times New Roman" w:eastAsia="宋体" w:cs="Times New Roman"/>
      <w:szCs w:val="24"/>
    </w:rPr>
  </w:style>
  <w:style w:type="paragraph" w:styleId="8">
    <w:name w:val="Body Text Indent"/>
    <w:basedOn w:val="1"/>
    <w:link w:val="31"/>
    <w:qFormat/>
    <w:uiPriority w:val="0"/>
    <w:pPr>
      <w:spacing w:line="560" w:lineRule="exact"/>
      <w:ind w:firstLine="640" w:firstLineChars="200"/>
    </w:pPr>
    <w:rPr>
      <w:rFonts w:ascii="Times New Roman" w:hAnsi="Times New Roman" w:eastAsia="仿宋_GB2312" w:cs="Times New Roman"/>
      <w:sz w:val="32"/>
      <w:szCs w:val="20"/>
    </w:rPr>
  </w:style>
  <w:style w:type="paragraph" w:styleId="9">
    <w:name w:val="toc 3"/>
    <w:basedOn w:val="1"/>
    <w:next w:val="1"/>
    <w:qFormat/>
    <w:uiPriority w:val="39"/>
    <w:pPr>
      <w:ind w:left="840" w:leftChars="400"/>
    </w:pPr>
    <w:rPr>
      <w:rFonts w:ascii="Times New Roman" w:hAnsi="Times New Roman" w:eastAsia="宋体" w:cs="Times New Roman"/>
      <w:szCs w:val="24"/>
    </w:rPr>
  </w:style>
  <w:style w:type="paragraph" w:styleId="10">
    <w:name w:val="Plain Text"/>
    <w:basedOn w:val="1"/>
    <w:link w:val="32"/>
    <w:qFormat/>
    <w:uiPriority w:val="0"/>
    <w:pPr>
      <w:spacing w:line="400" w:lineRule="exact"/>
      <w:ind w:firstLine="425"/>
    </w:pPr>
    <w:rPr>
      <w:rFonts w:ascii="宋体" w:hAnsi="Courier New" w:eastAsia="宋体" w:cs="Times New Roman"/>
      <w:sz w:val="28"/>
      <w:szCs w:val="24"/>
    </w:rPr>
  </w:style>
  <w:style w:type="paragraph" w:styleId="11">
    <w:name w:val="Date"/>
    <w:basedOn w:val="1"/>
    <w:next w:val="1"/>
    <w:link w:val="30"/>
    <w:qFormat/>
    <w:uiPriority w:val="0"/>
    <w:pPr>
      <w:ind w:left="100" w:leftChars="2500"/>
    </w:pPr>
    <w:rPr>
      <w:rFonts w:ascii="Times New Roman" w:hAnsi="Times New Roman" w:eastAsia="宋体" w:cs="Times New Roman"/>
      <w:szCs w:val="24"/>
    </w:rPr>
  </w:style>
  <w:style w:type="paragraph" w:styleId="12">
    <w:name w:val="Balloon Text"/>
    <w:basedOn w:val="1"/>
    <w:link w:val="41"/>
    <w:qFormat/>
    <w:uiPriority w:val="0"/>
    <w:rPr>
      <w:rFonts w:ascii="Times New Roman" w:hAnsi="Times New Roman" w:eastAsia="宋体" w:cs="Times New Roman"/>
      <w:sz w:val="18"/>
      <w:szCs w:val="18"/>
      <w:lang w:val="zh-CN" w:eastAsia="zh-CN"/>
    </w:rPr>
  </w:style>
  <w:style w:type="paragraph" w:styleId="13">
    <w:name w:val="footer"/>
    <w:basedOn w:val="1"/>
    <w:link w:val="39"/>
    <w:qFormat/>
    <w:uiPriority w:val="99"/>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14">
    <w:name w:val="header"/>
    <w:basedOn w:val="1"/>
    <w:link w:val="47"/>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paragraph" w:styleId="15">
    <w:name w:val="toc 1"/>
    <w:basedOn w:val="1"/>
    <w:next w:val="1"/>
    <w:qFormat/>
    <w:uiPriority w:val="39"/>
    <w:rPr>
      <w:rFonts w:ascii="Times New Roman" w:hAnsi="Times New Roman" w:eastAsia="宋体" w:cs="Times New Roman"/>
      <w:szCs w:val="24"/>
    </w:rPr>
  </w:style>
  <w:style w:type="paragraph" w:styleId="16">
    <w:name w:val="toc 2"/>
    <w:basedOn w:val="1"/>
    <w:next w:val="1"/>
    <w:qFormat/>
    <w:uiPriority w:val="39"/>
    <w:pPr>
      <w:tabs>
        <w:tab w:val="right" w:leader="dot" w:pos="9628"/>
      </w:tabs>
    </w:pPr>
    <w:rPr>
      <w:rFonts w:ascii="宋体" w:hAnsi="宋体" w:eastAsia="宋体" w:cs="Times New Roman"/>
      <w:i/>
      <w:kern w:val="0"/>
      <w:sz w:val="28"/>
      <w:szCs w:val="28"/>
    </w:rPr>
  </w:style>
  <w:style w:type="paragraph" w:styleId="17">
    <w:name w:val="Body Text 2"/>
    <w:basedOn w:val="1"/>
    <w:qFormat/>
    <w:uiPriority w:val="0"/>
    <w:pPr>
      <w:spacing w:line="360" w:lineRule="auto"/>
    </w:pPr>
    <w:rPr>
      <w:sz w:val="28"/>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Elegant"/>
    <w:basedOn w:val="1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1 字符"/>
    <w:basedOn w:val="22"/>
    <w:qFormat/>
    <w:uiPriority w:val="9"/>
    <w:rPr>
      <w:b/>
      <w:bCs/>
      <w:kern w:val="44"/>
      <w:sz w:val="44"/>
      <w:szCs w:val="44"/>
    </w:rPr>
  </w:style>
  <w:style w:type="character" w:customStyle="1" w:styleId="27">
    <w:name w:val="标题 2 字符"/>
    <w:basedOn w:val="22"/>
    <w:link w:val="4"/>
    <w:qFormat/>
    <w:uiPriority w:val="0"/>
    <w:rPr>
      <w:rFonts w:ascii="Arial" w:hAnsi="Arial" w:eastAsia="黑体" w:cs="Times New Roman"/>
      <w:b/>
      <w:bCs/>
      <w:sz w:val="32"/>
      <w:szCs w:val="32"/>
    </w:rPr>
  </w:style>
  <w:style w:type="paragraph" w:styleId="28">
    <w:name w:val="List Paragraph"/>
    <w:basedOn w:val="1"/>
    <w:qFormat/>
    <w:uiPriority w:val="34"/>
    <w:pPr>
      <w:ind w:firstLine="420" w:firstLineChars="200"/>
    </w:pPr>
  </w:style>
  <w:style w:type="character" w:customStyle="1" w:styleId="29">
    <w:name w:val="标题 3 字符"/>
    <w:basedOn w:val="22"/>
    <w:link w:val="5"/>
    <w:qFormat/>
    <w:uiPriority w:val="0"/>
    <w:rPr>
      <w:rFonts w:ascii="Times New Roman" w:hAnsi="Times New Roman" w:eastAsia="宋体" w:cs="Times New Roman"/>
      <w:b/>
      <w:bCs/>
      <w:sz w:val="32"/>
      <w:szCs w:val="32"/>
    </w:rPr>
  </w:style>
  <w:style w:type="character" w:customStyle="1" w:styleId="30">
    <w:name w:val="日期 字符"/>
    <w:basedOn w:val="22"/>
    <w:link w:val="11"/>
    <w:qFormat/>
    <w:uiPriority w:val="0"/>
    <w:rPr>
      <w:rFonts w:ascii="Times New Roman" w:hAnsi="Times New Roman" w:eastAsia="宋体" w:cs="Times New Roman"/>
      <w:szCs w:val="24"/>
    </w:rPr>
  </w:style>
  <w:style w:type="character" w:customStyle="1" w:styleId="31">
    <w:name w:val="正文文本缩进 字符"/>
    <w:basedOn w:val="22"/>
    <w:link w:val="8"/>
    <w:qFormat/>
    <w:uiPriority w:val="0"/>
    <w:rPr>
      <w:rFonts w:ascii="Times New Roman" w:hAnsi="Times New Roman" w:eastAsia="仿宋_GB2312" w:cs="Times New Roman"/>
      <w:sz w:val="32"/>
      <w:szCs w:val="20"/>
    </w:rPr>
  </w:style>
  <w:style w:type="character" w:customStyle="1" w:styleId="32">
    <w:name w:val="纯文本 字符"/>
    <w:basedOn w:val="22"/>
    <w:link w:val="10"/>
    <w:qFormat/>
    <w:uiPriority w:val="0"/>
    <w:rPr>
      <w:rFonts w:ascii="宋体" w:hAnsi="Courier New" w:eastAsia="宋体" w:cs="Times New Roman"/>
      <w:sz w:val="28"/>
      <w:szCs w:val="24"/>
    </w:rPr>
  </w:style>
  <w:style w:type="paragraph" w:customStyle="1" w:styleId="33">
    <w:name w:val="样式1"/>
    <w:basedOn w:val="34"/>
    <w:qFormat/>
    <w:uiPriority w:val="0"/>
    <w:pPr>
      <w:tabs>
        <w:tab w:val="left" w:pos="9000"/>
        <w:tab w:val="right" w:pos="9360"/>
      </w:tabs>
      <w:autoSpaceDE w:val="0"/>
      <w:autoSpaceDN w:val="0"/>
      <w:adjustRightInd w:val="0"/>
      <w:spacing w:before="120" w:after="120" w:line="400" w:lineRule="exact"/>
      <w:textAlignment w:val="baseline"/>
    </w:pPr>
    <w:rPr>
      <w:rFonts w:ascii="宋体" w:hAnsi="Times New Roman" w:eastAsia="宋体" w:cs="Times New Roman"/>
      <w:spacing w:val="10"/>
      <w:kern w:val="0"/>
      <w:sz w:val="24"/>
      <w:szCs w:val="20"/>
    </w:rPr>
  </w:style>
  <w:style w:type="paragraph" w:customStyle="1" w:styleId="34">
    <w:name w:val="toa"/>
    <w:basedOn w:val="1"/>
    <w:qFormat/>
    <w:uiPriority w:val="0"/>
    <w:pPr>
      <w:widowControl/>
      <w:tabs>
        <w:tab w:val="left" w:pos="9000"/>
        <w:tab w:val="right" w:pos="9360"/>
      </w:tabs>
      <w:suppressAutoHyphens/>
      <w:jc w:val="left"/>
    </w:pPr>
    <w:rPr>
      <w:rFonts w:ascii="Arial" w:hAnsi="Arial"/>
      <w:kern w:val="0"/>
      <w:sz w:val="24"/>
      <w:szCs w:val="20"/>
    </w:rPr>
  </w:style>
  <w:style w:type="character" w:customStyle="1" w:styleId="35">
    <w:name w:val="文档结构图 字符"/>
    <w:basedOn w:val="22"/>
    <w:link w:val="7"/>
    <w:semiHidden/>
    <w:qFormat/>
    <w:uiPriority w:val="0"/>
    <w:rPr>
      <w:rFonts w:ascii="Times New Roman" w:hAnsi="Times New Roman" w:eastAsia="宋体" w:cs="Times New Roman"/>
      <w:szCs w:val="24"/>
      <w:shd w:val="clear" w:color="auto" w:fill="000080"/>
    </w:rPr>
  </w:style>
  <w:style w:type="character" w:customStyle="1" w:styleId="36">
    <w:name w:val="页脚 字符"/>
    <w:basedOn w:val="22"/>
    <w:semiHidden/>
    <w:qFormat/>
    <w:uiPriority w:val="99"/>
    <w:rPr>
      <w:sz w:val="18"/>
      <w:szCs w:val="18"/>
    </w:rPr>
  </w:style>
  <w:style w:type="character" w:customStyle="1" w:styleId="37">
    <w:name w:val="页眉 字符"/>
    <w:basedOn w:val="22"/>
    <w:semiHidden/>
    <w:qFormat/>
    <w:uiPriority w:val="99"/>
    <w:rPr>
      <w:sz w:val="18"/>
      <w:szCs w:val="18"/>
    </w:rPr>
  </w:style>
  <w:style w:type="paragraph" w:customStyle="1" w:styleId="38">
    <w:name w:val="Char Char Char Char Char Char Char Char Char Char Char Char Char Char Char Char Char Char Char"/>
    <w:basedOn w:val="1"/>
    <w:qFormat/>
    <w:uiPriority w:val="0"/>
    <w:rPr>
      <w:rFonts w:ascii="Times New Roman" w:hAnsi="Times New Roman" w:eastAsia="宋体" w:cs="Times New Roman"/>
      <w:szCs w:val="24"/>
    </w:rPr>
  </w:style>
  <w:style w:type="character" w:customStyle="1" w:styleId="39">
    <w:name w:val="页脚 字符1"/>
    <w:link w:val="13"/>
    <w:qFormat/>
    <w:uiPriority w:val="99"/>
    <w:rPr>
      <w:rFonts w:ascii="Times New Roman" w:hAnsi="Times New Roman" w:eastAsia="宋体" w:cs="Times New Roman"/>
      <w:sz w:val="18"/>
      <w:szCs w:val="18"/>
      <w:lang w:val="zh-CN" w:eastAsia="zh-CN"/>
    </w:rPr>
  </w:style>
  <w:style w:type="character" w:customStyle="1" w:styleId="40">
    <w:name w:val="批注框文本 字符"/>
    <w:basedOn w:val="22"/>
    <w:semiHidden/>
    <w:qFormat/>
    <w:uiPriority w:val="99"/>
    <w:rPr>
      <w:sz w:val="18"/>
      <w:szCs w:val="18"/>
    </w:rPr>
  </w:style>
  <w:style w:type="character" w:customStyle="1" w:styleId="41">
    <w:name w:val="批注框文本 字符1"/>
    <w:link w:val="12"/>
    <w:qFormat/>
    <w:uiPriority w:val="0"/>
    <w:rPr>
      <w:rFonts w:ascii="Times New Roman" w:hAnsi="Times New Roman" w:eastAsia="宋体" w:cs="Times New Roman"/>
      <w:sz w:val="18"/>
      <w:szCs w:val="18"/>
      <w:lang w:val="zh-CN" w:eastAsia="zh-CN"/>
    </w:rPr>
  </w:style>
  <w:style w:type="character" w:customStyle="1" w:styleId="42">
    <w:name w:val="标题 1 字符1"/>
    <w:link w:val="3"/>
    <w:qFormat/>
    <w:uiPriority w:val="0"/>
    <w:rPr>
      <w:rFonts w:ascii="Times New Roman" w:hAnsi="Times New Roman" w:eastAsia="宋体" w:cs="Times New Roman"/>
      <w:b/>
      <w:bCs/>
      <w:kern w:val="44"/>
      <w:sz w:val="44"/>
      <w:szCs w:val="44"/>
      <w:lang w:val="zh-CN" w:eastAsia="zh-CN"/>
    </w:rPr>
  </w:style>
  <w:style w:type="paragraph" w:customStyle="1" w:styleId="43">
    <w:name w:val="Char"/>
    <w:basedOn w:val="1"/>
    <w:semiHidden/>
    <w:qFormat/>
    <w:uiPriority w:val="0"/>
    <w:pPr>
      <w:ind w:firstLine="200" w:firstLineChars="200"/>
    </w:pPr>
    <w:rPr>
      <w:rFonts w:ascii="Tahoma" w:hAnsi="Tahoma" w:eastAsia="宋体" w:cs="Times New Roman"/>
      <w:sz w:val="24"/>
      <w:szCs w:val="20"/>
    </w:rPr>
  </w:style>
  <w:style w:type="paragraph" w:customStyle="1" w:styleId="44">
    <w:name w:val="表头文字"/>
    <w:basedOn w:val="1"/>
    <w:qFormat/>
    <w:uiPriority w:val="0"/>
    <w:pPr>
      <w:topLinePunct/>
      <w:spacing w:before="60" w:after="60"/>
      <w:jc w:val="center"/>
    </w:pPr>
    <w:rPr>
      <w:rFonts w:ascii="Times New Roman" w:hAnsi="Times New Roman" w:eastAsia="宋体" w:cs="Times New Roman"/>
      <w:szCs w:val="20"/>
    </w:rPr>
  </w:style>
  <w:style w:type="paragraph" w:customStyle="1" w:styleId="45">
    <w:name w:val="标准"/>
    <w:basedOn w:val="1"/>
    <w:qFormat/>
    <w:uiPriority w:val="0"/>
    <w:pPr>
      <w:adjustRightInd w:val="0"/>
      <w:spacing w:line="312" w:lineRule="atLeast"/>
      <w:jc w:val="center"/>
      <w:textAlignment w:val="baseline"/>
    </w:pPr>
    <w:rPr>
      <w:rFonts w:ascii="Times New Roman" w:hAnsi="Times New Roman" w:eastAsia="宋体" w:cs="Times New Roman"/>
      <w:kern w:val="0"/>
      <w:szCs w:val="21"/>
    </w:rPr>
  </w:style>
  <w:style w:type="paragraph" w:customStyle="1" w:styleId="46">
    <w:name w:val="表格"/>
    <w:basedOn w:val="1"/>
    <w:link w:val="48"/>
    <w:qFormat/>
    <w:uiPriority w:val="1"/>
    <w:pPr>
      <w:keepNext/>
      <w:adjustRightInd w:val="0"/>
      <w:spacing w:line="312" w:lineRule="atLeast"/>
      <w:jc w:val="center"/>
      <w:textAlignment w:val="baseline"/>
    </w:pPr>
    <w:rPr>
      <w:rFonts w:ascii="Times New Roman" w:hAnsi="Times New Roman" w:eastAsia="宋体" w:cs="Times New Roman"/>
      <w:kern w:val="0"/>
      <w:szCs w:val="20"/>
      <w:lang w:val="zh-CN" w:eastAsia="zh-CN"/>
    </w:rPr>
  </w:style>
  <w:style w:type="character" w:customStyle="1" w:styleId="47">
    <w:name w:val="页眉 字符1"/>
    <w:link w:val="14"/>
    <w:qFormat/>
    <w:uiPriority w:val="99"/>
    <w:rPr>
      <w:rFonts w:ascii="Times New Roman" w:hAnsi="Times New Roman" w:eastAsia="宋体" w:cs="Times New Roman"/>
      <w:sz w:val="18"/>
      <w:szCs w:val="18"/>
      <w:lang w:val="zh-CN" w:eastAsia="zh-CN"/>
    </w:rPr>
  </w:style>
  <w:style w:type="character" w:customStyle="1" w:styleId="48">
    <w:name w:val="表格 Char"/>
    <w:link w:val="46"/>
    <w:qFormat/>
    <w:uiPriority w:val="1"/>
    <w:rPr>
      <w:rFonts w:ascii="Times New Roman" w:hAnsi="Times New Roman" w:eastAsia="宋体" w:cs="Times New Roman"/>
      <w:kern w:val="0"/>
      <w:szCs w:val="20"/>
      <w:lang w:val="zh-CN" w:eastAsia="zh-CN"/>
    </w:rPr>
  </w:style>
  <w:style w:type="paragraph" w:customStyle="1" w:styleId="49">
    <w:name w:val="Char Char1 Char Char Char Char"/>
    <w:basedOn w:val="1"/>
    <w:semiHidden/>
    <w:qFormat/>
    <w:uiPriority w:val="0"/>
    <w:pPr>
      <w:adjustRightInd w:val="0"/>
      <w:snapToGrid w:val="0"/>
      <w:spacing w:line="360" w:lineRule="auto"/>
      <w:ind w:firstLine="200" w:firstLineChars="200"/>
    </w:pPr>
    <w:rPr>
      <w:rFonts w:ascii="Times New Roman" w:hAnsi="Times New Roman" w:eastAsia="宋体" w:cs="Times New Roman"/>
      <w:sz w:val="24"/>
      <w:szCs w:val="24"/>
    </w:rPr>
  </w:style>
  <w:style w:type="paragraph" w:customStyle="1" w:styleId="50">
    <w:name w:val="陈光的正文"/>
    <w:basedOn w:val="1"/>
    <w:qFormat/>
    <w:uiPriority w:val="0"/>
    <w:pPr>
      <w:spacing w:line="360" w:lineRule="auto"/>
      <w:ind w:firstLine="567"/>
    </w:pPr>
    <w:rPr>
      <w:rFonts w:ascii="Times New Roman" w:hAnsi="Times New Roman" w:eastAsia="宋体" w:cs="Times New Roman"/>
      <w:sz w:val="28"/>
      <w:szCs w:val="20"/>
    </w:rPr>
  </w:style>
  <w:style w:type="paragraph" w:customStyle="1" w:styleId="51">
    <w:name w:val="TOC Heading"/>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52">
    <w:name w:val="No Spacing"/>
    <w:qFormat/>
    <w:uiPriority w:val="1"/>
    <w:rPr>
      <w:rFonts w:ascii="Calibri" w:hAnsi="Calibri" w:eastAsia="宋体" w:cs="Times New Roman"/>
      <w:kern w:val="0"/>
      <w:sz w:val="22"/>
      <w:szCs w:val="22"/>
      <w:lang w:val="en-US" w:eastAsia="zh-CN" w:bidi="ar-SA"/>
    </w:rPr>
  </w:style>
  <w:style w:type="paragraph" w:customStyle="1" w:styleId="53">
    <w:name w:val="导则正文"/>
    <w:basedOn w:val="1"/>
    <w:qFormat/>
    <w:uiPriority w:val="0"/>
    <w:pPr>
      <w:ind w:firstLine="200" w:firstLineChars="200"/>
      <w:jc w:val="left"/>
    </w:pPr>
    <w:rPr>
      <w:rFonts w:ascii="Times New Roman" w:hAnsi="Times New Roman" w:eastAsia="宋体" w:cs="Times New Roman"/>
      <w:szCs w:val="21"/>
    </w:rPr>
  </w:style>
  <w:style w:type="character" w:customStyle="1" w:styleId="54">
    <w:name w:val="fontstyle01"/>
    <w:basedOn w:val="22"/>
    <w:qFormat/>
    <w:uiPriority w:val="0"/>
    <w:rPr>
      <w:rFonts w:hint="eastAsia" w:ascii="宋体" w:hAnsi="宋体" w:eastAsia="宋体"/>
      <w:color w:val="000000"/>
      <w:sz w:val="24"/>
      <w:szCs w:val="24"/>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92</Words>
  <Characters>525</Characters>
  <Lines>4</Lines>
  <Paragraphs>1</Paragraphs>
  <TotalTime>22</TotalTime>
  <ScaleCrop>false</ScaleCrop>
  <LinksUpToDate>false</LinksUpToDate>
  <CharactersWithSpaces>616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2020-03-16T07:45:00Z</dcterms:created>
  <dc:creator>Administrator</dc:creator>
  <cp:lastModifiedBy>张杰</cp:lastModifiedBy>
  <dcterms:modified xsi:type="dcterms:W3CDTF">2026-02-06T03:22:55Z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04FA843738F0423BB45313A8FD63602E</vt:lpwstr>
  </property>
</Properties>
</file>